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540" w:hanging="208"/>
        <w:spacing w:after="0"/>
        <w:tabs>
          <w:tab w:leader="none" w:pos="54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w:t>
      </w:r>
    </w:p>
    <w:p>
      <w:pPr>
        <w:spacing w:after="0" w:line="14" w:lineRule="exact"/>
        <w:rPr>
          <w:rFonts w:ascii="Arial" w:cs="Arial" w:eastAsia="Arial" w:hAnsi="Arial"/>
          <w:sz w:val="22"/>
          <w:szCs w:val="22"/>
          <w:b w:val="1"/>
          <w:bCs w:val="1"/>
          <w:color w:val="auto"/>
        </w:rPr>
      </w:pPr>
    </w:p>
    <w:p>
      <w:pPr>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540" w:hanging="208"/>
        <w:spacing w:after="0"/>
        <w:tabs>
          <w:tab w:leader="none" w:pos="5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w:t>
      </w:r>
    </w:p>
    <w:p>
      <w:pPr>
        <w:spacing w:after="0" w:line="14" w:lineRule="exact"/>
        <w:rPr>
          <w:rFonts w:ascii="Arial" w:cs="Arial" w:eastAsia="Arial" w:hAnsi="Arial"/>
          <w:sz w:val="22"/>
          <w:szCs w:val="22"/>
          <w:b w:val="1"/>
          <w:bCs w:val="1"/>
          <w:color w:val="auto"/>
        </w:rPr>
      </w:pPr>
    </w:p>
    <w:p>
      <w:pPr>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1934</w:t>
      </w:r>
    </w:p>
    <w:p>
      <w:pPr>
        <w:spacing w:after="0" w:line="191" w:lineRule="exact"/>
        <w:rPr>
          <w:sz w:val="24"/>
          <w:szCs w:val="24"/>
          <w:color w:val="auto"/>
        </w:rPr>
      </w:pPr>
    </w:p>
    <w:p>
      <w:pPr>
        <w:ind w:left="3980"/>
        <w:spacing w:after="0"/>
        <w:tabs>
          <w:tab w:leader="none" w:pos="72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2500630</wp:posOffset>
            </wp:positionH>
            <wp:positionV relativeFrom="paragraph">
              <wp:posOffset>154940</wp:posOffset>
            </wp:positionV>
            <wp:extent cx="2263775" cy="514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6377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ACTIVISION BLIZZARD,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80" w:type="dxa"/>
        <w:tblCellMar>
          <w:top w:w="0" w:type="dxa"/>
          <w:left w:w="0" w:type="dxa"/>
          <w:bottom w:w="0" w:type="dxa"/>
          <w:right w:w="0" w:type="dxa"/>
        </w:tblCellMar>
      </w:tblPr>
      <w:tr>
        <w:trPr>
          <w:trHeight w:val="220"/>
        </w:trPr>
        <w:tc>
          <w:tcPr>
            <w:tcW w:w="5000" w:type="dxa"/>
            <w:vAlign w:val="bottom"/>
          </w:tcPr>
          <w:p>
            <w:pPr>
              <w:jc w:val="center"/>
              <w:ind w:right="1250"/>
              <w:spacing w:after="0"/>
              <w:rPr>
                <w:sz w:val="20"/>
                <w:szCs w:val="20"/>
                <w:color w:val="auto"/>
              </w:rPr>
            </w:pPr>
            <w:r>
              <w:rPr>
                <w:rFonts w:ascii="Arial" w:cs="Arial" w:eastAsia="Arial" w:hAnsi="Arial"/>
                <w:sz w:val="18"/>
                <w:szCs w:val="18"/>
                <w:b w:val="1"/>
                <w:bCs w:val="1"/>
                <w:color w:val="auto"/>
                <w:w w:val="93"/>
              </w:rPr>
              <w:t>Delaware</w:t>
            </w:r>
          </w:p>
        </w:tc>
        <w:tc>
          <w:tcPr>
            <w:tcW w:w="3960" w:type="dxa"/>
            <w:vAlign w:val="bottom"/>
          </w:tcPr>
          <w:p>
            <w:pPr>
              <w:jc w:val="right"/>
              <w:ind w:right="790"/>
              <w:spacing w:after="0"/>
              <w:rPr>
                <w:sz w:val="20"/>
                <w:szCs w:val="20"/>
                <w:color w:val="auto"/>
              </w:rPr>
            </w:pPr>
            <w:r>
              <w:rPr>
                <w:rFonts w:ascii="Arial" w:cs="Arial" w:eastAsia="Arial" w:hAnsi="Arial"/>
                <w:sz w:val="18"/>
                <w:szCs w:val="18"/>
                <w:b w:val="1"/>
                <w:bCs w:val="1"/>
                <w:color w:val="auto"/>
              </w:rPr>
              <w:t>95-4803544</w:t>
            </w:r>
          </w:p>
        </w:tc>
      </w:tr>
      <w:tr>
        <w:trPr>
          <w:trHeight w:val="216"/>
        </w:trPr>
        <w:tc>
          <w:tcPr>
            <w:tcW w:w="5000" w:type="dxa"/>
            <w:vAlign w:val="bottom"/>
          </w:tcPr>
          <w:p>
            <w:pPr>
              <w:jc w:val="center"/>
              <w:ind w:right="1250"/>
              <w:spacing w:after="0"/>
              <w:rPr>
                <w:sz w:val="20"/>
                <w:szCs w:val="20"/>
                <w:color w:val="auto"/>
              </w:rPr>
            </w:pPr>
            <w:r>
              <w:rPr>
                <w:rFonts w:ascii="Arial" w:cs="Arial" w:eastAsia="Arial" w:hAnsi="Arial"/>
                <w:sz w:val="18"/>
                <w:szCs w:val="18"/>
                <w:color w:val="auto"/>
                <w:w w:val="93"/>
              </w:rPr>
              <w:t>(State or other jurisdiction of</w:t>
            </w:r>
          </w:p>
        </w:tc>
        <w:tc>
          <w:tcPr>
            <w:tcW w:w="3960" w:type="dxa"/>
            <w:vAlign w:val="bottom"/>
          </w:tcPr>
          <w:p>
            <w:pPr>
              <w:jc w:val="center"/>
              <w:ind w:left="12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5000" w:type="dxa"/>
            <w:vAlign w:val="bottom"/>
          </w:tcPr>
          <w:p>
            <w:pPr>
              <w:jc w:val="center"/>
              <w:ind w:right="1250"/>
              <w:spacing w:after="0"/>
              <w:rPr>
                <w:sz w:val="20"/>
                <w:szCs w:val="20"/>
                <w:color w:val="auto"/>
              </w:rPr>
            </w:pPr>
            <w:r>
              <w:rPr>
                <w:rFonts w:ascii="Arial" w:cs="Arial" w:eastAsia="Arial" w:hAnsi="Arial"/>
                <w:sz w:val="18"/>
                <w:szCs w:val="18"/>
                <w:color w:val="auto"/>
                <w:w w:val="93"/>
              </w:rPr>
              <w:t>incorporation or organization)</w:t>
            </w:r>
          </w:p>
        </w:tc>
        <w:tc>
          <w:tcPr>
            <w:tcW w:w="3960" w:type="dxa"/>
            <w:vAlign w:val="bottom"/>
          </w:tcPr>
          <w:p>
            <w:pPr>
              <w:spacing w:after="0"/>
              <w:rPr>
                <w:sz w:val="20"/>
                <w:szCs w:val="20"/>
                <w:color w:val="auto"/>
              </w:rPr>
            </w:pPr>
          </w:p>
        </w:tc>
      </w:tr>
      <w:tr>
        <w:trPr>
          <w:trHeight w:val="418"/>
        </w:trPr>
        <w:tc>
          <w:tcPr>
            <w:tcW w:w="5000" w:type="dxa"/>
            <w:vAlign w:val="bottom"/>
          </w:tcPr>
          <w:p>
            <w:pPr>
              <w:jc w:val="center"/>
              <w:ind w:right="1250"/>
              <w:spacing w:after="0"/>
              <w:rPr>
                <w:sz w:val="20"/>
                <w:szCs w:val="20"/>
                <w:color w:val="auto"/>
              </w:rPr>
            </w:pPr>
            <w:r>
              <w:rPr>
                <w:rFonts w:ascii="Arial" w:cs="Arial" w:eastAsia="Arial" w:hAnsi="Arial"/>
                <w:sz w:val="18"/>
                <w:szCs w:val="18"/>
                <w:b w:val="1"/>
                <w:bCs w:val="1"/>
                <w:color w:val="auto"/>
                <w:w w:val="91"/>
              </w:rPr>
              <w:t>3100 Ocean Park Boulevard, Santa Monica, CA</w:t>
            </w:r>
          </w:p>
        </w:tc>
        <w:tc>
          <w:tcPr>
            <w:tcW w:w="3960" w:type="dxa"/>
            <w:vAlign w:val="bottom"/>
          </w:tcPr>
          <w:p>
            <w:pPr>
              <w:jc w:val="right"/>
              <w:ind w:right="1010"/>
              <w:spacing w:after="0"/>
              <w:rPr>
                <w:sz w:val="20"/>
                <w:szCs w:val="20"/>
                <w:color w:val="auto"/>
              </w:rPr>
            </w:pPr>
            <w:r>
              <w:rPr>
                <w:rFonts w:ascii="Arial" w:cs="Arial" w:eastAsia="Arial" w:hAnsi="Arial"/>
                <w:sz w:val="18"/>
                <w:szCs w:val="18"/>
                <w:b w:val="1"/>
                <w:bCs w:val="1"/>
                <w:color w:val="auto"/>
              </w:rPr>
              <w:t>90405</w:t>
            </w:r>
          </w:p>
        </w:tc>
      </w:tr>
      <w:tr>
        <w:trPr>
          <w:trHeight w:val="230"/>
        </w:trPr>
        <w:tc>
          <w:tcPr>
            <w:tcW w:w="5000" w:type="dxa"/>
            <w:vAlign w:val="bottom"/>
          </w:tcPr>
          <w:p>
            <w:pPr>
              <w:jc w:val="center"/>
              <w:ind w:right="1250"/>
              <w:spacing w:after="0"/>
              <w:rPr>
                <w:sz w:val="20"/>
                <w:szCs w:val="20"/>
                <w:color w:val="auto"/>
              </w:rPr>
            </w:pPr>
            <w:r>
              <w:rPr>
                <w:rFonts w:ascii="Arial" w:cs="Arial" w:eastAsia="Arial" w:hAnsi="Arial"/>
                <w:sz w:val="18"/>
                <w:szCs w:val="18"/>
                <w:color w:val="auto"/>
                <w:w w:val="92"/>
              </w:rPr>
              <w:t>(Address of principal executive offices)</w:t>
            </w:r>
          </w:p>
        </w:tc>
        <w:tc>
          <w:tcPr>
            <w:tcW w:w="3960" w:type="dxa"/>
            <w:vAlign w:val="bottom"/>
          </w:tcPr>
          <w:p>
            <w:pPr>
              <w:jc w:val="center"/>
              <w:ind w:left="123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(310) 255-2000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4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4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56" w:orient="portrait"/>
          <w:cols w:equalWidth="0" w:num="1">
            <w:col w:w="11400"/>
          </w:cols>
          <w:pgMar w:left="240" w:top="233" w:right="259" w:bottom="0" w:gutter="0" w:footer="0" w:header="0"/>
        </w:sectPr>
      </w:pPr>
    </w:p>
    <w:p>
      <w:pPr>
        <w:spacing w:after="0" w:line="18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56" w:orient="portrait"/>
          <w:cols w:equalWidth="0" w:num="2">
            <w:col w:w="7860" w:space="720"/>
            <w:col w:w="2820"/>
          </w:cols>
          <w:pgMar w:left="240" w:top="233" w:right="259" w:bottom="0" w:gutter="0" w:footer="0" w:header="0"/>
          <w:type w:val="continuous"/>
        </w:sectPr>
      </w:pPr>
    </w:p>
    <w:p>
      <w:pPr>
        <w:spacing w:after="0" w:line="48" w:lineRule="exact"/>
        <w:rPr>
          <w:sz w:val="24"/>
          <w:szCs w:val="24"/>
          <w:color w:val="auto"/>
        </w:rPr>
      </w:pPr>
    </w:p>
    <w:p>
      <w:pPr>
        <w:ind w:left="340"/>
        <w:spacing w:after="0"/>
        <w:rPr>
          <w:sz w:val="20"/>
          <w:szCs w:val="20"/>
          <w:color w:val="auto"/>
        </w:rPr>
      </w:pPr>
      <w:r>
        <w:rPr>
          <w:rFonts w:ascii="Arial" w:cs="Arial" w:eastAsia="Arial" w:hAnsi="Arial"/>
          <w:sz w:val="16"/>
          <w:szCs w:val="16"/>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 o</w:t>
      </w:r>
    </w:p>
    <w:p>
      <w:pPr>
        <w:spacing w:after="0" w:line="200" w:lineRule="exact"/>
        <w:rPr>
          <w:sz w:val="24"/>
          <w:szCs w:val="24"/>
          <w:color w:val="auto"/>
        </w:rPr>
      </w:pPr>
    </w:p>
    <w:p>
      <w:pPr>
        <w:sectPr>
          <w:pgSz w:w="11900" w:h="16856" w:orient="portrait"/>
          <w:cols w:equalWidth="0" w:num="2">
            <w:col w:w="7500" w:space="720"/>
            <w:col w:w="3180"/>
          </w:cols>
          <w:pgMar w:left="240" w:top="233" w:right="259" w:bottom="0" w:gutter="0" w:footer="0" w:header="0"/>
          <w:type w:val="continuous"/>
        </w:sectPr>
      </w:pPr>
    </w:p>
    <w:p>
      <w:pPr>
        <w:spacing w:after="0" w:line="34"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of the registrant’s Common Stock outstanding at July 26, 2018 was 762,408,587.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407035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 AND SUBSIDIARIES</w:t>
      </w:r>
    </w:p>
    <w:p>
      <w:pPr>
        <w:sectPr>
          <w:pgSz w:w="11900" w:h="16856" w:orient="portrait"/>
          <w:cols w:equalWidth="0" w:num="1">
            <w:col w:w="11400"/>
          </w:cols>
          <w:pgMar w:left="240" w:top="233" w:right="2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180" w:type="dxa"/>
            <w:vAlign w:val="bottom"/>
            <w:gridSpan w:val="9"/>
          </w:tcPr>
          <w:p>
            <w:pPr>
              <w:ind w:left="146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r>
      <w:tr>
        <w:trPr>
          <w:trHeight w:val="39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0" w:type="dxa"/>
            <w:vAlign w:val="bottom"/>
            <w:gridSpan w:val="1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Cautionary Statement</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12"/>
        </w:trPr>
        <w:tc>
          <w:tcPr>
            <w:tcW w:w="116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960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66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Item 1.</w:t>
              </w:r>
            </w:hyperlink>
          </w:p>
        </w:tc>
        <w:tc>
          <w:tcPr>
            <w:tcW w:w="640" w:type="dxa"/>
            <w:vAlign w:val="bottom"/>
            <w:gridSpan w:val="3"/>
          </w:tcPr>
          <w:p>
            <w:pPr>
              <w:spacing w:after="0"/>
              <w:rPr>
                <w:sz w:val="24"/>
                <w:szCs w:val="24"/>
                <w:color w:val="auto"/>
              </w:rPr>
            </w:pPr>
          </w:p>
        </w:tc>
        <w:tc>
          <w:tcPr>
            <w:tcW w:w="242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7180" w:type="dxa"/>
            <w:vAlign w:val="bottom"/>
            <w:gridSpan w:val="9"/>
          </w:tcPr>
          <w:p>
            <w:pPr>
              <w:spacing w:after="0"/>
              <w:rPr>
                <w:sz w:val="24"/>
                <w:szCs w:val="24"/>
                <w:color w:val="auto"/>
              </w:rPr>
            </w:pPr>
          </w:p>
        </w:tc>
        <w:tc>
          <w:tcPr>
            <w:tcW w:w="660" w:type="dxa"/>
            <w:vAlign w:val="bottom"/>
          </w:tcPr>
          <w:p>
            <w:pPr>
              <w:spacing w:after="0"/>
              <w:rPr>
                <w:sz w:val="24"/>
                <w:szCs w:val="24"/>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2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at June 30, 2018 and December 31, 2017</w:t>
              </w:r>
            </w:hyperlink>
          </w:p>
        </w:tc>
        <w:tc>
          <w:tcPr>
            <w:tcW w:w="3680" w:type="dxa"/>
            <w:vAlign w:val="bottom"/>
            <w:gridSpan w:val="6"/>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Statements of Operations for the three and six months ended June 30, 2018 and June 30, 2017</w:t>
              </w:r>
            </w:hyperlink>
          </w:p>
        </w:tc>
        <w:tc>
          <w:tcPr>
            <w:tcW w:w="1000" w:type="dxa"/>
            <w:vAlign w:val="bottom"/>
            <w:gridSpan w:val="2"/>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0" w:type="dxa"/>
            <w:vAlign w:val="bottom"/>
            <w:gridSpan w:val="19"/>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Condensed Consolidated Statements of Comprehensive Income for the three and six months ended June 30, 2018 and June 30,</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2017</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4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Cash Flows for the six months ended June 30, 2018 and June 30, 2017</w:t>
              </w:r>
            </w:hyperlink>
          </w:p>
        </w:tc>
        <w:tc>
          <w:tcPr>
            <w:tcW w:w="1660" w:type="dxa"/>
            <w:vAlign w:val="bottom"/>
            <w:gridSpan w:val="4"/>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 of Changes in Shareholders’ Equity for the six months ended June 30, 2018</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Condensed Consolidated Financial Statements</w:t>
              </w:r>
            </w:hyperlink>
          </w:p>
        </w:tc>
        <w:tc>
          <w:tcPr>
            <w:tcW w:w="4040" w:type="dxa"/>
            <w:vAlign w:val="bottom"/>
            <w:tcBorders>
              <w:top w:val="single" w:sz="8" w:color="0000EE"/>
            </w:tcBorders>
            <w:gridSpan w:val="5"/>
          </w:tcPr>
          <w:p>
            <w:pPr>
              <w:spacing w:after="0"/>
              <w:rPr>
                <w:sz w:val="24"/>
                <w:szCs w:val="24"/>
                <w:color w:val="auto"/>
              </w:rPr>
            </w:pPr>
          </w:p>
        </w:tc>
        <w:tc>
          <w:tcPr>
            <w:tcW w:w="1560" w:type="dxa"/>
            <w:vAlign w:val="bottom"/>
            <w:gridSpan w:val="3"/>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12"/>
        </w:trPr>
        <w:tc>
          <w:tcPr>
            <w:tcW w:w="640" w:type="dxa"/>
            <w:vAlign w:val="bottom"/>
            <w:tcBorders>
              <w:bottom w:val="single" w:sz="8" w:color="0000EE"/>
            </w:tcBorders>
            <w:gridSpan w:val="2"/>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2.</w:t>
              </w:r>
            </w:hyperlink>
          </w:p>
        </w:tc>
        <w:tc>
          <w:tcPr>
            <w:tcW w:w="520" w:type="dxa"/>
            <w:vAlign w:val="bottom"/>
            <w:gridSpan w:val="2"/>
          </w:tcPr>
          <w:p>
            <w:pPr>
              <w:spacing w:after="0"/>
              <w:rPr>
                <w:sz w:val="24"/>
                <w:szCs w:val="24"/>
                <w:color w:val="auto"/>
              </w:rPr>
            </w:pPr>
          </w:p>
        </w:tc>
        <w:tc>
          <w:tcPr>
            <w:tcW w:w="64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Management’s Discussion and Analysis of Financial Condition and Results of Operations</w:t>
              </w:r>
            </w:hyperlink>
          </w:p>
        </w:tc>
        <w:tc>
          <w:tcPr>
            <w:tcW w:w="3140" w:type="dxa"/>
            <w:vAlign w:val="bottom"/>
            <w:gridSpan w:val="5"/>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87"/>
              </w:rPr>
            </w:pPr>
            <w:hyperlink w:anchor="page45">
              <w:r>
                <w:rPr>
                  <w:rFonts w:ascii="Arial" w:cs="Arial" w:eastAsia="Arial" w:hAnsi="Arial"/>
                  <w:sz w:val="18"/>
                  <w:szCs w:val="18"/>
                  <w:color w:val="0000EE"/>
                  <w:w w:val="87"/>
                </w:rPr>
                <w:t>Item 3.</w:t>
              </w:r>
            </w:hyperlink>
          </w:p>
        </w:tc>
        <w:tc>
          <w:tcPr>
            <w:tcW w:w="640" w:type="dxa"/>
            <w:vAlign w:val="bottom"/>
            <w:gridSpan w:val="3"/>
          </w:tcPr>
          <w:p>
            <w:pPr>
              <w:spacing w:after="0"/>
              <w:rPr>
                <w:sz w:val="24"/>
                <w:szCs w:val="24"/>
                <w:color w:val="auto"/>
              </w:rPr>
            </w:pPr>
          </w:p>
        </w:tc>
        <w:tc>
          <w:tcPr>
            <w:tcW w:w="436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Quantitative and Qualitative Disclosures About Market Risk</w:t>
              </w:r>
            </w:hyperlink>
          </w:p>
        </w:tc>
        <w:tc>
          <w:tcPr>
            <w:tcW w:w="5240" w:type="dxa"/>
            <w:vAlign w:val="bottom"/>
            <w:gridSpan w:val="7"/>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12"/>
        </w:trPr>
        <w:tc>
          <w:tcPr>
            <w:tcW w:w="520" w:type="dxa"/>
            <w:vAlign w:val="bottom"/>
          </w:tcPr>
          <w:p>
            <w:pPr>
              <w:spacing w:after="0"/>
              <w:rPr>
                <w:rFonts w:ascii="Arial" w:cs="Arial" w:eastAsia="Arial" w:hAnsi="Arial"/>
                <w:sz w:val="18"/>
                <w:szCs w:val="18"/>
                <w:color w:val="0000EE"/>
                <w:w w:val="87"/>
              </w:rPr>
            </w:pPr>
            <w:hyperlink w:anchor="page46">
              <w:r>
                <w:rPr>
                  <w:rFonts w:ascii="Arial" w:cs="Arial" w:eastAsia="Arial" w:hAnsi="Arial"/>
                  <w:sz w:val="18"/>
                  <w:szCs w:val="18"/>
                  <w:color w:val="0000EE"/>
                  <w:w w:val="87"/>
                </w:rPr>
                <w:t>Item 4.</w:t>
              </w:r>
            </w:hyperlink>
          </w:p>
        </w:tc>
        <w:tc>
          <w:tcPr>
            <w:tcW w:w="640" w:type="dxa"/>
            <w:vAlign w:val="bottom"/>
            <w:gridSpan w:val="3"/>
          </w:tcPr>
          <w:p>
            <w:pPr>
              <w:spacing w:after="0"/>
              <w:rPr>
                <w:sz w:val="24"/>
                <w:szCs w:val="24"/>
                <w:color w:val="auto"/>
              </w:rPr>
            </w:pPr>
          </w:p>
        </w:tc>
        <w:tc>
          <w:tcPr>
            <w:tcW w:w="9600" w:type="dxa"/>
            <w:vAlign w:val="bottom"/>
            <w:gridSpan w:val="19"/>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Controls and Procedures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72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12"/>
        </w:trPr>
        <w:tc>
          <w:tcPr>
            <w:tcW w:w="1160" w:type="dxa"/>
            <w:vAlign w:val="bottom"/>
            <w:gridSpan w:val="4"/>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PART II.</w:t>
              </w:r>
            </w:hyperlink>
          </w:p>
        </w:tc>
        <w:tc>
          <w:tcPr>
            <w:tcW w:w="9600" w:type="dxa"/>
            <w:vAlign w:val="bottom"/>
            <w:gridSpan w:val="19"/>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OTHER INFORMATION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87"/>
              </w:rPr>
            </w:pPr>
            <w:hyperlink w:anchor="page46">
              <w:r>
                <w:rPr>
                  <w:rFonts w:ascii="Arial" w:cs="Arial" w:eastAsia="Arial" w:hAnsi="Arial"/>
                  <w:sz w:val="18"/>
                  <w:szCs w:val="18"/>
                  <w:color w:val="0000EE"/>
                  <w:w w:val="87"/>
                </w:rPr>
                <w:t>Item 1.</w:t>
              </w:r>
            </w:hyperlink>
          </w:p>
        </w:tc>
        <w:tc>
          <w:tcPr>
            <w:tcW w:w="120" w:type="dxa"/>
            <w:vAlign w:val="bottom"/>
            <w:tcBorders>
              <w:top w:val="single" w:sz="8" w:color="0000EE"/>
            </w:tcBorders>
          </w:tcPr>
          <w:p>
            <w:pPr>
              <w:spacing w:after="0"/>
              <w:rPr>
                <w:sz w:val="24"/>
                <w:szCs w:val="24"/>
                <w:color w:val="auto"/>
              </w:rPr>
            </w:pPr>
          </w:p>
        </w:tc>
        <w:tc>
          <w:tcPr>
            <w:tcW w:w="520" w:type="dxa"/>
            <w:vAlign w:val="bottom"/>
            <w:gridSpan w:val="2"/>
          </w:tcPr>
          <w:p>
            <w:pPr>
              <w:spacing w:after="0"/>
              <w:rPr>
                <w:sz w:val="24"/>
                <w:szCs w:val="24"/>
                <w:color w:val="auto"/>
              </w:rPr>
            </w:pPr>
          </w:p>
        </w:tc>
        <w:tc>
          <w:tcPr>
            <w:tcW w:w="13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46">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3"/>
          </w:tcPr>
          <w:p>
            <w:pPr>
              <w:spacing w:after="0"/>
              <w:rPr>
                <w:sz w:val="24"/>
                <w:szCs w:val="24"/>
                <w:color w:val="auto"/>
              </w:rPr>
            </w:pPr>
          </w:p>
        </w:tc>
        <w:tc>
          <w:tcPr>
            <w:tcW w:w="7720" w:type="dxa"/>
            <w:vAlign w:val="bottom"/>
            <w:gridSpan w:val="11"/>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412"/>
        </w:trPr>
        <w:tc>
          <w:tcPr>
            <w:tcW w:w="1160" w:type="dxa"/>
            <w:vAlign w:val="bottom"/>
            <w:gridSpan w:val="4"/>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1A.</w:t>
              </w:r>
            </w:hyperlink>
          </w:p>
        </w:tc>
        <w:tc>
          <w:tcPr>
            <w:tcW w:w="9600" w:type="dxa"/>
            <w:vAlign w:val="bottom"/>
            <w:gridSpan w:val="19"/>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Risk Factors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87"/>
              </w:rPr>
            </w:pPr>
            <w:hyperlink w:anchor="page47">
              <w:r>
                <w:rPr>
                  <w:rFonts w:ascii="Arial" w:cs="Arial" w:eastAsia="Arial" w:hAnsi="Arial"/>
                  <w:sz w:val="18"/>
                  <w:szCs w:val="18"/>
                  <w:color w:val="0000EE"/>
                  <w:w w:val="87"/>
                </w:rPr>
                <w:t>Item 6.</w:t>
              </w:r>
            </w:hyperlink>
          </w:p>
        </w:tc>
        <w:tc>
          <w:tcPr>
            <w:tcW w:w="120" w:type="dxa"/>
            <w:vAlign w:val="bottom"/>
            <w:tcBorders>
              <w:top w:val="single" w:sz="8" w:color="0000EE"/>
            </w:tcBorders>
          </w:tcPr>
          <w:p>
            <w:pPr>
              <w:spacing w:after="0"/>
              <w:rPr>
                <w:sz w:val="24"/>
                <w:szCs w:val="24"/>
                <w:color w:val="auto"/>
              </w:rPr>
            </w:pPr>
          </w:p>
        </w:tc>
        <w:tc>
          <w:tcPr>
            <w:tcW w:w="520" w:type="dxa"/>
            <w:vAlign w:val="bottom"/>
            <w:gridSpan w:val="2"/>
          </w:tcPr>
          <w:p>
            <w:pPr>
              <w:spacing w:after="0"/>
              <w:rPr>
                <w:sz w:val="24"/>
                <w:szCs w:val="24"/>
                <w:color w:val="auto"/>
              </w:rPr>
            </w:pPr>
          </w:p>
        </w:tc>
        <w:tc>
          <w:tcPr>
            <w:tcW w:w="6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47">
              <w:r>
                <w:rPr>
                  <w:rFonts w:ascii="Arial" w:cs="Arial" w:eastAsia="Arial" w:hAnsi="Arial"/>
                  <w:sz w:val="18"/>
                  <w:szCs w:val="18"/>
                  <w:color w:val="0000EE"/>
                  <w:w w:val="91"/>
                </w:rPr>
                <w:t>Exhibits</w:t>
              </w:r>
            </w:hyperlink>
          </w:p>
        </w:tc>
        <w:tc>
          <w:tcPr>
            <w:tcW w:w="300" w:type="dxa"/>
            <w:vAlign w:val="bottom"/>
            <w:tcBorders>
              <w:top w:val="single" w:sz="8" w:color="0000EE"/>
            </w:tcBorders>
          </w:tcPr>
          <w:p>
            <w:pPr>
              <w:spacing w:after="0"/>
              <w:rPr>
                <w:sz w:val="24"/>
                <w:szCs w:val="24"/>
                <w:color w:val="auto"/>
              </w:rPr>
            </w:pPr>
          </w:p>
        </w:tc>
        <w:tc>
          <w:tcPr>
            <w:tcW w:w="8700" w:type="dxa"/>
            <w:vAlign w:val="bottom"/>
            <w:gridSpan w:val="15"/>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412"/>
        </w:trPr>
        <w:tc>
          <w:tcPr>
            <w:tcW w:w="10760" w:type="dxa"/>
            <w:vAlign w:val="bottom"/>
            <w:gridSpan w:val="23"/>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EXHIBIT INDEX</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412"/>
        </w:trPr>
        <w:tc>
          <w:tcPr>
            <w:tcW w:w="1160" w:type="dxa"/>
            <w:vAlign w:val="bottom"/>
            <w:tcBorders>
              <w:top w:val="single" w:sz="8" w:color="0000EE"/>
            </w:tcBorders>
            <w:gridSpan w:val="4"/>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SIGNATURE</w:t>
              </w:r>
            </w:hyperlink>
          </w:p>
        </w:tc>
        <w:tc>
          <w:tcPr>
            <w:tcW w:w="1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This Quarterly Report on Form 10-Q contains, or incorporates by reference, certain forward-looking statements within the meaning of the Private Securities Litigation Reform Act of 1995. Such statements consist of any statement other than a recitation of historical facts and include, but are not limited to: (1) projections of revenues, expenses, income or loss, earnings or loss per share, cash flow, or other financial items; (2) statements of our plans and objectives, including those related to releases of products or services; (3) statements of future financial or operating performance, including the impact of tax items thereon; and (4) statements of assumptions underlying such statements. Activision Blizzard, Inc. generally uses words such as “outlook,” “forecast,” “will,” “could,” “should,” “would,” “to be,” “plan,” “plans,” “believes,” “may,” “might,” “expects,” “intends,” “intends as,” “anticipates,” “estimate,” “future,” “positioned,” “potential,” “project,” “remain,” “scheduled,” “set to,” “subject to,” “upcoming” and other similar expressions to help identify forward-looking statements. Forward-looking statements are subject to business and economic risks, reflect management’s current expectations, estimates and projections about our business, and are inherently uncertain and difficult to predict.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The company cautions that a number of important factors could cause Activision Blizzard, Inc.’s actual future results and other future circumstances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to differ materially from those expressed in any forward-looking statements. Such factors include, but are not limited to: sales levels of Activision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Blizzard, Inc.’s titles, products, and services; concentration of revenue among a small number of titles; Activision Blizzard, Inc.’s ability to predict consumer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preferences, including interest in specific genres and modes and preferences among platforms; the continued growth in the scope and complexity of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business, including the diversion of management time and attention to issues relating to the operations of our acquired or newly started businesses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potential impact of our expansion into new businesses on our existing businesses; the amount of our debt and the limitations imposed by the covenants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agreements governing our debt; counterparty risks relating to customers, licensees, licensors, and manufacturers; maintenance of relationships with key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personnel, customers, financing providers, licensees, licensors, manufacturers, vendors, and third-party developers, including the ability to attract, retain,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and motivate key personnel and developers that can create high-quality titles, products, and services; changing business models within the video game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industry, including digital delivery of content and the increased prevalence of free-to-play games; product delays or defects; competition, including from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forms of entertainment; rapid changes in technology and industry standards; possible declines in software pricing; product returns and price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protection; the identification of suitable future acquisition opportunities and potential challenges associated with geographic expansion; the seasonal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cyclical nature of the interactive entertainment market; the outcome of current or future tax disputes; litigation risks and associated costs; protection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proprietary rights; potential data breaches and other cybersecurity risks; shifts in consumer spending trends; capital market risks; the impact of applicable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laws, rules, and regulations, including changes in those laws, rules, and regulations; domestic and international economic, financial, and political conditions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and policies; tax rates and foreign exchange rates; the impact of the current macroeconomic environment; and the other factors identified in “Risk Factors”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included in Part I, Item 1A of our Annual Report on Form 10-K for the year ended December 31, 2017.</w:t>
      </w:r>
    </w:p>
    <w:p>
      <w:pPr>
        <w:sectPr>
          <w:pgSz w:w="11900" w:h="16838" w:orient="portrait"/>
          <w:cols w:equalWidth="0" w:num="1">
            <w:col w:w="11420"/>
          </w:cols>
          <w:pgMar w:left="240" w:top="337" w:right="239" w:bottom="0" w:gutter="0" w:footer="0" w:header="0"/>
        </w:sectPr>
      </w:pPr>
    </w:p>
    <w:bookmarkStart w:id="2" w:name="page3"/>
    <w:bookmarkEnd w:id="2"/>
    <w:p>
      <w:pPr>
        <w:ind w:firstLine="648"/>
        <w:spacing w:after="0" w:line="279" w:lineRule="auto"/>
        <w:rPr>
          <w:sz w:val="20"/>
          <w:szCs w:val="20"/>
          <w:color w:val="auto"/>
        </w:rPr>
      </w:pPr>
      <w:r>
        <w:rPr>
          <w:rFonts w:ascii="Arial" w:cs="Arial" w:eastAsia="Arial" w:hAnsi="Arial"/>
          <w:sz w:val="17"/>
          <w:szCs w:val="17"/>
          <w:i w:val="1"/>
          <w:iCs w:val="1"/>
          <w:color w:val="auto"/>
        </w:rPr>
        <w:t>The forward-looking statements contained herein are based on information available to Activision Blizzard, Inc. as of the date of this filing and we assume no obligation to update any such forward-looking statements. Although these forward-looking statements are believed to be true when made, they may ultimately prove to be incorrect. These statements are not guarantees of our future performance and are subject to risks, uncertainties and other factors, some of which are beyond our control and may cause actual results to differ materially from current expectations.</w:t>
      </w:r>
    </w:p>
    <w:p>
      <w:pPr>
        <w:spacing w:after="0" w:line="171"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i w:val="1"/>
          <w:iCs w:val="1"/>
          <w:color w:val="auto"/>
        </w:rPr>
        <w:t>Activision Blizzard, Inc.’s names, abbreviations thereof, logos, and product and service designators are all either the registered or unregistered trademarks or trade names of Activision Blizzard, Inc. All other product or service names are the property of their respective owners. All dollar amounts referred to in, or contemplated by, this Quarterly Report on Form 10-Q refer to United States (“U.S.”) dollars, unless otherwise explicitly stated to the contrary.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 except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6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At June 30, 2018</w:t>
            </w:r>
          </w:p>
        </w:tc>
        <w:tc>
          <w:tcPr>
            <w:tcW w:w="12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At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Current assets:</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4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4,857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tcPr>
          <w:p>
            <w:pPr>
              <w:ind w:left="360"/>
              <w:spacing w:after="0" w:line="201" w:lineRule="exact"/>
              <w:rPr>
                <w:sz w:val="20"/>
                <w:szCs w:val="20"/>
                <w:color w:val="auto"/>
              </w:rPr>
            </w:pPr>
            <w:r>
              <w:rPr>
                <w:rFonts w:ascii="Arial" w:cs="Arial" w:eastAsia="Arial" w:hAnsi="Arial"/>
                <w:sz w:val="18"/>
                <w:szCs w:val="18"/>
                <w:color w:val="auto"/>
                <w:w w:val="98"/>
              </w:rPr>
              <w:t>Accounts receivable, net of allowances of $129 and $279, at June 30, 2018 and December 31, 2017,</w:t>
            </w: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tcPr>
          <w:p>
            <w:pPr>
              <w:ind w:left="360"/>
              <w:spacing w:after="0"/>
              <w:rPr>
                <w:sz w:val="20"/>
                <w:szCs w:val="20"/>
                <w:color w:val="auto"/>
              </w:rPr>
            </w:pPr>
            <w:r>
              <w:rPr>
                <w:rFonts w:ascii="Arial" w:cs="Arial" w:eastAsia="Arial" w:hAnsi="Arial"/>
                <w:sz w:val="18"/>
                <w:szCs w:val="18"/>
                <w:color w:val="auto"/>
              </w:rPr>
              <w:t>respectively</w:t>
            </w:r>
          </w:p>
        </w:tc>
        <w:tc>
          <w:tcPr>
            <w:tcW w:w="4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418</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Software development</w:t>
            </w:r>
          </w:p>
        </w:tc>
        <w:tc>
          <w:tcPr>
            <w:tcW w:w="4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4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503</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ind w:left="520"/>
              <w:spacing w:after="0"/>
              <w:rPr>
                <w:sz w:val="20"/>
                <w:szCs w:val="20"/>
                <w:color w:val="auto"/>
              </w:rPr>
            </w:pPr>
            <w:r>
              <w:rPr>
                <w:rFonts w:ascii="Arial" w:cs="Arial" w:eastAsia="Arial" w:hAnsi="Arial"/>
                <w:sz w:val="18"/>
                <w:szCs w:val="18"/>
                <w:color w:val="auto"/>
              </w:rPr>
              <w:t>Total current assets</w:t>
            </w:r>
          </w:p>
        </w:tc>
        <w:tc>
          <w:tcPr>
            <w:tcW w:w="4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6,134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Software development</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4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 net</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4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415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 net</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Goodwill</w:t>
            </w: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9,763</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9,763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assets</w:t>
            </w:r>
          </w:p>
        </w:tc>
        <w:tc>
          <w:tcPr>
            <w:tcW w:w="48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17,958</w:t>
            </w: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18,668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Current liabilities:</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4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Deferred revenues</w:t>
            </w:r>
          </w:p>
        </w:tc>
        <w:tc>
          <w:tcPr>
            <w:tcW w:w="4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832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1,929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liabilities</w:t>
            </w:r>
          </w:p>
        </w:tc>
        <w:tc>
          <w:tcPr>
            <w:tcW w:w="4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1,061</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ind w:left="520"/>
              <w:spacing w:after="0"/>
              <w:rPr>
                <w:sz w:val="20"/>
                <w:szCs w:val="20"/>
                <w:color w:val="auto"/>
              </w:rPr>
            </w:pPr>
            <w:r>
              <w:rPr>
                <w:rFonts w:ascii="Arial" w:cs="Arial" w:eastAsia="Arial" w:hAnsi="Arial"/>
                <w:sz w:val="18"/>
                <w:szCs w:val="18"/>
                <w:color w:val="auto"/>
              </w:rPr>
              <w:t>Total current liabilities</w:t>
            </w:r>
          </w:p>
        </w:tc>
        <w:tc>
          <w:tcPr>
            <w:tcW w:w="4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2,060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debt, net</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4,394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Deferred income taxes, net</w:t>
            </w:r>
          </w:p>
        </w:tc>
        <w:tc>
          <w:tcPr>
            <w:tcW w:w="4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liabilities</w:t>
            </w:r>
          </w:p>
        </w:tc>
        <w:tc>
          <w:tcPr>
            <w:tcW w:w="4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1,145</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liabilities</w:t>
            </w: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7,612</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9,206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Commitments and contingencies (Note 16)</w:t>
            </w: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Shareholders’ equity:</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Common stock, $0.000001 par value, 2,400,000,000 shares authorized, 1,190,842,323 and 1,186,181,666</w:t>
            </w: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issued at June 30, 2018 and December 31, 2017, respectively</w:t>
            </w:r>
          </w:p>
        </w:tc>
        <w:tc>
          <w:tcPr>
            <w:tcW w:w="4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4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10,867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10,747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Treasury stock, at cost, 428,676,471 shares at June 30, 2018 and December 31, 2017</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4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5,647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4,916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4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shareholders’ equity</w:t>
            </w: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10,346</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9,462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liabilities and shareholders’ equity</w:t>
            </w:r>
          </w:p>
        </w:tc>
        <w:tc>
          <w:tcPr>
            <w:tcW w:w="48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17,958</w:t>
            </w: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18,668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ectPr>
          <w:pgSz w:w="11900" w:h="16838" w:orient="portrait"/>
          <w:cols w:equalWidth="0" w:num="1">
            <w:col w:w="11420"/>
          </w:cols>
          <w:pgMar w:left="240" w:top="341" w:right="239" w:bottom="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3320" w:type="dxa"/>
            <w:vAlign w:val="bottom"/>
            <w:gridSpan w:val="6"/>
          </w:tcPr>
          <w:p>
            <w:pPr>
              <w:ind w:left="340"/>
              <w:spacing w:after="0"/>
              <w:rPr>
                <w:sz w:val="20"/>
                <w:szCs w:val="20"/>
                <w:color w:val="auto"/>
              </w:rPr>
            </w:pPr>
            <w:r>
              <w:rPr>
                <w:rFonts w:ascii="Arial" w:cs="Arial" w:eastAsia="Arial" w:hAnsi="Arial"/>
                <w:sz w:val="14"/>
                <w:szCs w:val="14"/>
                <w:b w:val="1"/>
                <w:bCs w:val="1"/>
                <w:color w:val="auto"/>
              </w:rPr>
              <w:t>For the Three Months Ended June 30,</w:t>
            </w:r>
          </w:p>
        </w:tc>
        <w:tc>
          <w:tcPr>
            <w:tcW w:w="300" w:type="dxa"/>
            <w:vAlign w:val="bottom"/>
          </w:tcPr>
          <w:p>
            <w:pPr>
              <w:spacing w:after="0"/>
              <w:rPr>
                <w:sz w:val="14"/>
                <w:szCs w:val="14"/>
                <w:color w:val="auto"/>
              </w:rPr>
            </w:pPr>
          </w:p>
        </w:tc>
        <w:tc>
          <w:tcPr>
            <w:tcW w:w="280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revenues</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Product sales</w:t>
            </w:r>
          </w:p>
        </w:tc>
        <w:tc>
          <w:tcPr>
            <w:tcW w:w="840" w:type="dxa"/>
            <w:vAlign w:val="bottom"/>
          </w:tcPr>
          <w:p>
            <w:pPr>
              <w:jc w:val="right"/>
              <w:ind w:right="575"/>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464</w:t>
            </w:r>
          </w:p>
        </w:tc>
        <w:tc>
          <w:tcPr>
            <w:tcW w:w="300" w:type="dxa"/>
            <w:vAlign w:val="bottom"/>
          </w:tcPr>
          <w:p>
            <w:pPr>
              <w:spacing w:after="0"/>
              <w:rPr>
                <w:sz w:val="18"/>
                <w:szCs w:val="18"/>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481</w:t>
            </w:r>
          </w:p>
        </w:tc>
        <w:tc>
          <w:tcPr>
            <w:tcW w:w="280" w:type="dxa"/>
            <w:vAlign w:val="bottom"/>
          </w:tcPr>
          <w:p>
            <w:pPr>
              <w:spacing w:after="0"/>
              <w:rPr>
                <w:sz w:val="18"/>
                <w:szCs w:val="18"/>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1,184</w:t>
            </w:r>
          </w:p>
        </w:tc>
        <w:tc>
          <w:tcPr>
            <w:tcW w:w="280" w:type="dxa"/>
            <w:vAlign w:val="bottom"/>
          </w:tcPr>
          <w:p>
            <w:pPr>
              <w:spacing w:after="0"/>
              <w:rPr>
                <w:sz w:val="18"/>
                <w:szCs w:val="18"/>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Subscription, licensing, and other revenues</w:t>
            </w:r>
          </w:p>
        </w:tc>
        <w:tc>
          <w:tcPr>
            <w:tcW w:w="8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1,177</w:t>
            </w:r>
          </w:p>
        </w:tc>
        <w:tc>
          <w:tcPr>
            <w:tcW w:w="3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1,150</w:t>
            </w:r>
          </w:p>
        </w:tc>
        <w:tc>
          <w:tcPr>
            <w:tcW w:w="2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2,423</w:t>
            </w:r>
          </w:p>
        </w:tc>
        <w:tc>
          <w:tcPr>
            <w:tcW w:w="2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Total net revenues (Note 2)</w:t>
            </w:r>
          </w:p>
        </w:tc>
        <w:tc>
          <w:tcPr>
            <w:tcW w:w="84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1,641</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1,631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3,607</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3,356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revenues—product sales:</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Product costs</w:t>
            </w:r>
          </w:p>
        </w:tc>
        <w:tc>
          <w:tcPr>
            <w:tcW w:w="84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289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Software royalties, amortization, and intellectual property</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licenses</w:t>
            </w:r>
          </w:p>
        </w:tc>
        <w:tc>
          <w:tcPr>
            <w:tcW w:w="84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194</w:t>
            </w:r>
          </w:p>
        </w:tc>
        <w:tc>
          <w:tcPr>
            <w:tcW w:w="2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tcPr>
          <w:p>
            <w:pPr>
              <w:ind w:left="160"/>
              <w:spacing w:after="0" w:line="201" w:lineRule="exact"/>
              <w:rPr>
                <w:sz w:val="20"/>
                <w:szCs w:val="20"/>
                <w:color w:val="auto"/>
              </w:rPr>
            </w:pPr>
            <w:r>
              <w:rPr>
                <w:rFonts w:ascii="Arial" w:cs="Arial" w:eastAsia="Arial" w:hAnsi="Arial"/>
                <w:sz w:val="18"/>
                <w:szCs w:val="18"/>
                <w:color w:val="auto"/>
              </w:rPr>
              <w:t>Cost of revenues—subscription, licensing, and other</w:t>
            </w: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revenues:</w:t>
            </w: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Game operations and distribution costs</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236</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521</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tcPr>
          <w:p>
            <w:pPr>
              <w:ind w:left="360"/>
              <w:spacing w:after="0" w:line="201" w:lineRule="exact"/>
              <w:rPr>
                <w:sz w:val="20"/>
                <w:szCs w:val="20"/>
                <w:color w:val="auto"/>
              </w:rPr>
            </w:pPr>
            <w:r>
              <w:rPr>
                <w:rFonts w:ascii="Arial" w:cs="Arial" w:eastAsia="Arial" w:hAnsi="Arial"/>
                <w:sz w:val="18"/>
                <w:szCs w:val="18"/>
                <w:color w:val="auto"/>
              </w:rPr>
              <w:t>Software royalties, amortization, and intellectual property</w:t>
            </w: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ind w:left="360"/>
              <w:spacing w:after="0"/>
              <w:rPr>
                <w:sz w:val="20"/>
                <w:szCs w:val="20"/>
                <w:color w:val="auto"/>
              </w:rPr>
            </w:pPr>
            <w:r>
              <w:rPr>
                <w:rFonts w:ascii="Arial" w:cs="Arial" w:eastAsia="Arial" w:hAnsi="Arial"/>
                <w:sz w:val="18"/>
                <w:szCs w:val="18"/>
                <w:color w:val="auto"/>
              </w:rPr>
              <w:t>licenses</w:t>
            </w:r>
          </w:p>
        </w:tc>
        <w:tc>
          <w:tcPr>
            <w:tcW w:w="84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120</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169</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development</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252</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513</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Sales and marketing</w:t>
            </w:r>
          </w:p>
        </w:tc>
        <w:tc>
          <w:tcPr>
            <w:tcW w:w="84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308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477</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8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c>
          <w:tcPr>
            <w:tcW w:w="3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171</w:t>
            </w:r>
          </w:p>
        </w:tc>
        <w:tc>
          <w:tcPr>
            <w:tcW w:w="2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415</w:t>
            </w:r>
          </w:p>
        </w:tc>
        <w:tc>
          <w:tcPr>
            <w:tcW w:w="2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costs and expenses</w:t>
            </w: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1,207</w:t>
            </w:r>
          </w:p>
        </w:tc>
        <w:tc>
          <w:tcPr>
            <w:tcW w:w="3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1,292</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2,578</w:t>
            </w:r>
          </w:p>
        </w:tc>
        <w:tc>
          <w:tcPr>
            <w:tcW w:w="2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2,525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Operating income</w:t>
            </w:r>
          </w:p>
        </w:tc>
        <w:tc>
          <w:tcPr>
            <w:tcW w:w="84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434</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339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1,029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8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84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408</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293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975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w:t>
            </w:r>
          </w:p>
        </w:tc>
        <w:tc>
          <w:tcPr>
            <w:tcW w:w="2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840" w:type="dxa"/>
            <w:vAlign w:val="bottom"/>
            <w:tcBorders>
              <w:bottom w:val="single" w:sz="8" w:color="auto"/>
            </w:tcBorders>
          </w:tcPr>
          <w:p>
            <w:pPr>
              <w:jc w:val="right"/>
              <w:ind w:right="575"/>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402</w:t>
            </w:r>
          </w:p>
        </w:tc>
        <w:tc>
          <w:tcPr>
            <w:tcW w:w="3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243</w:t>
            </w:r>
          </w:p>
        </w:tc>
        <w:tc>
          <w:tcPr>
            <w:tcW w:w="2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902</w:t>
            </w:r>
          </w:p>
        </w:tc>
        <w:tc>
          <w:tcPr>
            <w:tcW w:w="2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669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Earnings per common share</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84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0.53</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0.32</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1.19</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Diluted</w:t>
            </w:r>
          </w:p>
        </w:tc>
        <w:tc>
          <w:tcPr>
            <w:tcW w:w="840" w:type="dxa"/>
            <w:vAlign w:val="bottom"/>
          </w:tcPr>
          <w:p>
            <w:pPr>
              <w:jc w:val="right"/>
              <w:ind w:right="575"/>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0.52</w:t>
            </w:r>
          </w:p>
        </w:tc>
        <w:tc>
          <w:tcPr>
            <w:tcW w:w="300" w:type="dxa"/>
            <w:vAlign w:val="bottom"/>
          </w:tcPr>
          <w:p>
            <w:pPr>
              <w:spacing w:after="0"/>
              <w:rPr>
                <w:sz w:val="18"/>
                <w:szCs w:val="18"/>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0.32</w:t>
            </w:r>
          </w:p>
        </w:tc>
        <w:tc>
          <w:tcPr>
            <w:tcW w:w="280" w:type="dxa"/>
            <w:vAlign w:val="bottom"/>
          </w:tcPr>
          <w:p>
            <w:pPr>
              <w:spacing w:after="0"/>
              <w:rPr>
                <w:sz w:val="18"/>
                <w:szCs w:val="18"/>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1.17</w:t>
            </w:r>
          </w:p>
        </w:tc>
        <w:tc>
          <w:tcPr>
            <w:tcW w:w="280" w:type="dxa"/>
            <w:vAlign w:val="bottom"/>
          </w:tcPr>
          <w:p>
            <w:pPr>
              <w:spacing w:after="0"/>
              <w:rPr>
                <w:sz w:val="18"/>
                <w:szCs w:val="18"/>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Weighted-average number of shares outstanding</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761</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754</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760</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Diluted</w:t>
            </w:r>
          </w:p>
        </w:tc>
        <w:tc>
          <w:tcPr>
            <w:tcW w:w="84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770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764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770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Dividends per common share</w:t>
            </w:r>
          </w:p>
        </w:tc>
        <w:tc>
          <w:tcPr>
            <w:tcW w:w="840" w:type="dxa"/>
            <w:vAlign w:val="bottom"/>
          </w:tcPr>
          <w:p>
            <w:pPr>
              <w:jc w:val="right"/>
              <w:ind w:right="575"/>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0.34</w:t>
            </w:r>
          </w:p>
        </w:tc>
        <w:tc>
          <w:tcPr>
            <w:tcW w:w="280" w:type="dxa"/>
            <w:vAlign w:val="bottom"/>
          </w:tcPr>
          <w:p>
            <w:pPr>
              <w:spacing w:after="0"/>
              <w:rPr>
                <w:sz w:val="20"/>
                <w:szCs w:val="20"/>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3300" w:type="dxa"/>
            <w:vAlign w:val="bottom"/>
            <w:gridSpan w:val="6"/>
          </w:tcPr>
          <w:p>
            <w:pPr>
              <w:ind w:left="340"/>
              <w:spacing w:after="0"/>
              <w:rPr>
                <w:sz w:val="20"/>
                <w:szCs w:val="20"/>
                <w:color w:val="auto"/>
              </w:rPr>
            </w:pPr>
            <w:r>
              <w:rPr>
                <w:rFonts w:ascii="Arial" w:cs="Arial" w:eastAsia="Arial" w:hAnsi="Arial"/>
                <w:sz w:val="14"/>
                <w:szCs w:val="14"/>
                <w:b w:val="1"/>
                <w:bCs w:val="1"/>
                <w:color w:val="auto"/>
              </w:rPr>
              <w:t>For the Three Months Ended June 30,</w:t>
            </w:r>
          </w:p>
        </w:tc>
        <w:tc>
          <w:tcPr>
            <w:tcW w:w="300" w:type="dxa"/>
            <w:vAlign w:val="bottom"/>
          </w:tcPr>
          <w:p>
            <w:pPr>
              <w:spacing w:after="0"/>
              <w:rPr>
                <w:sz w:val="14"/>
                <w:szCs w:val="14"/>
                <w:color w:val="auto"/>
              </w:rPr>
            </w:pPr>
          </w:p>
        </w:tc>
        <w:tc>
          <w:tcPr>
            <w:tcW w:w="2820" w:type="dxa"/>
            <w:vAlign w:val="bottom"/>
            <w:gridSpan w:val="5"/>
          </w:tcPr>
          <w:p>
            <w:pPr>
              <w:ind w:left="120"/>
              <w:spacing w:after="0"/>
              <w:rPr>
                <w:sz w:val="20"/>
                <w:szCs w:val="20"/>
                <w:color w:val="auto"/>
              </w:rPr>
            </w:pPr>
            <w:r>
              <w:rPr>
                <w:rFonts w:ascii="Arial" w:cs="Arial" w:eastAsia="Arial" w:hAnsi="Arial"/>
                <w:sz w:val="14"/>
                <w:szCs w:val="14"/>
                <w:b w:val="1"/>
                <w:bCs w:val="1"/>
                <w:color w:val="auto"/>
              </w:rPr>
              <w:t>For the Six Months Ended June 30,</w:t>
            </w:r>
          </w:p>
        </w:tc>
      </w:tr>
      <w:tr>
        <w:trPr>
          <w:trHeight w:val="142"/>
        </w:trPr>
        <w:tc>
          <w:tcPr>
            <w:tcW w:w="500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jc w:val="right"/>
              <w:ind w:right="657"/>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402</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243</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902</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r>
      <w:tr>
        <w:trPr>
          <w:trHeight w:val="202"/>
        </w:trPr>
        <w:tc>
          <w:tcPr>
            <w:tcW w:w="5000" w:type="dxa"/>
            <w:vAlign w:val="bottom"/>
          </w:tcPr>
          <w:p>
            <w:pPr>
              <w:ind w:left="180"/>
              <w:spacing w:after="0" w:line="201" w:lineRule="exact"/>
              <w:rPr>
                <w:sz w:val="20"/>
                <w:szCs w:val="20"/>
                <w:color w:val="auto"/>
              </w:rPr>
            </w:pPr>
            <w:r>
              <w:rPr>
                <w:rFonts w:ascii="Arial" w:cs="Arial" w:eastAsia="Arial" w:hAnsi="Arial"/>
                <w:sz w:val="18"/>
                <w:szCs w:val="18"/>
                <w:color w:val="auto"/>
                <w:w w:val="98"/>
              </w:rPr>
              <w:t>Unrealized gains (losses) on forward contracts designated as</w:t>
            </w: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18"/>
                <w:szCs w:val="18"/>
                <w:color w:val="auto"/>
              </w:rPr>
              <w:t>hedges, net of tax</w:t>
            </w:r>
          </w:p>
        </w:tc>
        <w:tc>
          <w:tcPr>
            <w:tcW w:w="920" w:type="dxa"/>
            <w:vAlign w:val="bottom"/>
          </w:tcPr>
          <w:p>
            <w:pPr>
              <w:spacing w:after="0"/>
              <w:rPr>
                <w:sz w:val="20"/>
                <w:szCs w:val="20"/>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gains on investments, net of tax</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Realized gain on investments, net of tax</w:t>
            </w:r>
          </w:p>
        </w:tc>
        <w:tc>
          <w:tcPr>
            <w:tcW w:w="920" w:type="dxa"/>
            <w:vAlign w:val="bottom"/>
          </w:tcPr>
          <w:p>
            <w:pPr>
              <w:spacing w:after="0"/>
              <w:rPr>
                <w:sz w:val="18"/>
                <w:szCs w:val="18"/>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income (loss)</w:t>
            </w:r>
          </w:p>
        </w:tc>
        <w:tc>
          <w:tcPr>
            <w:tcW w:w="920" w:type="dxa"/>
            <w:vAlign w:val="bottom"/>
            <w:tcBorders>
              <w:top w:val="single" w:sz="8" w:color="auto"/>
              <w:bottom w:val="single" w:sz="8" w:color="auto"/>
            </w:tcBorders>
            <w:shd w:val="clear" w:color="auto" w:fill="CCEEFF"/>
          </w:tcPr>
          <w:p>
            <w:pPr>
              <w:jc w:val="right"/>
              <w:ind w:right="657"/>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000" w:type="dxa"/>
            <w:vAlign w:val="bottom"/>
          </w:tcPr>
          <w:p>
            <w:pPr>
              <w:spacing w:after="0"/>
              <w:rPr>
                <w:sz w:val="20"/>
                <w:szCs w:val="20"/>
                <w:color w:val="auto"/>
              </w:rPr>
            </w:pPr>
            <w:r>
              <w:rPr>
                <w:rFonts w:ascii="Arial" w:cs="Arial" w:eastAsia="Arial" w:hAnsi="Arial"/>
                <w:sz w:val="18"/>
                <w:szCs w:val="18"/>
                <w:color w:val="auto"/>
              </w:rPr>
              <w:t>Comprehensive income</w:t>
            </w:r>
          </w:p>
        </w:tc>
        <w:tc>
          <w:tcPr>
            <w:tcW w:w="920" w:type="dxa"/>
            <w:vAlign w:val="bottom"/>
            <w:tcBorders>
              <w:bottom w:val="single" w:sz="8" w:color="auto"/>
            </w:tcBorders>
          </w:tcPr>
          <w:p>
            <w:pPr>
              <w:jc w:val="right"/>
              <w:ind w:right="657"/>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446</w:t>
            </w:r>
          </w:p>
        </w:tc>
        <w:tc>
          <w:tcPr>
            <w:tcW w:w="300" w:type="dxa"/>
            <w:vAlign w:val="bottom"/>
          </w:tcPr>
          <w:p>
            <w:pPr>
              <w:spacing w:after="0"/>
              <w:rPr>
                <w:sz w:val="18"/>
                <w:szCs w:val="18"/>
                <w:color w:val="auto"/>
              </w:rPr>
            </w:pP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228</w:t>
            </w:r>
          </w:p>
        </w:tc>
        <w:tc>
          <w:tcPr>
            <w:tcW w:w="280" w:type="dxa"/>
            <w:vAlign w:val="bottom"/>
          </w:tcPr>
          <w:p>
            <w:pPr>
              <w:spacing w:after="0"/>
              <w:rPr>
                <w:sz w:val="18"/>
                <w:szCs w:val="18"/>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932</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w:t>
      </w:r>
    </w:p>
    <w:p>
      <w:pPr>
        <w:sectPr>
          <w:pgSz w:w="11900" w:h="16838" w:orient="portrait"/>
          <w:cols w:equalWidth="0" w:num="1">
            <w:col w:w="11420"/>
          </w:cols>
          <w:pgMar w:left="240" w:top="125" w:right="239" w:bottom="0" w:gutter="0" w:footer="0" w:header="0"/>
        </w:sectPr>
      </w:pPr>
    </w:p>
    <w:bookmarkStart w:id="4" w:name="page5"/>
    <w:bookmarkEnd w:id="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3120" w:type="dxa"/>
            <w:vAlign w:val="bottom"/>
            <w:gridSpan w:val="6"/>
          </w:tcPr>
          <w:p>
            <w:pPr>
              <w:ind w:left="42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8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840" w:type="dxa"/>
            <w:vAlign w:val="bottom"/>
          </w:tcPr>
          <w:p>
            <w:pPr>
              <w:jc w:val="right"/>
              <w:ind w:right="579"/>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902</w:t>
            </w:r>
          </w:p>
        </w:tc>
        <w:tc>
          <w:tcPr>
            <w:tcW w:w="280" w:type="dxa"/>
            <w:vAlign w:val="bottom"/>
          </w:tcPr>
          <w:p>
            <w:pPr>
              <w:spacing w:after="0"/>
              <w:rPr>
                <w:sz w:val="18"/>
                <w:szCs w:val="18"/>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84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60"/>
              <w:spacing w:after="0"/>
              <w:rPr>
                <w:sz w:val="20"/>
                <w:szCs w:val="20"/>
                <w:color w:val="auto"/>
              </w:rPr>
            </w:pPr>
            <w:r>
              <w:rPr>
                <w:rFonts w:ascii="Arial" w:cs="Arial" w:eastAsia="Arial" w:hAnsi="Arial"/>
                <w:sz w:val="18"/>
                <w:szCs w:val="18"/>
                <w:color w:val="auto"/>
              </w:rPr>
              <w:t>Amortization of capitalized software development costs and intellectual property licenses (1)</w:t>
            </w:r>
          </w:p>
        </w:tc>
        <w:tc>
          <w:tcPr>
            <w:tcW w:w="84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Amortization of debt discount, financing costs, and non-cash write-off due to extinguishment of debts</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Share-based compensation expense (2)</w:t>
            </w:r>
          </w:p>
        </w:tc>
        <w:tc>
          <w:tcPr>
            <w:tcW w:w="84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511</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84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Software development and intellectual property licenses</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84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revenues</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(157)</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liabilities</w:t>
            </w:r>
          </w:p>
        </w:tc>
        <w:tc>
          <w:tcPr>
            <w:tcW w:w="8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538</w:t>
            </w:r>
          </w:p>
        </w:tc>
        <w:tc>
          <w:tcPr>
            <w:tcW w:w="2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676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available-for-sale investments</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investing activities</w:t>
            </w:r>
          </w:p>
        </w:tc>
        <w:tc>
          <w:tcPr>
            <w:tcW w:w="8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used in investing activities</w:t>
            </w: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common stock to employees</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Tax payment related to net share settlements on restricted stock units</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Proceeds from debt issuances, net of discounts</w:t>
            </w:r>
          </w:p>
        </w:tc>
        <w:tc>
          <w:tcPr>
            <w:tcW w:w="84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3,741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long-term debt</w:t>
            </w: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Other financing activities</w:t>
            </w:r>
          </w:p>
        </w:tc>
        <w:tc>
          <w:tcPr>
            <w:tcW w:w="84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used in financing activities</w:t>
            </w: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 and restricted cash</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and restricted cash at beginning of period</w:t>
            </w: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4,720</w:t>
            </w:r>
          </w:p>
        </w:tc>
        <w:tc>
          <w:tcPr>
            <w:tcW w:w="2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3,262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and restricted cash at end of period</w:t>
            </w:r>
          </w:p>
        </w:tc>
        <w:tc>
          <w:tcPr>
            <w:tcW w:w="84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4,865</w:t>
            </w:r>
          </w:p>
        </w:tc>
        <w:tc>
          <w:tcPr>
            <w:tcW w:w="2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3,288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Excludes deferral and amortization of share-based compensation expense.</w:t>
      </w:r>
    </w:p>
    <w:p>
      <w:pPr>
        <w:spacing w:after="0" w:line="23" w:lineRule="exact"/>
        <w:rPr>
          <w:rFonts w:ascii="Arial" w:cs="Arial" w:eastAsia="Arial" w:hAnsi="Arial"/>
          <w:sz w:val="18"/>
          <w:szCs w:val="18"/>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the net effects of capitalization, deferral, and amortization of share-based compensation expense.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and shares in millions,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Additional</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2180" w:type="dxa"/>
            <w:vAlign w:val="bottom"/>
            <w:gridSpan w:val="5"/>
            <w:vMerge w:val="restart"/>
          </w:tcPr>
          <w:p>
            <w:pPr>
              <w:ind w:left="520"/>
              <w:spacing w:after="0"/>
              <w:rPr>
                <w:sz w:val="20"/>
                <w:szCs w:val="20"/>
                <w:color w:val="auto"/>
              </w:rPr>
            </w:pPr>
            <w:r>
              <w:rPr>
                <w:rFonts w:ascii="Arial" w:cs="Arial" w:eastAsia="Arial" w:hAnsi="Arial"/>
                <w:sz w:val="14"/>
                <w:szCs w:val="14"/>
                <w:b w:val="1"/>
                <w:bCs w:val="1"/>
                <w:color w:val="auto"/>
              </w:rPr>
              <w:t>Common Stock</w:t>
            </w:r>
          </w:p>
        </w:tc>
        <w:tc>
          <w:tcPr>
            <w:tcW w:w="2160" w:type="dxa"/>
            <w:vAlign w:val="bottom"/>
            <w:gridSpan w:val="4"/>
            <w:vMerge w:val="restart"/>
          </w:tcPr>
          <w:p>
            <w:pPr>
              <w:ind w:left="540"/>
              <w:spacing w:after="0"/>
              <w:rPr>
                <w:sz w:val="20"/>
                <w:szCs w:val="20"/>
                <w:color w:val="auto"/>
              </w:rPr>
            </w:pPr>
            <w:r>
              <w:rPr>
                <w:rFonts w:ascii="Arial" w:cs="Arial" w:eastAsia="Arial" w:hAnsi="Arial"/>
                <w:sz w:val="14"/>
                <w:szCs w:val="14"/>
                <w:b w:val="1"/>
                <w:bCs w:val="1"/>
                <w:color w:val="auto"/>
              </w:rPr>
              <w:t>Treasury Stock</w:t>
            </w:r>
          </w:p>
        </w:tc>
        <w:tc>
          <w:tcPr>
            <w:tcW w:w="1080" w:type="dxa"/>
            <w:vAlign w:val="bottom"/>
            <w:gridSpan w:val="2"/>
            <w:vMerge w:val="continue"/>
          </w:tcPr>
          <w:p>
            <w:pPr>
              <w:spacing w:after="0"/>
              <w:rPr>
                <w:sz w:val="12"/>
                <w:szCs w:val="12"/>
                <w:color w:val="auto"/>
              </w:rPr>
            </w:pPr>
          </w:p>
        </w:tc>
        <w:tc>
          <w:tcPr>
            <w:tcW w:w="90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Other</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2180" w:type="dxa"/>
            <w:vAlign w:val="bottom"/>
            <w:gridSpan w:val="5"/>
            <w:vMerge w:val="continue"/>
          </w:tcPr>
          <w:p>
            <w:pPr>
              <w:spacing w:after="0"/>
              <w:rPr>
                <w:sz w:val="14"/>
                <w:szCs w:val="14"/>
                <w:color w:val="auto"/>
              </w:rPr>
            </w:pPr>
          </w:p>
        </w:tc>
        <w:tc>
          <w:tcPr>
            <w:tcW w:w="2160" w:type="dxa"/>
            <w:vAlign w:val="bottom"/>
            <w:gridSpan w:val="4"/>
            <w:vMerge w:val="continue"/>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Paid-In</w:t>
            </w:r>
          </w:p>
        </w:tc>
        <w:tc>
          <w:tcPr>
            <w:tcW w:w="900" w:type="dxa"/>
            <w:vAlign w:val="bottom"/>
            <w:vMerge w:val="continue"/>
          </w:tcPr>
          <w:p>
            <w:pPr>
              <w:spacing w:after="0"/>
              <w:rPr>
                <w:sz w:val="14"/>
                <w:szCs w:val="14"/>
                <w:color w:val="auto"/>
              </w:rPr>
            </w:pPr>
          </w:p>
        </w:tc>
        <w:tc>
          <w:tcPr>
            <w:tcW w:w="12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Comprehensive</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Shareholders’</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100" w:type="dxa"/>
            <w:vAlign w:val="bottom"/>
            <w:tcBorders>
              <w:top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2"/>
                <w:szCs w:val="12"/>
                <w:color w:val="auto"/>
              </w:rPr>
            </w:pPr>
          </w:p>
        </w:tc>
        <w:tc>
          <w:tcPr>
            <w:tcW w:w="1100" w:type="dxa"/>
            <w:vAlign w:val="bottom"/>
            <w:tcBorders>
              <w:top w:val="single" w:sz="8" w:color="auto"/>
            </w:tcBorders>
            <w:gridSpan w:val="2"/>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90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4"/>
              </w:rPr>
              <w:t>Capital</w:t>
            </w:r>
          </w:p>
        </w:tc>
        <w:tc>
          <w:tcPr>
            <w:tcW w:w="90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2"/>
                <w:szCs w:val="12"/>
                <w:color w:val="auto"/>
              </w:rPr>
            </w:pPr>
          </w:p>
        </w:tc>
        <w:tc>
          <w:tcPr>
            <w:tcW w:w="110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90"/>
              </w:rPr>
              <w:t>Income (Loss)</w:t>
            </w:r>
          </w:p>
        </w:tc>
        <w:tc>
          <w:tcPr>
            <w:tcW w:w="10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0"/>
        </w:trPr>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2017</w:t>
            </w:r>
          </w:p>
        </w:tc>
        <w:tc>
          <w:tcPr>
            <w:tcW w:w="9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1,186</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b w:val="1"/>
                <w:bCs w:val="1"/>
                <w:color w:val="auto"/>
                <w:w w:val="99"/>
              </w:rPr>
              <w:t>(429)</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  (5,563)</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  10,747</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  4,916</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(638)</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  9,462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20" w:type="dxa"/>
            <w:vAlign w:val="bottom"/>
          </w:tcPr>
          <w:p>
            <w:pPr>
              <w:spacing w:after="0" w:line="201" w:lineRule="exact"/>
              <w:rPr>
                <w:sz w:val="20"/>
                <w:szCs w:val="20"/>
                <w:color w:val="auto"/>
              </w:rPr>
            </w:pPr>
            <w:r>
              <w:rPr>
                <w:rFonts w:ascii="Arial" w:cs="Arial" w:eastAsia="Arial" w:hAnsi="Arial"/>
                <w:sz w:val="18"/>
                <w:szCs w:val="18"/>
                <w:color w:val="auto"/>
              </w:rPr>
              <w:t>Cumulative impact from adoption</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w w:val="96"/>
              </w:rPr>
              <w:t>of new revenue accounting standard</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(Note 3)</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Components of comprehensive</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w:t>
            </w: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902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Other comprehensive income</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(loss)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20" w:type="dxa"/>
            <w:vAlign w:val="bottom"/>
          </w:tcPr>
          <w:p>
            <w:pPr>
              <w:spacing w:after="0" w:line="201" w:lineRule="exact"/>
              <w:rPr>
                <w:sz w:val="20"/>
                <w:szCs w:val="20"/>
                <w:color w:val="auto"/>
              </w:rPr>
            </w:pPr>
            <w:r>
              <w:rPr>
                <w:rFonts w:ascii="Arial" w:cs="Arial" w:eastAsia="Arial" w:hAnsi="Arial"/>
                <w:sz w:val="18"/>
                <w:szCs w:val="18"/>
                <w:color w:val="auto"/>
                <w:w w:val="97"/>
              </w:rPr>
              <w:t>Issuance of common stock pursuant</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to employee stock options</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20"/>
                <w:szCs w:val="20"/>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Issuance of common stock pursuant</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to restricted stock units</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820" w:type="dxa"/>
            <w:vAlign w:val="bottom"/>
          </w:tcPr>
          <w:p>
            <w:pPr>
              <w:spacing w:after="0" w:line="201" w:lineRule="exact"/>
              <w:rPr>
                <w:sz w:val="20"/>
                <w:szCs w:val="20"/>
                <w:color w:val="auto"/>
              </w:rPr>
            </w:pPr>
            <w:r>
              <w:rPr>
                <w:rFonts w:ascii="Arial" w:cs="Arial" w:eastAsia="Arial" w:hAnsi="Arial"/>
                <w:sz w:val="18"/>
                <w:szCs w:val="18"/>
                <w:color w:val="auto"/>
              </w:rPr>
              <w:t>Restricted stock surrendered for</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employees’ tax liability</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20"/>
                <w:szCs w:val="20"/>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w w:val="95"/>
              </w:rPr>
              <w:t>Share-based compensation expense</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282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33"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related to employee stock options</w:t>
            </w: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and restricted stock units</w:t>
            </w: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Dividends ($0.34 per common</w:t>
            </w: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2"/>
        </w:trPr>
        <w:tc>
          <w:tcPr>
            <w:tcW w:w="2820" w:type="dxa"/>
            <w:vAlign w:val="bottom"/>
          </w:tcPr>
          <w:p>
            <w:pPr>
              <w:ind w:left="180"/>
              <w:spacing w:after="0"/>
              <w:rPr>
                <w:sz w:val="20"/>
                <w:szCs w:val="20"/>
                <w:color w:val="auto"/>
              </w:rPr>
            </w:pPr>
            <w:r>
              <w:rPr>
                <w:rFonts w:ascii="Arial" w:cs="Arial" w:eastAsia="Arial" w:hAnsi="Arial"/>
                <w:sz w:val="18"/>
                <w:szCs w:val="18"/>
                <w:color w:val="auto"/>
              </w:rPr>
              <w:t>share)</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(259)</w:t>
            </w:r>
          </w:p>
        </w:tc>
        <w:tc>
          <w:tcPr>
            <w:tcW w:w="400" w:type="dxa"/>
            <w:vAlign w:val="bottom"/>
          </w:tcPr>
          <w:p>
            <w:pPr>
              <w:spacing w:after="0"/>
              <w:rPr>
                <w:sz w:val="18"/>
                <w:szCs w:val="18"/>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48"/>
        </w:trPr>
        <w:tc>
          <w:tcPr>
            <w:tcW w:w="2820" w:type="dxa"/>
            <w:vAlign w:val="bottom"/>
          </w:tcPr>
          <w:p>
            <w:pPr>
              <w:spacing w:after="0"/>
              <w:rPr>
                <w:sz w:val="20"/>
                <w:szCs w:val="20"/>
                <w:color w:val="auto"/>
              </w:rPr>
            </w:pPr>
            <w:r>
              <w:rPr>
                <w:rFonts w:ascii="Arial" w:cs="Arial" w:eastAsia="Arial" w:hAnsi="Arial"/>
                <w:sz w:val="18"/>
                <w:szCs w:val="18"/>
                <w:b w:val="1"/>
                <w:bCs w:val="1"/>
                <w:color w:val="auto"/>
              </w:rPr>
              <w:t>Balance at June 30, 2018</w:t>
            </w: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1,191</w:t>
            </w:r>
          </w:p>
        </w:tc>
        <w:tc>
          <w:tcPr>
            <w:tcW w:w="5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(429)</w:t>
            </w: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u w:val="single" w:color="auto"/>
                <w:color w:val="auto"/>
              </w:rPr>
              <w:t>$  (5,563)</w:t>
            </w: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rPr>
              <w:t>$  10,867</w:t>
            </w:r>
          </w:p>
        </w:tc>
        <w:tc>
          <w:tcPr>
            <w:tcW w:w="1100" w:type="dxa"/>
            <w:vAlign w:val="bottom"/>
          </w:tcPr>
          <w:p>
            <w:pPr>
              <w:jc w:val="right"/>
              <w:ind w:right="110"/>
              <w:spacing w:after="0"/>
              <w:rPr>
                <w:sz w:val="20"/>
                <w:szCs w:val="20"/>
                <w:color w:val="auto"/>
              </w:rPr>
            </w:pPr>
            <w:r>
              <w:rPr>
                <w:rFonts w:ascii="Arial" w:cs="Arial" w:eastAsia="Arial" w:hAnsi="Arial"/>
                <w:sz w:val="18"/>
                <w:szCs w:val="18"/>
                <w:b w:val="1"/>
                <w:bCs w:val="1"/>
                <w:color w:val="auto"/>
              </w:rPr>
              <w:t>$  5,647</w:t>
            </w:r>
          </w:p>
        </w:tc>
        <w:tc>
          <w:tcPr>
            <w:tcW w:w="400" w:type="dxa"/>
            <w:vAlign w:val="bottom"/>
          </w:tcPr>
          <w:p>
            <w:pPr>
              <w:jc w:val="right"/>
              <w:ind w:right="70"/>
              <w:spacing w:after="0"/>
              <w:rPr>
                <w:sz w:val="20"/>
                <w:szCs w:val="20"/>
                <w:color w:val="auto"/>
              </w:rPr>
            </w:pPr>
            <w:r>
              <w:rPr>
                <w:rFonts w:ascii="Arial" w:cs="Arial" w:eastAsia="Arial" w:hAnsi="Arial"/>
                <w:sz w:val="18"/>
                <w:szCs w:val="18"/>
                <w:b w:val="1"/>
                <w:bCs w:val="1"/>
                <w:u w:val="single" w:color="auto"/>
                <w:color w:val="auto"/>
              </w:rPr>
              <w:t>$</w:t>
            </w:r>
          </w:p>
        </w:tc>
        <w:tc>
          <w:tcPr>
            <w:tcW w:w="700" w:type="dxa"/>
            <w:vAlign w:val="bottom"/>
          </w:tcPr>
          <w:p>
            <w:pPr>
              <w:jc w:val="right"/>
              <w:ind w:right="50"/>
              <w:spacing w:after="0"/>
              <w:rPr>
                <w:sz w:val="20"/>
                <w:szCs w:val="20"/>
                <w:color w:val="auto"/>
              </w:rPr>
            </w:pPr>
            <w:r>
              <w:rPr>
                <w:rFonts w:ascii="Arial" w:cs="Arial" w:eastAsia="Arial" w:hAnsi="Arial"/>
                <w:sz w:val="18"/>
                <w:szCs w:val="18"/>
                <w:b w:val="1"/>
                <w:bCs w:val="1"/>
                <w:u w:val="single" w:color="auto"/>
                <w:color w:val="auto"/>
              </w:rPr>
              <w:t>(605)</w:t>
            </w:r>
          </w:p>
        </w:tc>
        <w:tc>
          <w:tcPr>
            <w:tcW w:w="98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rPr>
              <w:t>$   10,346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-694055</wp:posOffset>
            </wp:positionV>
            <wp:extent cx="724662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Consolidation and Presentation</w:t>
      </w:r>
    </w:p>
    <w:p>
      <w:pPr>
        <w:spacing w:after="0" w:line="22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Activision Blizzard, Inc. is a leading global developer and publisher of interactive entertainment content and services. We develop and distribute content and services on video game consoles, personal computers (“PC”), and mobile devices. We also operate esports events and leagues and create film and television content based on our intellectual property. The terms “Activision Blizzard,” the “Company,” “we,” “us,” and “our” are used to refer collectively to Activision Blizzard, Inc. and its subsidiaries.</w:t>
      </w:r>
    </w:p>
    <w:p>
      <w:pPr>
        <w:spacing w:after="0" w:line="187"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The Company was originally incorporated in California in 1979 and was reincorporated in Delaware in December 1992. In connection with the 2008 business combination by and among the Company (then known as Activision, Inc.), Vivendi S.A. (“Vivendi”), and Vivendi Games, Inc., then an indirect wholly-owned subsidiary of Vivendi, we were renamed Activision Blizzard, Inc.</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common stock of Activision Blizzard is traded on The Nasdaq Stock Market under the ticker symbol “ATVI.”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Segments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Based upon our organizational structure, we conduct our business through three reportable segments,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 Activision Publishing, Inc.</w:t>
      </w:r>
    </w:p>
    <w:p>
      <w:pPr>
        <w:spacing w:after="0" w:line="225"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Activision Publishing, Inc. (“Activision”) is a leading global developer and publisher of interactive software products and entertainment content, particularly for the console platform. Activision primarily delivers content through retail and digital channels, including full-game and in-game sales, as well as by licensing software to third-party or related-party companies that distribute Activision products. Activision develops, markets, and sells products based on our internally developed intellectual properties, as well as some licensed properties. We have also established a long-term alliance with Bungie to publish its game universe, Destiny.</w:t>
      </w:r>
    </w:p>
    <w:p>
      <w:pPr>
        <w:spacing w:after="0" w:line="188" w:lineRule="exact"/>
        <w:rPr>
          <w:sz w:val="20"/>
          <w:szCs w:val="20"/>
          <w:color w:val="auto"/>
        </w:rPr>
      </w:pPr>
    </w:p>
    <w:p>
      <w:pPr>
        <w:ind w:right="200" w:firstLine="405"/>
        <w:spacing w:after="0" w:line="227" w:lineRule="auto"/>
        <w:rPr>
          <w:sz w:val="20"/>
          <w:szCs w:val="20"/>
          <w:color w:val="auto"/>
        </w:rPr>
      </w:pPr>
      <w:r>
        <w:rPr>
          <w:rFonts w:ascii="Arial" w:cs="Arial" w:eastAsia="Arial" w:hAnsi="Arial"/>
          <w:sz w:val="18"/>
          <w:szCs w:val="18"/>
          <w:color w:val="auto"/>
        </w:rPr>
        <w:t>Activision’s key product franchises include: Call of Duty</w:t>
      </w:r>
      <w:r>
        <w:rPr>
          <w:rFonts w:ascii="Arial" w:cs="Arial" w:eastAsia="Arial" w:hAnsi="Arial"/>
          <w:sz w:val="23"/>
          <w:szCs w:val="23"/>
          <w:color w:val="auto"/>
          <w:vertAlign w:val="superscript"/>
        </w:rPr>
        <w:t>®</w:t>
      </w:r>
      <w:r>
        <w:rPr>
          <w:rFonts w:ascii="Arial" w:cs="Arial" w:eastAsia="Arial" w:hAnsi="Arial"/>
          <w:sz w:val="18"/>
          <w:szCs w:val="18"/>
          <w:color w:val="auto"/>
        </w:rPr>
        <w:t>, a first-person shooter for the console and PC platforms; and Destiny, an online universe of first-person action gameplay (which we call a “shared-world shooter”) for the console and PC platforms.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(ii) Blizzard Entertainment, Inc.</w:t>
      </w:r>
    </w:p>
    <w:p>
      <w:pPr>
        <w:spacing w:after="0" w:line="225" w:lineRule="exact"/>
        <w:rPr>
          <w:sz w:val="20"/>
          <w:szCs w:val="20"/>
          <w:color w:val="auto"/>
        </w:rPr>
      </w:pPr>
    </w:p>
    <w:p>
      <w:pPr>
        <w:ind w:right="20" w:firstLine="405"/>
        <w:spacing w:after="0" w:line="258" w:lineRule="auto"/>
        <w:rPr>
          <w:sz w:val="20"/>
          <w:szCs w:val="20"/>
          <w:color w:val="auto"/>
        </w:rPr>
      </w:pPr>
      <w:r>
        <w:rPr>
          <w:rFonts w:ascii="Arial" w:cs="Arial" w:eastAsia="Arial" w:hAnsi="Arial"/>
          <w:sz w:val="17"/>
          <w:szCs w:val="17"/>
          <w:color w:val="auto"/>
        </w:rPr>
        <w:t>Blizzard Entertainment, Inc. (“Blizzard”) is a leading global developer and publisher of interactive software products and entertainment content, particularly for the PC platform. Blizzard primarily delivers content through retail and digital channels, including subscriptions, full-game, and in-game sales, as well as by licensing software to third-party or related-party companies that distribute Blizzard products. Blizzard also maintains a proprietary online gaming service, Blizzard Battle.net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which facilitates digital distribution of Blizzard content, along with Activision’s </w:t>
      </w:r>
      <w:r>
        <w:rPr>
          <w:rFonts w:ascii="Arial" w:cs="Arial" w:eastAsia="Arial" w:hAnsi="Arial"/>
          <w:sz w:val="17"/>
          <w:szCs w:val="17"/>
          <w:i w:val="1"/>
          <w:iCs w:val="1"/>
          <w:color w:val="auto"/>
        </w:rPr>
        <w:t>Destiny 2</w:t>
      </w:r>
      <w:r>
        <w:rPr>
          <w:rFonts w:ascii="Arial" w:cs="Arial" w:eastAsia="Arial" w:hAnsi="Arial"/>
          <w:sz w:val="17"/>
          <w:szCs w:val="17"/>
          <w:color w:val="auto"/>
        </w:rPr>
        <w:t xml:space="preserve"> PC content, online social connectivity, and the creation of user-generated content. Blizzard also includes the activities of our Major League Gaming (“MLG”) business, which is responsible for various esports events, and serves as a multi-platform network for Activision Blizzard esports content.</w:t>
      </w:r>
    </w:p>
    <w:p>
      <w:pPr>
        <w:spacing w:after="0" w:line="190" w:lineRule="exact"/>
        <w:rPr>
          <w:sz w:val="20"/>
          <w:szCs w:val="20"/>
          <w:color w:val="auto"/>
        </w:rPr>
      </w:pPr>
    </w:p>
    <w:p>
      <w:pPr>
        <w:ind w:right="40" w:firstLine="405"/>
        <w:spacing w:after="0" w:line="199" w:lineRule="auto"/>
        <w:rPr>
          <w:sz w:val="20"/>
          <w:szCs w:val="20"/>
          <w:color w:val="auto"/>
        </w:rPr>
      </w:pPr>
      <w:r>
        <w:rPr>
          <w:rFonts w:ascii="Arial" w:cs="Arial" w:eastAsia="Arial" w:hAnsi="Arial"/>
          <w:sz w:val="18"/>
          <w:szCs w:val="18"/>
          <w:color w:val="auto"/>
        </w:rPr>
        <w:t>Blizzard’s key product franchises include: World of Warcraft</w:t>
      </w:r>
      <w:r>
        <w:rPr>
          <w:rFonts w:ascii="Arial" w:cs="Arial" w:eastAsia="Arial" w:hAnsi="Arial"/>
          <w:sz w:val="23"/>
          <w:szCs w:val="23"/>
          <w:color w:val="auto"/>
          <w:vertAlign w:val="superscript"/>
        </w:rPr>
        <w:t>®</w:t>
      </w:r>
      <w:r>
        <w:rPr>
          <w:rFonts w:ascii="Arial" w:cs="Arial" w:eastAsia="Arial" w:hAnsi="Arial"/>
          <w:sz w:val="18"/>
          <w:szCs w:val="18"/>
          <w:color w:val="auto"/>
        </w:rPr>
        <w:t>, a subscription-based massive multi-player online role-playing game for the PC platform; StarCraft</w:t>
      </w:r>
      <w:r>
        <w:rPr>
          <w:rFonts w:ascii="Arial" w:cs="Arial" w:eastAsia="Arial" w:hAnsi="Arial"/>
          <w:sz w:val="23"/>
          <w:szCs w:val="23"/>
          <w:color w:val="auto"/>
          <w:vertAlign w:val="superscript"/>
        </w:rPr>
        <w:t>®</w:t>
      </w:r>
      <w:r>
        <w:rPr>
          <w:rFonts w:ascii="Arial" w:cs="Arial" w:eastAsia="Arial" w:hAnsi="Arial"/>
          <w:sz w:val="18"/>
          <w:szCs w:val="18"/>
          <w:color w:val="auto"/>
        </w:rPr>
        <w:t>, a real-time strategy franchise for the PC platform; Diablo</w:t>
      </w:r>
      <w:r>
        <w:rPr>
          <w:rFonts w:ascii="Arial" w:cs="Arial" w:eastAsia="Arial" w:hAnsi="Arial"/>
          <w:sz w:val="23"/>
          <w:szCs w:val="23"/>
          <w:color w:val="auto"/>
          <w:vertAlign w:val="superscript"/>
        </w:rPr>
        <w:t>®</w:t>
      </w:r>
      <w:r>
        <w:rPr>
          <w:rFonts w:ascii="Arial" w:cs="Arial" w:eastAsia="Arial" w:hAnsi="Arial"/>
          <w:sz w:val="18"/>
          <w:szCs w:val="18"/>
          <w:color w:val="auto"/>
        </w:rPr>
        <w:t>, an action role-playing franchise for the PC and console platforms; Hearthstone</w:t>
      </w:r>
      <w:r>
        <w:rPr>
          <w:rFonts w:ascii="Arial" w:cs="Arial" w:eastAsia="Arial" w:hAnsi="Arial"/>
          <w:sz w:val="23"/>
          <w:szCs w:val="23"/>
          <w:color w:val="auto"/>
          <w:vertAlign w:val="superscript"/>
        </w:rPr>
        <w:t>®</w:t>
      </w:r>
      <w:r>
        <w:rPr>
          <w:rFonts w:ascii="Arial" w:cs="Arial" w:eastAsia="Arial" w:hAnsi="Arial"/>
          <w:sz w:val="18"/>
          <w:szCs w:val="18"/>
          <w:color w:val="auto"/>
        </w:rPr>
        <w:t>, an online collectible card franchise for the PC and mobile platforms; Heroes of the Storm</w:t>
      </w:r>
      <w:r>
        <w:rPr>
          <w:rFonts w:ascii="Arial" w:cs="Arial" w:eastAsia="Arial" w:hAnsi="Arial"/>
          <w:sz w:val="23"/>
          <w:szCs w:val="23"/>
          <w:color w:val="auto"/>
          <w:vertAlign w:val="superscript"/>
        </w:rPr>
        <w:t>®</w:t>
      </w:r>
      <w:r>
        <w:rPr>
          <w:rFonts w:ascii="Arial" w:cs="Arial" w:eastAsia="Arial" w:hAnsi="Arial"/>
          <w:sz w:val="18"/>
          <w:szCs w:val="18"/>
          <w:color w:val="auto"/>
        </w:rPr>
        <w:t>, a free-to-play team brawler for the PC platform; and Overwatch</w:t>
      </w:r>
      <w:r>
        <w:rPr>
          <w:rFonts w:ascii="Arial" w:cs="Arial" w:eastAsia="Arial" w:hAnsi="Arial"/>
          <w:sz w:val="23"/>
          <w:szCs w:val="23"/>
          <w:color w:val="auto"/>
          <w:vertAlign w:val="superscript"/>
        </w:rPr>
        <w:t>®</w:t>
      </w:r>
      <w:r>
        <w:rPr>
          <w:rFonts w:ascii="Arial" w:cs="Arial" w:eastAsia="Arial" w:hAnsi="Arial"/>
          <w:sz w:val="18"/>
          <w:szCs w:val="18"/>
          <w:color w:val="auto"/>
        </w:rPr>
        <w:t>, a team-based first-person shooter for the PC and console platforms.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(iii) King Digital Entertainment</w:t>
      </w:r>
    </w:p>
    <w:p>
      <w:pPr>
        <w:spacing w:after="0" w:line="225" w:lineRule="exact"/>
        <w:rPr>
          <w:sz w:val="20"/>
          <w:szCs w:val="20"/>
          <w:color w:val="auto"/>
        </w:rPr>
      </w:pPr>
    </w:p>
    <w:p>
      <w:pPr>
        <w:ind w:right="520" w:firstLine="405"/>
        <w:spacing w:after="0" w:line="291" w:lineRule="auto"/>
        <w:rPr>
          <w:sz w:val="20"/>
          <w:szCs w:val="20"/>
          <w:color w:val="auto"/>
        </w:rPr>
      </w:pPr>
      <w:r>
        <w:rPr>
          <w:rFonts w:ascii="Arial" w:cs="Arial" w:eastAsia="Arial" w:hAnsi="Arial"/>
          <w:sz w:val="16"/>
          <w:szCs w:val="16"/>
          <w:color w:val="auto"/>
        </w:rPr>
        <w:t>King Digital Entertainment (“King”) is a leading global developer and publisher of interactive entertainment content and services, particularly on mobile platforms, such as Google Inc.’s (“Google”) Android and Apple Inc.’s (“Apple”) iOS. King also distributes its content and services on the</w:t>
      </w:r>
    </w:p>
    <w:p>
      <w:pPr>
        <w:ind w:right="20"/>
        <w:spacing w:after="0" w:line="261" w:lineRule="auto"/>
        <w:rPr>
          <w:sz w:val="20"/>
          <w:szCs w:val="20"/>
          <w:color w:val="auto"/>
        </w:rPr>
      </w:pPr>
      <w:r>
        <w:rPr>
          <w:rFonts w:ascii="Arial" w:cs="Arial" w:eastAsia="Arial" w:hAnsi="Arial"/>
          <w:sz w:val="18"/>
          <w:szCs w:val="18"/>
          <w:color w:val="auto"/>
        </w:rPr>
        <w:t>PC platform, primarily via Facebook. King’s games are free to play, however, players can acquire in-game items, either with virtual currency or directly using real currency.</w:t>
      </w:r>
    </w:p>
    <w:p>
      <w:pPr>
        <w:spacing w:after="0" w:line="184"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King’s key product franchises, all of which are for the mobile and PC platforms, include: Candy Crush™, which features “match three” games; Farm Heroes™, which also features “match three” games; and Bubble Witch™, which features “bubble shooter” games.</w:t>
      </w:r>
    </w:p>
    <w:p>
      <w:pPr>
        <w:sectPr>
          <w:pgSz w:w="11900" w:h="16838" w:orient="portrait"/>
          <w:cols w:equalWidth="0" w:num="1">
            <w:col w:w="11400"/>
          </w:cols>
          <w:pgMar w:left="240" w:top="125" w:right="259" w:bottom="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w:t>
      </w:r>
    </w:p>
    <w:p>
      <w:pPr>
        <w:sectPr>
          <w:pgSz w:w="11900" w:h="16838" w:orient="portrait"/>
          <w:cols w:equalWidth="0" w:num="1">
            <w:col w:w="11400"/>
          </w:cols>
          <w:pgMar w:left="240" w:top="125" w:right="259" w:bottom="0" w:gutter="0" w:footer="0" w:header="0"/>
          <w:type w:val="continuous"/>
        </w:sectPr>
      </w:pPr>
    </w:p>
    <w:bookmarkStart w:id="6" w:name="page7"/>
    <w:bookmarkEnd w:id="6"/>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also engage in other businesses that do not represent reportable segments, including:</w:t>
      </w:r>
    </w:p>
    <w:p>
      <w:pPr>
        <w:spacing w:after="0" w:line="225" w:lineRule="exact"/>
        <w:rPr>
          <w:sz w:val="20"/>
          <w:szCs w:val="20"/>
          <w:color w:val="auto"/>
        </w:rPr>
      </w:pPr>
    </w:p>
    <w:p>
      <w:pPr>
        <w:jc w:val="both"/>
        <w:ind w:left="980" w:right="300" w:hanging="324"/>
        <w:spacing w:after="0" w:line="264"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Activision Blizzard Studios (“Studios”) business, which is devoted to creating original film and television content based on our library of globally recognized intellectual properties, and which, in October 2017, released the second season of the animated TV series </w:t>
      </w:r>
      <w:r>
        <w:rPr>
          <w:rFonts w:ascii="Arial" w:cs="Arial" w:eastAsia="Arial" w:hAnsi="Arial"/>
          <w:sz w:val="18"/>
          <w:szCs w:val="18"/>
          <w:i w:val="1"/>
          <w:iCs w:val="1"/>
          <w:color w:val="auto"/>
        </w:rPr>
        <w:t>Skylanders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Academy </w:t>
      </w:r>
      <w:r>
        <w:rPr>
          <w:rFonts w:ascii="Arial" w:cs="Arial" w:eastAsia="Arial" w:hAnsi="Arial"/>
          <w:sz w:val="18"/>
          <w:szCs w:val="18"/>
          <w:color w:val="auto"/>
        </w:rPr>
        <w:t>on Netflix; and</w:t>
      </w:r>
    </w:p>
    <w:p>
      <w:pPr>
        <w:spacing w:after="0" w:line="181" w:lineRule="exact"/>
        <w:rPr>
          <w:rFonts w:ascii="Arial" w:cs="Arial" w:eastAsia="Arial" w:hAnsi="Arial"/>
          <w:sz w:val="18"/>
          <w:szCs w:val="18"/>
          <w:color w:val="auto"/>
        </w:rPr>
      </w:pPr>
    </w:p>
    <w:p>
      <w:pPr>
        <w:jc w:val="both"/>
        <w:ind w:left="980" w:right="180" w:hanging="324"/>
        <w:spacing w:after="0" w:line="264"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Activision Blizzard Distribution (“Distribution”) business, which consists of operations in Europe that provide warehousing, logistics, and sales distribution services to third-party publishers of interactive entertainment software, our own publishing operations, and manufacturers of interactive entertainment hardware.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right="140" w:firstLine="405"/>
        <w:spacing w:after="0" w:line="272"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rules and regulations of the Securities and Exchange Commission (the “SEC”) and accounting principles generally accepted in the United States of America (“U.S. GAAP”) for interim reporting. Accordingly, certain notes or other information that are normally required by U.S. GAAP have been condensed or omitted if they substantially duplicate the disclosures contained in our annual audited consolidated financial statements. The year-end condensed consolidated balance sheet data was derived from audited financial statements but does not include all disclosures required by U.S. GAAP. Accordingly, the unaudited condensed consolidated financial statements should be read in conjunction with the audited consolidated financial statements and notes thereto included in our Annual Report on Form 10-K for the year ended December 31, 2017.</w:t>
      </w:r>
    </w:p>
    <w:p>
      <w:pPr>
        <w:spacing w:after="0" w:line="178"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The preparation of the condensed consolidated financial statements in conformity with U.S. GAAP requires management to make estimates and assumptions that affect the amounts reported in the condensed consolidated financial statements and accompanying notes. In the opinion of management, all adjustments (consisting of normal recurring accruals) considered necessary for the fair statement of our financial position and results of operations in accordance with U.S. GAAP have been included in the accompanying unaudited condensed consolidated financial statements. Actual results could differ from these estimates and assumptions.</w:t>
      </w:r>
    </w:p>
    <w:p>
      <w:pPr>
        <w:spacing w:after="0" w:line="188" w:lineRule="exact"/>
        <w:rPr>
          <w:sz w:val="20"/>
          <w:szCs w:val="20"/>
          <w:color w:val="auto"/>
        </w:rPr>
      </w:pPr>
    </w:p>
    <w:p>
      <w:pPr>
        <w:ind w:right="240" w:firstLine="405"/>
        <w:spacing w:after="0" w:line="342" w:lineRule="auto"/>
        <w:rPr>
          <w:sz w:val="20"/>
          <w:szCs w:val="20"/>
          <w:color w:val="auto"/>
        </w:rPr>
      </w:pPr>
      <w:r>
        <w:rPr>
          <w:rFonts w:ascii="Arial" w:cs="Arial" w:eastAsia="Arial" w:hAnsi="Arial"/>
          <w:sz w:val="16"/>
          <w:szCs w:val="16"/>
          <w:color w:val="auto"/>
        </w:rPr>
        <w:t>The accompanying condensed consolidated financial statements include the accounts and operations of the Company. All intercompany accounts and transactions have been eliminated. Certain reclassifications have been made to prior year amounts to conform to the current period presentation.</w:t>
      </w:r>
    </w:p>
    <w:p>
      <w:pPr>
        <w:spacing w:after="0" w:line="124" w:lineRule="exact"/>
        <w:rPr>
          <w:sz w:val="20"/>
          <w:szCs w:val="20"/>
          <w:color w:val="auto"/>
        </w:rPr>
      </w:pPr>
    </w:p>
    <w:p>
      <w:pPr>
        <w:ind w:right="720" w:firstLine="405"/>
        <w:spacing w:after="0" w:line="277" w:lineRule="auto"/>
        <w:rPr>
          <w:sz w:val="20"/>
          <w:szCs w:val="20"/>
          <w:color w:val="auto"/>
        </w:rPr>
      </w:pPr>
      <w:r>
        <w:rPr>
          <w:rFonts w:ascii="Arial" w:cs="Arial" w:eastAsia="Arial" w:hAnsi="Arial"/>
          <w:sz w:val="18"/>
          <w:szCs w:val="18"/>
          <w:color w:val="auto"/>
        </w:rPr>
        <w:t>The Company considers events or transactions that occur after the balance sheet date, but before the financial statements are issued, to provide additional evidence relative to certain estimates or to identify matters that require additional disclosures.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22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For the six months ended June 30, 2018, the beginning and ending cash and cash equivalents and restricted cash reported within our condensed consolidated statement of cash flows include restricted cash of $7 million and $8 million, respectively. For the six months ended June 30, 2017, the beginning and ending cash and cash equivalents and restricted cash reported within our condensed consolidated statement of cash flows included restricted cash of $17 million and $10 million, respectively.</w:t>
      </w:r>
    </w:p>
    <w:p>
      <w:pPr>
        <w:spacing w:after="0" w:line="183"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During the six months ended June 30, 2018, there were no significant changes to our accounting policies, except for our adoption of a new revenue accounting standard as discussed below. Refer to Note 2 contained in our Annual Report on Form 10-K for the year ended December 31, 2017 for a summary of our other significant accounting policies.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Accounting Standards Codification 606: Revenue from Contracts with Customers</w:t>
      </w:r>
    </w:p>
    <w:p>
      <w:pPr>
        <w:spacing w:after="0" w:line="225" w:lineRule="exact"/>
        <w:rPr>
          <w:sz w:val="20"/>
          <w:szCs w:val="20"/>
          <w:color w:val="auto"/>
        </w:rPr>
      </w:pPr>
    </w:p>
    <w:p>
      <w:pPr>
        <w:ind w:right="180" w:firstLine="396"/>
        <w:spacing w:after="0" w:line="293" w:lineRule="auto"/>
        <w:rPr>
          <w:sz w:val="20"/>
          <w:szCs w:val="20"/>
          <w:color w:val="auto"/>
        </w:rPr>
      </w:pPr>
      <w:r>
        <w:rPr>
          <w:rFonts w:ascii="Arial" w:cs="Arial" w:eastAsia="Arial" w:hAnsi="Arial"/>
          <w:sz w:val="16"/>
          <w:szCs w:val="16"/>
          <w:color w:val="auto"/>
        </w:rPr>
        <w:t>In May 2014, the Financial Accounting Standards Board (“FASB”) issued new accounting guidance related to revenue recognition. The new standard replaces all current U.S. GAAP guidance on this topic and eliminates all industry-specific guidance, providing a unified model to determine when and how revenue is recognized. The core principle is that a company should recognize revenue upon the transfer of promised goods or services to customers in an amount that reflects the consideration to which the company expects to be entitled in exchange for those goods or services. On January 1, 2018, we adopted the new accounting standard and related amendments (collectively, the “new revenue accounting standard”). As a result, we have updated our significant accounting policy disclosure for revenue recognition herein. Refer to Note 3 for the impact of adoption on our condensed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We generate revenue primarily through the sale of our interactive entertainment content and services, principally for console, PC, and mobile devices, as well as through the licensing of our intellectual property. Our products span various genres, including first-person shooter, action/adventure, role-playing, strategy, and “match three,” among others. We primarily offer the following products and services:</w:t>
      </w:r>
    </w:p>
    <w:p>
      <w:pPr>
        <w:spacing w:after="0" w:line="181" w:lineRule="exact"/>
        <w:rPr>
          <w:sz w:val="20"/>
          <w:szCs w:val="20"/>
          <w:color w:val="auto"/>
        </w:rPr>
      </w:pPr>
    </w:p>
    <w:p>
      <w:pPr>
        <w:ind w:left="1020" w:hanging="28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full games, which typically provide access to main game content, primarily for console or PC;</w:t>
      </w:r>
    </w:p>
    <w:p>
      <w:pPr>
        <w:spacing w:after="0" w:line="225" w:lineRule="exact"/>
        <w:rPr>
          <w:rFonts w:ascii="Arial" w:cs="Arial" w:eastAsia="Arial" w:hAnsi="Arial"/>
          <w:sz w:val="18"/>
          <w:szCs w:val="18"/>
          <w:color w:val="auto"/>
        </w:rPr>
      </w:pPr>
    </w:p>
    <w:p>
      <w:pPr>
        <w:ind w:left="1020" w:hanging="28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downloadable content, which provides players with additional in-game content to purchase following the purchase of a full game;</w:t>
      </w:r>
    </w:p>
    <w:p>
      <w:pPr>
        <w:spacing w:after="0" w:line="225" w:lineRule="exact"/>
        <w:rPr>
          <w:rFonts w:ascii="Arial" w:cs="Arial" w:eastAsia="Arial" w:hAnsi="Arial"/>
          <w:sz w:val="18"/>
          <w:szCs w:val="18"/>
          <w:color w:val="auto"/>
        </w:rPr>
      </w:pPr>
    </w:p>
    <w:p>
      <w:pPr>
        <w:ind w:left="1020" w:hanging="28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microtransactions, which typically provide relatively small pieces of additional in-game content or enhancements to gameplay; and</w:t>
      </w:r>
    </w:p>
    <w:p>
      <w:pPr>
        <w:spacing w:after="0" w:line="225" w:lineRule="exact"/>
        <w:rPr>
          <w:rFonts w:ascii="Arial" w:cs="Arial" w:eastAsia="Arial" w:hAnsi="Arial"/>
          <w:sz w:val="18"/>
          <w:szCs w:val="18"/>
          <w:color w:val="auto"/>
        </w:rPr>
      </w:pPr>
    </w:p>
    <w:p>
      <w:pPr>
        <w:ind w:left="1020" w:hanging="28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subscriptions to players in our World of Warcraft franchise, which provide continual access to the game content.</w:t>
      </w:r>
    </w:p>
    <w:p>
      <w:pPr>
        <w:spacing w:after="0" w:line="225"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When control of the promised products and services is transferred to our customers, we recognize revenue in the amount that reflects the consideration we expect to receive in exchange for these products and services.</w:t>
      </w:r>
    </w:p>
    <w:p>
      <w:pPr>
        <w:sectPr>
          <w:pgSz w:w="11900" w:h="16861" w:orient="portrait"/>
          <w:cols w:equalWidth="0" w:num="1">
            <w:col w:w="11400"/>
          </w:cols>
          <w:pgMar w:left="240" w:top="341" w:right="259" w:bottom="0" w:gutter="0" w:footer="0" w:header="0"/>
        </w:sectPr>
      </w:pPr>
    </w:p>
    <w:bookmarkStart w:id="7" w:name="page8"/>
    <w:bookmarkEnd w:id="7"/>
    <w:p>
      <w:pPr>
        <w:spacing w:after="0" w:line="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determine revenue recognition by:</w:t>
      </w:r>
    </w:p>
    <w:p>
      <w:pPr>
        <w:spacing w:after="0" w:line="225" w:lineRule="exact"/>
        <w:rPr>
          <w:sz w:val="20"/>
          <w:szCs w:val="20"/>
          <w:color w:val="auto"/>
        </w:rPr>
      </w:pPr>
    </w:p>
    <w:p>
      <w:pPr>
        <w:ind w:left="1020" w:hanging="28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identifying the contract, or contracts, with a customer;</w:t>
      </w:r>
    </w:p>
    <w:p>
      <w:pPr>
        <w:spacing w:after="0" w:line="225" w:lineRule="exact"/>
        <w:rPr>
          <w:rFonts w:ascii="Arial" w:cs="Arial" w:eastAsia="Arial" w:hAnsi="Arial"/>
          <w:sz w:val="18"/>
          <w:szCs w:val="18"/>
          <w:color w:val="auto"/>
        </w:rPr>
      </w:pPr>
    </w:p>
    <w:p>
      <w:pPr>
        <w:ind w:left="1020" w:hanging="28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identifying the performance obligations in the contract;</w:t>
      </w:r>
    </w:p>
    <w:p>
      <w:pPr>
        <w:spacing w:after="0" w:line="225" w:lineRule="exact"/>
        <w:rPr>
          <w:rFonts w:ascii="Arial" w:cs="Arial" w:eastAsia="Arial" w:hAnsi="Arial"/>
          <w:sz w:val="18"/>
          <w:szCs w:val="18"/>
          <w:color w:val="auto"/>
        </w:rPr>
      </w:pPr>
    </w:p>
    <w:p>
      <w:pPr>
        <w:ind w:left="1020" w:hanging="28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determining the transaction price;</w:t>
      </w:r>
    </w:p>
    <w:p>
      <w:pPr>
        <w:spacing w:after="0" w:line="225" w:lineRule="exact"/>
        <w:rPr>
          <w:rFonts w:ascii="Arial" w:cs="Arial" w:eastAsia="Arial" w:hAnsi="Arial"/>
          <w:sz w:val="18"/>
          <w:szCs w:val="18"/>
          <w:color w:val="auto"/>
        </w:rPr>
      </w:pPr>
    </w:p>
    <w:p>
      <w:pPr>
        <w:ind w:left="1020" w:hanging="28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allocating the transaction price to performance obligations in the contract; and</w:t>
      </w:r>
    </w:p>
    <w:p>
      <w:pPr>
        <w:spacing w:after="0" w:line="225" w:lineRule="exact"/>
        <w:rPr>
          <w:rFonts w:ascii="Arial" w:cs="Arial" w:eastAsia="Arial" w:hAnsi="Arial"/>
          <w:sz w:val="18"/>
          <w:szCs w:val="18"/>
          <w:color w:val="auto"/>
        </w:rPr>
      </w:pPr>
    </w:p>
    <w:p>
      <w:pPr>
        <w:ind w:left="5620" w:right="2020" w:hanging="4883"/>
        <w:spacing w:after="0" w:line="528" w:lineRule="auto"/>
        <w:tabs>
          <w:tab w:leader="none" w:pos="1018"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recognizing revenue when, or as, we satisfy performance obligations by transferring the promised goods or services.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firstLine="405"/>
        <w:spacing w:after="0" w:line="302" w:lineRule="auto"/>
        <w:rPr>
          <w:sz w:val="20"/>
          <w:szCs w:val="20"/>
          <w:color w:val="auto"/>
        </w:rPr>
      </w:pPr>
      <w:r>
        <w:rPr>
          <w:rFonts w:ascii="Arial" w:cs="Arial" w:eastAsia="Arial" w:hAnsi="Arial"/>
          <w:sz w:val="16"/>
          <w:szCs w:val="16"/>
          <w:color w:val="auto"/>
        </w:rPr>
        <w:t>Certain products are sold to customers with a “street date” (which is the earliest date these products may be sold by retailers). For these products, we recognize revenues on the later of the street date and the date the product is sold to our customer. For digital full-game downloads sold to customers, we recognize revenue when it is available for download or is activated for gameplay. Revenues are recorded net of taxes assessed by governmental authorities that are imposed at the time of the specific revenue-producing transaction between us and our customer, such as sales and value-added taxes.</w:t>
      </w:r>
    </w:p>
    <w:p>
      <w:pPr>
        <w:spacing w:after="0" w:line="154"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Payment terms and conditions vary by contract type, although terms generally include a requirement of payment immediately upon purchase or within 30 to 90 days. In instances where the timing of revenue recognition differs from the timing of invoicing, we do not adjust the promised amount of consideration for the effects of a significant financing component when we expect, at contract inception, that the period between our transfer of a promised product or service to our customer and payment for that product or service will be one year or less.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225" w:lineRule="exact"/>
        <w:rPr>
          <w:sz w:val="20"/>
          <w:szCs w:val="20"/>
          <w:color w:val="auto"/>
        </w:rPr>
      </w:pPr>
    </w:p>
    <w:p>
      <w:pPr>
        <w:ind w:right="260" w:firstLine="405"/>
        <w:spacing w:after="0" w:line="342" w:lineRule="auto"/>
        <w:rPr>
          <w:sz w:val="20"/>
          <w:szCs w:val="20"/>
          <w:color w:val="auto"/>
        </w:rPr>
      </w:pPr>
      <w:r>
        <w:rPr>
          <w:rFonts w:ascii="Arial" w:cs="Arial" w:eastAsia="Arial" w:hAnsi="Arial"/>
          <w:sz w:val="16"/>
          <w:szCs w:val="16"/>
          <w:color w:val="auto"/>
        </w:rPr>
        <w:t>Product sales consist of sales of our games, including physical products and digital full-game downloads. We recognize revenues from the sale of our products after both (1) control of the products has been transferred to our customers and (2) underlying performance obligations have been satisfied.</w:t>
      </w:r>
    </w:p>
    <w:p>
      <w:pPr>
        <w:spacing w:after="0" w:line="124"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Revenues from product sales are recognized after deducting the estimated allowance for returns and price protection, which are accounted for as variable consideration when estimating the amount of revenue to recognize. Returns and price protection are estimated at contract inception and updated at the end of each reporting period as additional information becomes available.</w:t>
      </w:r>
    </w:p>
    <w:p>
      <w:pPr>
        <w:spacing w:after="0" w:line="181"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Sales incentives and other consideration given by us to our customers, such as rebates and product placement fees, are considered adjustments of the transaction price of our products and are reflected as reductions to revenues. Sales incentives and other consideration that represent costs incurred by us for distinct goods or services received, such as the appearance of our products in a customer’s national circular ad, are recorded as “Sales and marketing” expense when the benefit from the sales incentive is separable from sales to the same customer and we can reasonably estimate the fair value of the good or service.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with Online Functionality</w:t>
      </w:r>
    </w:p>
    <w:p>
      <w:pPr>
        <w:spacing w:after="0" w:line="225" w:lineRule="exact"/>
        <w:rPr>
          <w:sz w:val="20"/>
          <w:szCs w:val="20"/>
          <w:color w:val="auto"/>
        </w:rPr>
      </w:pPr>
    </w:p>
    <w:p>
      <w:pPr>
        <w:ind w:right="40" w:firstLine="396"/>
        <w:spacing w:after="0" w:line="273" w:lineRule="auto"/>
        <w:rPr>
          <w:sz w:val="20"/>
          <w:szCs w:val="20"/>
          <w:color w:val="auto"/>
        </w:rPr>
      </w:pPr>
      <w:r>
        <w:rPr>
          <w:rFonts w:ascii="Arial" w:cs="Arial" w:eastAsia="Arial" w:hAnsi="Arial"/>
          <w:sz w:val="17"/>
          <w:szCs w:val="17"/>
          <w:color w:val="auto"/>
        </w:rPr>
        <w:t>For our software products that include both offline functionality (i.e., do not require an Internet connection to access) and significant online functionality, such as titles for the Call of Duty franchise, we evaluate whether the license of our intellectual property and the online functionality are distinct and separable. This evaluation is performed for each software product or product add-on, including downloadable content. If we determine that our software products contain a license of intellectual property separate from the online functionality, we consider market conditions and other observable inputs to estimate the transaction price for the license, since we do not generally sell the software license on a standalone basis. These products may be sold in a bundle with other products and services, which often results in the recognition of additional performance obligations.</w:t>
      </w:r>
    </w:p>
    <w:p>
      <w:pPr>
        <w:spacing w:after="0" w:line="178" w:lineRule="exact"/>
        <w:rPr>
          <w:sz w:val="20"/>
          <w:szCs w:val="20"/>
          <w:color w:val="auto"/>
        </w:rPr>
      </w:pPr>
    </w:p>
    <w:p>
      <w:pPr>
        <w:ind w:right="140" w:firstLine="396"/>
        <w:spacing w:after="0" w:line="257" w:lineRule="auto"/>
        <w:rPr>
          <w:sz w:val="20"/>
          <w:szCs w:val="20"/>
          <w:color w:val="auto"/>
        </w:rPr>
      </w:pPr>
      <w:r>
        <w:rPr>
          <w:rFonts w:ascii="Arial" w:cs="Arial" w:eastAsia="Arial" w:hAnsi="Arial"/>
          <w:sz w:val="18"/>
          <w:szCs w:val="18"/>
          <w:color w:val="auto"/>
        </w:rPr>
        <w:t>We recognize revenue for arrangements that include both a license of intellectual property and separate online functionality when control of the license transfers to our customers for the portion of the transaction price allocable to the license and ratably over the estimated service period for the portion of the transaction price allocable to the online functionality. Similarly, we defer a portion of the cost of revenues on these arrangements and recognize the costs as the related revenues are recognized. The cost of revenues that are deferred include product costs, distribution costs, and software royalties, amortization, and intellectual property licenses, and excludes intangible asset amortization.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Online Hosted Software Arrangements</w:t>
      </w:r>
    </w:p>
    <w:p>
      <w:pPr>
        <w:spacing w:after="0" w:line="225"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For our online hosted software arrangements, such as titles for the Destiny, Overwatch, World of Warcraft, and Candy Crush franchises, substantially all gameplay and functionality are obtained through our continuous hosting of the game content for the player. Similar to our software products with online functionality, these arrangements may include other products and services, which often results in the recognition of additional performance obligations. Revenues related to online hosted software arrangements are generally recognized ratably over the estimated service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Arrangements</w:t>
      </w:r>
    </w:p>
    <w:p>
      <w:pPr>
        <w:spacing w:after="0" w:line="22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 xml:space="preserve">Subscription revenue arrangements are mostly derived from </w:t>
      </w:r>
      <w:r>
        <w:rPr>
          <w:rFonts w:ascii="Arial" w:cs="Arial" w:eastAsia="Arial" w:hAnsi="Arial"/>
          <w:sz w:val="18"/>
          <w:szCs w:val="18"/>
          <w:i w:val="1"/>
          <w:iCs w:val="1"/>
          <w:color w:val="auto"/>
        </w:rPr>
        <w:t>World of Warcraft</w:t>
      </w:r>
      <w:r>
        <w:rPr>
          <w:rFonts w:ascii="Arial" w:cs="Arial" w:eastAsia="Arial" w:hAnsi="Arial"/>
          <w:sz w:val="18"/>
          <w:szCs w:val="18"/>
          <w:color w:val="auto"/>
        </w:rPr>
        <w:t xml:space="preserve">, which is playable through Blizzard’s servers and is generally sold on a subscription-only basis. For </w:t>
      </w:r>
      <w:r>
        <w:rPr>
          <w:rFonts w:ascii="Arial" w:cs="Arial" w:eastAsia="Arial" w:hAnsi="Arial"/>
          <w:sz w:val="18"/>
          <w:szCs w:val="18"/>
          <w:i w:val="1"/>
          <w:iCs w:val="1"/>
          <w:color w:val="auto"/>
        </w:rPr>
        <w:t>World of Warcraft</w:t>
      </w:r>
      <w:r>
        <w:rPr>
          <w:rFonts w:ascii="Arial" w:cs="Arial" w:eastAsia="Arial" w:hAnsi="Arial"/>
          <w:sz w:val="18"/>
          <w:szCs w:val="18"/>
          <w:color w:val="auto"/>
        </w:rPr>
        <w:t xml:space="preserve">, after the first month of free usage that is included with the initial purchase of </w:t>
      </w:r>
      <w:r>
        <w:rPr>
          <w:rFonts w:ascii="Arial" w:cs="Arial" w:eastAsia="Arial" w:hAnsi="Arial"/>
          <w:sz w:val="18"/>
          <w:szCs w:val="18"/>
          <w:i w:val="1"/>
          <w:iCs w:val="1"/>
          <w:color w:val="auto"/>
        </w:rPr>
        <w:t>World of Warcraft</w:t>
      </w:r>
      <w:r>
        <w:rPr>
          <w:rFonts w:ascii="Arial" w:cs="Arial" w:eastAsia="Arial" w:hAnsi="Arial"/>
          <w:sz w:val="18"/>
          <w:szCs w:val="18"/>
          <w:color w:val="auto"/>
        </w:rPr>
        <w:t xml:space="preserve"> software, the </w:t>
      </w:r>
      <w:r>
        <w:rPr>
          <w:rFonts w:ascii="Arial" w:cs="Arial" w:eastAsia="Arial" w:hAnsi="Arial"/>
          <w:sz w:val="18"/>
          <w:szCs w:val="18"/>
          <w:i w:val="1"/>
          <w:iCs w:val="1"/>
          <w:color w:val="auto"/>
        </w:rPr>
        <w:t xml:space="preserve">World of Warcraft </w:t>
      </w:r>
      <w:r>
        <w:rPr>
          <w:rFonts w:ascii="Arial" w:cs="Arial" w:eastAsia="Arial" w:hAnsi="Arial"/>
          <w:sz w:val="18"/>
          <w:szCs w:val="18"/>
          <w:color w:val="auto"/>
        </w:rPr>
        <w:t>end user may enter into a subscription agreement for additional future access. Revenues associated with the sales of subscriptions via initial</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purchases and standalone subscriptions sales are deferred until the subscription service is activated by the consumer and are then recognized ratably over the subscription period as the performance obligations are satisfied.</w:t>
      </w:r>
    </w:p>
    <w:p>
      <w:pPr>
        <w:sectPr>
          <w:pgSz w:w="11900" w:h="16911" w:orient="portrait"/>
          <w:cols w:equalWidth="0" w:num="1">
            <w:col w:w="11420"/>
          </w:cols>
          <w:pgMar w:left="240" w:top="341" w:right="239" w:bottom="0" w:gutter="0" w:footer="0" w:header="0"/>
        </w:sectPr>
      </w:pPr>
    </w:p>
    <w:bookmarkStart w:id="8" w:name="page9"/>
    <w:bookmarkEnd w:id="8"/>
    <w:p>
      <w:pPr>
        <w:ind w:right="320" w:firstLine="396"/>
        <w:spacing w:after="0" w:line="342" w:lineRule="auto"/>
        <w:rPr>
          <w:sz w:val="20"/>
          <w:szCs w:val="20"/>
          <w:color w:val="auto"/>
        </w:rPr>
      </w:pPr>
      <w:r>
        <w:rPr>
          <w:rFonts w:ascii="Arial" w:cs="Arial" w:eastAsia="Arial" w:hAnsi="Arial"/>
          <w:sz w:val="16"/>
          <w:szCs w:val="16"/>
          <w:color w:val="auto"/>
        </w:rPr>
        <w:t xml:space="preserve">Revenues attributable to the initial purchase of </w:t>
      </w:r>
      <w:r>
        <w:rPr>
          <w:rFonts w:ascii="Arial" w:cs="Arial" w:eastAsia="Arial" w:hAnsi="Arial"/>
          <w:sz w:val="16"/>
          <w:szCs w:val="16"/>
          <w:i w:val="1"/>
          <w:iCs w:val="1"/>
          <w:color w:val="auto"/>
        </w:rPr>
        <w:t>World of Warcraft</w:t>
      </w:r>
      <w:r>
        <w:rPr>
          <w:rFonts w:ascii="Arial" w:cs="Arial" w:eastAsia="Arial" w:hAnsi="Arial"/>
          <w:sz w:val="16"/>
          <w:szCs w:val="16"/>
          <w:color w:val="auto"/>
        </w:rPr>
        <w:t xml:space="preserve"> software by our customers and related sales of expansion packs are classified as “Product sales,” whereas revenues attributable to subscriptions and other in-game revenues are classified as “Subscription, licensing, and other revenues.”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Licensing Revenues</w:t>
      </w:r>
    </w:p>
    <w:p>
      <w:pPr>
        <w:spacing w:after="0" w:line="225" w:lineRule="exact"/>
        <w:rPr>
          <w:sz w:val="20"/>
          <w:szCs w:val="20"/>
          <w:color w:val="auto"/>
        </w:rPr>
      </w:pPr>
    </w:p>
    <w:p>
      <w:pPr>
        <w:ind w:right="140" w:firstLine="396"/>
        <w:spacing w:after="0" w:line="254" w:lineRule="auto"/>
        <w:rPr>
          <w:sz w:val="20"/>
          <w:szCs w:val="20"/>
          <w:color w:val="auto"/>
        </w:rPr>
      </w:pPr>
      <w:r>
        <w:rPr>
          <w:rFonts w:ascii="Arial" w:cs="Arial" w:eastAsia="Arial" w:hAnsi="Arial"/>
          <w:sz w:val="18"/>
          <w:szCs w:val="18"/>
          <w:color w:val="auto"/>
        </w:rPr>
        <w:t>In certain countries, we utilize third-party licensees to distribute and host our games in accordance with license agreements, for which the licensees typically pay us a fixed minimum guarantee and sales-based royalties. These arrangements typically include multiple performance obligations, such as an upfront license of intellectual property and rights to specified or unspecified future updates. Our estimate of the selling price is comprised of several factors including, but not limited to, prior selling prices, prices charged separately by other third-party vendors for similar service offerings, and a cost-plus-margin approach. Based on the allocated transaction price, we recognize revenue associated with the minimum guarantee when we transfer control of the upfront license of intellectual property and/or upon transfer of control of future specified updates and ratably over the contractual term in which we provide the customer with unspecified future updates. Royalty payments in excess of the minimum guarantee are generally recognized when the licensed product is sold by the licensee.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225" w:lineRule="exact"/>
        <w:rPr>
          <w:sz w:val="20"/>
          <w:szCs w:val="20"/>
          <w:color w:val="auto"/>
        </w:rPr>
      </w:pPr>
    </w:p>
    <w:p>
      <w:pPr>
        <w:ind w:right="40" w:firstLine="396"/>
        <w:spacing w:after="0" w:line="277" w:lineRule="auto"/>
        <w:rPr>
          <w:sz w:val="20"/>
          <w:szCs w:val="20"/>
          <w:color w:val="auto"/>
        </w:rPr>
      </w:pPr>
      <w:r>
        <w:rPr>
          <w:rFonts w:ascii="Arial" w:cs="Arial" w:eastAsia="Arial" w:hAnsi="Arial"/>
          <w:sz w:val="18"/>
          <w:szCs w:val="18"/>
          <w:color w:val="auto"/>
        </w:rPr>
        <w:t>Other revenues primarily include revenues from downloadable content (e.g., multi-player content packs), microtransactions, and licensing of intellectual property other than software to third-parties.</w:t>
      </w:r>
    </w:p>
    <w:p>
      <w:pPr>
        <w:spacing w:after="0" w:line="170" w:lineRule="exact"/>
        <w:rPr>
          <w:sz w:val="20"/>
          <w:szCs w:val="20"/>
          <w:color w:val="auto"/>
        </w:rPr>
      </w:pPr>
    </w:p>
    <w:p>
      <w:pPr>
        <w:ind w:right="60" w:firstLine="396"/>
        <w:spacing w:after="0" w:line="271" w:lineRule="auto"/>
        <w:rPr>
          <w:sz w:val="20"/>
          <w:szCs w:val="20"/>
          <w:color w:val="auto"/>
        </w:rPr>
      </w:pPr>
      <w:r>
        <w:rPr>
          <w:rFonts w:ascii="Arial" w:cs="Arial" w:eastAsia="Arial" w:hAnsi="Arial"/>
          <w:sz w:val="17"/>
          <w:szCs w:val="17"/>
          <w:color w:val="auto"/>
        </w:rPr>
        <w:t>Microtransaction revenues are derived from the sale of virtual currencies and goods to our players to enhance their gameplay experience. Proceeds from these sales of virtual currencies and goods are initially recorded in deferred revenue. Proceeds from the sales of virtual currencies are recognized as revenues when a player uses the virtual goods purchased with a virtual currency. Proceeds from the sales of virtual goods directly are similarly recognized as revenues when a player uses the virtual goods. We categorize our virtual goods as either “consumable” or “durable”. Consumable virtual goods represent goods that can be consumed by a specific player action; accordingly, we recognize revenues from the sale of consumable virtual goods as the goods are consumed and our performance obligation is satisfied. Durable virtual goods represent goods that are accessible to the player over an extended period of time; accordingly, we recognize revenues from the sale of durable virtual goods ratably over the period of time the goods are available to the player and our performance obligation is satisfied, which is generally the estimated service period.</w:t>
      </w:r>
    </w:p>
    <w:p>
      <w:pPr>
        <w:spacing w:after="0" w:line="179"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Revenues from the licensing of intellectual property other than software to third parties primarily include the licensing of our (1) brand, logo, or franchise to customers and (2) media content. Fixed fee payments from customers for the license of our brand or franchise are generally recognized over the license term. Fixed fee payments from customers for the license of our media content are generally recognized when control has transferred to the customer, which may be upfront or over time.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 around Revenue Arrangements with Multiple Deliverables</w:t>
      </w:r>
    </w:p>
    <w:p>
      <w:pPr>
        <w:spacing w:after="0" w:line="225"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Our contracts with customers often include promises to transfer multiple products and services. Determining whether products and services are considered distinct performance obligations that should be accounted for separately versus together may require significant judgment. Certain of our games, such as titles in the Call of Duty franchise, may contain a license of our intellectual property to play the game offline, but also depend on a significant level of integration and interdependency with the online functionality. In these cases, significant judgment is required to determine whether this license of our intellectual property should be considered distinct and accounted for separately, or not distinct and accounted for together with the online functionality provided and recognized over time. Generally, for titles in which the software license is functional without the online functionality and a significant component of gameplay is available offline, we believe we have separate performance obligations for the license of the intellectual property and the online functionality.</w:t>
      </w:r>
    </w:p>
    <w:p>
      <w:pPr>
        <w:spacing w:after="0" w:line="192"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Significant judgment is also required to determine the standalone selling price for each distinct performance obligation and to determine whether there is a discount that needs to be allocated based on the relative standalone selling price of the various products and services. To estimate the standalone selling price we consider market data, including our pricing strategies for the product being evaluated and other similar products we may offer, competitor pricing to the extent data is available, and costs to determine whether the estimated selling price yields an appropriate profit margin.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Estimated Service Period</w:t>
      </w:r>
    </w:p>
    <w:p>
      <w:pPr>
        <w:spacing w:after="0" w:line="225" w:lineRule="exact"/>
        <w:rPr>
          <w:sz w:val="20"/>
          <w:szCs w:val="20"/>
          <w:color w:val="auto"/>
        </w:rPr>
      </w:pPr>
    </w:p>
    <w:p>
      <w:pPr>
        <w:ind w:right="80" w:firstLine="396"/>
        <w:spacing w:after="0" w:line="271" w:lineRule="auto"/>
        <w:rPr>
          <w:sz w:val="20"/>
          <w:szCs w:val="20"/>
          <w:color w:val="auto"/>
        </w:rPr>
      </w:pPr>
      <w:r>
        <w:rPr>
          <w:rFonts w:ascii="Arial" w:cs="Arial" w:eastAsia="Arial" w:hAnsi="Arial"/>
          <w:sz w:val="17"/>
          <w:szCs w:val="17"/>
          <w:color w:val="auto"/>
        </w:rPr>
        <w:t>We consider a variety of data points when determining the estimated service period for players of our games, including the weighted average number of days between players’ first and last days played online, the average total hours played, the average number of days in which player activity stabilizes, and the weighted-average number of days between players’ first purchase date and last date played online. We also consider known online trends, the service periods of our previously released games, and, to the extent publicly available, the service periods of our competitors’ games that are similar in nature to ours. We believe this provides a reasonable depiction of the transfer of services to our customers, as it is the best representation of the time period during which our customers play our games. Determining the estimated service period is subjective and requires management’s judgment. Future usage patterns may differ from historical usage patterns, and therefore the estimated service period may change in the future. The estimated service periods for players of our current games are generally less than 12 months.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Agent Considerations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evaluate sales of our products and content via third-party digital storefronts, such as Microsoft Corporation’s (“Microsoft”) Xbox Games Store, Sony Interactive Entertainment Inc.’s (“Sony”) PSN, Apple App Store, and the Google Play Store, to determine whether revenues should be reported gross or net of fees retained by the storefront. Key indicators that we evaluate in determining gross versus net treatment include, but are not limited to, the following:</w:t>
      </w:r>
    </w:p>
    <w:p>
      <w:pPr>
        <w:spacing w:after="0" w:line="147" w:lineRule="exact"/>
        <w:rPr>
          <w:sz w:val="20"/>
          <w:szCs w:val="20"/>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which party is primarily responsible for fulfilling the promise to provide the specified good or service;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which party has discretion in establishing the price for the specified good or service.</w:t>
      </w:r>
    </w:p>
    <w:p>
      <w:pPr>
        <w:sectPr>
          <w:pgSz w:w="11900" w:h="16838" w:orient="portrait"/>
          <w:cols w:equalWidth="0" w:num="1">
            <w:col w:w="11420"/>
          </w:cols>
          <w:pgMar w:left="240" w:top="341" w:right="239" w:bottom="0" w:gutter="0" w:footer="0" w:header="0"/>
        </w:sectPr>
      </w:pPr>
    </w:p>
    <w:bookmarkStart w:id="9" w:name="page10"/>
    <w:bookmarkEnd w:id="9"/>
    <w:p>
      <w:pPr>
        <w:jc w:val="both"/>
        <w:ind w:right="80" w:firstLine="324"/>
        <w:spacing w:after="0" w:line="264" w:lineRule="auto"/>
        <w:rPr>
          <w:sz w:val="20"/>
          <w:szCs w:val="20"/>
          <w:color w:val="auto"/>
        </w:rPr>
      </w:pPr>
      <w:r>
        <w:rPr>
          <w:rFonts w:ascii="Arial" w:cs="Arial" w:eastAsia="Arial" w:hAnsi="Arial"/>
          <w:sz w:val="18"/>
          <w:szCs w:val="18"/>
          <w:color w:val="auto"/>
        </w:rPr>
        <w:t>Based on our evaluation of the above indicators, we report revenues on a gross basis for sales arrangements via Apple App Store and Google Play Store, and we report revenues on a net basis (i.e., net of fees retained by the digital storefront) for sales arrangements via Microsoft’s Xbox Games Store and Sony’s PSN.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ind w:right="200" w:firstLine="396"/>
        <w:spacing w:after="0" w:line="277" w:lineRule="auto"/>
        <w:rPr>
          <w:sz w:val="20"/>
          <w:szCs w:val="20"/>
          <w:color w:val="auto"/>
        </w:rPr>
      </w:pPr>
      <w:r>
        <w:rPr>
          <w:rFonts w:ascii="Arial" w:cs="Arial" w:eastAsia="Arial" w:hAnsi="Arial"/>
          <w:sz w:val="18"/>
          <w:szCs w:val="18"/>
          <w:color w:val="auto"/>
        </w:rPr>
        <w:t>We generally record a receivable related to revenue when we have an unconditional right to invoice and receive payment, and record deferred revenue when cash payments are received or due in advance of our performance, even if amounts are refundable.</w:t>
      </w:r>
    </w:p>
    <w:p>
      <w:pPr>
        <w:spacing w:after="0" w:line="170" w:lineRule="exact"/>
        <w:rPr>
          <w:sz w:val="20"/>
          <w:szCs w:val="20"/>
          <w:color w:val="auto"/>
        </w:rPr>
      </w:pPr>
    </w:p>
    <w:p>
      <w:pPr>
        <w:ind w:right="260" w:firstLine="405"/>
        <w:spacing w:after="0" w:line="257" w:lineRule="auto"/>
        <w:rPr>
          <w:sz w:val="20"/>
          <w:szCs w:val="20"/>
          <w:color w:val="auto"/>
        </w:rPr>
      </w:pPr>
      <w:r>
        <w:rPr>
          <w:rFonts w:ascii="Arial" w:cs="Arial" w:eastAsia="Arial" w:hAnsi="Arial"/>
          <w:sz w:val="18"/>
          <w:szCs w:val="18"/>
          <w:color w:val="auto"/>
        </w:rPr>
        <w:t>The allowance for doubtful accounts reflects our best estimate of probable losses inherent in our accounts receivable balance. In estimating the allowance for doubtful accounts, we analyze the age of current outstanding account balances, historical bad debts, customer concentrations, customer creditworthiness, current economic trends, and changes in our customers’ payment terms and their economic condition, as well as whether we can obtain sufficient credit insurance. Any significant changes in any of these criteria would affect management’s estimates in establishing our allowance for doubtful accounts.</w:t>
      </w:r>
    </w:p>
    <w:p>
      <w:pPr>
        <w:spacing w:after="0" w:line="188" w:lineRule="exact"/>
        <w:rPr>
          <w:sz w:val="20"/>
          <w:szCs w:val="20"/>
          <w:color w:val="auto"/>
        </w:rPr>
      </w:pPr>
    </w:p>
    <w:p>
      <w:pPr>
        <w:ind w:right="280" w:firstLine="396"/>
        <w:spacing w:after="0" w:line="302" w:lineRule="auto"/>
        <w:rPr>
          <w:sz w:val="20"/>
          <w:szCs w:val="20"/>
          <w:color w:val="auto"/>
        </w:rPr>
      </w:pPr>
      <w:r>
        <w:rPr>
          <w:rFonts w:ascii="Arial" w:cs="Arial" w:eastAsia="Arial" w:hAnsi="Arial"/>
          <w:sz w:val="16"/>
          <w:szCs w:val="16"/>
          <w:color w:val="auto"/>
        </w:rPr>
        <w:t>Deferred revenue is comprised primarily of unearned revenue related to the sale of products with online functionality or online hosted arrangements. These sales are typically invoiced and collected on at the beginning of the contract period, and revenue is recognized ratably over the estimated service period. Deferred revenue also includes payments for: product sales pending delivery or activation; subscription revenues; licensing revenues with fixed minimum guarantees; and other revenues for which we have been paid in advance and earn the revenue when we transfer control of the product or service.</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Refer to Note 9 for further information, including changes in deferred revenue during the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Recognized from Costs to Obtain a Contract with a Customer</w:t>
      </w:r>
    </w:p>
    <w:p>
      <w:pPr>
        <w:spacing w:after="0" w:line="225"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color w:val="auto"/>
        </w:rPr>
        <w:t>We apply the practical expedient to expense costs, as incurred, to obtain a contract with a customer when the amortization period would have been one year or less for certain similar contracts in which commissions are paid to internal personnel or third parties. We believe application of the practical expedient has a limited effect on the amount and timing of cost recognition. Total capitalized costs to obtain a contract were immaterial as of June 30,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Allowances for Returns and Price Protection</w:t>
      </w:r>
    </w:p>
    <w:p>
      <w:pPr>
        <w:spacing w:after="0" w:line="225" w:lineRule="exact"/>
        <w:rPr>
          <w:sz w:val="20"/>
          <w:szCs w:val="20"/>
          <w:color w:val="auto"/>
        </w:rPr>
      </w:pPr>
    </w:p>
    <w:p>
      <w:pPr>
        <w:ind w:right="140" w:firstLine="396"/>
        <w:spacing w:after="0" w:line="302" w:lineRule="auto"/>
        <w:rPr>
          <w:sz w:val="20"/>
          <w:szCs w:val="20"/>
          <w:color w:val="auto"/>
        </w:rPr>
      </w:pPr>
      <w:r>
        <w:rPr>
          <w:rFonts w:ascii="Arial" w:cs="Arial" w:eastAsia="Arial" w:hAnsi="Arial"/>
          <w:sz w:val="16"/>
          <w:szCs w:val="16"/>
          <w:color w:val="auto"/>
        </w:rPr>
        <w:t>We closely monitor and analyze the historical performance of our various titles, the performance of products released by other publishers, market conditions, and the anticipated timing of other releases to assess future demand of current and upcoming titles. Initial volumes shipped upon title launch and subsequent reorders are evaluated with the goal of ensuring that quantities are sufficient to meet the demand from the retail markets, but at the same time are controlled to prevent excess inventory in the channel. We benchmark units to be shipped to our customers using historical and industry data.</w:t>
      </w:r>
    </w:p>
    <w:p>
      <w:pPr>
        <w:spacing w:after="0" w:line="154" w:lineRule="exact"/>
        <w:rPr>
          <w:sz w:val="20"/>
          <w:szCs w:val="20"/>
          <w:color w:val="auto"/>
        </w:rPr>
      </w:pPr>
    </w:p>
    <w:p>
      <w:pPr>
        <w:ind w:right="60" w:firstLine="396"/>
        <w:spacing w:after="0" w:line="273" w:lineRule="auto"/>
        <w:rPr>
          <w:sz w:val="20"/>
          <w:szCs w:val="20"/>
          <w:color w:val="auto"/>
        </w:rPr>
      </w:pPr>
      <w:r>
        <w:rPr>
          <w:rFonts w:ascii="Arial" w:cs="Arial" w:eastAsia="Arial" w:hAnsi="Arial"/>
          <w:sz w:val="17"/>
          <w:szCs w:val="17"/>
          <w:color w:val="auto"/>
        </w:rPr>
        <w:t>We may permit product returns from, or grant price protection to, our customers under certain conditions. In general, price protection refers to the circumstances in which we elect to decrease, on a short- or longer-term basis, the wholesale price of a product by a certain amount and, when granted and applicable, allow customers a credit against amounts owed by such customers to us with respect to open and/or future invoices. The conditions our customers must meet to be granted the right to return products or receive price protection credits include, among other things, compliance with applicable trading and payment terms and consistent return of inventory and delivery of sell-through reports to us. We may also consider other factors, including achievement of sell-through performance targets in certain instances, the facilitation of slow-moving inventory, and other market factors.</w:t>
      </w:r>
    </w:p>
    <w:p>
      <w:pPr>
        <w:spacing w:after="0" w:line="178" w:lineRule="exact"/>
        <w:rPr>
          <w:sz w:val="20"/>
          <w:szCs w:val="20"/>
          <w:color w:val="auto"/>
        </w:rPr>
      </w:pPr>
    </w:p>
    <w:p>
      <w:pPr>
        <w:ind w:right="20" w:firstLine="396"/>
        <w:spacing w:after="0" w:line="273" w:lineRule="auto"/>
        <w:rPr>
          <w:sz w:val="20"/>
          <w:szCs w:val="20"/>
          <w:color w:val="auto"/>
        </w:rPr>
      </w:pPr>
      <w:r>
        <w:rPr>
          <w:rFonts w:ascii="Arial" w:cs="Arial" w:eastAsia="Arial" w:hAnsi="Arial"/>
          <w:sz w:val="17"/>
          <w:szCs w:val="17"/>
          <w:color w:val="auto"/>
        </w:rPr>
        <w:t>Significant management judgments and estimates with respect to potential future product returns and price protection related to current period product revenues must be made and used when establishing the allowance for returns and price protection in any accounting period. We estimate the amount of future returns and price protection for current period product revenues utilizing historical experience and information regarding inventory levels and the demand and acceptance of our products by the end consumer, and record revenue for the transferred products in the amount of consideration to which we expect to be entitled to. The following factors are used to estimate the amount of future returns and price protection for a particular title: historical performance of titles in similar genres; historical performance of the hardware platform; historical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performance of the franchise; console hardware life cycle; sales force and retail customer feedback; industry pricing; future pricing assumptions; weeks of on-hand retail channel inventory; absolute quantity of on-hand retail channel inventory; our warehouse on-hand inventory levels; the title’s recent sell-through history (if available); marketing trade programs; and the performance of competing titles. The relative importance of these factors varies among titles depending upon, among other things, genre, platform, seasonality, and sales strategy.</w:t>
      </w:r>
    </w:p>
    <w:p>
      <w:pPr>
        <w:spacing w:after="0" w:line="187"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Based upon historical experience, we believe that our estimates are reasonable. However, actual returns and price protection could vary materially from our allowance estimates due to a number of reasons, including, among others: a lack of consumer acceptance of a title, the release in the same period of a similarly themed title by a competitor, or technological obsolescence due to the emergence of new hardware platforms. There may be material differences in the amount and timing of our revenues for any period if factors or market conditions change or if matters resolve in a manner that is inconsistent with management’s assumptions utilized in determining the allowances for returns and price protection.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w:t>
      </w:r>
    </w:p>
    <w:p>
      <w:pPr>
        <w:spacing w:after="0" w:line="225" w:lineRule="exact"/>
        <w:rPr>
          <w:sz w:val="20"/>
          <w:szCs w:val="20"/>
          <w:color w:val="auto"/>
        </w:rPr>
      </w:pPr>
    </w:p>
    <w:p>
      <w:pPr>
        <w:ind w:firstLine="311"/>
        <w:spacing w:after="0" w:line="264" w:lineRule="auto"/>
        <w:rPr>
          <w:sz w:val="20"/>
          <w:szCs w:val="20"/>
          <w:color w:val="auto"/>
        </w:rPr>
      </w:pPr>
      <w:r>
        <w:rPr>
          <w:rFonts w:ascii="Arial" w:cs="Arial" w:eastAsia="Arial" w:hAnsi="Arial"/>
          <w:sz w:val="18"/>
          <w:szCs w:val="18"/>
          <w:color w:val="auto"/>
        </w:rPr>
        <w:t>Shipping and handling costs consist primarily of packaging and transportation charges incurred to move finished goods to customers. We recognize all shipping and handling costs as an expense in “Cost of revenues-product costs,” including those incurred when control of the product has already transferred to the customer.</w:t>
      </w:r>
    </w:p>
    <w:p>
      <w:pPr>
        <w:sectPr>
          <w:pgSz w:w="11900" w:h="16838" w:orient="portrait"/>
          <w:cols w:equalWidth="0" w:num="1">
            <w:col w:w="11420"/>
          </w:cols>
          <w:pgMar w:left="240" w:top="125" w:right="239" w:bottom="0" w:gutter="0" w:footer="0" w:header="0"/>
        </w:sectPr>
      </w:pPr>
    </w:p>
    <w:bookmarkStart w:id="10" w:name="page11"/>
    <w:bookmarkEnd w:id="10"/>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firstLine="396"/>
        <w:spacing w:after="0" w:line="290" w:lineRule="auto"/>
        <w:rPr>
          <w:sz w:val="20"/>
          <w:szCs w:val="20"/>
          <w:color w:val="auto"/>
        </w:rPr>
      </w:pPr>
      <w:r>
        <w:rPr>
          <w:rFonts w:ascii="Arial" w:cs="Arial" w:eastAsia="Arial" w:hAnsi="Arial"/>
          <w:sz w:val="16"/>
          <w:szCs w:val="16"/>
          <w:color w:val="auto"/>
        </w:rPr>
        <w:t>As noted in Note 2 above, we adopted the new revenue accounting standard effective January 1, 2018, utilizing the modified retrospective method. Additionally, we elected to apply the new revenue accounting standard only to contracts not completed as of the adoption date. For contracts that were modified before the period of adoption, we elected to reflect the aggregate effect of all modifications when (1) identifying the satisfied and unsatisfied performance obligations, (2) determining the transaction price, and (3) allocating the transaction price to the satisfied and unsatisfied performance obligations. We recognized the cumulative effect of initially applying the new revenue accounting standard as an adjustment to the opening balance of retained earnings. The comparative information has not been restated and continues to be reported under the accounting standards in effect for those periods. The cumulative effect adjustment recorded to our retained earnings was $88 million (see our condensed consolidated statements of changes in shareholders’ equity) and included the impact from the following adjustments to our condensed consolidated balance sheet at January 1, 2018 (amounts in millions):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Adjustments due</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to adoption of</w:t>
            </w: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new revenue</w:t>
            </w:r>
          </w:p>
        </w:tc>
        <w:tc>
          <w:tcPr>
            <w:tcW w:w="200" w:type="dxa"/>
            <w:vAlign w:val="bottom"/>
          </w:tcPr>
          <w:p>
            <w:pPr>
              <w:spacing w:after="0"/>
              <w:rPr>
                <w:sz w:val="12"/>
                <w:szCs w:val="12"/>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49"/>
        </w:trPr>
        <w:tc>
          <w:tcPr>
            <w:tcW w:w="6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Condensed Consolidated Balance Sheet:</w:t>
            </w:r>
          </w:p>
        </w:tc>
        <w:tc>
          <w:tcPr>
            <w:tcW w:w="16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accounting</w:t>
            </w: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center"/>
              <w:ind w:right="134"/>
              <w:spacing w:after="0"/>
              <w:rPr>
                <w:sz w:val="20"/>
                <w:szCs w:val="20"/>
                <w:color w:val="auto"/>
              </w:rPr>
            </w:pPr>
            <w:r>
              <w:rPr>
                <w:rFonts w:ascii="Arial" w:cs="Arial" w:eastAsia="Arial" w:hAnsi="Arial"/>
                <w:sz w:val="14"/>
                <w:szCs w:val="14"/>
                <w:b w:val="1"/>
                <w:bCs w:val="1"/>
                <w:color w:val="auto"/>
                <w:w w:val="96"/>
              </w:rPr>
              <w:t>2017</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standard</w:t>
            </w:r>
          </w:p>
        </w:tc>
        <w:tc>
          <w:tcPr>
            <w:tcW w:w="2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January 1,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918</w:t>
            </w:r>
          </w:p>
        </w:tc>
        <w:tc>
          <w:tcPr>
            <w:tcW w:w="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Software development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367</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18"/>
                <w:szCs w:val="18"/>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476</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income taxes, net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459</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440</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revenues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1,929</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8"/>
                <w:szCs w:val="18"/>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1,132</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Shareholders’ equity</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9,462</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9,553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most significant impacts of the new revenue accounting standard for us are:</w:t>
      </w:r>
    </w:p>
    <w:p>
      <w:pPr>
        <w:spacing w:after="0" w:line="225" w:lineRule="exact"/>
        <w:rPr>
          <w:sz w:val="20"/>
          <w:szCs w:val="20"/>
          <w:color w:val="auto"/>
        </w:rPr>
      </w:pPr>
    </w:p>
    <w:p>
      <w:pPr>
        <w:ind w:left="980" w:right="60" w:hanging="324"/>
        <w:spacing w:after="0" w:line="287" w:lineRule="auto"/>
        <w:tabs>
          <w:tab w:leader="none" w:pos="944"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The accounting for our sales of our games with significant online functionality for which we do not have vendor-specific objective evidence (“VSOE”) for unspecified future updates and ongoing online services provided. </w:t>
      </w:r>
      <w:r>
        <w:rPr>
          <w:rFonts w:ascii="Arial" w:cs="Arial" w:eastAsia="Arial" w:hAnsi="Arial"/>
          <w:sz w:val="16"/>
          <w:szCs w:val="16"/>
          <w:color w:val="auto"/>
        </w:rPr>
        <w:t>Under the prior accounting standards, VSOE for undelivered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elements was required. This requirement was eliminated under the new revenue accounting standard. Accordingly, we are required to recognize as revenue a portion of the sales price upon delivery of this software, as compared to recognizing the entire sales price ratably over an estimated service period as previously required. This difference in accounting primarily impacted revenues from our Call of Duty franchise, where approximately 20% of the sales price is now recognized as revenue upon delivery of the games to our customers. The amount of revenue recognized upon delivery of games to our customers is analyzed on a title-by-title basis and may change in the future. For example, we expect the entire sales price from our upcoming </w:t>
      </w:r>
      <w:r>
        <w:rPr>
          <w:rFonts w:ascii="Arial" w:cs="Arial" w:eastAsia="Arial" w:hAnsi="Arial"/>
          <w:sz w:val="16"/>
          <w:szCs w:val="16"/>
          <w:i w:val="1"/>
          <w:iCs w:val="1"/>
          <w:color w:val="auto"/>
        </w:rPr>
        <w:t>Call of Duty: Black Ops 4</w:t>
      </w:r>
      <w:r>
        <w:rPr>
          <w:rFonts w:ascii="Arial" w:cs="Arial" w:eastAsia="Arial" w:hAnsi="Arial"/>
          <w:sz w:val="16"/>
          <w:szCs w:val="16"/>
          <w:color w:val="auto"/>
        </w:rPr>
        <w:t xml:space="preserve"> release to be recognized ratably over an estimated service period, as the gameplay will have an increased focus towards the online competitive and cooperative game modes with no single-player campaign mode. Many of our other franchises, such as Destiny, Overwatch, World of Warcraft, and Candy Crush, are online hosted arrangements, and the accounting for our sales of these games under the new standard is relatively unchanged; and</w:t>
      </w:r>
    </w:p>
    <w:p>
      <w:pPr>
        <w:spacing w:after="0" w:line="172" w:lineRule="exact"/>
        <w:rPr>
          <w:rFonts w:ascii="Arial" w:cs="Arial" w:eastAsia="Arial" w:hAnsi="Arial"/>
          <w:sz w:val="16"/>
          <w:szCs w:val="16"/>
          <w:color w:val="auto"/>
        </w:rPr>
      </w:pPr>
    </w:p>
    <w:p>
      <w:pPr>
        <w:ind w:left="980" w:right="180" w:hanging="324"/>
        <w:spacing w:after="0" w:line="286" w:lineRule="auto"/>
        <w:tabs>
          <w:tab w:leader="none" w:pos="944"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The accounting for certain of our software licensing arrangements. </w:t>
      </w:r>
      <w:r>
        <w:rPr>
          <w:rFonts w:ascii="Arial" w:cs="Arial" w:eastAsia="Arial" w:hAnsi="Arial"/>
          <w:sz w:val="17"/>
          <w:szCs w:val="17"/>
          <w:color w:val="auto"/>
        </w:rPr>
        <w:t>While the impact of the new revenue accounting standard may differ on a</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contract-by-contract basis (as the actual revenue recognition treatment required under the standard will depend on contract-specific terms), the new revenue accounting standard generally results in earlier revenue recognition for these arrangements.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Adoption of the new revenue accounting standard impacted our condensed consolidated statement of operations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2018, and our condensed consolidated balance sheet as of June 30, 2018 as follows (in millions, except per share data):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520" w:type="dxa"/>
            <w:vAlign w:val="bottom"/>
            <w:gridSpan w:val="8"/>
          </w:tcPr>
          <w:p>
            <w:pPr>
              <w:jc w:val="center"/>
              <w:ind w:right="380"/>
              <w:spacing w:after="0"/>
              <w:rPr>
                <w:sz w:val="20"/>
                <w:szCs w:val="20"/>
                <w:color w:val="auto"/>
              </w:rPr>
            </w:pPr>
            <w:r>
              <w:rPr>
                <w:rFonts w:ascii="Arial" w:cs="Arial" w:eastAsia="Arial" w:hAnsi="Arial"/>
                <w:sz w:val="14"/>
                <w:szCs w:val="14"/>
                <w:b w:val="1"/>
                <w:bCs w:val="1"/>
                <w:color w:val="auto"/>
                <w:w w:val="93"/>
              </w:rPr>
              <w:t>For the Three Months Ended June 30, 2018</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120"/>
              <w:spacing w:after="0" w:line="119" w:lineRule="exact"/>
              <w:rPr>
                <w:sz w:val="20"/>
                <w:szCs w:val="20"/>
                <w:color w:val="auto"/>
              </w:rPr>
            </w:pPr>
            <w:r>
              <w:rPr>
                <w:rFonts w:ascii="Arial" w:cs="Arial" w:eastAsia="Arial" w:hAnsi="Arial"/>
                <w:sz w:val="13"/>
                <w:szCs w:val="13"/>
                <w:b w:val="1"/>
                <w:bCs w:val="1"/>
                <w:color w:val="auto"/>
                <w:w w:val="94"/>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2"/>
              </w:rPr>
              <w:t>Under new</w:t>
            </w:r>
          </w:p>
        </w:tc>
        <w:tc>
          <w:tcPr>
            <w:tcW w:w="260" w:type="dxa"/>
            <w:vAlign w:val="bottom"/>
          </w:tcPr>
          <w:p>
            <w:pPr>
              <w:spacing w:after="0"/>
              <w:rPr>
                <w:sz w:val="12"/>
                <w:szCs w:val="12"/>
                <w:color w:val="auto"/>
              </w:rPr>
            </w:pPr>
          </w:p>
        </w:tc>
        <w:tc>
          <w:tcPr>
            <w:tcW w:w="13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4"/>
              </w:rPr>
              <w:t>Under old</w:t>
            </w: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(decrease) due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adoption of new</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revenue</w:t>
            </w:r>
          </w:p>
        </w:tc>
        <w:tc>
          <w:tcPr>
            <w:tcW w:w="26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revenue</w:t>
            </w: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revenue</w:t>
            </w:r>
          </w:p>
        </w:tc>
        <w:tc>
          <w:tcPr>
            <w:tcW w:w="0" w:type="dxa"/>
            <w:vAlign w:val="bottom"/>
          </w:tcPr>
          <w:p>
            <w:pPr>
              <w:spacing w:after="0"/>
              <w:rPr>
                <w:sz w:val="1"/>
                <w:szCs w:val="1"/>
                <w:color w:val="auto"/>
              </w:rPr>
            </w:pPr>
          </w:p>
        </w:tc>
      </w:tr>
      <w:tr>
        <w:trPr>
          <w:trHeight w:val="149"/>
        </w:trPr>
        <w:tc>
          <w:tcPr>
            <w:tcW w:w="6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Condensed Consolidated Statement of Operations:</w:t>
            </w:r>
          </w:p>
        </w:tc>
        <w:tc>
          <w:tcPr>
            <w:tcW w:w="260" w:type="dxa"/>
            <w:vAlign w:val="bottom"/>
          </w:tcPr>
          <w:p>
            <w:pPr>
              <w:spacing w:after="0"/>
              <w:rPr>
                <w:sz w:val="12"/>
                <w:szCs w:val="12"/>
                <w:color w:val="auto"/>
              </w:rPr>
            </w:pPr>
          </w:p>
        </w:tc>
        <w:tc>
          <w:tcPr>
            <w:tcW w:w="14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accounting</w:t>
            </w:r>
          </w:p>
        </w:tc>
        <w:tc>
          <w:tcPr>
            <w:tcW w:w="26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accounting</w:t>
            </w: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accounting</w:t>
            </w:r>
          </w:p>
        </w:tc>
        <w:tc>
          <w:tcPr>
            <w:tcW w:w="0" w:type="dxa"/>
            <w:vAlign w:val="bottom"/>
          </w:tcPr>
          <w:p>
            <w:pPr>
              <w:spacing w:after="0"/>
              <w:rPr>
                <w:sz w:val="1"/>
                <w:szCs w:val="1"/>
                <w:color w:val="auto"/>
              </w:rPr>
            </w:pPr>
          </w:p>
        </w:tc>
      </w:tr>
      <w:tr>
        <w:trPr>
          <w:trHeight w:val="171"/>
        </w:trPr>
        <w:tc>
          <w:tcPr>
            <w:tcW w:w="66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standard</w:t>
            </w:r>
          </w:p>
        </w:tc>
        <w:tc>
          <w:tcPr>
            <w:tcW w:w="260" w:type="dxa"/>
            <w:vAlign w:val="bottom"/>
          </w:tcPr>
          <w:p>
            <w:pPr>
              <w:spacing w:after="0"/>
              <w:rPr>
                <w:sz w:val="14"/>
                <w:szCs w:val="14"/>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standards</w:t>
            </w:r>
          </w:p>
        </w:tc>
        <w:tc>
          <w:tcPr>
            <w:tcW w:w="2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standard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Product sales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464</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522</w:t>
            </w:r>
          </w:p>
        </w:tc>
        <w:tc>
          <w:tcPr>
            <w:tcW w:w="2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Subscription, licensing, and other revenues</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1,177</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1,181</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Total net revenues</w:t>
            </w:r>
          </w:p>
        </w:tc>
        <w:tc>
          <w:tcPr>
            <w:tcW w:w="26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1,641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1,703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 of revenues—product sales: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Product costs</w:t>
            </w:r>
          </w:p>
        </w:tc>
        <w:tc>
          <w:tcPr>
            <w:tcW w:w="26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126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136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Software royalties, amortization, and intellectual property licenses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11" w:name="page12"/>
    <w:bookmarkEnd w:id="1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360" w:type="dxa"/>
            <w:vAlign w:val="bottom"/>
            <w:gridSpan w:val="2"/>
          </w:tcPr>
          <w:p>
            <w:pPr>
              <w:ind w:left="160"/>
              <w:spacing w:after="0"/>
              <w:rPr>
                <w:sz w:val="20"/>
                <w:szCs w:val="20"/>
                <w:color w:val="auto"/>
              </w:rPr>
            </w:pPr>
            <w:r>
              <w:rPr>
                <w:rFonts w:ascii="Arial" w:cs="Arial" w:eastAsia="Arial" w:hAnsi="Arial"/>
                <w:sz w:val="18"/>
                <w:szCs w:val="18"/>
                <w:color w:val="auto"/>
              </w:rPr>
              <w:t>Cost of revenues—subscription, licensing, and other revenues:</w:t>
            </w: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Game operations and distribution costs</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w w:val="95"/>
              </w:rPr>
              <w:t>Software royalties, amortization, and intellectual property licenses</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Product development</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ind w:left="160"/>
              <w:spacing w:after="0"/>
              <w:rPr>
                <w:sz w:val="20"/>
                <w:szCs w:val="20"/>
                <w:color w:val="auto"/>
              </w:rPr>
            </w:pPr>
            <w:r>
              <w:rPr>
                <w:rFonts w:ascii="Arial" w:cs="Arial" w:eastAsia="Arial" w:hAnsi="Arial"/>
                <w:sz w:val="18"/>
                <w:szCs w:val="18"/>
                <w:color w:val="auto"/>
              </w:rPr>
              <w:t>Sales and marketing</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226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216</w:t>
            </w:r>
          </w:p>
        </w:tc>
        <w:tc>
          <w:tcPr>
            <w:tcW w:w="2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costs and expenses</w:t>
            </w:r>
          </w:p>
        </w:tc>
        <w:tc>
          <w:tcPr>
            <w:tcW w:w="9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1,207</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1,224</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434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479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Income before income tax expense</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408</w:t>
            </w:r>
          </w:p>
        </w:tc>
        <w:tc>
          <w:tcPr>
            <w:tcW w:w="2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453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income</w:t>
            </w:r>
          </w:p>
        </w:tc>
        <w:tc>
          <w:tcPr>
            <w:tcW w:w="96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402</w:t>
            </w:r>
          </w:p>
        </w:tc>
        <w:tc>
          <w:tcPr>
            <w:tcW w:w="2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436</w:t>
            </w: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Earnings per common share</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0.53</w:t>
            </w:r>
          </w:p>
        </w:tc>
        <w:tc>
          <w:tcPr>
            <w:tcW w:w="2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0.57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0.52</w:t>
            </w:r>
          </w:p>
        </w:tc>
        <w:tc>
          <w:tcPr>
            <w:tcW w:w="280" w:type="dxa"/>
            <w:vAlign w:val="bottom"/>
          </w:tcPr>
          <w:p>
            <w:pPr>
              <w:spacing w:after="0"/>
              <w:rPr>
                <w:sz w:val="20"/>
                <w:szCs w:val="20"/>
                <w:color w:val="auto"/>
              </w:rPr>
            </w:pPr>
          </w:p>
        </w:tc>
        <w:tc>
          <w:tcPr>
            <w:tcW w:w="28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0.57</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960" w:type="dxa"/>
            <w:vAlign w:val="bottom"/>
          </w:tcPr>
          <w:p>
            <w:pPr>
              <w:jc w:val="right"/>
              <w:ind w:right="45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410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53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4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20" w:type="dxa"/>
            <w:vAlign w:val="bottom"/>
            <w:gridSpan w:val="11"/>
          </w:tcPr>
          <w:p>
            <w:pPr>
              <w:jc w:val="center"/>
              <w:ind w:right="380"/>
              <w:spacing w:after="0"/>
              <w:rPr>
                <w:sz w:val="20"/>
                <w:szCs w:val="20"/>
                <w:color w:val="auto"/>
              </w:rPr>
            </w:pPr>
            <w:r>
              <w:rPr>
                <w:rFonts w:ascii="Arial" w:cs="Arial" w:eastAsia="Arial" w:hAnsi="Arial"/>
                <w:sz w:val="14"/>
                <w:szCs w:val="14"/>
                <w:b w:val="1"/>
                <w:bCs w:val="1"/>
                <w:color w:val="auto"/>
                <w:w w:val="93"/>
              </w:rPr>
              <w:t>For the Six Months Ended June 30, 2018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94"/>
              <w:spacing w:after="0" w:line="119" w:lineRule="exact"/>
              <w:rPr>
                <w:sz w:val="20"/>
                <w:szCs w:val="20"/>
                <w:color w:val="auto"/>
              </w:rPr>
            </w:pPr>
            <w:r>
              <w:rPr>
                <w:rFonts w:ascii="Arial" w:cs="Arial" w:eastAsia="Arial" w:hAnsi="Arial"/>
                <w:sz w:val="13"/>
                <w:szCs w:val="13"/>
                <w:b w:val="1"/>
                <w:bCs w:val="1"/>
                <w:color w:val="auto"/>
                <w:w w:val="98"/>
              </w:rPr>
              <w:t>Increase</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2"/>
              </w:rPr>
              <w:t>Under new</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4"/>
              </w:rPr>
              <w:t>Under old</w:t>
            </w:r>
          </w:p>
        </w:tc>
        <w:tc>
          <w:tcPr>
            <w:tcW w:w="20" w:type="dxa"/>
            <w:vAlign w:val="bottom"/>
          </w:tcPr>
          <w:p>
            <w:pPr>
              <w:spacing w:after="0"/>
              <w:rPr>
                <w:sz w:val="12"/>
                <w:szCs w:val="12"/>
                <w:color w:val="auto"/>
              </w:rPr>
            </w:pPr>
          </w:p>
        </w:tc>
        <w:tc>
          <w:tcPr>
            <w:tcW w:w="14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(decrease) due to</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adoption of new</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revenue</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revenue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revenue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Condensed Consolidated Statement of Operations:</w:t>
            </w: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accounting</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accounting</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accounting</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80" w:type="dxa"/>
            <w:vAlign w:val="bottom"/>
            <w:gridSpan w:val="3"/>
            <w:vMerge w:val="continue"/>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standard</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9"/>
              </w:rPr>
              <w:t>standards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standard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9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ind w:left="160"/>
              <w:spacing w:after="0"/>
              <w:rPr>
                <w:sz w:val="20"/>
                <w:szCs w:val="20"/>
                <w:color w:val="auto"/>
              </w:rPr>
            </w:pPr>
            <w:r>
              <w:rPr>
                <w:rFonts w:ascii="Arial" w:cs="Arial" w:eastAsia="Arial" w:hAnsi="Arial"/>
                <w:sz w:val="18"/>
                <w:szCs w:val="18"/>
                <w:color w:val="auto"/>
              </w:rPr>
              <w:t>Product sales</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1,184</w:t>
            </w:r>
          </w:p>
        </w:tc>
        <w:tc>
          <w:tcPr>
            <w:tcW w:w="2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1,324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Subscription, licensing, and other revenues</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2,423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w:t>
            </w: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Total net revenues</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3,607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3,743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 of revenues—product sales:</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rPr>
              <w:t>Product costs</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289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5"/>
              </w:rPr>
              <w:t>Software royalties, amortization, and intellectual property licenses</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ind w:left="160"/>
              <w:spacing w:after="0"/>
              <w:rPr>
                <w:sz w:val="20"/>
                <w:szCs w:val="20"/>
                <w:color w:val="auto"/>
              </w:rPr>
            </w:pPr>
            <w:r>
              <w:rPr>
                <w:rFonts w:ascii="Arial" w:cs="Arial" w:eastAsia="Arial" w:hAnsi="Arial"/>
                <w:sz w:val="18"/>
                <w:szCs w:val="18"/>
                <w:color w:val="auto"/>
              </w:rPr>
              <w:t>Cost of revenues—subscription, licensing, and other revenues:</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Game operations and distribution costs</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w w:val="95"/>
              </w:rPr>
              <w:t>Software royalties, amortization, and intellectual property licenses</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Product development</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513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ind w:left="160"/>
              <w:spacing w:after="0"/>
              <w:rPr>
                <w:sz w:val="20"/>
                <w:szCs w:val="20"/>
                <w:color w:val="auto"/>
              </w:rPr>
            </w:pPr>
            <w:r>
              <w:rPr>
                <w:rFonts w:ascii="Arial" w:cs="Arial" w:eastAsia="Arial" w:hAnsi="Arial"/>
                <w:sz w:val="18"/>
                <w:szCs w:val="18"/>
                <w:color w:val="auto"/>
              </w:rPr>
              <w:t>Sales and marketing</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477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costs and expenses</w:t>
            </w:r>
          </w:p>
        </w:tc>
        <w:tc>
          <w:tcPr>
            <w:tcW w:w="9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2,578</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2,615</w:t>
            </w:r>
          </w:p>
        </w:tc>
        <w:tc>
          <w:tcPr>
            <w:tcW w:w="20" w:type="dxa"/>
            <w:vAlign w:val="bottom"/>
            <w:tcBorders>
              <w:top w:val="single" w:sz="8" w:color="auto"/>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1,029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Income before income tax expense</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975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income</w:t>
            </w:r>
          </w:p>
        </w:tc>
        <w:tc>
          <w:tcPr>
            <w:tcW w:w="96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902</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Earnings per common share</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1.19</w:t>
            </w:r>
          </w:p>
        </w:tc>
        <w:tc>
          <w:tcPr>
            <w:tcW w:w="2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1.17</w:t>
            </w:r>
          </w:p>
        </w:tc>
        <w:tc>
          <w:tcPr>
            <w:tcW w:w="28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960" w:type="dxa"/>
            <w:vAlign w:val="bottom"/>
          </w:tcPr>
          <w:p>
            <w:pPr>
              <w:jc w:val="right"/>
              <w:ind w:right="450"/>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410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53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4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2"/>
              </w:rPr>
              <w:t>At June 30, 2018</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jc w:val="center"/>
              <w:ind w:right="114"/>
              <w:spacing w:after="0" w:line="119" w:lineRule="exact"/>
              <w:rPr>
                <w:sz w:val="20"/>
                <w:szCs w:val="20"/>
                <w:color w:val="auto"/>
              </w:rPr>
            </w:pPr>
            <w:r>
              <w:rPr>
                <w:rFonts w:ascii="Arial" w:cs="Arial" w:eastAsia="Arial" w:hAnsi="Arial"/>
                <w:sz w:val="13"/>
                <w:szCs w:val="13"/>
                <w:b w:val="1"/>
                <w:bCs w:val="1"/>
                <w:color w:val="auto"/>
                <w:w w:val="94"/>
              </w:rPr>
              <w:t>Increase</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2"/>
              </w:rPr>
              <w:t>Under new</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4"/>
              </w:rPr>
              <w:t>Under old</w:t>
            </w:r>
          </w:p>
        </w:tc>
        <w:tc>
          <w:tcPr>
            <w:tcW w:w="20" w:type="dxa"/>
            <w:vAlign w:val="bottom"/>
          </w:tcPr>
          <w:p>
            <w:pPr>
              <w:spacing w:after="0"/>
              <w:rPr>
                <w:sz w:val="12"/>
                <w:szCs w:val="12"/>
                <w:color w:val="auto"/>
              </w:rPr>
            </w:pPr>
          </w:p>
        </w:tc>
        <w:tc>
          <w:tcPr>
            <w:tcW w:w="14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(decrease) due to</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adoption of new</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revenue</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revenue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revenue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Condensed Consolidated Balance Sheet:</w:t>
            </w: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accounting</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accounting</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accounting</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80" w:type="dxa"/>
            <w:vAlign w:val="bottom"/>
            <w:gridSpan w:val="3"/>
            <w:vMerge w:val="continue"/>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standard</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9"/>
              </w:rPr>
              <w:t>standards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standard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418</w:t>
            </w:r>
          </w:p>
        </w:tc>
        <w:tc>
          <w:tcPr>
            <w:tcW w:w="280" w:type="dxa"/>
            <w:vAlign w:val="bottom"/>
          </w:tcPr>
          <w:p>
            <w:pPr>
              <w:spacing w:after="0"/>
              <w:rPr>
                <w:sz w:val="18"/>
                <w:szCs w:val="18"/>
                <w:color w:val="auto"/>
              </w:rPr>
            </w:pPr>
          </w:p>
        </w:tc>
        <w:tc>
          <w:tcPr>
            <w:tcW w:w="28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414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Software development</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503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515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income taxes, net</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ind w:left="160"/>
              <w:spacing w:after="0"/>
              <w:rPr>
                <w:sz w:val="20"/>
                <w:szCs w:val="20"/>
                <w:color w:val="auto"/>
              </w:rPr>
            </w:pPr>
            <w:r>
              <w:rPr>
                <w:rFonts w:ascii="Arial" w:cs="Arial" w:eastAsia="Arial" w:hAnsi="Arial"/>
                <w:sz w:val="18"/>
                <w:szCs w:val="18"/>
                <w:color w:val="auto"/>
              </w:rPr>
              <w:t>Other assets</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415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412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revenues</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832</w:t>
            </w:r>
          </w:p>
        </w:tc>
        <w:tc>
          <w:tcPr>
            <w:tcW w:w="2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872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3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96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1,061</w:t>
            </w: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1,069</w:t>
            </w: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-7781290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-7781290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-2601595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-2601595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5" w:right="199" w:bottom="0" w:gutter="0" w:footer="0" w:header="0"/>
        </w:sectPr>
      </w:pPr>
    </w:p>
    <w:bookmarkStart w:id="12" w:name="page13"/>
    <w:bookmarkEnd w:id="12"/>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39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1,145</w:t>
            </w:r>
          </w:p>
        </w:tc>
        <w:tc>
          <w:tcPr>
            <w:tcW w:w="182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1,139</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w:t>
            </w:r>
          </w:p>
        </w:tc>
      </w:tr>
      <w:tr>
        <w:trPr>
          <w:trHeight w:val="230"/>
        </w:trPr>
        <w:tc>
          <w:tcPr>
            <w:tcW w:w="4560" w:type="dxa"/>
            <w:vAlign w:val="bottom"/>
          </w:tcPr>
          <w:p>
            <w:pPr>
              <w:ind w:left="180"/>
              <w:spacing w:after="0"/>
              <w:rPr>
                <w:sz w:val="20"/>
                <w:szCs w:val="20"/>
                <w:color w:val="auto"/>
              </w:rPr>
            </w:pPr>
            <w:r>
              <w:rPr>
                <w:rFonts w:ascii="Arial" w:cs="Arial" w:eastAsia="Arial" w:hAnsi="Arial"/>
                <w:sz w:val="18"/>
                <w:szCs w:val="18"/>
                <w:color w:val="auto"/>
              </w:rPr>
              <w:t>Shareholders’ equity</w:t>
            </w:r>
          </w:p>
        </w:tc>
        <w:tc>
          <w:tcPr>
            <w:tcW w:w="3920" w:type="dxa"/>
            <w:vAlign w:val="bottom"/>
          </w:tcPr>
          <w:p>
            <w:pPr>
              <w:jc w:val="right"/>
              <w:ind w:right="470"/>
              <w:spacing w:after="0"/>
              <w:rPr>
                <w:sz w:val="20"/>
                <w:szCs w:val="20"/>
                <w:color w:val="auto"/>
              </w:rPr>
            </w:pPr>
            <w:r>
              <w:rPr>
                <w:rFonts w:ascii="Arial" w:cs="Arial" w:eastAsia="Arial" w:hAnsi="Arial"/>
                <w:sz w:val="18"/>
                <w:szCs w:val="18"/>
                <w:color w:val="auto"/>
              </w:rPr>
              <w:t>10,346</w:t>
            </w:r>
          </w:p>
        </w:tc>
        <w:tc>
          <w:tcPr>
            <w:tcW w:w="1820" w:type="dxa"/>
            <w:vAlign w:val="bottom"/>
          </w:tcPr>
          <w:p>
            <w:pPr>
              <w:jc w:val="right"/>
              <w:ind w:right="650"/>
              <w:spacing w:after="0"/>
              <w:rPr>
                <w:sz w:val="20"/>
                <w:szCs w:val="20"/>
                <w:color w:val="auto"/>
              </w:rPr>
            </w:pPr>
            <w:r>
              <w:rPr>
                <w:rFonts w:ascii="Arial" w:cs="Arial" w:eastAsia="Arial" w:hAnsi="Arial"/>
                <w:sz w:val="18"/>
                <w:szCs w:val="18"/>
                <w:color w:val="auto"/>
              </w:rPr>
              <w:t>10,331</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15</w:t>
            </w:r>
          </w:p>
        </w:tc>
      </w:tr>
    </w:tbl>
    <w:p>
      <w:pPr>
        <w:spacing w:after="0" w:line="187" w:lineRule="exact"/>
        <w:rPr>
          <w:sz w:val="20"/>
          <w:szCs w:val="20"/>
          <w:color w:val="auto"/>
        </w:rPr>
      </w:pPr>
    </w:p>
    <w:p>
      <w:pPr>
        <w:ind w:right="780" w:firstLine="405"/>
        <w:spacing w:after="0" w:line="277" w:lineRule="auto"/>
        <w:rPr>
          <w:sz w:val="20"/>
          <w:szCs w:val="20"/>
          <w:color w:val="auto"/>
        </w:rPr>
      </w:pPr>
      <w:r>
        <w:rPr>
          <w:rFonts w:ascii="Arial" w:cs="Arial" w:eastAsia="Arial" w:hAnsi="Arial"/>
          <w:sz w:val="18"/>
          <w:szCs w:val="18"/>
          <w:color w:val="auto"/>
        </w:rPr>
        <w:t>Adoption of the new revenue accounting standard had no impact to net cash from or used in operating, investing, or financing activities in our condensed consolidated statement of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25"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In January 2016, the FASB issued new guidance related to the recognition and measurement of financial assets and financial liabilities. The new standard, among other things, generally requires companies to measure investments in other entities, except those accounted for under the equity method, at fair value and to recognize any changes in fair value in net income. The new standard also simplifies the impairment assessment of equity investments without readily determinable fair values. The new standard is effective for fiscal years beginning after December 15, 2017, and the guidance should be applied by means of a cumulative-effect adjustment to the balance sheet as of the beginning of the fiscal year of adoption. The guidance related to equity investments without readily determinable fair values (including disclosure requirements) is applied prospectively to equity investments that exist as of the date of adoption. We adopted the new standard during the first quarter of 2018 and it did not have a material impact on our condensed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of Cash Flows-Restricted Cash</w:t>
      </w:r>
    </w:p>
    <w:p>
      <w:pPr>
        <w:spacing w:after="0" w:line="225"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In November 2016, the FASB issued new guidance related to the classification of restricted cash in the statement of cash flows. The new standard requires that a statement of cash flows explain any change during the period in total cash, cash equivalents, and restricted cash. Therefore, restricted cash will be included with “Cash and cash equivalents” when reconciling the beginning-of-period and end-of-period total amounts shown on the statement of cash flows. The new standard is effective for fiscal years beginning after December 15, 2017, and should be applied retrospectively. Early adoption is permitted.</w:t>
      </w:r>
    </w:p>
    <w:p>
      <w:pPr>
        <w:spacing w:after="0" w:line="154" w:lineRule="exact"/>
        <w:rPr>
          <w:sz w:val="20"/>
          <w:szCs w:val="20"/>
          <w:color w:val="auto"/>
        </w:rPr>
      </w:pPr>
    </w:p>
    <w:p>
      <w:pPr>
        <w:ind w:right="200" w:firstLine="405"/>
        <w:spacing w:after="0" w:line="342" w:lineRule="auto"/>
        <w:rPr>
          <w:sz w:val="20"/>
          <w:szCs w:val="20"/>
          <w:color w:val="auto"/>
        </w:rPr>
      </w:pPr>
      <w:r>
        <w:rPr>
          <w:rFonts w:ascii="Arial" w:cs="Arial" w:eastAsia="Arial" w:hAnsi="Arial"/>
          <w:sz w:val="16"/>
          <w:szCs w:val="16"/>
          <w:color w:val="auto"/>
        </w:rPr>
        <w:t>We adopted the new standard during the first quarter of 2018 and applied the standard retrospectively for all periods presented. The application of this new standard did not have a material impact on our condensed consolidated statements of cash flows for the six months ended June 30, 2018 and 2017.</w:t>
      </w:r>
    </w:p>
    <w:p>
      <w:pPr>
        <w:spacing w:after="0" w:line="124"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In our Annual Report on Form 10-K for the year ending December 31, 2018, there will be a significant impact to the consolidated statements of cash flows for 2016, as this period includes, as an investing activity, the $3.6 billion movement in restricted cash resulting from the transfer of cash into escrow at December 31, 2015 to facilitate the acquisition of King, and the subsequent release of that cash in 2016 to complete the acquisition. Under this new standard, the restricted cash balance will be included in the beginning and ending total cash, cash equivalents, and restricted cash balances and, hence, will not be included as an investing activity in the statement of cash flows.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and Hedging</w:t>
      </w:r>
    </w:p>
    <w:p>
      <w:pPr>
        <w:spacing w:after="0" w:line="225"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In August 2017, the FASB issued new guidance related to the accounting for derivatives and hedging. The new guidance expands and refines hedge accounting for both financial and non-financial risk components, aligns the recognition and presentation of the effects of hedging instruments and hedged items in the financial statements, and includes certain targeted improvements to ease the application of current guidance related to the assessment of a hedge’s effectiveness. The new standard is effective for fiscal years beginning after December 15, 2018. Early adoption is permitted. We adopted the standard during the first quarter of 2018. The adoption of the standard did not have a material impact to our condensed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In February 2016, the FASB issued new guidance related to the accounting for leases. The new standard will replace all current U.S. GAAP guidance on this topic. The new standard, among other things, requires a lessee to classify a lease as either an operating or financing lease, and to recognize a lease liability and a right-of-use asset for its leases. Classification will be based on criteria that are largely similar to those applied in current lease accounting. The lease liability will be equal to the present value of lease payments. The asset will be based on the lease liability, subject to adjustment for initial direct costs, lease incentives received, and any prepaid lease payments. Operating leases will result in a straight-line expense pattern, while finance leases will result in a front-loaded expense pattern. The standard is effective for fiscal years, and interim periods within those fiscal years, beginning after December 15, 2018. Early adoption is permitted. The new standard must be adopted using a modified retrospective transition and will require application of the new guidance at the beginning of the earliest comparative period presented, with certain transition practical expedients available to provide relief in adopting the new standard. We are evaluating the impact of this new accounting guidance on our financial statements, but expect it to have a significant impact to our consolidated balance sheet as a result of establishing lease liabilities and right-of-use assets for our operating leases. We do not plan to early adopt this new standard but do expect to elect and apply the available transition practical expedients upon adoption.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In January 2017, the FASB issued new guidance which eliminates Step 2 from the goodwill impairment test. Instead, if an entity forgoes a Step 0 test, an entity will be required to perform its annual or interim goodwill impairment test by comparing the fair value of a reporting unit, as determined in Step 1 from the goodwill impairment test, with its carrying amount and recognize an impairment charge, if any, for the amount by which the carrying amount exceeds the reporting unit’s fair value, not to exceed the total amount of goodwill allocated to the reporting unit. The new standard is effective for fiscal years beginning after December 15, 2019, and should be applied prospectively. Early adoption is permitted. The effect of adoption should be reflected as of the beginning of the fiscal year of adoption. We are evaluating the impact, if any, of adopting this new accounting guidance on our consolidated financial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420"/>
          </w:cols>
          <w:pgMar w:left="240" w:top="140"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51" w:orient="portrait"/>
          <w:cols w:equalWidth="0" w:num="1">
            <w:col w:w="11420"/>
          </w:cols>
          <w:pgMar w:left="240" w:top="140" w:right="239" w:bottom="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4.</w:t>
            </w:r>
          </w:p>
        </w:tc>
        <w:tc>
          <w:tcPr>
            <w:tcW w:w="7340" w:type="dxa"/>
            <w:vAlign w:val="bottom"/>
          </w:tcPr>
          <w:p>
            <w:pPr>
              <w:ind w:left="440"/>
              <w:spacing w:after="0"/>
              <w:rPr>
                <w:sz w:val="20"/>
                <w:szCs w:val="20"/>
                <w:color w:val="auto"/>
              </w:rPr>
            </w:pPr>
            <w:r>
              <w:rPr>
                <w:rFonts w:ascii="Arial" w:cs="Arial" w:eastAsia="Arial" w:hAnsi="Arial"/>
                <w:sz w:val="18"/>
                <w:szCs w:val="18"/>
                <w:b w:val="1"/>
                <w:bCs w:val="1"/>
                <w:color w:val="auto"/>
              </w:rPr>
              <w:t>Inventories, Net</w:t>
            </w: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80" w:type="dxa"/>
            <w:vAlign w:val="bottom"/>
          </w:tcPr>
          <w:p>
            <w:pPr>
              <w:spacing w:after="0"/>
              <w:rPr>
                <w:sz w:val="24"/>
                <w:szCs w:val="24"/>
                <w:color w:val="auto"/>
              </w:rPr>
            </w:pPr>
          </w:p>
        </w:tc>
        <w:tc>
          <w:tcPr>
            <w:tcW w:w="7340" w:type="dxa"/>
            <w:vAlign w:val="bottom"/>
          </w:tcPr>
          <w:p>
            <w:pPr>
              <w:ind w:left="140"/>
              <w:spacing w:after="0"/>
              <w:rPr>
                <w:sz w:val="20"/>
                <w:szCs w:val="20"/>
                <w:color w:val="auto"/>
              </w:rPr>
            </w:pPr>
            <w:r>
              <w:rPr>
                <w:rFonts w:ascii="Arial" w:cs="Arial" w:eastAsia="Arial" w:hAnsi="Arial"/>
                <w:sz w:val="18"/>
                <w:szCs w:val="18"/>
                <w:color w:val="auto"/>
              </w:rPr>
              <w:t>Inventories, net, consist of the following (amounts in millions):</w:t>
            </w: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28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At June 30, 2018</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gridSpan w:val="3"/>
          </w:tcPr>
          <w:p>
            <w:pPr>
              <w:ind w:left="160"/>
              <w:spacing w:after="0"/>
              <w:rPr>
                <w:sz w:val="20"/>
                <w:szCs w:val="20"/>
                <w:color w:val="auto"/>
              </w:rPr>
            </w:pPr>
            <w:r>
              <w:rPr>
                <w:rFonts w:ascii="Arial" w:cs="Arial" w:eastAsia="Arial" w:hAnsi="Arial"/>
                <w:sz w:val="14"/>
                <w:szCs w:val="14"/>
                <w:b w:val="1"/>
                <w:bCs w:val="1"/>
                <w:color w:val="auto"/>
              </w:rPr>
              <w:t>At December 31, 2017</w:t>
            </w:r>
          </w:p>
        </w:tc>
      </w:tr>
      <w:tr>
        <w:trPr>
          <w:trHeight w:val="210"/>
        </w:trPr>
        <w:tc>
          <w:tcPr>
            <w:tcW w:w="7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400" w:type="dxa"/>
            <w:vAlign w:val="bottom"/>
            <w:tcBorders>
              <w:top w:val="single" w:sz="8" w:color="auto"/>
            </w:tcBorders>
            <w:shd w:val="clear" w:color="auto" w:fill="CCEEFF"/>
          </w:tcPr>
          <w:p>
            <w:pPr>
              <w:jc w:val="right"/>
              <w:ind w:right="1136"/>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33</w:t>
            </w:r>
          </w:p>
        </w:tc>
        <w:tc>
          <w:tcPr>
            <w:tcW w:w="3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516"/>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Purchased parts and components</w:t>
            </w:r>
          </w:p>
        </w:tc>
        <w:tc>
          <w:tcPr>
            <w:tcW w:w="14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8"/>
                <w:szCs w:val="18"/>
                <w:color w:val="auto"/>
              </w:rPr>
            </w:pPr>
          </w:p>
        </w:tc>
      </w:tr>
      <w:tr>
        <w:trPr>
          <w:trHeight w:val="210"/>
        </w:trPr>
        <w:tc>
          <w:tcPr>
            <w:tcW w:w="7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1400" w:type="dxa"/>
            <w:vAlign w:val="bottom"/>
            <w:tcBorders>
              <w:bottom w:val="single" w:sz="8" w:color="auto"/>
            </w:tcBorders>
            <w:shd w:val="clear" w:color="auto" w:fill="CCEEFF"/>
          </w:tcPr>
          <w:p>
            <w:pPr>
              <w:jc w:val="right"/>
              <w:ind w:right="1136"/>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36</w:t>
            </w:r>
          </w:p>
        </w:tc>
        <w:tc>
          <w:tcPr>
            <w:tcW w:w="3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June 30, 2018 and December 31, 2017, inventory reserves were $32 million and $36 million, respectively.</w:t>
      </w:r>
    </w:p>
    <w:p>
      <w:pPr>
        <w:spacing w:after="0" w:line="221" w:lineRule="exact"/>
        <w:rPr>
          <w:sz w:val="20"/>
          <w:szCs w:val="20"/>
          <w:color w:val="auto"/>
        </w:rPr>
      </w:pPr>
    </w:p>
    <w:p>
      <w:pPr>
        <w:ind w:left="720" w:hanging="712"/>
        <w:spacing w:after="0"/>
        <w:tabs>
          <w:tab w:leader="none" w:pos="7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Software Development and Intellectual Property Licenses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components of our capitalized software development costs (amounts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ind w:left="80"/>
              <w:spacing w:after="0"/>
              <w:rPr>
                <w:sz w:val="20"/>
                <w:szCs w:val="20"/>
                <w:color w:val="auto"/>
              </w:rPr>
            </w:pPr>
            <w:r>
              <w:rPr>
                <w:rFonts w:ascii="Arial" w:cs="Arial" w:eastAsia="Arial" w:hAnsi="Arial"/>
                <w:sz w:val="14"/>
                <w:szCs w:val="14"/>
                <w:b w:val="1"/>
                <w:bCs w:val="1"/>
                <w:color w:val="auto"/>
              </w:rPr>
              <w:t>At June 30, 2018</w:t>
            </w:r>
          </w:p>
        </w:tc>
        <w:tc>
          <w:tcPr>
            <w:tcW w:w="1800" w:type="dxa"/>
            <w:vAlign w:val="bottom"/>
            <w:gridSpan w:val="3"/>
          </w:tcPr>
          <w:p>
            <w:pPr>
              <w:ind w:left="160"/>
              <w:spacing w:after="0"/>
              <w:rPr>
                <w:sz w:val="20"/>
                <w:szCs w:val="20"/>
                <w:color w:val="auto"/>
              </w:rPr>
            </w:pPr>
            <w:r>
              <w:rPr>
                <w:rFonts w:ascii="Arial" w:cs="Arial" w:eastAsia="Arial" w:hAnsi="Arial"/>
                <w:sz w:val="14"/>
                <w:szCs w:val="14"/>
                <w:b w:val="1"/>
                <w:bCs w:val="1"/>
                <w:color w:val="auto"/>
              </w:rPr>
              <w:t>At December 31, 2017</w:t>
            </w:r>
          </w:p>
        </w:tc>
      </w:tr>
      <w:tr>
        <w:trPr>
          <w:trHeight w:val="210"/>
        </w:trPr>
        <w:tc>
          <w:tcPr>
            <w:tcW w:w="7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Internally-developed software costs</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307</w:t>
            </w:r>
          </w:p>
        </w:tc>
        <w:tc>
          <w:tcPr>
            <w:tcW w:w="3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Payments made to third-party software developers</w:t>
            </w: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144</w:t>
            </w:r>
          </w:p>
        </w:tc>
        <w:tc>
          <w:tcPr>
            <w:tcW w:w="3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tcPr>
          <w:p>
            <w:pPr>
              <w:spacing w:after="0"/>
              <w:rPr>
                <w:sz w:val="18"/>
                <w:szCs w:val="18"/>
                <w:color w:val="auto"/>
              </w:rPr>
            </w:pPr>
          </w:p>
        </w:tc>
      </w:tr>
      <w:tr>
        <w:trPr>
          <w:trHeight w:val="210"/>
        </w:trPr>
        <w:tc>
          <w:tcPr>
            <w:tcW w:w="7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software development costs</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451</w:t>
            </w:r>
          </w:p>
        </w:tc>
        <w:tc>
          <w:tcPr>
            <w:tcW w:w="3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2018 and December 31, 2017, capitalized intellectual property licenses were not material.</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Amortization of capitalized software development costs and intellectual property licenses was as follows (amounts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40" w:type="dxa"/>
            <w:vAlign w:val="bottom"/>
            <w:gridSpan w:val="5"/>
          </w:tcPr>
          <w:p>
            <w:pPr>
              <w:ind w:left="80"/>
              <w:spacing w:after="0"/>
              <w:rPr>
                <w:sz w:val="20"/>
                <w:szCs w:val="20"/>
                <w:color w:val="auto"/>
              </w:rPr>
            </w:pPr>
            <w:r>
              <w:rPr>
                <w:rFonts w:ascii="Arial" w:cs="Arial" w:eastAsia="Arial" w:hAnsi="Arial"/>
                <w:sz w:val="14"/>
                <w:szCs w:val="14"/>
                <w:b w:val="1"/>
                <w:bCs w:val="1"/>
                <w:color w:val="auto"/>
              </w:rPr>
              <w:t>For the Three Months Ended June 30,</w:t>
            </w:r>
          </w:p>
        </w:tc>
        <w:tc>
          <w:tcPr>
            <w:tcW w:w="300" w:type="dxa"/>
            <w:vAlign w:val="bottom"/>
          </w:tcPr>
          <w:p>
            <w:pPr>
              <w:spacing w:after="0"/>
              <w:rPr>
                <w:sz w:val="14"/>
                <w:szCs w:val="14"/>
                <w:color w:val="auto"/>
              </w:rPr>
            </w:pPr>
          </w:p>
        </w:tc>
        <w:tc>
          <w:tcPr>
            <w:tcW w:w="2820" w:type="dxa"/>
            <w:vAlign w:val="bottom"/>
            <w:gridSpan w:val="5"/>
          </w:tcPr>
          <w:p>
            <w:pPr>
              <w:ind w:left="120"/>
              <w:spacing w:after="0"/>
              <w:rPr>
                <w:sz w:val="20"/>
                <w:szCs w:val="20"/>
                <w:color w:val="auto"/>
              </w:rPr>
            </w:pPr>
            <w:r>
              <w:rPr>
                <w:rFonts w:ascii="Arial" w:cs="Arial" w:eastAsia="Arial" w:hAnsi="Arial"/>
                <w:sz w:val="14"/>
                <w:szCs w:val="14"/>
                <w:b w:val="1"/>
                <w:bCs w:val="1"/>
                <w:color w:val="auto"/>
              </w:rPr>
              <w:t>For the Six Months Ended June 30,</w:t>
            </w:r>
          </w:p>
        </w:tc>
      </w:tr>
      <w:tr>
        <w:trPr>
          <w:trHeight w:val="142"/>
        </w:trPr>
        <w:tc>
          <w:tcPr>
            <w:tcW w:w="50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62"/>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62"/>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182"/>
        </w:trPr>
        <w:tc>
          <w:tcPr>
            <w:tcW w:w="50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Amortization of capitalized software development costs and</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licenses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79</w:t>
            </w: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209</w:t>
            </w:r>
          </w:p>
        </w:tc>
        <w:tc>
          <w:tcPr>
            <w:tcW w:w="2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ind w:left="720" w:hanging="712"/>
        <w:spacing w:after="0"/>
        <w:tabs>
          <w:tab w:leader="none" w:pos="7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net, consist of the following (amounts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9"/>
          </w:tcPr>
          <w:p>
            <w:pPr>
              <w:jc w:val="center"/>
              <w:ind w:right="520"/>
              <w:spacing w:after="0"/>
              <w:rPr>
                <w:sz w:val="20"/>
                <w:szCs w:val="20"/>
                <w:color w:val="auto"/>
              </w:rPr>
            </w:pPr>
            <w:r>
              <w:rPr>
                <w:rFonts w:ascii="Arial" w:cs="Arial" w:eastAsia="Arial" w:hAnsi="Arial"/>
                <w:sz w:val="14"/>
                <w:szCs w:val="14"/>
                <w:b w:val="1"/>
                <w:bCs w:val="1"/>
                <w:color w:val="auto"/>
                <w:w w:val="92"/>
              </w:rPr>
              <w:t>At June 30, 2018</w:t>
            </w: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66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Estimated useful</w:t>
            </w:r>
          </w:p>
        </w:tc>
        <w:tc>
          <w:tcPr>
            <w:tcW w:w="200" w:type="dxa"/>
            <w:vAlign w:val="bottom"/>
          </w:tcPr>
          <w:p>
            <w:pPr>
              <w:spacing w:after="0"/>
              <w:rPr>
                <w:sz w:val="10"/>
                <w:szCs w:val="10"/>
                <w:color w:val="auto"/>
              </w:rPr>
            </w:pPr>
          </w:p>
        </w:tc>
        <w:tc>
          <w:tcPr>
            <w:tcW w:w="1460" w:type="dxa"/>
            <w:vAlign w:val="bottom"/>
            <w:gridSpan w:val="4"/>
          </w:tcPr>
          <w:p>
            <w:pPr>
              <w:jc w:val="center"/>
              <w:ind w:right="500"/>
              <w:spacing w:after="0" w:line="119" w:lineRule="exact"/>
              <w:rPr>
                <w:sz w:val="20"/>
                <w:szCs w:val="20"/>
                <w:color w:val="auto"/>
              </w:rPr>
            </w:pPr>
            <w:r>
              <w:rPr>
                <w:rFonts w:ascii="Arial" w:cs="Arial" w:eastAsia="Arial" w:hAnsi="Arial"/>
                <w:sz w:val="13"/>
                <w:szCs w:val="13"/>
                <w:b w:val="1"/>
                <w:bCs w:val="1"/>
                <w:color w:val="auto"/>
                <w:w w:val="99"/>
              </w:rPr>
              <w:t>Gross carrying</w:t>
            </w:r>
          </w:p>
        </w:tc>
        <w:tc>
          <w:tcPr>
            <w:tcW w:w="220" w:type="dxa"/>
            <w:vAlign w:val="bottom"/>
          </w:tcPr>
          <w:p>
            <w:pPr>
              <w:spacing w:after="0"/>
              <w:rPr>
                <w:sz w:val="10"/>
                <w:szCs w:val="10"/>
                <w:color w:val="auto"/>
              </w:rPr>
            </w:pPr>
          </w:p>
        </w:tc>
        <w:tc>
          <w:tcPr>
            <w:tcW w:w="1420" w:type="dxa"/>
            <w:vAlign w:val="bottom"/>
            <w:gridSpan w:val="4"/>
          </w:tcPr>
          <w:p>
            <w:pPr>
              <w:ind w:left="40"/>
              <w:spacing w:after="0" w:line="119" w:lineRule="exact"/>
              <w:rPr>
                <w:sz w:val="20"/>
                <w:szCs w:val="20"/>
                <w:color w:val="auto"/>
              </w:rPr>
            </w:pPr>
            <w:r>
              <w:rPr>
                <w:rFonts w:ascii="Arial" w:cs="Arial" w:eastAsia="Arial" w:hAnsi="Arial"/>
                <w:sz w:val="13"/>
                <w:szCs w:val="13"/>
                <w:b w:val="1"/>
                <w:bCs w:val="1"/>
                <w:color w:val="auto"/>
              </w:rPr>
              <w:t>Accumulated</w:t>
            </w:r>
          </w:p>
        </w:tc>
        <w:tc>
          <w:tcPr>
            <w:tcW w:w="240" w:type="dxa"/>
            <w:vAlign w:val="bottom"/>
          </w:tcPr>
          <w:p>
            <w:pPr>
              <w:spacing w:after="0"/>
              <w:rPr>
                <w:sz w:val="10"/>
                <w:szCs w:val="10"/>
                <w:color w:val="auto"/>
              </w:rPr>
            </w:pPr>
          </w:p>
        </w:tc>
        <w:tc>
          <w:tcPr>
            <w:tcW w:w="1120" w:type="dxa"/>
            <w:vAlign w:val="bottom"/>
          </w:tcPr>
          <w:p>
            <w:pPr>
              <w:jc w:val="center"/>
              <w:ind w:right="173"/>
              <w:spacing w:after="0" w:line="119" w:lineRule="exact"/>
              <w:rPr>
                <w:sz w:val="20"/>
                <w:szCs w:val="20"/>
                <w:color w:val="auto"/>
              </w:rPr>
            </w:pPr>
            <w:r>
              <w:rPr>
                <w:rFonts w:ascii="Arial" w:cs="Arial" w:eastAsia="Arial" w:hAnsi="Arial"/>
                <w:sz w:val="13"/>
                <w:szCs w:val="13"/>
                <w:b w:val="1"/>
                <w:bCs w:val="1"/>
                <w:color w:val="auto"/>
              </w:rPr>
              <w:t>Net carrying</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lives</w:t>
            </w:r>
          </w:p>
        </w:tc>
        <w:tc>
          <w:tcPr>
            <w:tcW w:w="200" w:type="dxa"/>
            <w:vAlign w:val="bottom"/>
          </w:tcPr>
          <w:p>
            <w:pPr>
              <w:spacing w:after="0"/>
              <w:rPr>
                <w:sz w:val="14"/>
                <w:szCs w:val="14"/>
                <w:color w:val="auto"/>
              </w:rPr>
            </w:pPr>
          </w:p>
        </w:tc>
        <w:tc>
          <w:tcPr>
            <w:tcW w:w="146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4"/>
                <w:szCs w:val="14"/>
                <w:color w:val="auto"/>
              </w:rPr>
            </w:pPr>
          </w:p>
        </w:tc>
        <w:tc>
          <w:tcPr>
            <w:tcW w:w="1420" w:type="dxa"/>
            <w:vAlign w:val="bottom"/>
            <w:gridSpan w:val="4"/>
          </w:tcPr>
          <w:p>
            <w:pPr>
              <w:ind w:left="6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Acquired definite-lived intangible assets:</w:t>
            </w:r>
          </w:p>
        </w:tc>
        <w:tc>
          <w:tcPr>
            <w:tcW w:w="13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160"/>
              <w:spacing w:after="0"/>
              <w:rPr>
                <w:sz w:val="20"/>
                <w:szCs w:val="20"/>
                <w:color w:val="auto"/>
              </w:rPr>
            </w:pPr>
            <w:r>
              <w:rPr>
                <w:rFonts w:ascii="Arial" w:cs="Arial" w:eastAsia="Arial" w:hAnsi="Arial"/>
                <w:sz w:val="18"/>
                <w:szCs w:val="18"/>
                <w:color w:val="auto"/>
              </w:rPr>
              <w:t>Internally-developed franchises</w:t>
            </w: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3 - 11 years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1,154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(945)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Developed software</w:t>
            </w:r>
          </w:p>
        </w:tc>
        <w:tc>
          <w:tcPr>
            <w:tcW w:w="16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9"/>
              </w:rPr>
              <w:t>2 - 5 years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601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160"/>
              <w:spacing w:after="0"/>
              <w:rPr>
                <w:sz w:val="20"/>
                <w:szCs w:val="20"/>
                <w:color w:val="auto"/>
              </w:rPr>
            </w:pPr>
            <w:r>
              <w:rPr>
                <w:rFonts w:ascii="Arial" w:cs="Arial" w:eastAsia="Arial" w:hAnsi="Arial"/>
                <w:sz w:val="18"/>
                <w:szCs w:val="18"/>
                <w:color w:val="auto"/>
              </w:rPr>
              <w:t>Customer base</w:t>
            </w: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2 years</w:t>
            </w:r>
          </w:p>
        </w:tc>
        <w:tc>
          <w:tcPr>
            <w:tcW w:w="200" w:type="dxa"/>
            <w:vAlign w:val="bottom"/>
          </w:tcPr>
          <w:p>
            <w:pPr>
              <w:spacing w:after="0"/>
              <w:rPr>
                <w:sz w:val="18"/>
                <w:szCs w:val="18"/>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617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Trade names</w:t>
            </w:r>
          </w:p>
        </w:tc>
        <w:tc>
          <w:tcPr>
            <w:tcW w:w="16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8"/>
              </w:rPr>
              <w:t>7 - 10 years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Other</w:t>
            </w:r>
          </w:p>
        </w:tc>
        <w:tc>
          <w:tcPr>
            <w:tcW w:w="1660" w:type="dxa"/>
            <w:vAlign w:val="bottom"/>
            <w:tcBorders>
              <w:bottom w:val="single" w:sz="8" w:color="CCEEFF"/>
            </w:tcBorders>
            <w:gridSpan w:val="2"/>
          </w:tcPr>
          <w:p>
            <w:pPr>
              <w:jc w:val="center"/>
              <w:ind w:right="300"/>
              <w:spacing w:after="0"/>
              <w:rPr>
                <w:sz w:val="20"/>
                <w:szCs w:val="20"/>
                <w:color w:val="auto"/>
              </w:rPr>
            </w:pPr>
            <w:r>
              <w:rPr>
                <w:rFonts w:ascii="Arial" w:cs="Arial" w:eastAsia="Arial" w:hAnsi="Arial"/>
                <w:sz w:val="18"/>
                <w:szCs w:val="18"/>
                <w:color w:val="auto"/>
                <w:w w:val="88"/>
              </w:rPr>
              <w:t>1 - 15 years</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definite-lived intangible assets</w:t>
            </w:r>
          </w:p>
        </w:tc>
        <w:tc>
          <w:tcPr>
            <w:tcW w:w="13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2,445</w:t>
            </w: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indefinite-lived intangible assets: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160"/>
              <w:spacing w:after="0"/>
              <w:rPr>
                <w:sz w:val="20"/>
                <w:szCs w:val="20"/>
                <w:color w:val="auto"/>
              </w:rPr>
            </w:pPr>
            <w:r>
              <w:rPr>
                <w:rFonts w:ascii="Arial" w:cs="Arial" w:eastAsia="Arial" w:hAnsi="Arial"/>
                <w:sz w:val="18"/>
                <w:szCs w:val="18"/>
                <w:color w:val="auto"/>
              </w:rPr>
              <w:t>Activision trademark</w:t>
            </w: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Indefinite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Acquired trade names</w:t>
            </w:r>
          </w:p>
        </w:tc>
        <w:tc>
          <w:tcPr>
            <w:tcW w:w="16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5"/>
              </w:rPr>
              <w:t>Indefinite</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indefinite-lived intangible assets</w:t>
            </w:r>
          </w:p>
        </w:tc>
        <w:tc>
          <w:tcPr>
            <w:tcW w:w="13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13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910</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360" w:type="dxa"/>
            <w:vAlign w:val="bottom"/>
            <w:vMerge w:val="restart"/>
          </w:tcPr>
          <w:p>
            <w:pPr>
              <w:jc w:val="right"/>
              <w:ind w:right="474"/>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372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50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37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9"/>
          </w:tcPr>
          <w:p>
            <w:pPr>
              <w:jc w:val="center"/>
              <w:ind w:right="520"/>
              <w:spacing w:after="0"/>
              <w:rPr>
                <w:sz w:val="20"/>
                <w:szCs w:val="20"/>
                <w:color w:val="auto"/>
              </w:rPr>
            </w:pPr>
            <w:r>
              <w:rPr>
                <w:rFonts w:ascii="Arial" w:cs="Arial" w:eastAsia="Arial" w:hAnsi="Arial"/>
                <w:sz w:val="14"/>
                <w:szCs w:val="14"/>
                <w:b w:val="1"/>
                <w:bCs w:val="1"/>
                <w:color w:val="auto"/>
                <w:w w:val="92"/>
              </w:rPr>
              <w:t>At December 31, 2017</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66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Estimated useful</w:t>
            </w:r>
          </w:p>
        </w:tc>
        <w:tc>
          <w:tcPr>
            <w:tcW w:w="200" w:type="dxa"/>
            <w:vAlign w:val="bottom"/>
          </w:tcPr>
          <w:p>
            <w:pPr>
              <w:spacing w:after="0"/>
              <w:rPr>
                <w:sz w:val="10"/>
                <w:szCs w:val="10"/>
                <w:color w:val="auto"/>
              </w:rPr>
            </w:pPr>
          </w:p>
        </w:tc>
        <w:tc>
          <w:tcPr>
            <w:tcW w:w="1460" w:type="dxa"/>
            <w:vAlign w:val="bottom"/>
            <w:gridSpan w:val="4"/>
          </w:tcPr>
          <w:p>
            <w:pPr>
              <w:jc w:val="center"/>
              <w:ind w:right="500"/>
              <w:spacing w:after="0" w:line="119" w:lineRule="exact"/>
              <w:rPr>
                <w:sz w:val="20"/>
                <w:szCs w:val="20"/>
                <w:color w:val="auto"/>
              </w:rPr>
            </w:pPr>
            <w:r>
              <w:rPr>
                <w:rFonts w:ascii="Arial" w:cs="Arial" w:eastAsia="Arial" w:hAnsi="Arial"/>
                <w:sz w:val="13"/>
                <w:szCs w:val="13"/>
                <w:b w:val="1"/>
                <w:bCs w:val="1"/>
                <w:color w:val="auto"/>
                <w:w w:val="99"/>
              </w:rPr>
              <w:t>Gross carrying</w:t>
            </w:r>
          </w:p>
        </w:tc>
        <w:tc>
          <w:tcPr>
            <w:tcW w:w="220" w:type="dxa"/>
            <w:vAlign w:val="bottom"/>
          </w:tcPr>
          <w:p>
            <w:pPr>
              <w:spacing w:after="0"/>
              <w:rPr>
                <w:sz w:val="10"/>
                <w:szCs w:val="10"/>
                <w:color w:val="auto"/>
              </w:rPr>
            </w:pPr>
          </w:p>
        </w:tc>
        <w:tc>
          <w:tcPr>
            <w:tcW w:w="1420" w:type="dxa"/>
            <w:vAlign w:val="bottom"/>
            <w:gridSpan w:val="4"/>
          </w:tcPr>
          <w:p>
            <w:pPr>
              <w:ind w:left="40"/>
              <w:spacing w:after="0" w:line="119" w:lineRule="exact"/>
              <w:rPr>
                <w:sz w:val="20"/>
                <w:szCs w:val="20"/>
                <w:color w:val="auto"/>
              </w:rPr>
            </w:pPr>
            <w:r>
              <w:rPr>
                <w:rFonts w:ascii="Arial" w:cs="Arial" w:eastAsia="Arial" w:hAnsi="Arial"/>
                <w:sz w:val="13"/>
                <w:szCs w:val="13"/>
                <w:b w:val="1"/>
                <w:bCs w:val="1"/>
                <w:color w:val="auto"/>
              </w:rPr>
              <w:t>Accumulated</w:t>
            </w:r>
          </w:p>
        </w:tc>
        <w:tc>
          <w:tcPr>
            <w:tcW w:w="240" w:type="dxa"/>
            <w:vAlign w:val="bottom"/>
          </w:tcPr>
          <w:p>
            <w:pPr>
              <w:spacing w:after="0"/>
              <w:rPr>
                <w:sz w:val="10"/>
                <w:szCs w:val="10"/>
                <w:color w:val="auto"/>
              </w:rPr>
            </w:pPr>
          </w:p>
        </w:tc>
        <w:tc>
          <w:tcPr>
            <w:tcW w:w="1120" w:type="dxa"/>
            <w:vAlign w:val="bottom"/>
          </w:tcPr>
          <w:p>
            <w:pPr>
              <w:jc w:val="center"/>
              <w:ind w:right="173"/>
              <w:spacing w:after="0" w:line="119" w:lineRule="exact"/>
              <w:rPr>
                <w:sz w:val="20"/>
                <w:szCs w:val="20"/>
                <w:color w:val="auto"/>
              </w:rPr>
            </w:pPr>
            <w:r>
              <w:rPr>
                <w:rFonts w:ascii="Arial" w:cs="Arial" w:eastAsia="Arial" w:hAnsi="Arial"/>
                <w:sz w:val="13"/>
                <w:szCs w:val="13"/>
                <w:b w:val="1"/>
                <w:bCs w:val="1"/>
                <w:color w:val="auto"/>
              </w:rPr>
              <w:t>Net carrying</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lives</w:t>
            </w:r>
          </w:p>
        </w:tc>
        <w:tc>
          <w:tcPr>
            <w:tcW w:w="200" w:type="dxa"/>
            <w:vAlign w:val="bottom"/>
          </w:tcPr>
          <w:p>
            <w:pPr>
              <w:spacing w:after="0"/>
              <w:rPr>
                <w:sz w:val="14"/>
                <w:szCs w:val="14"/>
                <w:color w:val="auto"/>
              </w:rPr>
            </w:pPr>
          </w:p>
        </w:tc>
        <w:tc>
          <w:tcPr>
            <w:tcW w:w="146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420" w:type="dxa"/>
            <w:vAlign w:val="bottom"/>
            <w:gridSpan w:val="4"/>
          </w:tcPr>
          <w:p>
            <w:pPr>
              <w:ind w:left="4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amount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Acquired definite-lived intangible assets:</w:t>
            </w:r>
          </w:p>
        </w:tc>
        <w:tc>
          <w:tcPr>
            <w:tcW w:w="13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160"/>
              <w:spacing w:after="0"/>
              <w:rPr>
                <w:sz w:val="20"/>
                <w:szCs w:val="20"/>
                <w:color w:val="auto"/>
              </w:rPr>
            </w:pPr>
            <w:r>
              <w:rPr>
                <w:rFonts w:ascii="Arial" w:cs="Arial" w:eastAsia="Arial" w:hAnsi="Arial"/>
                <w:sz w:val="18"/>
                <w:szCs w:val="18"/>
                <w:color w:val="auto"/>
              </w:rPr>
              <w:t>Internally-developed franchises</w:t>
            </w: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3 - 11 years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1,154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(869)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Developed software</w:t>
            </w:r>
          </w:p>
        </w:tc>
        <w:tc>
          <w:tcPr>
            <w:tcW w:w="16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9"/>
              </w:rPr>
              <w:t>2 - 5 years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601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160"/>
              <w:spacing w:after="0"/>
              <w:rPr>
                <w:sz w:val="20"/>
                <w:szCs w:val="20"/>
                <w:color w:val="auto"/>
              </w:rPr>
            </w:pPr>
            <w:r>
              <w:rPr>
                <w:rFonts w:ascii="Arial" w:cs="Arial" w:eastAsia="Arial" w:hAnsi="Arial"/>
                <w:sz w:val="18"/>
                <w:szCs w:val="18"/>
                <w:color w:val="auto"/>
              </w:rPr>
              <w:t>Customer base</w:t>
            </w: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2 years</w:t>
            </w:r>
          </w:p>
        </w:tc>
        <w:tc>
          <w:tcPr>
            <w:tcW w:w="200" w:type="dxa"/>
            <w:vAlign w:val="bottom"/>
          </w:tcPr>
          <w:p>
            <w:pPr>
              <w:spacing w:after="0"/>
              <w:rPr>
                <w:sz w:val="18"/>
                <w:szCs w:val="18"/>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617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Trade names</w:t>
            </w:r>
          </w:p>
        </w:tc>
        <w:tc>
          <w:tcPr>
            <w:tcW w:w="16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8"/>
              </w:rPr>
              <w:t>7 - 10 years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Other</w:t>
            </w:r>
          </w:p>
        </w:tc>
        <w:tc>
          <w:tcPr>
            <w:tcW w:w="1660" w:type="dxa"/>
            <w:vAlign w:val="bottom"/>
            <w:tcBorders>
              <w:bottom w:val="single" w:sz="8" w:color="CCEEFF"/>
            </w:tcBorders>
            <w:gridSpan w:val="2"/>
          </w:tcPr>
          <w:p>
            <w:pPr>
              <w:jc w:val="center"/>
              <w:ind w:right="300"/>
              <w:spacing w:after="0"/>
              <w:rPr>
                <w:sz w:val="20"/>
                <w:szCs w:val="20"/>
                <w:color w:val="auto"/>
              </w:rPr>
            </w:pPr>
            <w:r>
              <w:rPr>
                <w:rFonts w:ascii="Arial" w:cs="Arial" w:eastAsia="Arial" w:hAnsi="Arial"/>
                <w:sz w:val="18"/>
                <w:szCs w:val="18"/>
                <w:color w:val="auto"/>
                <w:w w:val="88"/>
              </w:rPr>
              <w:t>1 - 15 years</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definite-lived intangible assets</w:t>
            </w:r>
          </w:p>
        </w:tc>
        <w:tc>
          <w:tcPr>
            <w:tcW w:w="13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2,445</w:t>
            </w: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673</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indefinite-lived intangible assets: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160"/>
              <w:spacing w:after="0"/>
              <w:rPr>
                <w:sz w:val="20"/>
                <w:szCs w:val="20"/>
                <w:color w:val="auto"/>
              </w:rPr>
            </w:pPr>
            <w:r>
              <w:rPr>
                <w:rFonts w:ascii="Arial" w:cs="Arial" w:eastAsia="Arial" w:hAnsi="Arial"/>
                <w:sz w:val="18"/>
                <w:szCs w:val="18"/>
                <w:color w:val="auto"/>
              </w:rPr>
              <w:t>Activision trademark</w:t>
            </w: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Indefinite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Acquired trade names</w:t>
            </w:r>
          </w:p>
        </w:tc>
        <w:tc>
          <w:tcPr>
            <w:tcW w:w="16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5"/>
              </w:rPr>
              <w:t>Indefinite</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indefinite-lived intangible assets</w:t>
            </w:r>
          </w:p>
        </w:tc>
        <w:tc>
          <w:tcPr>
            <w:tcW w:w="13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13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1,106</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-2677160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-2677160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Amortization expense of our intangible assets was $77 million and $196 million for the three and six months ended June 30, 2018,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of our intangible assets was $194 million and $385 million for the three and six months ended June 30, 2017, respectively.</w:t>
      </w:r>
    </w:p>
    <w:p>
      <w:pPr>
        <w:spacing w:after="0" w:line="22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June 30, 2018, future amortization of definite-lived intangible assets is estimated as follows (amounts in millions):</w:t>
      </w:r>
    </w:p>
    <w:p>
      <w:pPr>
        <w:sectPr>
          <w:pgSz w:w="11900" w:h="16838" w:orient="portrait"/>
          <w:cols w:equalWidth="0" w:num="1">
            <w:col w:w="11460"/>
          </w:cols>
          <w:pgMar w:left="240" w:top="337" w:right="199" w:bottom="0" w:gutter="0" w:footer="0" w:header="0"/>
        </w:sectPr>
      </w:pPr>
    </w:p>
    <w:bookmarkStart w:id="14" w:name="page15"/>
    <w:bookmarkEnd w:id="1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2018 (remaining six months)</w:t>
            </w:r>
          </w:p>
        </w:tc>
        <w:tc>
          <w:tcPr>
            <w:tcW w:w="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r>
      <w:tr>
        <w:trPr>
          <w:trHeight w:val="216"/>
        </w:trPr>
        <w:tc>
          <w:tcPr>
            <w:tcW w:w="9940" w:type="dxa"/>
            <w:vAlign w:val="bottom"/>
          </w:tcPr>
          <w:p>
            <w:pPr>
              <w:spacing w:after="0"/>
              <w:rPr>
                <w:sz w:val="20"/>
                <w:szCs w:val="20"/>
                <w:color w:val="auto"/>
              </w:rPr>
            </w:pPr>
            <w:r>
              <w:rPr>
                <w:rFonts w:ascii="Arial" w:cs="Arial" w:eastAsia="Arial" w:hAnsi="Arial"/>
                <w:sz w:val="18"/>
                <w:szCs w:val="18"/>
                <w:color w:val="auto"/>
              </w:rPr>
              <w:t>2019</w:t>
            </w:r>
          </w:p>
        </w:tc>
        <w:tc>
          <w:tcPr>
            <w:tcW w:w="60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8"/>
                <w:szCs w:val="18"/>
                <w:color w:val="auto"/>
              </w:rPr>
            </w:pPr>
          </w:p>
        </w:tc>
      </w:t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r>
      <w:tr>
        <w:trPr>
          <w:trHeight w:val="216"/>
        </w:trPr>
        <w:tc>
          <w:tcPr>
            <w:tcW w:w="9940" w:type="dxa"/>
            <w:vAlign w:val="bottom"/>
          </w:tcPr>
          <w:p>
            <w:pPr>
              <w:spacing w:after="0"/>
              <w:rPr>
                <w:sz w:val="20"/>
                <w:szCs w:val="20"/>
                <w:color w:val="auto"/>
              </w:rPr>
            </w:pPr>
            <w:r>
              <w:rPr>
                <w:rFonts w:ascii="Arial" w:cs="Arial" w:eastAsia="Arial" w:hAnsi="Arial"/>
                <w:sz w:val="18"/>
                <w:szCs w:val="18"/>
                <w:color w:val="auto"/>
              </w:rPr>
              <w:t>2021</w:t>
            </w:r>
          </w:p>
        </w:tc>
        <w:tc>
          <w:tcPr>
            <w:tcW w:w="60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r>
      <w:tr>
        <w:trPr>
          <w:trHeight w:val="216"/>
        </w:trPr>
        <w:tc>
          <w:tcPr>
            <w:tcW w:w="9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6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8"/>
                <w:szCs w:val="18"/>
                <w:color w:val="auto"/>
              </w:rPr>
            </w:pPr>
          </w:p>
        </w:tc>
      </w:tr>
      <w:tr>
        <w:trPr>
          <w:trHeight w:val="210"/>
        </w:trPr>
        <w:tc>
          <w:tcPr>
            <w:tcW w:w="9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99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720" w:hanging="712"/>
        <w:spacing w:after="0"/>
        <w:tabs>
          <w:tab w:leader="none" w:pos="7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carrying amount of goodwill by reportable segment at June 30, 2018 and December 31, 2017 was as follows (amounts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Activision</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Blizzard</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King</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6,898</w:t>
            </w:r>
          </w:p>
        </w:tc>
        <w:tc>
          <w:tcPr>
            <w:tcW w:w="3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190</w:t>
            </w:r>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579"/>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2,675</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9,763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720" w:hanging="712"/>
        <w:spacing w:after="0"/>
        <w:tabs>
          <w:tab w:leader="none" w:pos="7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The FASB literature regarding fair value measurements for certain assets and liabilities establishes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181" w:lineRule="exact"/>
        <w:rPr>
          <w:sz w:val="20"/>
          <w:szCs w:val="20"/>
          <w:color w:val="auto"/>
        </w:rPr>
      </w:pPr>
    </w:p>
    <w:p>
      <w:pPr>
        <w:ind w:left="620" w:hanging="126"/>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225" w:lineRule="exact"/>
        <w:rPr>
          <w:rFonts w:ascii="Arial" w:cs="Arial" w:eastAsia="Arial" w:hAnsi="Arial"/>
          <w:sz w:val="18"/>
          <w:szCs w:val="18"/>
          <w:color w:val="auto"/>
        </w:rPr>
      </w:pPr>
    </w:p>
    <w:p>
      <w:pPr>
        <w:ind w:left="660" w:right="280" w:hanging="166"/>
        <w:spacing w:after="0" w:line="277" w:lineRule="auto"/>
        <w:tabs>
          <w:tab w:leader="none" w:pos="6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2—Observable inputs other than quoted prices included in Level 1, such as quoted prices for similar assets or liabilities in active markets or other inputs that are observable or can be corroborated by observable market data; and</w:t>
      </w:r>
    </w:p>
    <w:p>
      <w:pPr>
        <w:spacing w:after="0" w:line="170" w:lineRule="exact"/>
        <w:rPr>
          <w:rFonts w:ascii="Arial" w:cs="Arial" w:eastAsia="Arial" w:hAnsi="Arial"/>
          <w:sz w:val="18"/>
          <w:szCs w:val="18"/>
          <w:color w:val="auto"/>
        </w:rPr>
      </w:pPr>
    </w:p>
    <w:p>
      <w:pPr>
        <w:ind w:left="660" w:right="360" w:hanging="166"/>
        <w:spacing w:after="0" w:line="342" w:lineRule="auto"/>
        <w:tabs>
          <w:tab w:leader="none" w:pos="624" w:val="left"/>
        </w:tabs>
        <w:numPr>
          <w:ilvl w:val="0"/>
          <w:numId w:val="16"/>
        </w:numPr>
        <w:rPr>
          <w:rFonts w:ascii="Arial" w:cs="Arial" w:eastAsia="Arial" w:hAnsi="Arial"/>
          <w:sz w:val="16"/>
          <w:szCs w:val="16"/>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 including certain pricing models, discounted cash flow methodologies, and similar techniques that use significant unobservable inputs.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on a Recurring Basis</w:t>
      </w:r>
    </w:p>
    <w:p>
      <w:pPr>
        <w:spacing w:after="0" w:line="225" w:lineRule="exact"/>
        <w:rPr>
          <w:sz w:val="20"/>
          <w:szCs w:val="20"/>
          <w:color w:val="auto"/>
        </w:rPr>
      </w:pPr>
    </w:p>
    <w:p>
      <w:pPr>
        <w:ind w:right="260" w:firstLine="405"/>
        <w:spacing w:after="0" w:line="308" w:lineRule="auto"/>
        <w:rPr>
          <w:sz w:val="20"/>
          <w:szCs w:val="20"/>
          <w:color w:val="auto"/>
        </w:rPr>
      </w:pPr>
      <w:r>
        <w:rPr>
          <w:rFonts w:ascii="Arial" w:cs="Arial" w:eastAsia="Arial" w:hAnsi="Arial"/>
          <w:sz w:val="17"/>
          <w:szCs w:val="17"/>
          <w:color w:val="auto"/>
        </w:rPr>
        <w:t>The table below segregates all of our financial assets and liabilities that are measured at fair value on a recurring basis into the most appropriate level within the fair value hierarchy based on the inputs used to determine the fair value at the measurement date (amounts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520" w:type="dxa"/>
            <w:vAlign w:val="bottom"/>
            <w:gridSpan w:val="15"/>
          </w:tcPr>
          <w:p>
            <w:pPr>
              <w:ind w:left="100"/>
              <w:spacing w:after="0"/>
              <w:rPr>
                <w:sz w:val="20"/>
                <w:szCs w:val="20"/>
                <w:color w:val="auto"/>
              </w:rPr>
            </w:pPr>
            <w:r>
              <w:rPr>
                <w:rFonts w:ascii="Arial" w:cs="Arial" w:eastAsia="Arial" w:hAnsi="Arial"/>
                <w:sz w:val="14"/>
                <w:szCs w:val="14"/>
                <w:b w:val="1"/>
                <w:bCs w:val="1"/>
                <w:color w:val="auto"/>
              </w:rPr>
              <w:t>Fair Value Measurements at June 30, 2018 Using</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5"/>
          </w:tcPr>
          <w:p>
            <w:pPr>
              <w:jc w:val="center"/>
              <w:ind w:right="500"/>
              <w:spacing w:after="0" w:line="119" w:lineRule="exact"/>
              <w:rPr>
                <w:sz w:val="20"/>
                <w:szCs w:val="20"/>
                <w:color w:val="auto"/>
              </w:rPr>
            </w:pPr>
            <w:r>
              <w:rPr>
                <w:rFonts w:ascii="Arial" w:cs="Arial" w:eastAsia="Arial" w:hAnsi="Arial"/>
                <w:sz w:val="13"/>
                <w:szCs w:val="13"/>
                <w:b w:val="1"/>
                <w:bCs w:val="1"/>
                <w:color w:val="auto"/>
              </w:rPr>
              <w:t>Quoted</w:t>
            </w:r>
          </w:p>
        </w:tc>
        <w:tc>
          <w:tcPr>
            <w:tcW w:w="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5"/>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Prices in</w:t>
            </w:r>
          </w:p>
        </w:tc>
        <w:tc>
          <w:tcPr>
            <w:tcW w:w="40" w:type="dxa"/>
            <w:vAlign w:val="bottom"/>
          </w:tcPr>
          <w:p>
            <w:pPr>
              <w:spacing w:after="0"/>
              <w:rPr>
                <w:sz w:val="12"/>
                <w:szCs w:val="12"/>
                <w:color w:val="auto"/>
              </w:rPr>
            </w:pPr>
          </w:p>
        </w:tc>
        <w:tc>
          <w:tcPr>
            <w:tcW w:w="1100" w:type="dxa"/>
            <w:vAlign w:val="bottom"/>
            <w:gridSpan w:val="5"/>
            <w:vMerge w:val="restart"/>
          </w:tcPr>
          <w:p>
            <w:pPr>
              <w:jc w:val="center"/>
              <w:ind w:right="380"/>
              <w:spacing w:after="0"/>
              <w:rPr>
                <w:sz w:val="20"/>
                <w:szCs w:val="20"/>
                <w:color w:val="auto"/>
              </w:rPr>
            </w:pPr>
            <w:r>
              <w:rPr>
                <w:rFonts w:ascii="Arial" w:cs="Arial" w:eastAsia="Arial" w:hAnsi="Arial"/>
                <w:sz w:val="14"/>
                <w:szCs w:val="14"/>
                <w:b w:val="1"/>
                <w:bCs w:val="1"/>
                <w:color w:val="auto"/>
                <w:w w:val="94"/>
              </w:rPr>
              <w:t>Significant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5"/>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Active</w:t>
            </w:r>
          </w:p>
        </w:tc>
        <w:tc>
          <w:tcPr>
            <w:tcW w:w="40" w:type="dxa"/>
            <w:vAlign w:val="bottom"/>
          </w:tcPr>
          <w:p>
            <w:pPr>
              <w:spacing w:after="0"/>
              <w:rPr>
                <w:sz w:val="12"/>
                <w:szCs w:val="12"/>
                <w:color w:val="auto"/>
              </w:rPr>
            </w:pPr>
          </w:p>
        </w:tc>
        <w:tc>
          <w:tcPr>
            <w:tcW w:w="110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7"/>
          </w:tcPr>
          <w:p>
            <w:pPr>
              <w:spacing w:after="0" w:line="149" w:lineRule="exact"/>
              <w:rPr>
                <w:sz w:val="20"/>
                <w:szCs w:val="20"/>
                <w:color w:val="auto"/>
              </w:rPr>
            </w:pPr>
            <w:r>
              <w:rPr>
                <w:rFonts w:ascii="Arial" w:cs="Arial" w:eastAsia="Arial" w:hAnsi="Arial"/>
                <w:sz w:val="14"/>
                <w:szCs w:val="14"/>
                <w:b w:val="1"/>
                <w:bCs w:val="1"/>
                <w:color w:val="auto"/>
              </w:rPr>
              <w:t>Markets for</w:t>
            </w:r>
          </w:p>
        </w:tc>
        <w:tc>
          <w:tcPr>
            <w:tcW w:w="40" w:type="dxa"/>
            <w:vAlign w:val="bottom"/>
          </w:tcPr>
          <w:p>
            <w:pPr>
              <w:spacing w:after="0"/>
              <w:rPr>
                <w:sz w:val="12"/>
                <w:szCs w:val="12"/>
                <w:color w:val="auto"/>
              </w:rPr>
            </w:pPr>
          </w:p>
        </w:tc>
        <w:tc>
          <w:tcPr>
            <w:tcW w:w="110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540" w:type="dxa"/>
            <w:vAlign w:val="bottom"/>
            <w:gridSpan w:val="5"/>
            <w:vMerge w:val="restart"/>
          </w:tcPr>
          <w:p>
            <w:pPr>
              <w:jc w:val="right"/>
              <w:ind w:right="540"/>
              <w:spacing w:after="0"/>
              <w:rPr>
                <w:sz w:val="20"/>
                <w:szCs w:val="20"/>
                <w:color w:val="auto"/>
              </w:rPr>
            </w:pPr>
            <w:r>
              <w:rPr>
                <w:rFonts w:ascii="Arial" w:cs="Arial" w:eastAsia="Arial" w:hAnsi="Arial"/>
                <w:sz w:val="14"/>
                <w:szCs w:val="14"/>
                <w:b w:val="1"/>
                <w:bCs w:val="1"/>
                <w:color w:val="auto"/>
              </w:rPr>
              <w:t>As of June 30,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5"/>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Identical</w:t>
            </w:r>
          </w:p>
        </w:tc>
        <w:tc>
          <w:tcPr>
            <w:tcW w:w="40" w:type="dxa"/>
            <w:vAlign w:val="bottom"/>
          </w:tcPr>
          <w:p>
            <w:pPr>
              <w:spacing w:after="0"/>
              <w:rPr>
                <w:sz w:val="12"/>
                <w:szCs w:val="12"/>
                <w:color w:val="auto"/>
              </w:rPr>
            </w:pPr>
          </w:p>
        </w:tc>
        <w:tc>
          <w:tcPr>
            <w:tcW w:w="110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Observable</w:t>
            </w:r>
          </w:p>
        </w:tc>
        <w:tc>
          <w:tcPr>
            <w:tcW w:w="130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54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5"/>
          </w:tcPr>
          <w:p>
            <w:pPr>
              <w:jc w:val="center"/>
              <w:ind w:right="500"/>
              <w:spacing w:after="0" w:line="149" w:lineRule="exact"/>
              <w:rPr>
                <w:sz w:val="20"/>
                <w:szCs w:val="20"/>
                <w:color w:val="auto"/>
              </w:rPr>
            </w:pPr>
            <w:r>
              <w:rPr>
                <w:rFonts w:ascii="Arial" w:cs="Arial" w:eastAsia="Arial" w:hAnsi="Arial"/>
                <w:sz w:val="14"/>
                <w:szCs w:val="14"/>
                <w:b w:val="1"/>
                <w:bCs w:val="1"/>
                <w:color w:val="auto"/>
                <w:w w:val="82"/>
              </w:rPr>
              <w:t>Assets</w:t>
            </w:r>
          </w:p>
        </w:tc>
        <w:tc>
          <w:tcPr>
            <w:tcW w:w="40" w:type="dxa"/>
            <w:vAlign w:val="bottom"/>
          </w:tcPr>
          <w:p>
            <w:pPr>
              <w:spacing w:after="0"/>
              <w:rPr>
                <w:sz w:val="12"/>
                <w:szCs w:val="12"/>
                <w:color w:val="auto"/>
              </w:rPr>
            </w:pPr>
          </w:p>
        </w:tc>
        <w:tc>
          <w:tcPr>
            <w:tcW w:w="110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Balance Sheet Classification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4"/>
              </w:rPr>
              <w:t>(Level 1)</w:t>
            </w:r>
          </w:p>
        </w:tc>
        <w:tc>
          <w:tcPr>
            <w:tcW w:w="40" w:type="dxa"/>
            <w:vAlign w:val="bottom"/>
          </w:tcPr>
          <w:p>
            <w:pPr>
              <w:spacing w:after="0"/>
              <w:rPr>
                <w:sz w:val="14"/>
                <w:szCs w:val="14"/>
                <w:color w:val="auto"/>
              </w:rPr>
            </w:pPr>
          </w:p>
        </w:tc>
        <w:tc>
          <w:tcPr>
            <w:tcW w:w="11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4"/>
                <w:szCs w:val="14"/>
                <w:color w:val="auto"/>
              </w:rPr>
            </w:pPr>
          </w:p>
        </w:tc>
        <w:tc>
          <w:tcPr>
            <w:tcW w:w="1120" w:type="dxa"/>
            <w:vAlign w:val="bottom"/>
            <w:gridSpan w:val="3"/>
          </w:tcPr>
          <w:p>
            <w:pPr>
              <w:ind w:left="12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Recurring fair value measurements: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38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4,654</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7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Foreign government treasury bills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3"/>
          </w:tcPr>
          <w:p>
            <w:pPr>
              <w:jc w:val="center"/>
              <w:ind w:right="2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720" w:type="dxa"/>
            <w:vAlign w:val="bottom"/>
            <w:gridSpan w:val="5"/>
          </w:tcPr>
          <w:p>
            <w:pPr>
              <w:ind w:left="120"/>
              <w:spacing w:after="0"/>
              <w:rPr>
                <w:sz w:val="20"/>
                <w:szCs w:val="20"/>
                <w:color w:val="auto"/>
              </w:rPr>
            </w:pPr>
            <w:r>
              <w:rPr>
                <w:rFonts w:ascii="Arial" w:cs="Arial" w:eastAsia="Arial" w:hAnsi="Arial"/>
                <w:sz w:val="18"/>
                <w:szCs w:val="18"/>
                <w:color w:val="auto"/>
              </w:rPr>
              <w:t>Cash and cash equivalents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U.S. treasuries and government agency</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115</w:t>
            </w:r>
          </w:p>
        </w:tc>
        <w:tc>
          <w:tcPr>
            <w:tcW w:w="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7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ind w:left="160"/>
              <w:spacing w:after="0" w:line="201" w:lineRule="exact"/>
              <w:rPr>
                <w:sz w:val="20"/>
                <w:szCs w:val="20"/>
                <w:color w:val="auto"/>
              </w:rPr>
            </w:pPr>
            <w:r>
              <w:rPr>
                <w:rFonts w:ascii="Arial" w:cs="Arial" w:eastAsia="Arial" w:hAnsi="Arial"/>
                <w:sz w:val="18"/>
                <w:szCs w:val="18"/>
                <w:color w:val="auto"/>
              </w:rPr>
              <w:t>Foreign currency forward contracts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designated as hedges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720" w:type="dxa"/>
            <w:vAlign w:val="bottom"/>
            <w:gridSpan w:val="5"/>
          </w:tcPr>
          <w:p>
            <w:pPr>
              <w:ind w:left="120"/>
              <w:spacing w:after="0"/>
              <w:rPr>
                <w:sz w:val="20"/>
                <w:szCs w:val="20"/>
                <w:color w:val="auto"/>
              </w:rPr>
            </w:pPr>
            <w:r>
              <w:rPr>
                <w:rFonts w:ascii="Arial" w:cs="Arial" w:eastAsia="Arial" w:hAnsi="Arial"/>
                <w:sz w:val="18"/>
                <w:szCs w:val="18"/>
                <w:color w:val="auto"/>
              </w:rPr>
              <w:t>Other current 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recurring fair value measurements</w:t>
            </w:r>
          </w:p>
        </w:tc>
        <w:tc>
          <w:tcPr>
            <w:tcW w:w="380" w:type="dxa"/>
            <w:vAlign w:val="bottom"/>
            <w:tcBorders>
              <w:top w:val="single" w:sz="8" w:color="auto"/>
              <w:bottom w:val="single" w:sz="8" w:color="auto"/>
            </w:tcBorders>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line="201" w:lineRule="exact"/>
              <w:rPr>
                <w:sz w:val="20"/>
                <w:szCs w:val="20"/>
                <w:color w:val="auto"/>
              </w:rPr>
            </w:pPr>
            <w:r>
              <w:rPr>
                <w:rFonts w:ascii="Arial" w:cs="Arial" w:eastAsia="Arial" w:hAnsi="Arial"/>
                <w:sz w:val="18"/>
                <w:szCs w:val="18"/>
                <w:color w:val="auto"/>
              </w:rPr>
              <w:t>Foreign currency forward contracts not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gridSpan w:val="5"/>
          </w:tcPr>
          <w:p>
            <w:pPr>
              <w:ind w:left="120"/>
              <w:spacing w:after="0" w:line="201" w:lineRule="exact"/>
              <w:rPr>
                <w:sz w:val="20"/>
                <w:szCs w:val="20"/>
                <w:color w:val="auto"/>
              </w:rPr>
            </w:pPr>
            <w:r>
              <w:rPr>
                <w:rFonts w:ascii="Arial" w:cs="Arial" w:eastAsia="Arial" w:hAnsi="Arial"/>
                <w:sz w:val="18"/>
                <w:szCs w:val="18"/>
                <w:color w:val="auto"/>
              </w:rPr>
              <w:t>Accrued expenses and other</w:t>
            </w: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designated as hedges</w:t>
            </w:r>
          </w:p>
        </w:tc>
        <w:tc>
          <w:tcPr>
            <w:tcW w:w="38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8"/>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720" w:type="dxa"/>
            <w:vAlign w:val="bottom"/>
            <w:gridSpan w:val="5"/>
          </w:tcPr>
          <w:p>
            <w:pPr>
              <w:ind w:left="120"/>
              <w:spacing w:after="0"/>
              <w:rPr>
                <w:sz w:val="20"/>
                <w:szCs w:val="20"/>
                <w:color w:val="auto"/>
              </w:rPr>
            </w:pPr>
            <w:r>
              <w:rPr>
                <w:rFonts w:ascii="Arial" w:cs="Arial" w:eastAsia="Arial" w:hAnsi="Arial"/>
                <w:sz w:val="18"/>
                <w:szCs w:val="18"/>
                <w:color w:val="auto"/>
              </w:rPr>
              <w:t>liabilities</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gridSpan w:val="13"/>
          </w:tcPr>
          <w:p>
            <w:pPr>
              <w:ind w:left="180"/>
              <w:spacing w:after="0"/>
              <w:rPr>
                <w:sz w:val="20"/>
                <w:szCs w:val="20"/>
                <w:color w:val="auto"/>
              </w:rPr>
            </w:pPr>
            <w:r>
              <w:rPr>
                <w:rFonts w:ascii="Arial" w:cs="Arial" w:eastAsia="Arial" w:hAnsi="Arial"/>
                <w:sz w:val="14"/>
                <w:szCs w:val="14"/>
                <w:b w:val="1"/>
                <w:bCs w:val="1"/>
                <w:color w:val="auto"/>
              </w:rPr>
              <w:t>Fair Value Measurements at December 31,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1"/>
              </w:rPr>
              <w:t>2017 Using</w:t>
            </w: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rPr>
              <w:t>Quoted</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Prices in</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Active</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rPr>
              <w:t>Markets for</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Identical</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Assets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Balance Sheet Classification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53"/>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(Level 1)</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(Level 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Recurring fair value measurements: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4,405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4,405</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Foreign government treasury bills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2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U.S. treasuries and government agency</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recurring fair value measurements</w:t>
            </w:r>
          </w:p>
        </w:tc>
        <w:tc>
          <w:tcPr>
            <w:tcW w:w="1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4,499</w:t>
            </w:r>
          </w:p>
        </w:tc>
        <w:tc>
          <w:tcPr>
            <w:tcW w:w="40" w:type="dxa"/>
            <w:vAlign w:val="bottom"/>
            <w:tcBorders>
              <w:top w:val="single" w:sz="8" w:color="auto"/>
              <w:bottom w:val="single" w:sz="8" w:color="auto"/>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4,499</w:t>
            </w:r>
          </w:p>
        </w:tc>
        <w:tc>
          <w:tcPr>
            <w:tcW w:w="40" w:type="dxa"/>
            <w:vAlign w:val="bottom"/>
            <w:tcBorders>
              <w:top w:val="single" w:sz="8" w:color="auto"/>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gridSpan w:val="2"/>
          </w:tcPr>
          <w:p>
            <w:pPr>
              <w:ind w:left="4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tcPr>
          <w:p>
            <w:pPr>
              <w:ind w:left="6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4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b w:val="1"/>
                <w:bCs w:val="1"/>
                <w:color w:val="auto"/>
              </w:rPr>
              <w:t>Financial liabilities: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forward contracts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(5)</w:t>
            </w:r>
          </w:p>
        </w:tc>
        <w:tc>
          <w:tcPr>
            <w:tcW w:w="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expenses and other</w:t>
            </w:r>
          </w:p>
        </w:tc>
        <w:tc>
          <w:tcPr>
            <w:tcW w:w="0" w:type="dxa"/>
            <w:vAlign w:val="bottom"/>
          </w:tcPr>
          <w:p>
            <w:pPr>
              <w:spacing w:after="0"/>
              <w:rPr>
                <w:sz w:val="1"/>
                <w:szCs w:val="1"/>
                <w:color w:val="auto"/>
              </w:rPr>
            </w:pPr>
          </w:p>
        </w:tc>
      </w:tr>
    </w:tbl>
    <w:p>
      <w:pPr>
        <w:sectPr>
          <w:pgSz w:w="11900" w:h="16900" w:orient="portrait"/>
          <w:cols w:equalWidth="0" w:num="1">
            <w:col w:w="11420"/>
          </w:cols>
          <w:pgMar w:left="240" w:top="356" w:right="239" w:bottom="0" w:gutter="0" w:footer="0" w:header="0"/>
        </w:sectPr>
      </w:pPr>
    </w:p>
    <w:bookmarkStart w:id="15" w:name="page16"/>
    <w:bookmarkEnd w:id="15"/>
    <w:p>
      <w:pPr>
        <w:ind w:left="180"/>
        <w:spacing w:after="0"/>
        <w:tabs>
          <w:tab w:leader="none" w:pos="8880" w:val="left"/>
        </w:tabs>
        <w:rPr>
          <w:sz w:val="20"/>
          <w:szCs w:val="20"/>
          <w:color w:val="auto"/>
        </w:rPr>
      </w:pPr>
      <w:r>
        <w:rPr>
          <w:rFonts w:ascii="Arial" w:cs="Arial" w:eastAsia="Arial" w:hAnsi="Arial"/>
          <w:sz w:val="18"/>
          <w:szCs w:val="18"/>
          <w:color w:val="auto"/>
        </w:rPr>
        <w:t>designated as hedges</w:t>
      </w:r>
      <w:r>
        <w:rPr>
          <w:sz w:val="20"/>
          <w:szCs w:val="20"/>
          <w:color w:val="auto"/>
        </w:rPr>
        <w:tab/>
      </w:r>
      <w:r>
        <w:rPr>
          <w:rFonts w:ascii="Arial" w:cs="Arial" w:eastAsia="Arial" w:hAnsi="Arial"/>
          <w:sz w:val="17"/>
          <w:szCs w:val="17"/>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Forward Contracts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Forward Contracts Designated as Hedges (“Cash Flow Hedges”)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total gross notional amounts and fair values of our Cash Flow Hedges are as follows (amounts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60" w:type="dxa"/>
            <w:vAlign w:val="bottom"/>
            <w:gridSpan w:val="5"/>
          </w:tcPr>
          <w:p>
            <w:pPr>
              <w:ind w:left="500"/>
              <w:spacing w:after="0"/>
              <w:rPr>
                <w:sz w:val="20"/>
                <w:szCs w:val="20"/>
                <w:color w:val="auto"/>
              </w:rPr>
            </w:pPr>
            <w:r>
              <w:rPr>
                <w:rFonts w:ascii="Arial" w:cs="Arial" w:eastAsia="Arial" w:hAnsi="Arial"/>
                <w:sz w:val="14"/>
                <w:szCs w:val="14"/>
                <w:b w:val="1"/>
                <w:bCs w:val="1"/>
                <w:color w:val="auto"/>
              </w:rPr>
              <w:t>As of June 30, 2018</w:t>
            </w:r>
          </w:p>
        </w:tc>
        <w:tc>
          <w:tcPr>
            <w:tcW w:w="560" w:type="dxa"/>
            <w:vAlign w:val="bottom"/>
          </w:tcPr>
          <w:p>
            <w:pPr>
              <w:spacing w:after="0"/>
              <w:rPr>
                <w:sz w:val="14"/>
                <w:szCs w:val="14"/>
                <w:color w:val="auto"/>
              </w:rPr>
            </w:pPr>
          </w:p>
        </w:tc>
        <w:tc>
          <w:tcPr>
            <w:tcW w:w="2900" w:type="dxa"/>
            <w:vAlign w:val="bottom"/>
            <w:gridSpan w:val="5"/>
          </w:tcPr>
          <w:p>
            <w:pPr>
              <w:ind w:left="360"/>
              <w:spacing w:after="0"/>
              <w:rPr>
                <w:sz w:val="20"/>
                <w:szCs w:val="20"/>
                <w:color w:val="auto"/>
              </w:rPr>
            </w:pPr>
            <w:r>
              <w:rPr>
                <w:rFonts w:ascii="Arial" w:cs="Arial" w:eastAsia="Arial" w:hAnsi="Arial"/>
                <w:sz w:val="14"/>
                <w:szCs w:val="14"/>
                <w:b w:val="1"/>
                <w:bCs w:val="1"/>
                <w:color w:val="auto"/>
              </w:rPr>
              <w:t>As of December 31, 2017</w:t>
            </w:r>
          </w:p>
        </w:tc>
      </w:tr>
      <w:tr>
        <w:trPr>
          <w:trHeight w:val="142"/>
        </w:trPr>
        <w:tc>
          <w:tcPr>
            <w:tcW w:w="4300" w:type="dxa"/>
            <w:vAlign w:val="bottom"/>
          </w:tcPr>
          <w:p>
            <w:pPr>
              <w:spacing w:after="0"/>
              <w:rPr>
                <w:sz w:val="12"/>
                <w:szCs w:val="12"/>
                <w:color w:val="auto"/>
              </w:rPr>
            </w:pPr>
          </w:p>
        </w:tc>
        <w:tc>
          <w:tcPr>
            <w:tcW w:w="1680" w:type="dxa"/>
            <w:vAlign w:val="bottom"/>
            <w:tcBorders>
              <w:top w:val="single" w:sz="8" w:color="auto"/>
            </w:tcBorders>
            <w:gridSpan w:val="3"/>
          </w:tcPr>
          <w:p>
            <w:pPr>
              <w:ind w:left="180"/>
              <w:spacing w:after="0" w:line="142" w:lineRule="exact"/>
              <w:rPr>
                <w:sz w:val="20"/>
                <w:szCs w:val="20"/>
                <w:color w:val="auto"/>
              </w:rPr>
            </w:pPr>
            <w:r>
              <w:rPr>
                <w:rFonts w:ascii="Arial" w:cs="Arial" w:eastAsia="Arial" w:hAnsi="Arial"/>
                <w:sz w:val="14"/>
                <w:szCs w:val="14"/>
                <w:b w:val="1"/>
                <w:bCs w:val="1"/>
                <w:color w:val="auto"/>
              </w:rPr>
              <w:t>Notional amount</w:t>
            </w:r>
          </w:p>
        </w:tc>
        <w:tc>
          <w:tcPr>
            <w:tcW w:w="2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90"/>
              </w:rPr>
              <w:t>Fair value gain (loss)</w:t>
            </w:r>
          </w:p>
        </w:tc>
        <w:tc>
          <w:tcPr>
            <w:tcW w:w="280" w:type="dxa"/>
            <w:vAlign w:val="bottom"/>
          </w:tcPr>
          <w:p>
            <w:pPr>
              <w:spacing w:after="0"/>
              <w:rPr>
                <w:sz w:val="12"/>
                <w:szCs w:val="12"/>
                <w:color w:val="auto"/>
              </w:rPr>
            </w:pPr>
          </w:p>
        </w:tc>
        <w:tc>
          <w:tcPr>
            <w:tcW w:w="1660" w:type="dxa"/>
            <w:vAlign w:val="bottom"/>
            <w:tcBorders>
              <w:top w:val="single" w:sz="8" w:color="auto"/>
            </w:tcBorders>
            <w:gridSpan w:val="3"/>
          </w:tcPr>
          <w:p>
            <w:pPr>
              <w:ind w:left="160"/>
              <w:spacing w:after="0" w:line="142" w:lineRule="exact"/>
              <w:rPr>
                <w:sz w:val="20"/>
                <w:szCs w:val="20"/>
                <w:color w:val="auto"/>
              </w:rPr>
            </w:pPr>
            <w:r>
              <w:rPr>
                <w:rFonts w:ascii="Arial" w:cs="Arial" w:eastAsia="Arial" w:hAnsi="Arial"/>
                <w:sz w:val="14"/>
                <w:szCs w:val="14"/>
                <w:b w:val="1"/>
                <w:bCs w:val="1"/>
                <w:color w:val="auto"/>
              </w:rPr>
              <w:t>Notional amount</w:t>
            </w:r>
          </w:p>
        </w:tc>
        <w:tc>
          <w:tcPr>
            <w:tcW w:w="1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91"/>
              </w:rPr>
              <w:t>Fair value gain (loss)</w:t>
            </w:r>
          </w:p>
        </w:tc>
        <w:tc>
          <w:tcPr>
            <w:tcW w:w="100" w:type="dxa"/>
            <w:vAlign w:val="bottom"/>
          </w:tcPr>
          <w:p>
            <w:pPr>
              <w:spacing w:after="0"/>
              <w:rPr>
                <w:sz w:val="12"/>
                <w:szCs w:val="12"/>
                <w:color w:val="auto"/>
              </w:rPr>
            </w:pPr>
          </w:p>
        </w:tc>
      </w:tr>
      <w:tr>
        <w:trPr>
          <w:trHeight w:val="196"/>
        </w:trPr>
        <w:tc>
          <w:tcPr>
            <w:tcW w:w="4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Foreign Currency:</w:t>
            </w:r>
          </w:p>
        </w:tc>
        <w:tc>
          <w:tcPr>
            <w:tcW w:w="6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Buy USD, Sell Euro</w:t>
            </w:r>
          </w:p>
        </w:tc>
        <w:tc>
          <w:tcPr>
            <w:tcW w:w="600" w:type="dxa"/>
            <w:vAlign w:val="bottom"/>
          </w:tcPr>
          <w:p>
            <w:pPr>
              <w:jc w:val="right"/>
              <w:ind w:right="339"/>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9"/>
              <w:spacing w:after="0"/>
              <w:rPr>
                <w:sz w:val="20"/>
                <w:szCs w:val="20"/>
                <w:color w:val="auto"/>
              </w:rPr>
            </w:pPr>
            <w:r>
              <w:rPr>
                <w:rFonts w:ascii="Arial" w:cs="Arial" w:eastAsia="Arial" w:hAnsi="Arial"/>
                <w:sz w:val="18"/>
                <w:szCs w:val="18"/>
                <w:color w:val="auto"/>
              </w:rPr>
              <w:t>639</w:t>
            </w:r>
          </w:p>
        </w:tc>
        <w:tc>
          <w:tcPr>
            <w:tcW w:w="2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9"/>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0"/>
                <w:szCs w:val="20"/>
                <w:color w:val="auto"/>
              </w:rPr>
            </w:pPr>
          </w:p>
        </w:tc>
        <w:tc>
          <w:tcPr>
            <w:tcW w:w="560" w:type="dxa"/>
            <w:vAlign w:val="bottom"/>
          </w:tcPr>
          <w:p>
            <w:pPr>
              <w:jc w:val="right"/>
              <w:ind w:right="299"/>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9"/>
              <w:spacing w:after="0"/>
              <w:rPr>
                <w:sz w:val="20"/>
                <w:szCs w:val="20"/>
                <w:color w:val="auto"/>
              </w:rPr>
            </w:pPr>
            <w:r>
              <w:rPr>
                <w:rFonts w:ascii="Arial" w:cs="Arial" w:eastAsia="Arial" w:hAnsi="Arial"/>
                <w:sz w:val="18"/>
                <w:szCs w:val="18"/>
                <w:color w:val="auto"/>
              </w:rPr>
              <w:t>521</w:t>
            </w:r>
          </w:p>
        </w:tc>
        <w:tc>
          <w:tcPr>
            <w:tcW w:w="3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At June 30, 2018, our Cash Flow Hedges have remaining maturities of 12 months or less. Additionally, less than $1 million of net realized but unrecognized losses are recorded within “Accumulated other comprehensive income (loss)” at June 30, 2018 for Cash Flow Hedges that had settled but were deferred and will be amortized into earnings, along with the associated hedged revenues. Such amounts will be reclassified into earnings within the next 12 months.</w:t>
      </w:r>
    </w:p>
    <w:p>
      <w:pPr>
        <w:spacing w:after="0" w:line="187" w:lineRule="exact"/>
        <w:rPr>
          <w:sz w:val="20"/>
          <w:szCs w:val="20"/>
          <w:color w:val="auto"/>
        </w:rPr>
      </w:pPr>
    </w:p>
    <w:p>
      <w:pPr>
        <w:ind w:right="1100" w:firstLine="405"/>
        <w:spacing w:after="0" w:line="277" w:lineRule="auto"/>
        <w:rPr>
          <w:sz w:val="20"/>
          <w:szCs w:val="20"/>
          <w:color w:val="auto"/>
        </w:rPr>
      </w:pPr>
      <w:r>
        <w:rPr>
          <w:rFonts w:ascii="Arial" w:cs="Arial" w:eastAsia="Arial" w:hAnsi="Arial"/>
          <w:sz w:val="18"/>
          <w:szCs w:val="18"/>
          <w:color w:val="auto"/>
        </w:rPr>
        <w:t>The amount of pre-tax net realized gains (losses) associated with our Cash Flow Hedges that were reclassified out of “Accumulated other comprehensive income (loss)” and into earnings was as follows (amounts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20" w:type="dxa"/>
            <w:vAlign w:val="bottom"/>
          </w:tcPr>
          <w:p>
            <w:pPr>
              <w:spacing w:after="0"/>
              <w:rPr>
                <w:sz w:val="14"/>
                <w:szCs w:val="14"/>
                <w:color w:val="auto"/>
              </w:rPr>
            </w:pPr>
          </w:p>
        </w:tc>
        <w:tc>
          <w:tcPr>
            <w:tcW w:w="276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 June 30,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20" w:type="dxa"/>
            <w:vAlign w:val="bottom"/>
            <w:gridSpan w:val="5"/>
          </w:tcPr>
          <w:p>
            <w:pPr>
              <w:ind w:left="40"/>
              <w:spacing w:after="0"/>
              <w:rPr>
                <w:sz w:val="20"/>
                <w:szCs w:val="20"/>
                <w:color w:val="auto"/>
              </w:rPr>
            </w:pPr>
            <w:r>
              <w:rPr>
                <w:rFonts w:ascii="Arial" w:cs="Arial" w:eastAsia="Arial" w:hAnsi="Arial"/>
                <w:sz w:val="14"/>
                <w:szCs w:val="14"/>
                <w:b w:val="1"/>
                <w:bCs w:val="1"/>
                <w:color w:val="auto"/>
              </w:rPr>
              <w:t>For the Six Months Ended June 30,</w:t>
            </w:r>
          </w:p>
        </w:tc>
        <w:tc>
          <w:tcPr>
            <w:tcW w:w="31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Statement of Operations Classification</w:t>
            </w:r>
          </w:p>
        </w:tc>
        <w:tc>
          <w:tcPr>
            <w:tcW w:w="0" w:type="dxa"/>
            <w:vAlign w:val="bottom"/>
          </w:tcPr>
          <w:p>
            <w:pPr>
              <w:spacing w:after="0"/>
              <w:rPr>
                <w:sz w:val="1"/>
                <w:szCs w:val="1"/>
                <w:color w:val="auto"/>
              </w:rPr>
            </w:pPr>
          </w:p>
        </w:tc>
      </w:tr>
      <w:tr>
        <w:trPr>
          <w:trHeight w:val="142"/>
        </w:trPr>
        <w:tc>
          <w:tcPr>
            <w:tcW w:w="2120" w:type="dxa"/>
            <w:vAlign w:val="bottom"/>
          </w:tcPr>
          <w:p>
            <w:pPr>
              <w:spacing w:after="0"/>
              <w:rPr>
                <w:sz w:val="12"/>
                <w:szCs w:val="12"/>
                <w:color w:val="auto"/>
              </w:rPr>
            </w:pPr>
          </w:p>
        </w:tc>
        <w:tc>
          <w:tcPr>
            <w:tcW w:w="1240" w:type="dxa"/>
            <w:vAlign w:val="bottom"/>
            <w:tcBorders>
              <w:top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ind w:right="542"/>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3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1240" w:type="dxa"/>
            <w:vAlign w:val="bottom"/>
            <w:tcBorders>
              <w:top w:val="single" w:sz="8" w:color="auto"/>
            </w:tcBorders>
            <w:shd w:val="clear" w:color="auto" w:fill="CCEEFF"/>
          </w:tcPr>
          <w:p>
            <w:pPr>
              <w:jc w:val="right"/>
              <w:ind w:right="982"/>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579"/>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Net revenues</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Forward Contracts Not Designated as Hedges</w:t>
      </w:r>
    </w:p>
    <w:p>
      <w:pPr>
        <w:spacing w:after="0" w:line="225" w:lineRule="exact"/>
        <w:rPr>
          <w:sz w:val="20"/>
          <w:szCs w:val="20"/>
          <w:color w:val="auto"/>
        </w:rPr>
      </w:pPr>
    </w:p>
    <w:p>
      <w:pPr>
        <w:ind w:right="740" w:firstLine="405"/>
        <w:spacing w:after="0" w:line="277" w:lineRule="auto"/>
        <w:rPr>
          <w:sz w:val="20"/>
          <w:szCs w:val="20"/>
          <w:color w:val="auto"/>
        </w:rPr>
      </w:pPr>
      <w:r>
        <w:rPr>
          <w:rFonts w:ascii="Arial" w:cs="Arial" w:eastAsia="Arial" w:hAnsi="Arial"/>
          <w:sz w:val="18"/>
          <w:szCs w:val="18"/>
          <w:color w:val="auto"/>
        </w:rPr>
        <w:t>The total gross notional amounts and fair values of our foreign currency forward contracts not designated as hedges are as follows (amounts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80" w:type="dxa"/>
            <w:vAlign w:val="bottom"/>
            <w:gridSpan w:val="5"/>
          </w:tcPr>
          <w:p>
            <w:pPr>
              <w:ind w:left="500"/>
              <w:spacing w:after="0"/>
              <w:rPr>
                <w:sz w:val="20"/>
                <w:szCs w:val="20"/>
                <w:color w:val="auto"/>
              </w:rPr>
            </w:pPr>
            <w:r>
              <w:rPr>
                <w:rFonts w:ascii="Arial" w:cs="Arial" w:eastAsia="Arial" w:hAnsi="Arial"/>
                <w:sz w:val="14"/>
                <w:szCs w:val="14"/>
                <w:b w:val="1"/>
                <w:bCs w:val="1"/>
                <w:color w:val="auto"/>
              </w:rPr>
              <w:t>As of June 30, 2018</w:t>
            </w:r>
          </w:p>
        </w:tc>
        <w:tc>
          <w:tcPr>
            <w:tcW w:w="540" w:type="dxa"/>
            <w:vAlign w:val="bottom"/>
          </w:tcPr>
          <w:p>
            <w:pPr>
              <w:spacing w:after="0"/>
              <w:rPr>
                <w:sz w:val="14"/>
                <w:szCs w:val="14"/>
                <w:color w:val="auto"/>
              </w:rPr>
            </w:pPr>
          </w:p>
        </w:tc>
        <w:tc>
          <w:tcPr>
            <w:tcW w:w="2900" w:type="dxa"/>
            <w:vAlign w:val="bottom"/>
            <w:gridSpan w:val="5"/>
          </w:tcPr>
          <w:p>
            <w:pPr>
              <w:ind w:left="360"/>
              <w:spacing w:after="0"/>
              <w:rPr>
                <w:sz w:val="20"/>
                <w:szCs w:val="20"/>
                <w:color w:val="auto"/>
              </w:rPr>
            </w:pPr>
            <w:r>
              <w:rPr>
                <w:rFonts w:ascii="Arial" w:cs="Arial" w:eastAsia="Arial" w:hAnsi="Arial"/>
                <w:sz w:val="14"/>
                <w:szCs w:val="14"/>
                <w:b w:val="1"/>
                <w:bCs w:val="1"/>
                <w:color w:val="auto"/>
              </w:rPr>
              <w:t>As of December 31, 2017</w:t>
            </w:r>
          </w:p>
        </w:tc>
      </w:tr>
      <w:tr>
        <w:trPr>
          <w:trHeight w:val="142"/>
        </w:trPr>
        <w:tc>
          <w:tcPr>
            <w:tcW w:w="4300" w:type="dxa"/>
            <w:vAlign w:val="bottom"/>
          </w:tcPr>
          <w:p>
            <w:pPr>
              <w:spacing w:after="0"/>
              <w:rPr>
                <w:sz w:val="12"/>
                <w:szCs w:val="12"/>
                <w:color w:val="auto"/>
              </w:rPr>
            </w:pPr>
          </w:p>
        </w:tc>
        <w:tc>
          <w:tcPr>
            <w:tcW w:w="1700" w:type="dxa"/>
            <w:vAlign w:val="bottom"/>
            <w:tcBorders>
              <w:top w:val="single" w:sz="8" w:color="auto"/>
            </w:tcBorders>
            <w:gridSpan w:val="3"/>
          </w:tcPr>
          <w:p>
            <w:pPr>
              <w:ind w:left="180"/>
              <w:spacing w:after="0" w:line="142" w:lineRule="exact"/>
              <w:rPr>
                <w:sz w:val="20"/>
                <w:szCs w:val="20"/>
                <w:color w:val="auto"/>
              </w:rPr>
            </w:pPr>
            <w:r>
              <w:rPr>
                <w:rFonts w:ascii="Arial" w:cs="Arial" w:eastAsia="Arial" w:hAnsi="Arial"/>
                <w:sz w:val="14"/>
                <w:szCs w:val="14"/>
                <w:b w:val="1"/>
                <w:bCs w:val="1"/>
                <w:color w:val="auto"/>
              </w:rPr>
              <w:t>Notional amount</w:t>
            </w:r>
          </w:p>
        </w:tc>
        <w:tc>
          <w:tcPr>
            <w:tcW w:w="1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91"/>
              </w:rPr>
              <w:t>Fair value gain (loss)</w:t>
            </w:r>
          </w:p>
        </w:tc>
        <w:tc>
          <w:tcPr>
            <w:tcW w:w="280" w:type="dxa"/>
            <w:vAlign w:val="bottom"/>
          </w:tcPr>
          <w:p>
            <w:pPr>
              <w:spacing w:after="0"/>
              <w:rPr>
                <w:sz w:val="12"/>
                <w:szCs w:val="12"/>
                <w:color w:val="auto"/>
              </w:rPr>
            </w:pPr>
          </w:p>
        </w:tc>
        <w:tc>
          <w:tcPr>
            <w:tcW w:w="1640" w:type="dxa"/>
            <w:vAlign w:val="bottom"/>
            <w:tcBorders>
              <w:top w:val="single" w:sz="8" w:color="auto"/>
            </w:tcBorders>
            <w:gridSpan w:val="3"/>
          </w:tcPr>
          <w:p>
            <w:pPr>
              <w:ind w:left="160"/>
              <w:spacing w:after="0" w:line="142" w:lineRule="exact"/>
              <w:rPr>
                <w:sz w:val="20"/>
                <w:szCs w:val="20"/>
                <w:color w:val="auto"/>
              </w:rPr>
            </w:pPr>
            <w:r>
              <w:rPr>
                <w:rFonts w:ascii="Arial" w:cs="Arial" w:eastAsia="Arial" w:hAnsi="Arial"/>
                <w:sz w:val="14"/>
                <w:szCs w:val="14"/>
                <w:b w:val="1"/>
                <w:bCs w:val="1"/>
                <w:color w:val="auto"/>
              </w:rPr>
              <w:t>Notional amount</w:t>
            </w:r>
          </w:p>
        </w:tc>
        <w:tc>
          <w:tcPr>
            <w:tcW w:w="1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Fair value gain (loss)</w:t>
            </w:r>
          </w:p>
        </w:tc>
        <w:tc>
          <w:tcPr>
            <w:tcW w:w="100" w:type="dxa"/>
            <w:vAlign w:val="bottom"/>
          </w:tcPr>
          <w:p>
            <w:pPr>
              <w:spacing w:after="0"/>
              <w:rPr>
                <w:sz w:val="12"/>
                <w:szCs w:val="12"/>
                <w:color w:val="auto"/>
              </w:rPr>
            </w:pPr>
          </w:p>
        </w:tc>
      </w:tr>
      <w:tr>
        <w:trPr>
          <w:trHeight w:val="196"/>
        </w:trPr>
        <w:tc>
          <w:tcPr>
            <w:tcW w:w="4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Foreign Currency:</w:t>
            </w:r>
          </w:p>
        </w:tc>
        <w:tc>
          <w:tcPr>
            <w:tcW w:w="6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Buy Euro, Sell USD</w:t>
            </w:r>
          </w:p>
        </w:tc>
        <w:tc>
          <w:tcPr>
            <w:tcW w:w="600" w:type="dxa"/>
            <w:vAlign w:val="bottom"/>
          </w:tcPr>
          <w:p>
            <w:pPr>
              <w:jc w:val="right"/>
              <w:ind w:right="339"/>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9"/>
              <w:spacing w:after="0"/>
              <w:rPr>
                <w:sz w:val="20"/>
                <w:szCs w:val="20"/>
                <w:color w:val="auto"/>
              </w:rPr>
            </w:pPr>
            <w:r>
              <w:rPr>
                <w:rFonts w:ascii="Arial" w:cs="Arial" w:eastAsia="Arial" w:hAnsi="Arial"/>
                <w:sz w:val="18"/>
                <w:szCs w:val="18"/>
                <w:color w:val="auto"/>
              </w:rPr>
              <w:t>137</w:t>
            </w:r>
          </w:p>
        </w:tc>
        <w:tc>
          <w:tcPr>
            <w:tcW w:w="3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0"/>
                <w:szCs w:val="20"/>
                <w:color w:val="auto"/>
              </w:rPr>
            </w:pPr>
          </w:p>
        </w:tc>
        <w:tc>
          <w:tcPr>
            <w:tcW w:w="540" w:type="dxa"/>
            <w:vAlign w:val="bottom"/>
          </w:tcPr>
          <w:p>
            <w:pPr>
              <w:jc w:val="right"/>
              <w:ind w:right="279"/>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122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For the three and six months ended June 30, 2018 and 2017, pre-tax net gains associated with these forward contracts were recorded in “General and administrative expenses” and were not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on a Non-Recurring Basis</w:t>
      </w:r>
    </w:p>
    <w:p>
      <w:pPr>
        <w:spacing w:after="0" w:line="225"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We measure the fair value of certain assets on a non-recurring basis, generally annually or when events or changes in circumstances indicate that the carrying amount of the assets may not be recoverable.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For the three and six months ended June 30, 2018 and 2017, there were no impairment charges related to assets that are measured on a non-recurring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basis.</w:t>
      </w:r>
    </w:p>
    <w:p>
      <w:pPr>
        <w:spacing w:after="0" w:line="207" w:lineRule="exact"/>
        <w:rPr>
          <w:sz w:val="20"/>
          <w:szCs w:val="20"/>
          <w:color w:val="auto"/>
        </w:rPr>
      </w:pPr>
    </w:p>
    <w:p>
      <w:pPr>
        <w:ind w:left="720" w:hanging="712"/>
        <w:spacing w:after="0"/>
        <w:tabs>
          <w:tab w:leader="none" w:pos="7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Deferred revenues</w:t>
      </w:r>
    </w:p>
    <w:p>
      <w:pPr>
        <w:spacing w:after="0" w:line="229" w:lineRule="exact"/>
        <w:rPr>
          <w:sz w:val="20"/>
          <w:szCs w:val="20"/>
          <w:color w:val="auto"/>
        </w:rPr>
      </w:pPr>
    </w:p>
    <w:p>
      <w:pPr>
        <w:ind w:right="180" w:firstLine="405"/>
        <w:spacing w:after="0" w:line="293" w:lineRule="auto"/>
        <w:rPr>
          <w:sz w:val="20"/>
          <w:szCs w:val="20"/>
          <w:color w:val="auto"/>
        </w:rPr>
      </w:pPr>
      <w:r>
        <w:rPr>
          <w:rFonts w:ascii="Arial" w:cs="Arial" w:eastAsia="Arial" w:hAnsi="Arial"/>
          <w:sz w:val="16"/>
          <w:szCs w:val="16"/>
          <w:color w:val="auto"/>
        </w:rPr>
        <w:t>We record deferred revenues when cash payments are received or due in advance of the fulfillment of our associated performance obligations. The opening balance and ending balance of deferred revenues as of January 1, 2018 and June 30, 2018 were $1.8 billion and $0.8 billion, respectively, including our current and non-current balances. For the six months ended June 30, 2018, the additions to our deferred revenues balance were primarily due to cash payments received or due in advance of satisfying our performance obligations, while the reductions to our deferred revenues balance were primarily due to the recognition of revenues upon fulfillment of our performance obligations, both of which were in the ordinary course of business. During the six months ended June 30, 2018, $1.5 billion of revenues were recognized that were included in the deferred revenues balance at the beginning of the period.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As of June 30, 2018, the aggregate amount of contracted revenues allocated to our unsatisfied performance obligations is $1.3 billion, which includes our deferred revenues balances and amounts to be invoiced and recognized as revenue in future periods. We expect to recognize a significant majority of this balance as revenue over the next 12 months, and the remainder thereafter. This balance does not include an estimate for variable consideration arising from sales-based royalty license revenue in excess of the contractual minimum guarantee.</w:t>
      </w:r>
    </w:p>
    <w:p>
      <w:pPr>
        <w:spacing w:after="0" w:line="167" w:lineRule="exact"/>
        <w:rPr>
          <w:sz w:val="20"/>
          <w:szCs w:val="20"/>
          <w:color w:val="auto"/>
        </w:rPr>
      </w:pPr>
    </w:p>
    <w:p>
      <w:pPr>
        <w:ind w:left="680" w:hanging="672"/>
        <w:spacing w:after="0"/>
        <w:tabs>
          <w:tab w:leader="none" w:pos="6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right="420" w:firstLine="405"/>
        <w:spacing w:after="0" w:line="342" w:lineRule="auto"/>
        <w:rPr>
          <w:sz w:val="20"/>
          <w:szCs w:val="20"/>
          <w:color w:val="auto"/>
        </w:rPr>
      </w:pPr>
      <w:r>
        <w:rPr>
          <w:rFonts w:ascii="Arial" w:cs="Arial" w:eastAsia="Arial" w:hAnsi="Arial"/>
          <w:sz w:val="16"/>
          <w:szCs w:val="16"/>
          <w:color w:val="auto"/>
        </w:rPr>
        <w:t>At December 31, 2017, we had outstanding term loans “A” of approximately $990 million (the “2017 TLA”) and $250 million available under a revolving credit facility (the “Revolver”) pursuant to a credit agreement executed on October 11, 2013 (as amended thereafter and from time to time, the</w:t>
      </w:r>
    </w:p>
    <w:p>
      <w:pPr>
        <w:sectPr>
          <w:pgSz w:w="11900" w:h="16838" w:orient="portrait"/>
          <w:cols w:equalWidth="0" w:num="1">
            <w:col w:w="11420"/>
          </w:cols>
          <w:pgMar w:left="240" w:top="125" w:right="239" w:bottom="0" w:gutter="0" w:footer="0" w:header="0"/>
        </w:sectPr>
      </w:pPr>
    </w:p>
    <w:bookmarkStart w:id="16" w:name="page17"/>
    <w:bookmarkEnd w:id="16"/>
    <w:p>
      <w:pPr>
        <w:spacing w:after="0" w:line="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“Credit Agreement”). To date, we have not drawn on the Revolver and at June 30, 2018, the 2017 TLA bore interest at 3.22% and had an outstanding balance of $990 million. We were in compliance with the terms of the Credit Agreement as of June 30, 2018.</w:t>
      </w:r>
    </w:p>
    <w:p>
      <w:pPr>
        <w:spacing w:after="0" w:line="170" w:lineRule="exact"/>
        <w:rPr>
          <w:sz w:val="20"/>
          <w:szCs w:val="20"/>
          <w:color w:val="auto"/>
        </w:rPr>
      </w:pPr>
    </w:p>
    <w:p>
      <w:pPr>
        <w:ind w:right="800" w:firstLine="405"/>
        <w:spacing w:after="0" w:line="277" w:lineRule="auto"/>
        <w:rPr>
          <w:sz w:val="20"/>
          <w:szCs w:val="20"/>
          <w:color w:val="auto"/>
        </w:rPr>
      </w:pPr>
      <w:r>
        <w:rPr>
          <w:rFonts w:ascii="Arial" w:cs="Arial" w:eastAsia="Arial" w:hAnsi="Arial"/>
          <w:sz w:val="18"/>
          <w:szCs w:val="18"/>
          <w:color w:val="auto"/>
        </w:rPr>
        <w:t>Refer to Note 11 contained in our Annual Report on Form 10-K for the year ended December 31, 2017 for further details regarding the Credit Agreement, key terms, and amendments made to the Credit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Unsecured Senior Notes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June 30, 2018 and December 31, 2017, we had the following unsecured senior notes outstanding:</w:t>
      </w:r>
    </w:p>
    <w:p>
      <w:pPr>
        <w:spacing w:after="0" w:line="225" w:lineRule="exact"/>
        <w:rPr>
          <w:sz w:val="20"/>
          <w:szCs w:val="20"/>
          <w:color w:val="auto"/>
        </w:rPr>
      </w:pPr>
    </w:p>
    <w:p>
      <w:pPr>
        <w:ind w:left="980" w:right="460" w:hanging="324"/>
        <w:spacing w:after="0" w:line="308" w:lineRule="auto"/>
        <w:tabs>
          <w:tab w:leader="none" w:pos="944" w:val="left"/>
        </w:tabs>
        <w:numPr>
          <w:ilvl w:val="0"/>
          <w:numId w:val="19"/>
        </w:numPr>
        <w:rPr>
          <w:rFonts w:ascii="Arial" w:cs="Arial" w:eastAsia="Arial" w:hAnsi="Arial"/>
          <w:sz w:val="17"/>
          <w:szCs w:val="17"/>
          <w:color w:val="auto"/>
        </w:rPr>
      </w:pPr>
      <w:r>
        <w:rPr>
          <w:rFonts w:ascii="Arial" w:cs="Arial" w:eastAsia="Arial" w:hAnsi="Arial"/>
          <w:sz w:val="17"/>
          <w:szCs w:val="17"/>
          <w:color w:val="auto"/>
        </w:rPr>
        <w:t>$750 million of 6.125% unsecured senior notes due September 2023 that we issued on September 19, 2013 (the “2023 Notes”), in a private offering made in accordance with Rule 144A under the Securities Act of 1933, as amended (the “Securities Act”);</w:t>
      </w:r>
    </w:p>
    <w:p>
      <w:pPr>
        <w:spacing w:after="0" w:line="146" w:lineRule="exact"/>
        <w:rPr>
          <w:rFonts w:ascii="Arial" w:cs="Arial" w:eastAsia="Arial" w:hAnsi="Arial"/>
          <w:sz w:val="17"/>
          <w:szCs w:val="17"/>
          <w:color w:val="auto"/>
        </w:rPr>
      </w:pPr>
    </w:p>
    <w:p>
      <w:pPr>
        <w:ind w:left="980" w:right="280" w:hanging="324"/>
        <w:spacing w:after="0" w:line="286" w:lineRule="auto"/>
        <w:tabs>
          <w:tab w:leader="none" w:pos="944" w:val="left"/>
        </w:tabs>
        <w:numPr>
          <w:ilvl w:val="0"/>
          <w:numId w:val="19"/>
        </w:numPr>
        <w:rPr>
          <w:rFonts w:ascii="Arial" w:cs="Arial" w:eastAsia="Arial" w:hAnsi="Arial"/>
          <w:sz w:val="17"/>
          <w:szCs w:val="17"/>
          <w:color w:val="auto"/>
        </w:rPr>
      </w:pPr>
      <w:r>
        <w:rPr>
          <w:rFonts w:ascii="Arial" w:cs="Arial" w:eastAsia="Arial" w:hAnsi="Arial"/>
          <w:sz w:val="17"/>
          <w:szCs w:val="17"/>
          <w:color w:val="auto"/>
        </w:rPr>
        <w:t>$650 million of 2.3% unsecured senior notes due September 2021 (the “2021 Notes”) and $850 million of 3.4% unsecured senior notes due September 2026 (the “2026 Notes”) that we initially issued on September 19, 2016, in a private offering made in accordance with Rule 144A and Regulation S under the Securities Act, and subsequently exchanged for publicly registered notes in June 2017; and</w:t>
      </w:r>
    </w:p>
    <w:p>
      <w:pPr>
        <w:spacing w:after="0" w:line="165" w:lineRule="exact"/>
        <w:rPr>
          <w:rFonts w:ascii="Arial" w:cs="Arial" w:eastAsia="Arial" w:hAnsi="Arial"/>
          <w:sz w:val="17"/>
          <w:szCs w:val="17"/>
          <w:color w:val="auto"/>
        </w:rPr>
      </w:pPr>
    </w:p>
    <w:p>
      <w:pPr>
        <w:ind w:left="980" w:right="20" w:hanging="324"/>
        <w:spacing w:after="0" w:line="312" w:lineRule="auto"/>
        <w:tabs>
          <w:tab w:leader="none" w:pos="944" w:val="left"/>
        </w:tabs>
        <w:numPr>
          <w:ilvl w:val="0"/>
          <w:numId w:val="19"/>
        </w:numPr>
        <w:rPr>
          <w:rFonts w:ascii="Arial" w:cs="Arial" w:eastAsia="Arial" w:hAnsi="Arial"/>
          <w:sz w:val="16"/>
          <w:szCs w:val="16"/>
          <w:color w:val="auto"/>
        </w:rPr>
      </w:pPr>
      <w:r>
        <w:rPr>
          <w:rFonts w:ascii="Arial" w:cs="Arial" w:eastAsia="Arial" w:hAnsi="Arial"/>
          <w:sz w:val="16"/>
          <w:szCs w:val="16"/>
          <w:color w:val="auto"/>
        </w:rPr>
        <w:t>$400 million of 2.6% unsecured senior notes due June 2022 (the “2022 Notes”), $400 million of 3.4% unsecured senior notes due June 2027 (the “2027 Notes”), and $400 million of 4.5% unsecured senior notes due June 2047 (the “2047 Notes”, and together with the 2021 Notes, the 2022 Notes, the 2023 Notes, the 2026 Notes, and the 2027 Notes, the “Notes”), that we issued on May 26, 2017, in a public underwritten offering.</w:t>
      </w:r>
    </w:p>
    <w:p>
      <w:pPr>
        <w:spacing w:after="0" w:line="147" w:lineRule="exact"/>
        <w:rPr>
          <w:sz w:val="20"/>
          <w:szCs w:val="20"/>
          <w:color w:val="auto"/>
        </w:rPr>
      </w:pPr>
    </w:p>
    <w:p>
      <w:pPr>
        <w:jc w:val="both"/>
        <w:ind w:right="280" w:firstLine="405"/>
        <w:spacing w:after="0" w:line="286" w:lineRule="auto"/>
        <w:rPr>
          <w:sz w:val="20"/>
          <w:szCs w:val="20"/>
          <w:color w:val="auto"/>
        </w:rPr>
      </w:pPr>
      <w:r>
        <w:rPr>
          <w:rFonts w:ascii="Arial" w:cs="Arial" w:eastAsia="Arial" w:hAnsi="Arial"/>
          <w:sz w:val="17"/>
          <w:szCs w:val="17"/>
          <w:color w:val="auto"/>
        </w:rPr>
        <w:t xml:space="preserve">The Notes are general senior obligations of the Company and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right of payment to all of the Company’s existing and future senior indebtedness, including the 2017 TLA and Revolver described above. The Notes are not secured and are effectively subordinated to any of the Company’s existing and future indebtedness that is secured. We were in compliance with the terms of the Notes as of June 30, 2018.</w:t>
      </w:r>
    </w:p>
    <w:p>
      <w:pPr>
        <w:spacing w:after="0" w:line="166"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Interest is payable semi-annually in arrears on March 15 and September 15 of each year for the 2021 Notes, the 2023 Notes, and 2026 Notes, and payable semi-annually in arrears on June 15 and December 15 of each year for the 2022 Notes, the 2027 Notes, and 2047 Notes. Accrued interest payable is recorded within “Accrued expenses and other liabilities” in our condensed consolidated balance sheets. As of both June 30, 2018 and December 31, 2017, we had accrued interest payable of $28 million related to the Notes.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July 17, 2018, we issued an irrevocable notice of redemption to the holders of all of our outstanding 2023 Notes. Accordingly, the 2023 Notes will be redeemed pursuant to their terms on August 16, 2018 at a redemption price equal to 100% of the principal amount of the 2023 Notes plus a “make-whole” premium calculated as set forth in the indenture governing the 2023 Notes. Redemption of the 2023 Notes will result in a loss on extinguishment of approximately $35 million, comprised of premium payments of approximately $27 million and a write-off of unamortized discount and financing costs of approximately $8 million. As the irrevocable notice of redemption was issued subsequent to June 30, 2018, we presented the outstanding principal balance of the 2023 Notes and its related unamortized discount and deferred financing costs as “Long-term debt, net” on our condensed consolidated balance sheets as of June 30, 2018.</w:t>
      </w:r>
    </w:p>
    <w:p>
      <w:pPr>
        <w:spacing w:after="0" w:line="189"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Refer to Note 11 contained in our Annual Report on Form 10-K for the year ended December 31, 2017 for further details regarding our key terms under our indentures that govern the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Financing Costs</w:t>
      </w:r>
    </w:p>
    <w:p>
      <w:pPr>
        <w:spacing w:after="0" w:line="225"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Fees and discounts associated with the issuance of our debt instruments are recorded as debt discount, which reduces their respective carrying values, and are amortized over their respective terms. Amortization expense is recorded within “Interest and other expense (income), net” in our condensed consolidated statement of operations.</w:t>
      </w:r>
    </w:p>
    <w:p>
      <w:pPr>
        <w:spacing w:after="0" w:line="181" w:lineRule="exact"/>
        <w:rPr>
          <w:sz w:val="20"/>
          <w:szCs w:val="20"/>
          <w:color w:val="auto"/>
        </w:rPr>
      </w:pPr>
    </w:p>
    <w:p>
      <w:pPr>
        <w:jc w:val="both"/>
        <w:ind w:right="20" w:firstLine="405"/>
        <w:spacing w:after="0" w:line="312" w:lineRule="auto"/>
        <w:rPr>
          <w:sz w:val="20"/>
          <w:szCs w:val="20"/>
          <w:color w:val="auto"/>
        </w:rPr>
      </w:pPr>
      <w:r>
        <w:rPr>
          <w:rFonts w:ascii="Arial" w:cs="Arial" w:eastAsia="Arial" w:hAnsi="Arial"/>
          <w:sz w:val="16"/>
          <w:szCs w:val="16"/>
          <w:color w:val="auto"/>
        </w:rPr>
        <w:t>For the three and six months ended June 30, 2018, interest expense was $41 million and $80 million, respectively, and amortization of the debt discount and deferred financing costs was $2 million and $4 million, respectively. For the three and six months ended June 30, 2017, interest expense was $36 million and $71 million, respectively, and amortization of the debt discount and deferred financing costs was $2 million and $9 million, respectively.</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our outstanding debt is as follows (amounts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92"/>
              </w:rPr>
              <w:t>At June 30, 2018</w:t>
            </w: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6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Unamortized</w:t>
            </w: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12"/>
                <w:szCs w:val="12"/>
                <w:color w:val="auto"/>
              </w:rPr>
            </w:pPr>
          </w:p>
        </w:tc>
        <w:tc>
          <w:tcPr>
            <w:tcW w:w="17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Discount and</w:t>
            </w:r>
          </w:p>
        </w:tc>
        <w:tc>
          <w:tcPr>
            <w:tcW w:w="240" w:type="dxa"/>
            <w:vAlign w:val="bottom"/>
          </w:tcPr>
          <w:p>
            <w:pPr>
              <w:spacing w:after="0"/>
              <w:rPr>
                <w:sz w:val="12"/>
                <w:szCs w:val="12"/>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6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Deferred Financing</w:t>
            </w: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7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Costs</w:t>
            </w: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2017 TLA</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990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983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2021 Notes</w:t>
            </w:r>
          </w:p>
        </w:tc>
        <w:tc>
          <w:tcPr>
            <w:tcW w:w="200" w:type="dxa"/>
            <w:vAlign w:val="bottom"/>
          </w:tcPr>
          <w:p>
            <w:pPr>
              <w:spacing w:after="0"/>
              <w:rPr>
                <w:sz w:val="18"/>
                <w:szCs w:val="18"/>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650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2022 Notes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2023 Notes</w:t>
            </w:r>
          </w:p>
        </w:tc>
        <w:tc>
          <w:tcPr>
            <w:tcW w:w="200" w:type="dxa"/>
            <w:vAlign w:val="bottom"/>
          </w:tcPr>
          <w:p>
            <w:pPr>
              <w:spacing w:after="0"/>
              <w:rPr>
                <w:sz w:val="18"/>
                <w:szCs w:val="18"/>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750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2026 Notes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850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2027 Notes</w:t>
            </w:r>
          </w:p>
        </w:tc>
        <w:tc>
          <w:tcPr>
            <w:tcW w:w="200" w:type="dxa"/>
            <w:vAlign w:val="bottom"/>
          </w:tcPr>
          <w:p>
            <w:pPr>
              <w:spacing w:after="0"/>
              <w:rPr>
                <w:sz w:val="18"/>
                <w:szCs w:val="18"/>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400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2047 Notes</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400</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tcPr>
          <w:p>
            <w:pPr>
              <w:spacing w:after="0"/>
              <w:rPr>
                <w:sz w:val="20"/>
                <w:szCs w:val="20"/>
                <w:color w:val="auto"/>
              </w:rPr>
            </w:pPr>
            <w:r>
              <w:rPr>
                <w:rFonts w:ascii="Arial" w:cs="Arial" w:eastAsia="Arial" w:hAnsi="Arial"/>
                <w:sz w:val="18"/>
                <w:szCs w:val="18"/>
                <w:color w:val="auto"/>
              </w:rPr>
              <w:t>Total long-term debt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4,440</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4,394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2"/>
              </w:rPr>
              <w:t>At December 31, 2017</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6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Unamortized</w:t>
            </w: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12"/>
                <w:szCs w:val="12"/>
                <w:color w:val="auto"/>
              </w:rPr>
            </w:pPr>
          </w:p>
        </w:tc>
        <w:tc>
          <w:tcPr>
            <w:tcW w:w="17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Discount and</w:t>
            </w:r>
          </w:p>
        </w:tc>
        <w:tc>
          <w:tcPr>
            <w:tcW w:w="240" w:type="dxa"/>
            <w:vAlign w:val="bottom"/>
          </w:tcPr>
          <w:p>
            <w:pPr>
              <w:spacing w:after="0"/>
              <w:rPr>
                <w:sz w:val="12"/>
                <w:szCs w:val="12"/>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6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Deferred Financing</w:t>
            </w: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7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Costs</w:t>
            </w: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2017 TLA</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990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982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2021 Notes</w:t>
            </w:r>
          </w:p>
        </w:tc>
        <w:tc>
          <w:tcPr>
            <w:tcW w:w="20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650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925" w:orient="portrait"/>
          <w:cols w:equalWidth="0" w:num="1">
            <w:col w:w="11420"/>
          </w:cols>
          <w:pgMar w:left="240" w:top="125" w:right="239"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2022 Notes</w:t>
            </w:r>
          </w:p>
        </w:tc>
        <w:tc>
          <w:tcPr>
            <w:tcW w:w="2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2023 Notes</w:t>
            </w:r>
          </w:p>
        </w:tc>
        <w:tc>
          <w:tcPr>
            <w:tcW w:w="2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750</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2026 Notes</w:t>
            </w:r>
          </w:p>
        </w:tc>
        <w:tc>
          <w:tcPr>
            <w:tcW w:w="2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2027 Notes</w:t>
            </w:r>
          </w:p>
        </w:tc>
        <w:tc>
          <w:tcPr>
            <w:tcW w:w="2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2047 Notes</w:t>
            </w:r>
          </w:p>
        </w:tc>
        <w:tc>
          <w:tcPr>
            <w:tcW w:w="274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2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Pr>
          <w:p>
            <w:pPr>
              <w:spacing w:after="0"/>
              <w:rPr>
                <w:sz w:val="20"/>
                <w:szCs w:val="20"/>
                <w:color w:val="auto"/>
              </w:rPr>
            </w:pPr>
            <w:r>
              <w:rPr>
                <w:rFonts w:ascii="Arial" w:cs="Arial" w:eastAsia="Arial" w:hAnsi="Arial"/>
                <w:sz w:val="18"/>
                <w:szCs w:val="18"/>
                <w:color w:val="auto"/>
              </w:rPr>
              <w:t>Total long-term debt</w:t>
            </w:r>
          </w:p>
        </w:tc>
        <w:tc>
          <w:tcPr>
            <w:tcW w:w="2740" w:type="dxa"/>
            <w:vAlign w:val="bottom"/>
          </w:tcPr>
          <w:p>
            <w:pPr>
              <w:spacing w:after="0"/>
              <w:rPr>
                <w:sz w:val="18"/>
                <w:szCs w:val="18"/>
                <w:color w:val="auto"/>
              </w:rPr>
            </w:pPr>
          </w:p>
        </w:tc>
        <w:tc>
          <w:tcPr>
            <w:tcW w:w="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4,440</w:t>
            </w:r>
          </w:p>
        </w:tc>
        <w:tc>
          <w:tcPr>
            <w:tcW w:w="280" w:type="dxa"/>
            <w:vAlign w:val="bottom"/>
          </w:tcPr>
          <w:p>
            <w:pPr>
              <w:spacing w:after="0"/>
              <w:rPr>
                <w:sz w:val="18"/>
                <w:szCs w:val="18"/>
                <w:color w:val="auto"/>
              </w:rPr>
            </w:pPr>
          </w:p>
        </w:tc>
        <w:tc>
          <w:tcPr>
            <w:tcW w:w="7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4,390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740" w:type="dxa"/>
            <w:vAlign w:val="bottom"/>
            <w:vMerge w:val="restart"/>
          </w:tcPr>
          <w:p>
            <w:pPr>
              <w:jc w:val="right"/>
              <w:ind w:right="410"/>
              <w:spacing w:after="0"/>
              <w:rPr>
                <w:sz w:val="20"/>
                <w:szCs w:val="20"/>
                <w:color w:val="auto"/>
              </w:rPr>
            </w:pPr>
            <w:r>
              <w:rPr>
                <w:rFonts w:ascii="Arial" w:cs="Arial" w:eastAsia="Arial" w:hAnsi="Arial"/>
                <w:sz w:val="18"/>
                <w:szCs w:val="18"/>
                <w:color w:val="auto"/>
              </w:rPr>
              <w:t>27</w:t>
            </w: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6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560" w:type="dxa"/>
            <w:vAlign w:val="bottom"/>
            <w:tcBorders>
              <w:bottom w:val="single" w:sz="8" w:color="808080"/>
            </w:tcBorders>
          </w:tcPr>
          <w:p>
            <w:pPr>
              <w:spacing w:after="0"/>
              <w:rPr>
                <w:sz w:val="11"/>
                <w:szCs w:val="11"/>
                <w:color w:val="auto"/>
              </w:rPr>
            </w:pPr>
          </w:p>
        </w:tc>
        <w:tc>
          <w:tcPr>
            <w:tcW w:w="27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firstLine="401"/>
        <w:spacing w:after="0" w:line="277" w:lineRule="auto"/>
        <w:rPr>
          <w:sz w:val="20"/>
          <w:szCs w:val="20"/>
          <w:color w:val="auto"/>
        </w:rPr>
      </w:pPr>
      <w:r>
        <w:rPr>
          <w:rFonts w:ascii="Arial" w:cs="Arial" w:eastAsia="Arial" w:hAnsi="Arial"/>
          <w:sz w:val="18"/>
          <w:szCs w:val="18"/>
          <w:color w:val="auto"/>
        </w:rPr>
        <w:t>As of June 30, 2018, the scheduled maturities and contractual principal repayments of our debt for each of the five succeeding years are as follows (amounts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For the year ending December 31,</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940" w:type="dxa"/>
            <w:vAlign w:val="bottom"/>
          </w:tcPr>
          <w:p>
            <w:pPr>
              <w:ind w:left="180"/>
              <w:spacing w:after="0"/>
              <w:rPr>
                <w:sz w:val="20"/>
                <w:szCs w:val="20"/>
                <w:color w:val="auto"/>
              </w:rPr>
            </w:pPr>
            <w:r>
              <w:rPr>
                <w:rFonts w:ascii="Arial" w:cs="Arial" w:eastAsia="Arial" w:hAnsi="Arial"/>
                <w:sz w:val="18"/>
                <w:szCs w:val="18"/>
                <w:color w:val="auto"/>
              </w:rPr>
              <w:t>2018 (remaining six months)</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9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9940" w:type="dxa"/>
            <w:vAlign w:val="bottom"/>
          </w:tcPr>
          <w:p>
            <w:pPr>
              <w:ind w:left="180"/>
              <w:spacing w:after="0"/>
              <w:rPr>
                <w:sz w:val="20"/>
                <w:szCs w:val="20"/>
                <w:color w:val="auto"/>
              </w:rPr>
            </w:pPr>
            <w:r>
              <w:rPr>
                <w:rFonts w:ascii="Arial" w:cs="Arial" w:eastAsia="Arial" w:hAnsi="Arial"/>
                <w:sz w:val="18"/>
                <w:szCs w:val="18"/>
                <w:color w:val="auto"/>
              </w:rPr>
              <w:t>2020</w:t>
            </w:r>
          </w:p>
        </w:tc>
        <w:tc>
          <w:tcPr>
            <w:tcW w:w="5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9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1,640</w:t>
            </w:r>
          </w:p>
        </w:tc>
        <w:tc>
          <w:tcPr>
            <w:tcW w:w="100" w:type="dxa"/>
            <w:vAlign w:val="bottom"/>
            <w:shd w:val="clear" w:color="auto" w:fill="CCEEFF"/>
          </w:tcPr>
          <w:p>
            <w:pPr>
              <w:spacing w:after="0"/>
              <w:rPr>
                <w:sz w:val="18"/>
                <w:szCs w:val="18"/>
                <w:color w:val="auto"/>
              </w:rPr>
            </w:pPr>
          </w:p>
        </w:tc>
      </w:tr>
      <w:tr>
        <w:trPr>
          <w:trHeight w:val="216"/>
        </w:trPr>
        <w:tc>
          <w:tcPr>
            <w:tcW w:w="9940" w:type="dxa"/>
            <w:vAlign w:val="bottom"/>
          </w:tcPr>
          <w:p>
            <w:pPr>
              <w:ind w:left="180"/>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8"/>
                <w:szCs w:val="18"/>
                <w:color w:val="auto"/>
              </w:rPr>
            </w:pPr>
          </w:p>
        </w:tc>
      </w:tr>
      <w:tr>
        <w:trPr>
          <w:trHeight w:val="216"/>
        </w:trPr>
        <w:tc>
          <w:tcPr>
            <w:tcW w:w="9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Thereafter (1)</w:t>
            </w: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2,400</w:t>
            </w:r>
          </w:p>
        </w:tc>
        <w:tc>
          <w:tcPr>
            <w:tcW w:w="100" w:type="dxa"/>
            <w:vAlign w:val="bottom"/>
            <w:shd w:val="clear" w:color="auto" w:fill="CCEEFF"/>
          </w:tcPr>
          <w:p>
            <w:pPr>
              <w:spacing w:after="0"/>
              <w:rPr>
                <w:sz w:val="18"/>
                <w:szCs w:val="18"/>
                <w:color w:val="auto"/>
              </w:rPr>
            </w:pPr>
          </w:p>
        </w:tc>
      </w:tr>
      <w:tr>
        <w:trPr>
          <w:trHeight w:val="210"/>
        </w:trPr>
        <w:tc>
          <w:tcPr>
            <w:tcW w:w="9940" w:type="dxa"/>
            <w:vAlign w:val="bottom"/>
          </w:tcPr>
          <w:p>
            <w:pPr>
              <w:ind w:left="36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4,440</w:t>
            </w:r>
          </w:p>
        </w:tc>
        <w:tc>
          <w:tcPr>
            <w:tcW w:w="100" w:type="dxa"/>
            <w:vAlign w:val="bottom"/>
          </w:tcPr>
          <w:p>
            <w:pPr>
              <w:spacing w:after="0"/>
              <w:rPr>
                <w:sz w:val="18"/>
                <w:szCs w:val="18"/>
                <w:color w:val="auto"/>
              </w:rPr>
            </w:pPr>
          </w:p>
        </w:tc>
      </w:tr>
      <w:tr>
        <w:trPr>
          <w:trHeight w:val="20"/>
        </w:trPr>
        <w:tc>
          <w:tcPr>
            <w:tcW w:w="9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180" w:hanging="652"/>
        <w:spacing w:after="0" w:line="277" w:lineRule="auto"/>
        <w:tabs>
          <w:tab w:leader="none" w:pos="667"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payment of our 2023 Notes at maturity. As discussed above, on July 17, 2018 we issued an irrevocable notice of redemption to the holders of the 2023 Notes that all of our outstanding 2023 Notes will be redeemed on August 16, 2018.</w:t>
      </w:r>
    </w:p>
    <w:p>
      <w:pPr>
        <w:spacing w:after="0" w:line="170" w:lineRule="exact"/>
        <w:rPr>
          <w:sz w:val="20"/>
          <w:szCs w:val="20"/>
          <w:color w:val="auto"/>
        </w:rPr>
      </w:pPr>
    </w:p>
    <w:p>
      <w:pPr>
        <w:ind w:right="160" w:firstLine="405"/>
        <w:spacing w:after="0" w:line="312" w:lineRule="auto"/>
        <w:rPr>
          <w:sz w:val="20"/>
          <w:szCs w:val="20"/>
          <w:color w:val="auto"/>
        </w:rPr>
      </w:pPr>
      <w:r>
        <w:rPr>
          <w:rFonts w:ascii="Arial" w:cs="Arial" w:eastAsia="Arial" w:hAnsi="Arial"/>
          <w:sz w:val="16"/>
          <w:szCs w:val="16"/>
          <w:color w:val="auto"/>
        </w:rPr>
        <w:t>On February 1, 2018, our Board of Directors authorized repayment of up to $1.8 billion of the company’s outstanding debt during 2018. As discussed above, on July 17, 2018, we issued an irrevocable notice to the holders of our 2023 Notes that all of our outstanding 2023 Notes will be redeemed on August 16, 2018. The determination as to if and when we make any such remaining repayments will be dependent on market conditions and other factors.</w:t>
      </w:r>
    </w:p>
    <w:p>
      <w:pPr>
        <w:spacing w:after="0" w:line="147"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Using Level 2 inputs (i.e., observable market prices in less-than-active markets) at June 30, 2018, with the exception of the 2026 Notes and the 2027 Notes, the carrying values of our debt instruments approximated their fair values, as the interest rates were similar to current rates at which we could borrow funds over the selected interest periods. At June 30, 2018, based on Level 2 inputs, the fair values of the 2026 Notes and the 2027 Notes were $810 million and $379 million, respectively.</w:t>
      </w:r>
    </w:p>
    <w:p>
      <w:pPr>
        <w:spacing w:after="0" w:line="187"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Using Level 2 inputs at December 31, 2017, with the exception of the 2023 Notes and the 2047 Notes, the carrying values of our debt instruments approximated their fair values. At December 31, 2017, based on Level 2 inputs, the fair values of the 2023 Notes and the 2047 Notes were $795 million and $421 million, respectively.</w:t>
      </w:r>
    </w:p>
    <w:p>
      <w:pPr>
        <w:spacing w:after="0" w:line="177" w:lineRule="exact"/>
        <w:rPr>
          <w:sz w:val="20"/>
          <w:szCs w:val="20"/>
          <w:color w:val="auto"/>
        </w:rPr>
      </w:pPr>
    </w:p>
    <w:p>
      <w:pPr>
        <w:ind w:left="680" w:hanging="672"/>
        <w:spacing w:after="0"/>
        <w:tabs>
          <w:tab w:leader="none" w:pos="6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accumulated other comprehensive income (loss) were as follows (amounts in millions):</w:t>
      </w:r>
    </w:p>
    <w:p>
      <w:pPr>
        <w:sectPr>
          <w:pgSz w:w="11900" w:h="16838" w:orient="portrait"/>
          <w:cols w:equalWidth="0" w:num="1">
            <w:col w:w="11460"/>
          </w:cols>
          <w:pgMar w:left="240" w:top="140" w:right="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2017</w:t>
      </w:r>
    </w:p>
    <w:p>
      <w:pPr>
        <w:spacing w:after="0" w:line="23" w:lineRule="exact"/>
        <w:rPr>
          <w:sz w:val="20"/>
          <w:szCs w:val="20"/>
          <w:color w:val="auto"/>
        </w:rPr>
      </w:pPr>
    </w:p>
    <w:p>
      <w:pPr>
        <w:ind w:left="180" w:right="160"/>
        <w:spacing w:after="0" w:line="258" w:lineRule="auto"/>
        <w:rPr>
          <w:sz w:val="20"/>
          <w:szCs w:val="20"/>
          <w:color w:val="auto"/>
        </w:rPr>
      </w:pPr>
      <w:r>
        <w:rPr>
          <w:rFonts w:ascii="Arial" w:cs="Arial" w:eastAsia="Arial" w:hAnsi="Arial"/>
          <w:sz w:val="18"/>
          <w:szCs w:val="18"/>
          <w:color w:val="auto"/>
        </w:rPr>
        <w:t>Cumulative impact from adoption of new revenue accounting standard</w:t>
      </w:r>
    </w:p>
    <w:p>
      <w:pPr>
        <w:spacing w:after="0" w:line="1" w:lineRule="exact"/>
        <w:rPr>
          <w:sz w:val="20"/>
          <w:szCs w:val="20"/>
          <w:color w:val="auto"/>
        </w:rPr>
      </w:pPr>
    </w:p>
    <w:p>
      <w:pPr>
        <w:ind w:left="180" w:right="680"/>
        <w:spacing w:after="0" w:line="250" w:lineRule="auto"/>
        <w:rPr>
          <w:sz w:val="20"/>
          <w:szCs w:val="20"/>
          <w:color w:val="auto"/>
        </w:rPr>
      </w:pPr>
      <w:r>
        <w:rPr>
          <w:rFonts w:ascii="Arial" w:cs="Arial" w:eastAsia="Arial" w:hAnsi="Arial"/>
          <w:sz w:val="18"/>
          <w:szCs w:val="18"/>
          <w:color w:val="auto"/>
        </w:rPr>
        <w:t>Other comprehensive income (loss) before reclassifications</w:t>
      </w:r>
    </w:p>
    <w:p>
      <w:pPr>
        <w:spacing w:after="0" w:line="1" w:lineRule="exact"/>
        <w:rPr>
          <w:sz w:val="20"/>
          <w:szCs w:val="20"/>
          <w:color w:val="auto"/>
        </w:rPr>
      </w:pPr>
    </w:p>
    <w:p>
      <w:pPr>
        <w:ind w:left="180" w:right="460"/>
        <w:spacing w:after="0" w:line="281" w:lineRule="auto"/>
        <w:rPr>
          <w:sz w:val="20"/>
          <w:szCs w:val="20"/>
          <w:color w:val="auto"/>
        </w:rPr>
      </w:pPr>
      <w:r>
        <w:rPr>
          <w:rFonts w:ascii="Arial" w:cs="Arial" w:eastAsia="Arial" w:hAnsi="Arial"/>
          <w:sz w:val="16"/>
          <w:szCs w:val="16"/>
          <w:color w:val="auto"/>
        </w:rPr>
        <w:t>Amounts reclassified from accumulated other comprehensive income (loss) into earnings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Balance at June 30, 2018</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2080"/>
        <w:spacing w:after="0"/>
        <w:rPr>
          <w:sz w:val="20"/>
          <w:szCs w:val="20"/>
          <w:color w:val="auto"/>
        </w:rPr>
      </w:pPr>
      <w:r>
        <w:rPr>
          <w:rFonts w:ascii="Arial" w:cs="Arial" w:eastAsia="Arial" w:hAnsi="Arial"/>
          <w:sz w:val="14"/>
          <w:szCs w:val="14"/>
          <w:b w:val="1"/>
          <w:bCs w:val="1"/>
          <w:color w:val="auto"/>
        </w:rPr>
        <w:t>For the Six Months Ended June 30, 2018</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660" w:type="dxa"/>
            <w:vAlign w:val="bottom"/>
            <w:tcBorders>
              <w:top w:val="single" w:sz="8" w:color="auto"/>
            </w:tcBorders>
            <w:gridSpan w:val="3"/>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Foreign currency</w:t>
            </w:r>
          </w:p>
        </w:tc>
        <w:tc>
          <w:tcPr>
            <w:tcW w:w="1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9"/>
              </w:rPr>
              <w:t>Unrealized gain</w:t>
            </w:r>
          </w:p>
        </w:tc>
        <w:tc>
          <w:tcPr>
            <w:tcW w:w="240" w:type="dxa"/>
            <w:vAlign w:val="bottom"/>
            <w:tcBorders>
              <w:top w:val="single" w:sz="8" w:color="auto"/>
            </w:tcBorders>
          </w:tcPr>
          <w:p>
            <w:pPr>
              <w:spacing w:after="0"/>
              <w:rPr>
                <w:sz w:val="10"/>
                <w:szCs w:val="10"/>
                <w:color w:val="auto"/>
              </w:rPr>
            </w:pPr>
          </w:p>
        </w:tc>
        <w:tc>
          <w:tcPr>
            <w:tcW w:w="1740" w:type="dxa"/>
            <w:vAlign w:val="bottom"/>
            <w:tcBorders>
              <w:top w:val="single" w:sz="8" w:color="auto"/>
            </w:tcBorders>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Unrealized gain</w:t>
            </w:r>
          </w:p>
        </w:tc>
        <w:tc>
          <w:tcPr>
            <w:tcW w:w="3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0" w:type="dxa"/>
            <w:vAlign w:val="bottom"/>
          </w:tcPr>
          <w:p>
            <w:pPr>
              <w:spacing w:after="0"/>
              <w:rPr>
                <w:sz w:val="12"/>
                <w:szCs w:val="12"/>
                <w:color w:val="auto"/>
              </w:rPr>
            </w:pPr>
          </w:p>
        </w:tc>
        <w:tc>
          <w:tcPr>
            <w:tcW w:w="14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16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(loss) on forward</w:t>
            </w:r>
          </w:p>
        </w:tc>
        <w:tc>
          <w:tcPr>
            <w:tcW w:w="240" w:type="dxa"/>
            <w:vAlign w:val="bottom"/>
          </w:tcPr>
          <w:p>
            <w:pPr>
              <w:spacing w:after="0"/>
              <w:rPr>
                <w:sz w:val="12"/>
                <w:szCs w:val="12"/>
                <w:color w:val="auto"/>
              </w:rPr>
            </w:pPr>
          </w:p>
        </w:tc>
        <w:tc>
          <w:tcPr>
            <w:tcW w:w="17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(loss) on available-</w:t>
            </w:r>
          </w:p>
        </w:tc>
        <w:tc>
          <w:tcPr>
            <w:tcW w:w="360" w:type="dxa"/>
            <w:vAlign w:val="bottom"/>
          </w:tcPr>
          <w:p>
            <w:pPr>
              <w:spacing w:after="0"/>
              <w:rPr>
                <w:sz w:val="12"/>
                <w:szCs w:val="12"/>
                <w:color w:val="auto"/>
              </w:rPr>
            </w:pPr>
          </w:p>
        </w:tc>
        <w:tc>
          <w:tcPr>
            <w:tcW w:w="102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adjustments</w:t>
            </w:r>
          </w:p>
        </w:tc>
        <w:tc>
          <w:tcPr>
            <w:tcW w:w="180" w:type="dxa"/>
            <w:vAlign w:val="bottom"/>
          </w:tcPr>
          <w:p>
            <w:pPr>
              <w:spacing w:after="0"/>
              <w:rPr>
                <w:sz w:val="14"/>
                <w:szCs w:val="14"/>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contracts</w:t>
            </w:r>
          </w:p>
        </w:tc>
        <w:tc>
          <w:tcPr>
            <w:tcW w:w="240" w:type="dxa"/>
            <w:vAlign w:val="bottom"/>
          </w:tcPr>
          <w:p>
            <w:pPr>
              <w:spacing w:after="0"/>
              <w:rPr>
                <w:sz w:val="14"/>
                <w:szCs w:val="14"/>
                <w:color w:val="auto"/>
              </w:rPr>
            </w:pPr>
          </w:p>
        </w:tc>
        <w:tc>
          <w:tcPr>
            <w:tcW w:w="17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for-sale securities</w:t>
            </w:r>
          </w:p>
        </w:tc>
        <w:tc>
          <w:tcPr>
            <w:tcW w:w="3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2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center"/>
              <w:ind w:left="676"/>
              <w:spacing w:after="0"/>
              <w:rPr>
                <w:sz w:val="20"/>
                <w:szCs w:val="20"/>
                <w:color w:val="auto"/>
              </w:rPr>
            </w:pPr>
            <w:r>
              <w:rPr>
                <w:rFonts w:ascii="Arial" w:cs="Arial" w:eastAsia="Arial" w:hAnsi="Arial"/>
                <w:sz w:val="18"/>
                <w:szCs w:val="18"/>
                <w:color w:val="auto"/>
                <w:w w:val="93"/>
              </w:rPr>
              <w:t>(15)</w:t>
            </w:r>
          </w:p>
        </w:tc>
        <w:tc>
          <w:tcPr>
            <w:tcW w:w="280" w:type="dxa"/>
            <w:vAlign w:val="bottom"/>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418"/>
        </w:trPr>
        <w:tc>
          <w:tcPr>
            <w:tcW w:w="240" w:type="dxa"/>
            <w:vAlign w:val="bottom"/>
          </w:tcPr>
          <w:p>
            <w:pPr>
              <w:spacing w:after="0"/>
              <w:rPr>
                <w:sz w:val="24"/>
                <w:szCs w:val="24"/>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center"/>
              <w:ind w:left="436"/>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4"/>
                <w:szCs w:val="24"/>
                <w:color w:val="auto"/>
              </w:rPr>
            </w:pPr>
          </w:p>
        </w:tc>
        <w:tc>
          <w:tcPr>
            <w:tcW w:w="1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center"/>
              <w:ind w:left="716"/>
              <w:spacing w:after="0"/>
              <w:rPr>
                <w:sz w:val="20"/>
                <w:szCs w:val="20"/>
                <w:color w:val="auto"/>
              </w:rPr>
            </w:pPr>
            <w:r>
              <w:rPr>
                <w:rFonts w:ascii="Arial" w:cs="Arial" w:eastAsia="Arial" w:hAnsi="Arial"/>
                <w:sz w:val="18"/>
                <w:szCs w:val="18"/>
                <w:color w:val="auto"/>
                <w:w w:val="89"/>
              </w:rPr>
              <w:t>22</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180" w:type="dxa"/>
            <w:vAlign w:val="bottom"/>
          </w:tcPr>
          <w:p>
            <w:pPr>
              <w:jc w:val="center"/>
              <w:ind w:left="716"/>
              <w:spacing w:after="0"/>
              <w:rPr>
                <w:sz w:val="20"/>
                <w:szCs w:val="20"/>
                <w:color w:val="auto"/>
              </w:rPr>
            </w:pPr>
            <w:r>
              <w:rPr>
                <w:rFonts w:ascii="Arial" w:cs="Arial" w:eastAsia="Arial" w:hAnsi="Arial"/>
                <w:sz w:val="18"/>
                <w:szCs w:val="18"/>
                <w:color w:val="auto"/>
                <w:w w:val="89"/>
              </w:rPr>
              <w:t>14</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center"/>
              <w:ind w:left="716"/>
              <w:spacing w:after="0"/>
              <w:rPr>
                <w:sz w:val="20"/>
                <w:szCs w:val="20"/>
                <w:color w:val="auto"/>
              </w:rPr>
            </w:pPr>
            <w:r>
              <w:rPr>
                <w:rFonts w:ascii="Arial" w:cs="Arial" w:eastAsia="Arial" w:hAnsi="Arial"/>
                <w:sz w:val="18"/>
                <w:szCs w:val="18"/>
                <w:color w:val="auto"/>
                <w:w w:val="89"/>
              </w:rPr>
              <w:t>21</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40" w:type="dxa"/>
            <w:vAlign w:val="bottom"/>
          </w:tcPr>
          <w:p>
            <w:pPr>
              <w:spacing w:after="0"/>
              <w:rPr>
                <w:sz w:val="24"/>
                <w:szCs w:val="24"/>
                <w:color w:val="auto"/>
              </w:rPr>
            </w:pPr>
          </w:p>
        </w:tc>
        <w:tc>
          <w:tcPr>
            <w:tcW w:w="1140" w:type="dxa"/>
            <w:vAlign w:val="bottom"/>
          </w:tcPr>
          <w:p>
            <w:pPr>
              <w:jc w:val="right"/>
              <w:ind w:right="154"/>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-1414145</wp:posOffset>
            </wp:positionV>
            <wp:extent cx="72466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-994410</wp:posOffset>
            </wp:positionV>
            <wp:extent cx="7246620" cy="274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-445135</wp:posOffset>
            </wp:positionV>
            <wp:extent cx="72466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66675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40" w:space="720"/>
            <w:col w:w="6800"/>
          </w:cols>
          <w:pgMar w:left="240" w:top="140" w:right="199" w:bottom="0" w:gutter="0" w:footer="0" w:header="0"/>
          <w:type w:val="continuous"/>
        </w:sectPr>
      </w:pPr>
    </w:p>
    <w:p>
      <w:pPr>
        <w:spacing w:after="0" w:line="285"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60"/>
          </w:cols>
          <w:pgMar w:left="240" w:top="140" w:right="1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2016</w:t>
      </w:r>
    </w:p>
    <w:p>
      <w:pPr>
        <w:spacing w:after="0" w:line="23" w:lineRule="exact"/>
        <w:rPr>
          <w:sz w:val="20"/>
          <w:szCs w:val="20"/>
          <w:color w:val="auto"/>
        </w:rPr>
      </w:pPr>
    </w:p>
    <w:p>
      <w:pPr>
        <w:ind w:left="180" w:right="680"/>
        <w:spacing w:after="0" w:line="258" w:lineRule="auto"/>
        <w:rPr>
          <w:sz w:val="20"/>
          <w:szCs w:val="20"/>
          <w:color w:val="auto"/>
        </w:rPr>
      </w:pPr>
      <w:r>
        <w:rPr>
          <w:rFonts w:ascii="Arial" w:cs="Arial" w:eastAsia="Arial" w:hAnsi="Arial"/>
          <w:sz w:val="18"/>
          <w:szCs w:val="18"/>
          <w:color w:val="auto"/>
        </w:rPr>
        <w:t>Other comprehensive income (loss) before reclassifications</w:t>
      </w:r>
    </w:p>
    <w:p>
      <w:pPr>
        <w:spacing w:after="0" w:line="1" w:lineRule="exact"/>
        <w:rPr>
          <w:sz w:val="20"/>
          <w:szCs w:val="20"/>
          <w:color w:val="auto"/>
        </w:rPr>
      </w:pPr>
    </w:p>
    <w:p>
      <w:pPr>
        <w:ind w:left="180" w:right="460"/>
        <w:spacing w:after="0" w:line="281" w:lineRule="auto"/>
        <w:rPr>
          <w:sz w:val="20"/>
          <w:szCs w:val="20"/>
          <w:color w:val="auto"/>
        </w:rPr>
      </w:pPr>
      <w:r>
        <w:rPr>
          <w:rFonts w:ascii="Arial" w:cs="Arial" w:eastAsia="Arial" w:hAnsi="Arial"/>
          <w:sz w:val="16"/>
          <w:szCs w:val="16"/>
          <w:color w:val="auto"/>
        </w:rPr>
        <w:t>Amounts reclassified from accumulated other comprehensive income (loss) into earnings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Balance at June 30, 2017</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ind w:left="2080"/>
        <w:spacing w:after="0"/>
        <w:rPr>
          <w:sz w:val="20"/>
          <w:szCs w:val="20"/>
          <w:color w:val="auto"/>
        </w:rPr>
      </w:pPr>
      <w:r>
        <w:rPr>
          <w:rFonts w:ascii="Arial" w:cs="Arial" w:eastAsia="Arial" w:hAnsi="Arial"/>
          <w:sz w:val="14"/>
          <w:szCs w:val="14"/>
          <w:b w:val="1"/>
          <w:bCs w:val="1"/>
          <w:color w:val="auto"/>
        </w:rPr>
        <w:t>For the Six Months Ended June 30, 2017</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660" w:type="dxa"/>
            <w:vAlign w:val="bottom"/>
            <w:tcBorders>
              <w:top w:val="single" w:sz="8" w:color="auto"/>
            </w:tcBorders>
            <w:gridSpan w:val="3"/>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Foreign currency</w:t>
            </w:r>
          </w:p>
        </w:tc>
        <w:tc>
          <w:tcPr>
            <w:tcW w:w="1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9"/>
              </w:rPr>
              <w:t>Unrealized gain</w:t>
            </w:r>
          </w:p>
        </w:tc>
        <w:tc>
          <w:tcPr>
            <w:tcW w:w="240" w:type="dxa"/>
            <w:vAlign w:val="bottom"/>
            <w:tcBorders>
              <w:top w:val="single" w:sz="8" w:color="auto"/>
            </w:tcBorders>
          </w:tcPr>
          <w:p>
            <w:pPr>
              <w:spacing w:after="0"/>
              <w:rPr>
                <w:sz w:val="10"/>
                <w:szCs w:val="10"/>
                <w:color w:val="auto"/>
              </w:rPr>
            </w:pPr>
          </w:p>
        </w:tc>
        <w:tc>
          <w:tcPr>
            <w:tcW w:w="1740" w:type="dxa"/>
            <w:vAlign w:val="bottom"/>
            <w:tcBorders>
              <w:top w:val="single" w:sz="8" w:color="auto"/>
            </w:tcBorders>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Unrealized gain</w:t>
            </w:r>
          </w:p>
        </w:tc>
        <w:tc>
          <w:tcPr>
            <w:tcW w:w="3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0" w:type="dxa"/>
            <w:vAlign w:val="bottom"/>
          </w:tcPr>
          <w:p>
            <w:pPr>
              <w:spacing w:after="0"/>
              <w:rPr>
                <w:sz w:val="12"/>
                <w:szCs w:val="12"/>
                <w:color w:val="auto"/>
              </w:rPr>
            </w:pPr>
          </w:p>
        </w:tc>
        <w:tc>
          <w:tcPr>
            <w:tcW w:w="14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16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(loss) on forward</w:t>
            </w:r>
          </w:p>
        </w:tc>
        <w:tc>
          <w:tcPr>
            <w:tcW w:w="240" w:type="dxa"/>
            <w:vAlign w:val="bottom"/>
          </w:tcPr>
          <w:p>
            <w:pPr>
              <w:spacing w:after="0"/>
              <w:rPr>
                <w:sz w:val="12"/>
                <w:szCs w:val="12"/>
                <w:color w:val="auto"/>
              </w:rPr>
            </w:pPr>
          </w:p>
        </w:tc>
        <w:tc>
          <w:tcPr>
            <w:tcW w:w="17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(loss) on available-</w:t>
            </w:r>
          </w:p>
        </w:tc>
        <w:tc>
          <w:tcPr>
            <w:tcW w:w="360" w:type="dxa"/>
            <w:vAlign w:val="bottom"/>
          </w:tcPr>
          <w:p>
            <w:pPr>
              <w:spacing w:after="0"/>
              <w:rPr>
                <w:sz w:val="12"/>
                <w:szCs w:val="12"/>
                <w:color w:val="auto"/>
              </w:rPr>
            </w:pPr>
          </w:p>
        </w:tc>
        <w:tc>
          <w:tcPr>
            <w:tcW w:w="102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adjustments</w:t>
            </w:r>
          </w:p>
        </w:tc>
        <w:tc>
          <w:tcPr>
            <w:tcW w:w="180" w:type="dxa"/>
            <w:vAlign w:val="bottom"/>
          </w:tcPr>
          <w:p>
            <w:pPr>
              <w:spacing w:after="0"/>
              <w:rPr>
                <w:sz w:val="14"/>
                <w:szCs w:val="14"/>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contracts</w:t>
            </w:r>
          </w:p>
        </w:tc>
        <w:tc>
          <w:tcPr>
            <w:tcW w:w="240" w:type="dxa"/>
            <w:vAlign w:val="bottom"/>
          </w:tcPr>
          <w:p>
            <w:pPr>
              <w:spacing w:after="0"/>
              <w:rPr>
                <w:sz w:val="14"/>
                <w:szCs w:val="14"/>
                <w:color w:val="auto"/>
              </w:rPr>
            </w:pPr>
          </w:p>
        </w:tc>
        <w:tc>
          <w:tcPr>
            <w:tcW w:w="17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for-sale securities</w:t>
            </w:r>
          </w:p>
        </w:tc>
        <w:tc>
          <w:tcPr>
            <w:tcW w:w="3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2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418"/>
        </w:trPr>
        <w:tc>
          <w:tcPr>
            <w:tcW w:w="240" w:type="dxa"/>
            <w:vAlign w:val="bottom"/>
          </w:tcPr>
          <w:p>
            <w:pPr>
              <w:spacing w:after="0"/>
              <w:rPr>
                <w:sz w:val="24"/>
                <w:szCs w:val="24"/>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jc w:val="right"/>
              <w:ind w:right="18"/>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32"/>
        </w:trPr>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-865505</wp:posOffset>
            </wp:positionV>
            <wp:extent cx="72466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-445135</wp:posOffset>
            </wp:positionV>
            <wp:extent cx="7246620" cy="274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40" w:space="720"/>
            <w:col w:w="6800"/>
          </w:cols>
          <w:pgMar w:left="240" w:top="140" w:right="199" w:bottom="0" w:gutter="0" w:footer="0" w:header="0"/>
          <w:type w:val="continuous"/>
        </w:sectPr>
      </w:pPr>
    </w:p>
    <w:p>
      <w:pPr>
        <w:spacing w:after="0" w:line="2" w:lineRule="exact"/>
        <w:rPr>
          <w:sz w:val="20"/>
          <w:szCs w:val="20"/>
          <w:color w:val="auto"/>
        </w:rPr>
      </w:pPr>
    </w:p>
    <w:p>
      <w:pPr>
        <w:ind w:right="480" w:firstLine="405"/>
        <w:spacing w:after="0" w:line="312" w:lineRule="auto"/>
        <w:rPr>
          <w:sz w:val="20"/>
          <w:szCs w:val="20"/>
          <w:color w:val="auto"/>
        </w:rPr>
      </w:pPr>
      <w:r>
        <w:rPr>
          <w:rFonts w:ascii="Arial" w:cs="Arial" w:eastAsia="Arial" w:hAnsi="Arial"/>
          <w:sz w:val="16"/>
          <w:szCs w:val="16"/>
          <w:color w:val="auto"/>
        </w:rPr>
        <w:t>Income taxes were not previously provided for foreign currency translation items, as these were considered indefinite investments in non-U.S. subsidiaries. Due to the Tax Cuts and Jobs Act enacted on December 22, 2017 (the “U.S. Tax Reform Act”), we re-evaluated our indefinite reinvestment assertions and no longer consider these items to be indefinite investments. The corresponding tax impact for this change in assertion was not material.</w:t>
      </w:r>
    </w:p>
    <w:p>
      <w:pPr>
        <w:sectPr>
          <w:pgSz w:w="11900" w:h="16838" w:orient="portrait"/>
          <w:cols w:equalWidth="0" w:num="1">
            <w:col w:w="11460"/>
          </w:cols>
          <w:pgMar w:left="240" w:top="140" w:right="199" w:bottom="0" w:gutter="0" w:footer="0" w:header="0"/>
          <w:type w:val="continuous"/>
        </w:sectPr>
      </w:pPr>
    </w:p>
    <w:bookmarkStart w:id="18" w:name="page19"/>
    <w:bookmarkEnd w:id="18"/>
    <w:p>
      <w:pPr>
        <w:spacing w:after="0" w:line="62" w:lineRule="exact"/>
        <w:rPr>
          <w:sz w:val="20"/>
          <w:szCs w:val="20"/>
          <w:color w:val="auto"/>
        </w:rPr>
      </w:pPr>
    </w:p>
    <w:p>
      <w:pPr>
        <w:ind w:left="680" w:hanging="672"/>
        <w:spacing w:after="0"/>
        <w:tabs>
          <w:tab w:leader="none" w:pos="6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 and Geographic Region</w:t>
      </w:r>
    </w:p>
    <w:p>
      <w:pPr>
        <w:spacing w:after="0" w:line="229" w:lineRule="exact"/>
        <w:rPr>
          <w:sz w:val="20"/>
          <w:szCs w:val="20"/>
          <w:color w:val="auto"/>
        </w:rPr>
      </w:pPr>
    </w:p>
    <w:p>
      <w:pPr>
        <w:ind w:right="160" w:firstLine="405"/>
        <w:spacing w:after="0" w:line="293" w:lineRule="auto"/>
        <w:rPr>
          <w:sz w:val="20"/>
          <w:szCs w:val="20"/>
          <w:color w:val="auto"/>
        </w:rPr>
      </w:pPr>
      <w:r>
        <w:rPr>
          <w:rFonts w:ascii="Arial" w:cs="Arial" w:eastAsia="Arial" w:hAnsi="Arial"/>
          <w:sz w:val="16"/>
          <w:szCs w:val="16"/>
          <w:color w:val="auto"/>
        </w:rPr>
        <w:t>Currently, we have three reportable segments. Our operating segments are consistent with the manner in which our operations are reviewed and managed by our Chief Executive Officer, who is our chief operating decision maker (“CODM”). The CODM reviews segment performance exclusive of: the impact of the change in deferred revenues and related cost of revenues with respect to certain of our online-enabled games; share-based compensation expense; amortization of intangible assets as a result of purchase price accounting; fees and other expenses (including legal fees, expenses, and accruals) related to acquisitions, associated integration activities, and financings; certain restructuring costs; and certain other non-cash charges. The CODM does not review any information regarding total assets on an operating segment basis, and accordingly, no disclosure is made with respect thereto.</w:t>
      </w:r>
    </w:p>
    <w:p>
      <w:pPr>
        <w:spacing w:after="0" w:line="165"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Our operating segments are also consistent with our internal organizational structure, the way we assess operating performance and allocate resources, and the availability of separate financial information. We do not aggregate operating segments.</w:t>
      </w:r>
    </w:p>
    <w:p>
      <w:pPr>
        <w:spacing w:after="0" w:line="170" w:lineRule="exact"/>
        <w:rPr>
          <w:sz w:val="20"/>
          <w:szCs w:val="20"/>
          <w:color w:val="auto"/>
        </w:rPr>
      </w:pPr>
    </w:p>
    <w:p>
      <w:pPr>
        <w:ind w:right="720" w:firstLine="405"/>
        <w:spacing w:after="0" w:line="277" w:lineRule="auto"/>
        <w:rPr>
          <w:sz w:val="20"/>
          <w:szCs w:val="20"/>
          <w:color w:val="auto"/>
        </w:rPr>
      </w:pPr>
      <w:r>
        <w:rPr>
          <w:rFonts w:ascii="Arial" w:cs="Arial" w:eastAsia="Arial" w:hAnsi="Arial"/>
          <w:sz w:val="18"/>
          <w:szCs w:val="18"/>
          <w:color w:val="auto"/>
        </w:rPr>
        <w:t>Information on reportable segment net revenues and operating income for the three months ended June 30, 2018 and 2017, are presented below (amounts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Three Months Ended June 30, 2018</w:t>
            </w:r>
          </w:p>
        </w:tc>
        <w:tc>
          <w:tcPr>
            <w:tcW w:w="3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Activision</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Blizzard</w:t>
            </w:r>
          </w:p>
        </w:tc>
        <w:tc>
          <w:tcPr>
            <w:tcW w:w="360" w:type="dxa"/>
            <w:vAlign w:val="bottom"/>
          </w:tcPr>
          <w:p>
            <w:pPr>
              <w:spacing w:after="0"/>
              <w:rPr>
                <w:sz w:val="12"/>
                <w:szCs w:val="12"/>
                <w:color w:val="auto"/>
              </w:rPr>
            </w:pPr>
          </w:p>
        </w:tc>
        <w:tc>
          <w:tcPr>
            <w:tcW w:w="128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King</w:t>
            </w:r>
          </w:p>
        </w:tc>
        <w:tc>
          <w:tcPr>
            <w:tcW w:w="360" w:type="dxa"/>
            <w:vAlign w:val="bottom"/>
          </w:tcPr>
          <w:p>
            <w:pPr>
              <w:spacing w:after="0"/>
              <w:rPr>
                <w:sz w:val="12"/>
                <w:szCs w:val="12"/>
                <w:color w:val="auto"/>
              </w:rPr>
            </w:pPr>
          </w:p>
        </w:tc>
        <w:tc>
          <w:tcPr>
            <w:tcW w:w="102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Segment Net Revenues</w:t>
            </w:r>
          </w:p>
        </w:tc>
        <w:tc>
          <w:tcPr>
            <w:tcW w:w="10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revenues from external customers</w:t>
            </w:r>
          </w:p>
        </w:tc>
        <w:tc>
          <w:tcPr>
            <w:tcW w:w="1000" w:type="dxa"/>
            <w:vAlign w:val="bottom"/>
          </w:tcPr>
          <w:p>
            <w:pPr>
              <w:jc w:val="right"/>
              <w:ind w:right="734"/>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79"/>
              </w:rPr>
              <w:t>338</w:t>
            </w:r>
          </w:p>
        </w:tc>
        <w:tc>
          <w:tcPr>
            <w:tcW w:w="300" w:type="dxa"/>
            <w:vAlign w:val="bottom"/>
          </w:tcPr>
          <w:p>
            <w:pPr>
              <w:spacing w:after="0"/>
              <w:rPr>
                <w:sz w:val="18"/>
                <w:szCs w:val="18"/>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485</w:t>
            </w:r>
          </w:p>
        </w:tc>
        <w:tc>
          <w:tcPr>
            <w:tcW w:w="280" w:type="dxa"/>
            <w:vAlign w:val="bottom"/>
          </w:tcPr>
          <w:p>
            <w:pPr>
              <w:spacing w:after="0"/>
              <w:rPr>
                <w:sz w:val="18"/>
                <w:szCs w:val="18"/>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502</w:t>
            </w:r>
          </w:p>
        </w:tc>
        <w:tc>
          <w:tcPr>
            <w:tcW w:w="280" w:type="dxa"/>
            <w:vAlign w:val="bottom"/>
          </w:tcPr>
          <w:p>
            <w:pPr>
              <w:spacing w:after="0"/>
              <w:rPr>
                <w:sz w:val="18"/>
                <w:szCs w:val="18"/>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Intersegment net revenues (1)</w:t>
            </w:r>
          </w:p>
        </w:tc>
        <w:tc>
          <w:tcPr>
            <w:tcW w:w="1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Segment net revenues</w:t>
            </w:r>
          </w:p>
        </w:tc>
        <w:tc>
          <w:tcPr>
            <w:tcW w:w="1000" w:type="dxa"/>
            <w:vAlign w:val="bottom"/>
            <w:tcBorders>
              <w:top w:val="single" w:sz="8" w:color="auto"/>
              <w:bottom w:val="single" w:sz="8" w:color="auto"/>
            </w:tcBorders>
          </w:tcPr>
          <w:p>
            <w:pPr>
              <w:jc w:val="right"/>
              <w:ind w:right="734"/>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338</w:t>
            </w:r>
          </w:p>
        </w:tc>
        <w:tc>
          <w:tcPr>
            <w:tcW w:w="3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489</w:t>
            </w:r>
          </w:p>
        </w:tc>
        <w:tc>
          <w:tcPr>
            <w:tcW w:w="28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502</w:t>
            </w:r>
          </w:p>
        </w:tc>
        <w:tc>
          <w:tcPr>
            <w:tcW w:w="28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1,329</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Segment operating income</w:t>
            </w:r>
          </w:p>
        </w:tc>
        <w:tc>
          <w:tcPr>
            <w:tcW w:w="1000" w:type="dxa"/>
            <w:vAlign w:val="bottom"/>
          </w:tcPr>
          <w:p>
            <w:pPr>
              <w:jc w:val="right"/>
              <w:ind w:right="734"/>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300" w:type="dxa"/>
            <w:vAlign w:val="bottom"/>
          </w:tcPr>
          <w:p>
            <w:pPr>
              <w:spacing w:after="0"/>
              <w:rPr>
                <w:sz w:val="20"/>
                <w:szCs w:val="20"/>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20"/>
                <w:szCs w:val="20"/>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169</w:t>
            </w:r>
          </w:p>
        </w:tc>
        <w:tc>
          <w:tcPr>
            <w:tcW w:w="280" w:type="dxa"/>
            <w:vAlign w:val="bottom"/>
          </w:tcPr>
          <w:p>
            <w:pPr>
              <w:spacing w:after="0"/>
              <w:rPr>
                <w:sz w:val="20"/>
                <w:szCs w:val="20"/>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Three Months Ended June 30, 2017</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Activision</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Blizzard</w:t>
            </w:r>
          </w:p>
        </w:tc>
        <w:tc>
          <w:tcPr>
            <w:tcW w:w="360" w:type="dxa"/>
            <w:vAlign w:val="bottom"/>
          </w:tcPr>
          <w:p>
            <w:pPr>
              <w:spacing w:after="0"/>
              <w:rPr>
                <w:sz w:val="12"/>
                <w:szCs w:val="12"/>
                <w:color w:val="auto"/>
              </w:rPr>
            </w:pPr>
          </w:p>
        </w:tc>
        <w:tc>
          <w:tcPr>
            <w:tcW w:w="128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King</w:t>
            </w:r>
          </w:p>
        </w:tc>
        <w:tc>
          <w:tcPr>
            <w:tcW w:w="360" w:type="dxa"/>
            <w:vAlign w:val="bottom"/>
          </w:tcPr>
          <w:p>
            <w:pPr>
              <w:spacing w:after="0"/>
              <w:rPr>
                <w:sz w:val="12"/>
                <w:szCs w:val="12"/>
                <w:color w:val="auto"/>
              </w:rPr>
            </w:pPr>
          </w:p>
        </w:tc>
        <w:tc>
          <w:tcPr>
            <w:tcW w:w="102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Segment Net Revenues</w:t>
            </w:r>
          </w:p>
        </w:tc>
        <w:tc>
          <w:tcPr>
            <w:tcW w:w="10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revenues from external customers</w:t>
            </w:r>
          </w:p>
        </w:tc>
        <w:tc>
          <w:tcPr>
            <w:tcW w:w="1000" w:type="dxa"/>
            <w:vAlign w:val="bottom"/>
          </w:tcPr>
          <w:p>
            <w:pPr>
              <w:jc w:val="right"/>
              <w:ind w:right="734"/>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79"/>
              </w:rPr>
              <w:t>316</w:t>
            </w:r>
          </w:p>
        </w:tc>
        <w:tc>
          <w:tcPr>
            <w:tcW w:w="300" w:type="dxa"/>
            <w:vAlign w:val="bottom"/>
          </w:tcPr>
          <w:p>
            <w:pPr>
              <w:spacing w:after="0"/>
              <w:rPr>
                <w:sz w:val="18"/>
                <w:szCs w:val="18"/>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566</w:t>
            </w:r>
          </w:p>
        </w:tc>
        <w:tc>
          <w:tcPr>
            <w:tcW w:w="280" w:type="dxa"/>
            <w:vAlign w:val="bottom"/>
          </w:tcPr>
          <w:p>
            <w:pPr>
              <w:spacing w:after="0"/>
              <w:rPr>
                <w:sz w:val="18"/>
                <w:szCs w:val="18"/>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480</w:t>
            </w:r>
          </w:p>
        </w:tc>
        <w:tc>
          <w:tcPr>
            <w:tcW w:w="280" w:type="dxa"/>
            <w:vAlign w:val="bottom"/>
          </w:tcPr>
          <w:p>
            <w:pPr>
              <w:spacing w:after="0"/>
              <w:rPr>
                <w:sz w:val="18"/>
                <w:szCs w:val="18"/>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1,362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Intersegment net revenues (1)</w:t>
            </w:r>
          </w:p>
        </w:tc>
        <w:tc>
          <w:tcPr>
            <w:tcW w:w="1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Segment net revenues</w:t>
            </w:r>
          </w:p>
        </w:tc>
        <w:tc>
          <w:tcPr>
            <w:tcW w:w="1000" w:type="dxa"/>
            <w:vAlign w:val="bottom"/>
            <w:tcBorders>
              <w:top w:val="single" w:sz="8" w:color="auto"/>
              <w:bottom w:val="single" w:sz="8" w:color="auto"/>
            </w:tcBorders>
          </w:tcPr>
          <w:p>
            <w:pPr>
              <w:jc w:val="right"/>
              <w:ind w:right="734"/>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316</w:t>
            </w:r>
          </w:p>
        </w:tc>
        <w:tc>
          <w:tcPr>
            <w:tcW w:w="3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566</w:t>
            </w:r>
          </w:p>
        </w:tc>
        <w:tc>
          <w:tcPr>
            <w:tcW w:w="28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480</w:t>
            </w:r>
          </w:p>
        </w:tc>
        <w:tc>
          <w:tcPr>
            <w:tcW w:w="28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1,362</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Segment operating income</w:t>
            </w:r>
          </w:p>
        </w:tc>
        <w:tc>
          <w:tcPr>
            <w:tcW w:w="1000" w:type="dxa"/>
            <w:vAlign w:val="bottom"/>
          </w:tcPr>
          <w:p>
            <w:pPr>
              <w:jc w:val="right"/>
              <w:ind w:right="734"/>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300" w:type="dxa"/>
            <w:vAlign w:val="bottom"/>
          </w:tcPr>
          <w:p>
            <w:pPr>
              <w:spacing w:after="0"/>
              <w:rPr>
                <w:sz w:val="20"/>
                <w:szCs w:val="20"/>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225</w:t>
            </w:r>
          </w:p>
        </w:tc>
        <w:tc>
          <w:tcPr>
            <w:tcW w:w="280" w:type="dxa"/>
            <w:vAlign w:val="bottom"/>
          </w:tcPr>
          <w:p>
            <w:pPr>
              <w:spacing w:after="0"/>
              <w:rPr>
                <w:sz w:val="20"/>
                <w:szCs w:val="20"/>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164</w:t>
            </w:r>
          </w:p>
        </w:tc>
        <w:tc>
          <w:tcPr>
            <w:tcW w:w="280" w:type="dxa"/>
            <w:vAlign w:val="bottom"/>
          </w:tcPr>
          <w:p>
            <w:pPr>
              <w:spacing w:after="0"/>
              <w:rPr>
                <w:sz w:val="20"/>
                <w:szCs w:val="20"/>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98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Information on reportable segment net revenues and operating income for the six months ended June 30, 2018 and 2017, are presented below (amounts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Six Months Ended June 30, 2018</w:t>
            </w:r>
          </w:p>
        </w:tc>
        <w:tc>
          <w:tcPr>
            <w:tcW w:w="3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Activision</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Blizzard</w:t>
            </w:r>
          </w:p>
        </w:tc>
        <w:tc>
          <w:tcPr>
            <w:tcW w:w="360" w:type="dxa"/>
            <w:vAlign w:val="bottom"/>
          </w:tcPr>
          <w:p>
            <w:pPr>
              <w:spacing w:after="0"/>
              <w:rPr>
                <w:sz w:val="12"/>
                <w:szCs w:val="12"/>
                <w:color w:val="auto"/>
              </w:rPr>
            </w:pPr>
          </w:p>
        </w:tc>
        <w:tc>
          <w:tcPr>
            <w:tcW w:w="128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King</w:t>
            </w:r>
          </w:p>
        </w:tc>
        <w:tc>
          <w:tcPr>
            <w:tcW w:w="360" w:type="dxa"/>
            <w:vAlign w:val="bottom"/>
          </w:tcPr>
          <w:p>
            <w:pPr>
              <w:spacing w:after="0"/>
              <w:rPr>
                <w:sz w:val="12"/>
                <w:szCs w:val="12"/>
                <w:color w:val="auto"/>
              </w:rPr>
            </w:pPr>
          </w:p>
        </w:tc>
        <w:tc>
          <w:tcPr>
            <w:tcW w:w="102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Segment Net Revenues</w:t>
            </w:r>
          </w:p>
        </w:tc>
        <w:tc>
          <w:tcPr>
            <w:tcW w:w="10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revenues from external customers</w:t>
            </w:r>
          </w:p>
        </w:tc>
        <w:tc>
          <w:tcPr>
            <w:tcW w:w="1000" w:type="dxa"/>
            <w:vAlign w:val="bottom"/>
          </w:tcPr>
          <w:p>
            <w:pPr>
              <w:jc w:val="right"/>
              <w:ind w:right="734"/>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79"/>
              </w:rPr>
              <w:t>651</w:t>
            </w:r>
          </w:p>
        </w:tc>
        <w:tc>
          <w:tcPr>
            <w:tcW w:w="300" w:type="dxa"/>
            <w:vAlign w:val="bottom"/>
          </w:tcPr>
          <w:p>
            <w:pPr>
              <w:spacing w:after="0"/>
              <w:rPr>
                <w:sz w:val="18"/>
                <w:szCs w:val="18"/>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964</w:t>
            </w:r>
          </w:p>
        </w:tc>
        <w:tc>
          <w:tcPr>
            <w:tcW w:w="280" w:type="dxa"/>
            <w:vAlign w:val="bottom"/>
          </w:tcPr>
          <w:p>
            <w:pPr>
              <w:spacing w:after="0"/>
              <w:rPr>
                <w:sz w:val="18"/>
                <w:szCs w:val="18"/>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1,036</w:t>
            </w:r>
          </w:p>
        </w:tc>
        <w:tc>
          <w:tcPr>
            <w:tcW w:w="280" w:type="dxa"/>
            <w:vAlign w:val="bottom"/>
          </w:tcPr>
          <w:p>
            <w:pPr>
              <w:spacing w:after="0"/>
              <w:rPr>
                <w:sz w:val="18"/>
                <w:szCs w:val="18"/>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2,651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Intersegment net revenues (1)</w:t>
            </w:r>
          </w:p>
        </w:tc>
        <w:tc>
          <w:tcPr>
            <w:tcW w:w="1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Segment net revenues</w:t>
            </w:r>
          </w:p>
        </w:tc>
        <w:tc>
          <w:tcPr>
            <w:tcW w:w="1000" w:type="dxa"/>
            <w:vAlign w:val="bottom"/>
            <w:tcBorders>
              <w:top w:val="single" w:sz="8" w:color="auto"/>
              <w:bottom w:val="single" w:sz="8" w:color="auto"/>
            </w:tcBorders>
          </w:tcPr>
          <w:p>
            <w:pPr>
              <w:jc w:val="right"/>
              <w:ind w:right="734"/>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651</w:t>
            </w:r>
          </w:p>
        </w:tc>
        <w:tc>
          <w:tcPr>
            <w:tcW w:w="3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970</w:t>
            </w:r>
          </w:p>
        </w:tc>
        <w:tc>
          <w:tcPr>
            <w:tcW w:w="28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1,036</w:t>
            </w:r>
          </w:p>
        </w:tc>
        <w:tc>
          <w:tcPr>
            <w:tcW w:w="28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2,657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Segment operating income</w:t>
            </w:r>
          </w:p>
        </w:tc>
        <w:tc>
          <w:tcPr>
            <w:tcW w:w="1000" w:type="dxa"/>
            <w:vAlign w:val="bottom"/>
          </w:tcPr>
          <w:p>
            <w:pPr>
              <w:jc w:val="right"/>
              <w:ind w:right="734"/>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79"/>
              </w:rPr>
              <w:t>175</w:t>
            </w:r>
          </w:p>
        </w:tc>
        <w:tc>
          <w:tcPr>
            <w:tcW w:w="300" w:type="dxa"/>
            <w:vAlign w:val="bottom"/>
          </w:tcPr>
          <w:p>
            <w:pPr>
              <w:spacing w:after="0"/>
              <w:rPr>
                <w:sz w:val="20"/>
                <w:szCs w:val="20"/>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255</w:t>
            </w:r>
          </w:p>
        </w:tc>
        <w:tc>
          <w:tcPr>
            <w:tcW w:w="280" w:type="dxa"/>
            <w:vAlign w:val="bottom"/>
          </w:tcPr>
          <w:p>
            <w:pPr>
              <w:spacing w:after="0"/>
              <w:rPr>
                <w:sz w:val="20"/>
                <w:szCs w:val="20"/>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360</w:t>
            </w:r>
          </w:p>
        </w:tc>
        <w:tc>
          <w:tcPr>
            <w:tcW w:w="280" w:type="dxa"/>
            <w:vAlign w:val="bottom"/>
          </w:tcPr>
          <w:p>
            <w:pPr>
              <w:spacing w:after="0"/>
              <w:rPr>
                <w:sz w:val="20"/>
                <w:szCs w:val="20"/>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Six Months Ended June 30, 2017</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Activision</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Blizzard</w:t>
            </w:r>
          </w:p>
        </w:tc>
        <w:tc>
          <w:tcPr>
            <w:tcW w:w="360" w:type="dxa"/>
            <w:vAlign w:val="bottom"/>
          </w:tcPr>
          <w:p>
            <w:pPr>
              <w:spacing w:after="0"/>
              <w:rPr>
                <w:sz w:val="12"/>
                <w:szCs w:val="12"/>
                <w:color w:val="auto"/>
              </w:rPr>
            </w:pPr>
          </w:p>
        </w:tc>
        <w:tc>
          <w:tcPr>
            <w:tcW w:w="128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King</w:t>
            </w:r>
          </w:p>
        </w:tc>
        <w:tc>
          <w:tcPr>
            <w:tcW w:w="360" w:type="dxa"/>
            <w:vAlign w:val="bottom"/>
          </w:tcPr>
          <w:p>
            <w:pPr>
              <w:spacing w:after="0"/>
              <w:rPr>
                <w:sz w:val="12"/>
                <w:szCs w:val="12"/>
                <w:color w:val="auto"/>
              </w:rPr>
            </w:pPr>
          </w:p>
        </w:tc>
        <w:tc>
          <w:tcPr>
            <w:tcW w:w="102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Segment Net Revenues</w:t>
            </w:r>
          </w:p>
        </w:tc>
        <w:tc>
          <w:tcPr>
            <w:tcW w:w="10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revenues from external customers</w:t>
            </w:r>
          </w:p>
        </w:tc>
        <w:tc>
          <w:tcPr>
            <w:tcW w:w="1000" w:type="dxa"/>
            <w:vAlign w:val="bottom"/>
          </w:tcPr>
          <w:p>
            <w:pPr>
              <w:jc w:val="right"/>
              <w:ind w:right="734"/>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79"/>
              </w:rPr>
              <w:t>532</w:t>
            </w:r>
          </w:p>
        </w:tc>
        <w:tc>
          <w:tcPr>
            <w:tcW w:w="300" w:type="dxa"/>
            <w:vAlign w:val="bottom"/>
          </w:tcPr>
          <w:p>
            <w:pPr>
              <w:spacing w:after="0"/>
              <w:rPr>
                <w:sz w:val="18"/>
                <w:szCs w:val="18"/>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1,009</w:t>
            </w:r>
          </w:p>
        </w:tc>
        <w:tc>
          <w:tcPr>
            <w:tcW w:w="280" w:type="dxa"/>
            <w:vAlign w:val="bottom"/>
          </w:tcPr>
          <w:p>
            <w:pPr>
              <w:spacing w:after="0"/>
              <w:rPr>
                <w:sz w:val="18"/>
                <w:szCs w:val="18"/>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954</w:t>
            </w:r>
          </w:p>
        </w:tc>
        <w:tc>
          <w:tcPr>
            <w:tcW w:w="280" w:type="dxa"/>
            <w:vAlign w:val="bottom"/>
          </w:tcPr>
          <w:p>
            <w:pPr>
              <w:spacing w:after="0"/>
              <w:rPr>
                <w:sz w:val="18"/>
                <w:szCs w:val="18"/>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2,495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Intersegment net revenues (1)</w:t>
            </w:r>
          </w:p>
        </w:tc>
        <w:tc>
          <w:tcPr>
            <w:tcW w:w="1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Segment net revenues</w:t>
            </w:r>
          </w:p>
        </w:tc>
        <w:tc>
          <w:tcPr>
            <w:tcW w:w="1000" w:type="dxa"/>
            <w:vAlign w:val="bottom"/>
            <w:tcBorders>
              <w:top w:val="single" w:sz="8" w:color="auto"/>
              <w:bottom w:val="single" w:sz="8" w:color="auto"/>
            </w:tcBorders>
          </w:tcPr>
          <w:p>
            <w:pPr>
              <w:jc w:val="right"/>
              <w:ind w:right="734"/>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532</w:t>
            </w:r>
          </w:p>
        </w:tc>
        <w:tc>
          <w:tcPr>
            <w:tcW w:w="3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1,009</w:t>
            </w:r>
          </w:p>
        </w:tc>
        <w:tc>
          <w:tcPr>
            <w:tcW w:w="28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954</w:t>
            </w:r>
          </w:p>
        </w:tc>
        <w:tc>
          <w:tcPr>
            <w:tcW w:w="28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2,495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Segment operating income</w:t>
            </w:r>
          </w:p>
        </w:tc>
        <w:tc>
          <w:tcPr>
            <w:tcW w:w="1000" w:type="dxa"/>
            <w:vAlign w:val="bottom"/>
          </w:tcPr>
          <w:p>
            <w:pPr>
              <w:jc w:val="right"/>
              <w:ind w:right="734"/>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79"/>
              </w:rPr>
              <w:t>111</w:t>
            </w:r>
          </w:p>
        </w:tc>
        <w:tc>
          <w:tcPr>
            <w:tcW w:w="300" w:type="dxa"/>
            <w:vAlign w:val="bottom"/>
          </w:tcPr>
          <w:p>
            <w:pPr>
              <w:spacing w:after="0"/>
              <w:rPr>
                <w:sz w:val="20"/>
                <w:szCs w:val="20"/>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384</w:t>
            </w:r>
          </w:p>
        </w:tc>
        <w:tc>
          <w:tcPr>
            <w:tcW w:w="280" w:type="dxa"/>
            <w:vAlign w:val="bottom"/>
          </w:tcPr>
          <w:p>
            <w:pPr>
              <w:spacing w:after="0"/>
              <w:rPr>
                <w:sz w:val="20"/>
                <w:szCs w:val="20"/>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330</w:t>
            </w:r>
          </w:p>
        </w:tc>
        <w:tc>
          <w:tcPr>
            <w:tcW w:w="280" w:type="dxa"/>
            <w:vAlign w:val="bottom"/>
          </w:tcPr>
          <w:p>
            <w:pPr>
              <w:spacing w:after="0"/>
              <w:rPr>
                <w:sz w:val="20"/>
                <w:szCs w:val="20"/>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5620" w:right="4760" w:hanging="5612"/>
        <w:spacing w:after="0" w:line="573"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Intersegment revenues reflect licensing and service fees charged between segments.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9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401"/>
        <w:spacing w:after="0" w:line="277" w:lineRule="auto"/>
        <w:rPr>
          <w:sz w:val="20"/>
          <w:szCs w:val="20"/>
          <w:color w:val="auto"/>
        </w:rPr>
      </w:pPr>
      <w:r>
        <w:rPr>
          <w:rFonts w:ascii="Arial" w:cs="Arial" w:eastAsia="Arial" w:hAnsi="Arial"/>
          <w:sz w:val="18"/>
          <w:szCs w:val="18"/>
          <w:color w:val="auto"/>
        </w:rPr>
        <w:t>Reconciliations of total segment net revenues and total segment operating income to consolidated net revenues and consolidated income before income tax expense are presented in the table below (amounts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4"/>
                <w:szCs w:val="14"/>
                <w:color w:val="auto"/>
              </w:rPr>
            </w:pPr>
          </w:p>
        </w:tc>
        <w:tc>
          <w:tcPr>
            <w:tcW w:w="276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546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196"/>
        </w:trPr>
        <w:tc>
          <w:tcPr>
            <w:tcW w:w="5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Reconciliation to consolidated net revenues:</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Segment net revenues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1,329</w:t>
            </w:r>
          </w:p>
        </w:tc>
        <w:tc>
          <w:tcPr>
            <w:tcW w:w="280" w:type="dxa"/>
            <w:vAlign w:val="bottom"/>
          </w:tcPr>
          <w:p>
            <w:pPr>
              <w:spacing w:after="0"/>
              <w:rPr>
                <w:sz w:val="18"/>
                <w:szCs w:val="18"/>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1,362</w:t>
            </w:r>
          </w:p>
        </w:tc>
        <w:tc>
          <w:tcPr>
            <w:tcW w:w="280" w:type="dxa"/>
            <w:vAlign w:val="bottom"/>
          </w:tcPr>
          <w:p>
            <w:pPr>
              <w:spacing w:after="0"/>
              <w:rPr>
                <w:sz w:val="18"/>
                <w:szCs w:val="18"/>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2,657</w:t>
            </w:r>
          </w:p>
        </w:tc>
        <w:tc>
          <w:tcPr>
            <w:tcW w:w="280" w:type="dxa"/>
            <w:vAlign w:val="bottom"/>
          </w:tcPr>
          <w:p>
            <w:pPr>
              <w:spacing w:after="0"/>
              <w:rPr>
                <w:sz w:val="18"/>
                <w:szCs w:val="18"/>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2,495</w:t>
            </w: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other segments (1)</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118</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Net effect from recognition (deferral) of deferred net revenues</w:t>
            </w:r>
          </w:p>
        </w:tc>
        <w:tc>
          <w:tcPr>
            <w:tcW w:w="260" w:type="dxa"/>
            <w:vAlign w:val="bottom"/>
          </w:tcPr>
          <w:p>
            <w:pPr>
              <w:spacing w:after="0"/>
              <w:rPr>
                <w:sz w:val="18"/>
                <w:szCs w:val="18"/>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256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213</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838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intersegment revenues (2)</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50"/>
        </w:trPr>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Consolidated net revenues</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1,641</w:t>
            </w:r>
          </w:p>
        </w:tc>
        <w:tc>
          <w:tcPr>
            <w:tcW w:w="28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1,631</w:t>
            </w:r>
          </w:p>
        </w:tc>
        <w:tc>
          <w:tcPr>
            <w:tcW w:w="28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3,607</w:t>
            </w:r>
          </w:p>
        </w:tc>
        <w:tc>
          <w:tcPr>
            <w:tcW w:w="28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3,356</w:t>
            </w:r>
          </w:p>
        </w:tc>
        <w:tc>
          <w:tcPr>
            <w:tcW w:w="100" w:type="dxa"/>
            <w:vAlign w:val="bottom"/>
            <w:tcBorders>
              <w:bottom w:val="single" w:sz="8" w:color="CCEEFF"/>
            </w:tcBorders>
          </w:tcPr>
          <w:p>
            <w:pPr>
              <w:spacing w:after="0"/>
              <w:rPr>
                <w:sz w:val="21"/>
                <w:szCs w:val="21"/>
                <w:color w:val="auto"/>
              </w:rPr>
            </w:pPr>
          </w:p>
        </w:tc>
      </w:tr>
      <w:tr>
        <w:trPr>
          <w:trHeight w:val="105"/>
        </w:trPr>
        <w:tc>
          <w:tcPr>
            <w:tcW w:w="54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bl>
    <w:p>
      <w:pPr>
        <w:sectPr>
          <w:pgSz w:w="11900" w:h="16900" w:orient="portrait"/>
          <w:cols w:equalWidth="0" w:num="1">
            <w:col w:w="11460"/>
          </w:cols>
          <w:pgMar w:left="240" w:top="121" w:right="199" w:bottom="0" w:gutter="0" w:footer="0" w:header="0"/>
        </w:sectPr>
      </w:pPr>
    </w:p>
    <w:bookmarkStart w:id="19" w:name="page20"/>
    <w:bookmarkEnd w:id="1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b w:val="1"/>
                <w:bCs w:val="1"/>
                <w:color w:val="auto"/>
                <w:w w:val="95"/>
              </w:rPr>
              <w:t>Reconciliation to consolidated income before income tax expense:</w:t>
            </w: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386</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476</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790</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Operating (loss) income from other segments (1)</w:t>
            </w:r>
          </w:p>
        </w:tc>
        <w:tc>
          <w:tcPr>
            <w:tcW w:w="4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02"/>
        </w:trPr>
        <w:tc>
          <w:tcPr>
            <w:tcW w:w="5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effect from recognition (deferral) of deferred net revenues and</w:t>
            </w: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related cost of revenues</w:t>
            </w:r>
          </w:p>
        </w:tc>
        <w:tc>
          <w:tcPr>
            <w:tcW w:w="42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2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557</w:t>
            </w:r>
          </w:p>
        </w:tc>
        <w:tc>
          <w:tcPr>
            <w:tcW w:w="2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20"/>
                <w:szCs w:val="20"/>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Fees and other expenses related to the acquisition of King (3)</w:t>
            </w:r>
          </w:p>
        </w:tc>
        <w:tc>
          <w:tcPr>
            <w:tcW w:w="4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costs (4)</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Other non-cash charges (5)</w:t>
            </w:r>
          </w:p>
        </w:tc>
        <w:tc>
          <w:tcPr>
            <w:tcW w:w="4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operating income</w:t>
            </w:r>
          </w:p>
        </w:tc>
        <w:tc>
          <w:tcPr>
            <w:tcW w:w="4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434</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1,029</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and other expense (income), net</w:t>
            </w: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2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w:t>
            </w:r>
          </w:p>
        </w:tc>
        <w:tc>
          <w:tcPr>
            <w:tcW w:w="2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w:t>
            </w:r>
          </w:p>
        </w:tc>
        <w:tc>
          <w:tcPr>
            <w:tcW w:w="2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tcPr>
          <w:p>
            <w:pPr>
              <w:spacing w:after="0"/>
              <w:rPr>
                <w:sz w:val="18"/>
                <w:szCs w:val="18"/>
                <w:color w:val="auto"/>
              </w:rPr>
            </w:pPr>
          </w:p>
        </w:tc>
      </w:tr>
      <w:tr>
        <w:trPr>
          <w:trHeight w:val="210"/>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income before income tax expense</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c>
          <w:tcPr>
            <w:tcW w:w="2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293</w:t>
            </w:r>
          </w:p>
        </w:tc>
        <w:tc>
          <w:tcPr>
            <w:tcW w:w="2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975</w:t>
            </w:r>
          </w:p>
        </w:tc>
        <w:tc>
          <w:tcPr>
            <w:tcW w:w="2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440" w:hanging="652"/>
        <w:spacing w:after="0" w:line="277" w:lineRule="auto"/>
        <w:tabs>
          <w:tab w:leader="none" w:pos="667"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other income and expenses from operating segments managed outside the reportable segments, including our Studios and Distribution businesses. Also includes unallocated corporate income and expenses.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Intersegment revenues reflect licensing and service fees charged between segments.</w:t>
      </w:r>
    </w:p>
    <w:p>
      <w:pPr>
        <w:spacing w:after="0" w:line="225" w:lineRule="exact"/>
        <w:rPr>
          <w:rFonts w:ascii="Arial" w:cs="Arial" w:eastAsia="Arial" w:hAnsi="Arial"/>
          <w:sz w:val="18"/>
          <w:szCs w:val="18"/>
          <w:color w:val="auto"/>
        </w:rPr>
      </w:pPr>
    </w:p>
    <w:p>
      <w:pPr>
        <w:ind w:left="660" w:right="120" w:hanging="652"/>
        <w:spacing w:after="0" w:line="277" w:lineRule="auto"/>
        <w:tabs>
          <w:tab w:leader="none" w:pos="667"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Reflects fees and other expenses, such as legal, banking, and professional services fees, related to the acquisition of King and associated integration activities, inclusive of related debt financings.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Reflects restructuring charges, primarily severance costs.</w:t>
      </w:r>
    </w:p>
    <w:p>
      <w:pPr>
        <w:spacing w:after="0" w:line="225" w:lineRule="exact"/>
        <w:rPr>
          <w:rFonts w:ascii="Arial" w:cs="Arial" w:eastAsia="Arial" w:hAnsi="Arial"/>
          <w:sz w:val="18"/>
          <w:szCs w:val="18"/>
          <w:color w:val="auto"/>
        </w:rPr>
      </w:pPr>
    </w:p>
    <w:p>
      <w:pPr>
        <w:ind w:left="660" w:right="300" w:hanging="652"/>
        <w:spacing w:after="0" w:line="277" w:lineRule="auto"/>
        <w:tabs>
          <w:tab w:leader="none" w:pos="667"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Reflects a non-cash accounting charge to reclassify certain cumulative translation gains (losses) into earnings due to the substantial liquidation of certain of our foreign entities.</w:t>
      </w:r>
    </w:p>
    <w:p>
      <w:pPr>
        <w:spacing w:after="0" w:line="170"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Due to requirements from our adoption of the new revenue accounting standard as discussed in Note 2, net revenues by distribution channel for the three and six months ended June 30, 2018, include a reconciliation to our segment revenues as disclosed for each of our reportable segments above. Net revenues by distribution channel were as follows (amounts in millions):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4"/>
                <w:szCs w:val="14"/>
                <w:b w:val="1"/>
                <w:bCs w:val="1"/>
                <w:color w:val="auto"/>
                <w:w w:val="93"/>
              </w:rPr>
              <w:t>Three Months Ended June 30, 2018</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0"/>
                <w:szCs w:val="10"/>
                <w:color w:val="auto"/>
              </w:rPr>
            </w:pPr>
          </w:p>
        </w:tc>
        <w:tc>
          <w:tcPr>
            <w:tcW w:w="118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Elimination</w:t>
            </w: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of</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Activision</w:t>
            </w:r>
          </w:p>
        </w:tc>
        <w:tc>
          <w:tcPr>
            <w:tcW w:w="260" w:type="dxa"/>
            <w:vAlign w:val="bottom"/>
          </w:tcPr>
          <w:p>
            <w:pPr>
              <w:spacing w:after="0"/>
              <w:rPr>
                <w:sz w:val="12"/>
                <w:szCs w:val="12"/>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Blizzard</w:t>
            </w:r>
          </w:p>
        </w:tc>
        <w:tc>
          <w:tcPr>
            <w:tcW w:w="220" w:type="dxa"/>
            <w:vAlign w:val="bottom"/>
          </w:tcPr>
          <w:p>
            <w:pPr>
              <w:spacing w:after="0"/>
              <w:rPr>
                <w:sz w:val="12"/>
                <w:szCs w:val="1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King</w:t>
            </w:r>
          </w:p>
        </w:tc>
        <w:tc>
          <w:tcPr>
            <w:tcW w:w="22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reportable</w:t>
            </w:r>
          </w:p>
        </w:tc>
        <w:tc>
          <w:tcPr>
            <w:tcW w:w="13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intersegment</w:t>
            </w:r>
          </w:p>
        </w:tc>
        <w:tc>
          <w:tcPr>
            <w:tcW w:w="280" w:type="dxa"/>
            <w:vAlign w:val="bottom"/>
          </w:tcPr>
          <w:p>
            <w:pPr>
              <w:spacing w:after="0"/>
              <w:rPr>
                <w:sz w:val="12"/>
                <w:szCs w:val="12"/>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segments</w:t>
            </w:r>
          </w:p>
        </w:tc>
        <w:tc>
          <w:tcPr>
            <w:tcW w:w="18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revenues (3)</w:t>
            </w:r>
          </w:p>
        </w:tc>
        <w:tc>
          <w:tcPr>
            <w:tcW w:w="2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revenues by distribution channel:</w:t>
            </w: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Digital online channels (1)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333</w:t>
            </w:r>
          </w:p>
        </w:tc>
        <w:tc>
          <w:tcPr>
            <w:tcW w:w="2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420</w:t>
            </w:r>
          </w:p>
        </w:tc>
        <w:tc>
          <w:tcPr>
            <w:tcW w:w="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510</w:t>
            </w:r>
          </w:p>
        </w:tc>
        <w:tc>
          <w:tcPr>
            <w:tcW w:w="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70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Retail channels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 (2)</w:t>
            </w:r>
          </w:p>
        </w:tc>
        <w:tc>
          <w:tcPr>
            <w:tcW w:w="2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consolidated net revenues</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592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488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Change in deferred revenues: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Digital online channels (1)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Retail channels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 (2)</w:t>
            </w:r>
          </w:p>
        </w:tc>
        <w:tc>
          <w:tcPr>
            <w:tcW w:w="2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change in deferred revenues</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net revenues: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Digital online channels (1)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424</w:t>
            </w:r>
          </w:p>
        </w:tc>
        <w:tc>
          <w:tcPr>
            <w:tcW w:w="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502</w:t>
            </w:r>
          </w:p>
        </w:tc>
        <w:tc>
          <w:tcPr>
            <w:tcW w:w="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70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Retail channels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 (2)</w:t>
            </w:r>
          </w:p>
        </w:tc>
        <w:tc>
          <w:tcPr>
            <w:tcW w:w="2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segment net revenues</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489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4"/>
                <w:szCs w:val="14"/>
                <w:b w:val="1"/>
                <w:bCs w:val="1"/>
                <w:color w:val="auto"/>
                <w:w w:val="92"/>
              </w:rPr>
              <w:t>Six Months Ended June 30, 2018</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0"/>
                <w:szCs w:val="10"/>
                <w:color w:val="auto"/>
              </w:rPr>
            </w:pPr>
          </w:p>
        </w:tc>
        <w:tc>
          <w:tcPr>
            <w:tcW w:w="118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Elimination</w:t>
            </w: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of</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Activision</w:t>
            </w:r>
          </w:p>
        </w:tc>
        <w:tc>
          <w:tcPr>
            <w:tcW w:w="260" w:type="dxa"/>
            <w:vAlign w:val="bottom"/>
          </w:tcPr>
          <w:p>
            <w:pPr>
              <w:spacing w:after="0"/>
              <w:rPr>
                <w:sz w:val="12"/>
                <w:szCs w:val="12"/>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Blizzard</w:t>
            </w:r>
          </w:p>
        </w:tc>
        <w:tc>
          <w:tcPr>
            <w:tcW w:w="220" w:type="dxa"/>
            <w:vAlign w:val="bottom"/>
          </w:tcPr>
          <w:p>
            <w:pPr>
              <w:spacing w:after="0"/>
              <w:rPr>
                <w:sz w:val="12"/>
                <w:szCs w:val="1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King</w:t>
            </w:r>
          </w:p>
        </w:tc>
        <w:tc>
          <w:tcPr>
            <w:tcW w:w="22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reportable</w:t>
            </w:r>
          </w:p>
        </w:tc>
        <w:tc>
          <w:tcPr>
            <w:tcW w:w="13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intersegment</w:t>
            </w:r>
          </w:p>
        </w:tc>
        <w:tc>
          <w:tcPr>
            <w:tcW w:w="280" w:type="dxa"/>
            <w:vAlign w:val="bottom"/>
          </w:tcPr>
          <w:p>
            <w:pPr>
              <w:spacing w:after="0"/>
              <w:rPr>
                <w:sz w:val="12"/>
                <w:szCs w:val="12"/>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segments</w:t>
            </w:r>
          </w:p>
        </w:tc>
        <w:tc>
          <w:tcPr>
            <w:tcW w:w="18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revenues (3)</w:t>
            </w:r>
          </w:p>
        </w:tc>
        <w:tc>
          <w:tcPr>
            <w:tcW w:w="2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revenues by distribution channel:</w:t>
            </w: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Digital online channels (1)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809</w:t>
            </w:r>
          </w:p>
        </w:tc>
        <w:tc>
          <w:tcPr>
            <w:tcW w:w="2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875</w:t>
            </w:r>
          </w:p>
        </w:tc>
        <w:tc>
          <w:tcPr>
            <w:tcW w:w="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1,042</w:t>
            </w:r>
          </w:p>
        </w:tc>
        <w:tc>
          <w:tcPr>
            <w:tcW w:w="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70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2,720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Retail channels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 (2)</w:t>
            </w:r>
          </w:p>
        </w:tc>
        <w:tc>
          <w:tcPr>
            <w:tcW w:w="2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consolidated net revenues</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1,465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997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1,043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3,607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Change in deferred revenues: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Digital online channels (1)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Retail channels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 (2)</w:t>
            </w:r>
          </w:p>
        </w:tc>
        <w:tc>
          <w:tcPr>
            <w:tcW w:w="2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change in deferred revenues</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40" w:right="239" w:bottom="0" w:gutter="0" w:footer="0" w:header="0"/>
        </w:sectPr>
      </w:pPr>
    </w:p>
    <w:bookmarkStart w:id="20" w:name="page21"/>
    <w:bookmarkEnd w:id="20"/>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net revenues:</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Digital online channels (1)</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519</w:t>
            </w:r>
          </w:p>
        </w:tc>
        <w:tc>
          <w:tcPr>
            <w:tcW w:w="220" w:type="dxa"/>
            <w:vAlign w:val="bottom"/>
          </w:tcPr>
          <w:p>
            <w:pPr>
              <w:spacing w:after="0"/>
              <w:rPr>
                <w:sz w:val="18"/>
                <w:szCs w:val="18"/>
                <w:color w:val="auto"/>
              </w:rPr>
            </w:pP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852</w:t>
            </w:r>
          </w:p>
        </w:tc>
        <w:tc>
          <w:tcPr>
            <w:tcW w:w="220" w:type="dxa"/>
            <w:vAlign w:val="bottom"/>
          </w:tcPr>
          <w:p>
            <w:pPr>
              <w:spacing w:after="0"/>
              <w:rPr>
                <w:sz w:val="18"/>
                <w:szCs w:val="18"/>
                <w:color w:val="auto"/>
              </w:rPr>
            </w:pP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1,036</w:t>
            </w:r>
          </w:p>
        </w:tc>
        <w:tc>
          <w:tcPr>
            <w:tcW w:w="220" w:type="dxa"/>
            <w:vAlign w:val="bottom"/>
          </w:tcPr>
          <w:p>
            <w:pPr>
              <w:spacing w:after="0"/>
              <w:rPr>
                <w:sz w:val="18"/>
                <w:szCs w:val="18"/>
                <w:color w:val="auto"/>
              </w:rPr>
            </w:pP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2,401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Retail channels</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Other (2)</w:t>
            </w:r>
          </w:p>
        </w:tc>
        <w:tc>
          <w:tcPr>
            <w:tcW w:w="4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segment net revenues</w:t>
            </w:r>
          </w:p>
        </w:tc>
        <w:tc>
          <w:tcPr>
            <w:tcW w:w="46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3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34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revenues by distribution channel for the three and six months ended June 30, 2017, were as follows (amounts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18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7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June 30, 2017</w:t>
            </w:r>
          </w:p>
        </w:tc>
        <w:tc>
          <w:tcPr>
            <w:tcW w:w="20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 2017</w:t>
            </w:r>
          </w:p>
        </w:tc>
      </w:tr>
      <w:tr>
        <w:trPr>
          <w:trHeight w:val="196"/>
        </w:trPr>
        <w:tc>
          <w:tcPr>
            <w:tcW w:w="7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revenues by distribution channel:</w:t>
            </w:r>
          </w:p>
        </w:tc>
        <w:tc>
          <w:tcPr>
            <w:tcW w:w="2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Digital online channels (1)</w:t>
            </w:r>
          </w:p>
        </w:tc>
        <w:tc>
          <w:tcPr>
            <w:tcW w:w="2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1,309</w:t>
            </w:r>
          </w:p>
        </w:tc>
        <w:tc>
          <w:tcPr>
            <w:tcW w:w="2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2,694</w:t>
            </w:r>
          </w:p>
        </w:tc>
        <w:tc>
          <w:tcPr>
            <w:tcW w:w="100" w:type="dxa"/>
            <w:vAlign w:val="bottom"/>
          </w:tcPr>
          <w:p>
            <w:pPr>
              <w:spacing w:after="0"/>
              <w:rPr>
                <w:sz w:val="18"/>
                <w:szCs w:val="18"/>
                <w:color w:val="auto"/>
              </w:rPr>
            </w:pPr>
          </w:p>
        </w:tc>
      </w:tr>
      <w:tr>
        <w:trPr>
          <w:trHeight w:val="216"/>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Retail channels</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18"/>
                <w:szCs w:val="18"/>
                <w:color w:val="auto"/>
              </w:rPr>
            </w:pPr>
          </w:p>
        </w:tc>
      </w:tr>
      <w:tr>
        <w:trPr>
          <w:trHeight w:val="216"/>
        </w:trPr>
        <w:tc>
          <w:tcPr>
            <w:tcW w:w="78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(2)</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62</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tcPr>
          <w:p>
            <w:pPr>
              <w:spacing w:after="0"/>
              <w:rPr>
                <w:sz w:val="18"/>
                <w:szCs w:val="18"/>
                <w:color w:val="auto"/>
              </w:rPr>
            </w:pPr>
          </w:p>
        </w:tc>
      </w:tr>
      <w:tr>
        <w:trPr>
          <w:trHeight w:val="210"/>
        </w:trPr>
        <w:tc>
          <w:tcPr>
            <w:tcW w:w="7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consolidated net revenues</w:t>
            </w:r>
          </w:p>
        </w:tc>
        <w:tc>
          <w:tcPr>
            <w:tcW w:w="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1,631</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3,356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60" w:hanging="652"/>
        <w:spacing w:after="0" w:line="277" w:lineRule="auto"/>
        <w:tabs>
          <w:tab w:leader="none" w:pos="667"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revenues from “Digital online channels” include revenues from digitally-distributed subscriptions, downloadable content, microtransactions, and products, as well as licensing royalties.</w:t>
      </w:r>
    </w:p>
    <w:p>
      <w:pPr>
        <w:spacing w:after="0" w:line="170" w:lineRule="exact"/>
        <w:rPr>
          <w:rFonts w:ascii="Arial" w:cs="Arial" w:eastAsia="Arial" w:hAnsi="Arial"/>
          <w:sz w:val="18"/>
          <w:szCs w:val="18"/>
          <w:color w:val="auto"/>
        </w:rPr>
      </w:pPr>
    </w:p>
    <w:p>
      <w:pPr>
        <w:ind w:left="660" w:right="580" w:hanging="652"/>
        <w:spacing w:after="0" w:line="292" w:lineRule="auto"/>
        <w:tabs>
          <w:tab w:leader="none" w:pos="667"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revenues from “Other” include revenues from our Studios and Distribution businesses, as well as revenues from MLG and the Overwatch League</w:t>
      </w:r>
      <w:r>
        <w:rPr>
          <w:rFonts w:ascii="Arial" w:cs="Arial" w:eastAsia="Arial" w:hAnsi="Arial"/>
          <w:sz w:val="23"/>
          <w:szCs w:val="23"/>
          <w:color w:val="auto"/>
          <w:vertAlign w:val="superscript"/>
        </w:rPr>
        <w:t>TM</w:t>
      </w:r>
      <w:r>
        <w:rPr>
          <w:rFonts w:ascii="Arial" w:cs="Arial" w:eastAsia="Arial" w:hAnsi="Arial"/>
          <w:sz w:val="18"/>
          <w:szCs w:val="18"/>
          <w:color w:val="auto"/>
        </w:rPr>
        <w:t>.</w:t>
      </w:r>
    </w:p>
    <w:p>
      <w:pPr>
        <w:spacing w:after="0" w:line="74"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Intersegment revenues reflect licensing and service fees charged between segments.</w:t>
      </w:r>
    </w:p>
    <w:p>
      <w:pPr>
        <w:spacing w:after="0" w:line="225" w:lineRule="exact"/>
        <w:rPr>
          <w:sz w:val="20"/>
          <w:szCs w:val="20"/>
          <w:color w:val="auto"/>
        </w:rPr>
      </w:pPr>
    </w:p>
    <w:p>
      <w:pPr>
        <w:ind w:right="140" w:firstLine="405"/>
        <w:spacing w:after="0" w:line="342" w:lineRule="auto"/>
        <w:rPr>
          <w:sz w:val="20"/>
          <w:szCs w:val="20"/>
          <w:color w:val="auto"/>
        </w:rPr>
      </w:pPr>
      <w:r>
        <w:rPr>
          <w:rFonts w:ascii="Arial" w:cs="Arial" w:eastAsia="Arial" w:hAnsi="Arial"/>
          <w:sz w:val="16"/>
          <w:szCs w:val="16"/>
          <w:color w:val="auto"/>
        </w:rPr>
        <w:t>Geographic information presented below is based on the location of the paying customer. Net revenues by geographic region, including a reconciliation to each of our reportable segment’s net revenues, for the three and six months ended June 30, 2018, were as follows (amounts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4"/>
                <w:szCs w:val="14"/>
                <w:b w:val="1"/>
                <w:bCs w:val="1"/>
                <w:color w:val="auto"/>
                <w:w w:val="93"/>
              </w:rPr>
              <w:t>Three Months Ended June 30, 2018</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0"/>
                <w:szCs w:val="10"/>
                <w:color w:val="auto"/>
              </w:rPr>
            </w:pPr>
          </w:p>
        </w:tc>
        <w:tc>
          <w:tcPr>
            <w:tcW w:w="118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Elimination</w:t>
            </w: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of</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Activision</w:t>
            </w:r>
          </w:p>
        </w:tc>
        <w:tc>
          <w:tcPr>
            <w:tcW w:w="240" w:type="dxa"/>
            <w:vAlign w:val="bottom"/>
          </w:tcPr>
          <w:p>
            <w:pPr>
              <w:spacing w:after="0"/>
              <w:rPr>
                <w:sz w:val="12"/>
                <w:szCs w:val="12"/>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Blizzard</w:t>
            </w:r>
          </w:p>
        </w:tc>
        <w:tc>
          <w:tcPr>
            <w:tcW w:w="200" w:type="dxa"/>
            <w:vAlign w:val="bottom"/>
          </w:tcPr>
          <w:p>
            <w:pPr>
              <w:spacing w:after="0"/>
              <w:rPr>
                <w:sz w:val="12"/>
                <w:szCs w:val="12"/>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King</w:t>
            </w:r>
          </w:p>
        </w:tc>
        <w:tc>
          <w:tcPr>
            <w:tcW w:w="22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reportable</w:t>
            </w:r>
          </w:p>
        </w:tc>
        <w:tc>
          <w:tcPr>
            <w:tcW w:w="13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intersegment</w:t>
            </w:r>
          </w:p>
        </w:tc>
        <w:tc>
          <w:tcPr>
            <w:tcW w:w="280" w:type="dxa"/>
            <w:vAlign w:val="bottom"/>
          </w:tcPr>
          <w:p>
            <w:pPr>
              <w:spacing w:after="0"/>
              <w:rPr>
                <w:sz w:val="12"/>
                <w:szCs w:val="12"/>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segments</w:t>
            </w:r>
          </w:p>
        </w:tc>
        <w:tc>
          <w:tcPr>
            <w:tcW w:w="18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revenues (2)</w:t>
            </w:r>
          </w:p>
        </w:tc>
        <w:tc>
          <w:tcPr>
            <w:tcW w:w="2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revenues by geographic region:</w:t>
            </w: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349</w:t>
            </w:r>
          </w:p>
        </w:tc>
        <w:tc>
          <w:tcPr>
            <w:tcW w:w="2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239</w:t>
            </w:r>
          </w:p>
        </w:tc>
        <w:tc>
          <w:tcPr>
            <w:tcW w:w="2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315</w:t>
            </w:r>
          </w:p>
        </w:tc>
        <w:tc>
          <w:tcPr>
            <w:tcW w:w="2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EMEA (1)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Asia Pacific</w:t>
            </w:r>
          </w:p>
        </w:tc>
        <w:tc>
          <w:tcPr>
            <w:tcW w:w="22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consolidated net revenues</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592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488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deferred revenues: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EMEA (1)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Asia Pacific</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change in deferred revenues</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Segment net revenues: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206</w:t>
            </w:r>
          </w:p>
        </w:tc>
        <w:tc>
          <w:tcPr>
            <w:tcW w:w="2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246</w:t>
            </w:r>
          </w:p>
        </w:tc>
        <w:tc>
          <w:tcPr>
            <w:tcW w:w="2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310</w:t>
            </w:r>
          </w:p>
        </w:tc>
        <w:tc>
          <w:tcPr>
            <w:tcW w:w="2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EMEA (1)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Asia Pacific</w:t>
            </w:r>
          </w:p>
        </w:tc>
        <w:tc>
          <w:tcPr>
            <w:tcW w:w="22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segment net revenues</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338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489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3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4"/>
                <w:szCs w:val="14"/>
                <w:b w:val="1"/>
                <w:bCs w:val="1"/>
                <w:color w:val="auto"/>
                <w:w w:val="92"/>
              </w:rPr>
              <w:t>Six Months Ended June 30, 2018</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0"/>
                <w:szCs w:val="10"/>
                <w:color w:val="auto"/>
              </w:rPr>
            </w:pPr>
          </w:p>
        </w:tc>
        <w:tc>
          <w:tcPr>
            <w:tcW w:w="118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Elimination</w:t>
            </w: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of</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Activision</w:t>
            </w:r>
          </w:p>
        </w:tc>
        <w:tc>
          <w:tcPr>
            <w:tcW w:w="240" w:type="dxa"/>
            <w:vAlign w:val="bottom"/>
          </w:tcPr>
          <w:p>
            <w:pPr>
              <w:spacing w:after="0"/>
              <w:rPr>
                <w:sz w:val="12"/>
                <w:szCs w:val="12"/>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Blizzard</w:t>
            </w:r>
          </w:p>
        </w:tc>
        <w:tc>
          <w:tcPr>
            <w:tcW w:w="200" w:type="dxa"/>
            <w:vAlign w:val="bottom"/>
          </w:tcPr>
          <w:p>
            <w:pPr>
              <w:spacing w:after="0"/>
              <w:rPr>
                <w:sz w:val="12"/>
                <w:szCs w:val="12"/>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King</w:t>
            </w:r>
          </w:p>
        </w:tc>
        <w:tc>
          <w:tcPr>
            <w:tcW w:w="22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reportable</w:t>
            </w:r>
          </w:p>
        </w:tc>
        <w:tc>
          <w:tcPr>
            <w:tcW w:w="13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intersegment</w:t>
            </w:r>
          </w:p>
        </w:tc>
        <w:tc>
          <w:tcPr>
            <w:tcW w:w="280" w:type="dxa"/>
            <w:vAlign w:val="bottom"/>
          </w:tcPr>
          <w:p>
            <w:pPr>
              <w:spacing w:after="0"/>
              <w:rPr>
                <w:sz w:val="12"/>
                <w:szCs w:val="12"/>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segments</w:t>
            </w:r>
          </w:p>
        </w:tc>
        <w:tc>
          <w:tcPr>
            <w:tcW w:w="18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revenues (2)</w:t>
            </w:r>
          </w:p>
        </w:tc>
        <w:tc>
          <w:tcPr>
            <w:tcW w:w="2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revenues by geographic region:</w:t>
            </w: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859</w:t>
            </w:r>
          </w:p>
        </w:tc>
        <w:tc>
          <w:tcPr>
            <w:tcW w:w="2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473</w:t>
            </w:r>
          </w:p>
        </w:tc>
        <w:tc>
          <w:tcPr>
            <w:tcW w:w="2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637</w:t>
            </w:r>
          </w:p>
        </w:tc>
        <w:tc>
          <w:tcPr>
            <w:tcW w:w="2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1,966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EMEA (1)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1,239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Asia Pacific</w:t>
            </w:r>
          </w:p>
        </w:tc>
        <w:tc>
          <w:tcPr>
            <w:tcW w:w="22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199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consolidated net revenues</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1,465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997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1,043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3,607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deferred revenues: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(471)</w:t>
            </w:r>
          </w:p>
        </w:tc>
        <w:tc>
          <w:tcPr>
            <w:tcW w:w="2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EMEA (1)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Asia Pacific</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change in deferred revenues</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-2841625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-2841625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40" w:right="199" w:bottom="0" w:gutter="0" w:footer="0" w:header="0"/>
        </w:sectPr>
      </w:pPr>
    </w:p>
    <w:bookmarkStart w:id="21" w:name="page22"/>
    <w:bookmarkEnd w:id="2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net revenues:</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Americas</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388</w:t>
            </w:r>
          </w:p>
        </w:tc>
        <w:tc>
          <w:tcPr>
            <w:tcW w:w="220" w:type="dxa"/>
            <w:vAlign w:val="bottom"/>
          </w:tcPr>
          <w:p>
            <w:pPr>
              <w:spacing w:after="0"/>
              <w:rPr>
                <w:sz w:val="18"/>
                <w:szCs w:val="18"/>
                <w:color w:val="auto"/>
              </w:rPr>
            </w:pP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473</w:t>
            </w:r>
          </w:p>
        </w:tc>
        <w:tc>
          <w:tcPr>
            <w:tcW w:w="240" w:type="dxa"/>
            <w:vAlign w:val="bottom"/>
          </w:tcPr>
          <w:p>
            <w:pPr>
              <w:spacing w:after="0"/>
              <w:rPr>
                <w:sz w:val="18"/>
                <w:szCs w:val="18"/>
                <w:color w:val="auto"/>
              </w:rPr>
            </w:pP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634</w:t>
            </w:r>
          </w:p>
        </w:tc>
        <w:tc>
          <w:tcPr>
            <w:tcW w:w="240" w:type="dxa"/>
            <w:vAlign w:val="bottom"/>
          </w:tcPr>
          <w:p>
            <w:pPr>
              <w:spacing w:after="0"/>
              <w:rPr>
                <w:sz w:val="18"/>
                <w:szCs w:val="18"/>
                <w:color w:val="auto"/>
              </w:rPr>
            </w:pP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1,492</w:t>
            </w: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EMEA (1)</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209</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937</w:t>
            </w:r>
          </w:p>
        </w:tc>
        <w:tc>
          <w:tcPr>
            <w:tcW w:w="100" w:type="dxa"/>
            <w:vAlign w:val="bottom"/>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Asia Pacific</w:t>
            </w:r>
          </w:p>
        </w:tc>
        <w:tc>
          <w:tcPr>
            <w:tcW w:w="4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8"/>
                <w:szCs w:val="18"/>
                <w:color w:val="auto"/>
              </w:rPr>
            </w:pPr>
          </w:p>
        </w:tc>
      </w:tr>
      <w:tr>
        <w:trPr>
          <w:trHeight w:val="210"/>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segment net revenues</w:t>
            </w:r>
          </w:p>
        </w:tc>
        <w:tc>
          <w:tcPr>
            <w:tcW w:w="48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revenues by geographic region for the three and six months ended June 30, 2017, were as follows (amounts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18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7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June 30, 2017</w:t>
            </w:r>
          </w:p>
        </w:tc>
        <w:tc>
          <w:tcPr>
            <w:tcW w:w="20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 2017</w:t>
            </w:r>
          </w:p>
        </w:tc>
      </w:tr>
      <w:tr>
        <w:trPr>
          <w:trHeight w:val="196"/>
        </w:trPr>
        <w:tc>
          <w:tcPr>
            <w:tcW w:w="7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revenues by geographic region:</w:t>
            </w:r>
          </w:p>
        </w:tc>
        <w:tc>
          <w:tcPr>
            <w:tcW w:w="2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Americas</w:t>
            </w:r>
          </w:p>
        </w:tc>
        <w:tc>
          <w:tcPr>
            <w:tcW w:w="2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858</w:t>
            </w:r>
          </w:p>
        </w:tc>
        <w:tc>
          <w:tcPr>
            <w:tcW w:w="2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1,787</w:t>
            </w:r>
          </w:p>
        </w:tc>
        <w:tc>
          <w:tcPr>
            <w:tcW w:w="100" w:type="dxa"/>
            <w:vAlign w:val="bottom"/>
          </w:tcPr>
          <w:p>
            <w:pPr>
              <w:spacing w:after="0"/>
              <w:rPr>
                <w:sz w:val="18"/>
                <w:szCs w:val="18"/>
                <w:color w:val="auto"/>
              </w:rPr>
            </w:pPr>
          </w:p>
        </w:tc>
      </w:tr>
      <w:tr>
        <w:trPr>
          <w:trHeight w:val="216"/>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EMEA (1)</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538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1,092</w:t>
            </w:r>
          </w:p>
        </w:tc>
        <w:tc>
          <w:tcPr>
            <w:tcW w:w="100" w:type="dxa"/>
            <w:vAlign w:val="bottom"/>
            <w:shd w:val="clear" w:color="auto" w:fill="CCEEFF"/>
          </w:tcPr>
          <w:p>
            <w:pPr>
              <w:spacing w:after="0"/>
              <w:rPr>
                <w:sz w:val="18"/>
                <w:szCs w:val="18"/>
                <w:color w:val="auto"/>
              </w:rPr>
            </w:pPr>
          </w:p>
        </w:tc>
      </w:tr>
      <w:tr>
        <w:trPr>
          <w:trHeight w:val="216"/>
        </w:trPr>
        <w:tc>
          <w:tcPr>
            <w:tcW w:w="78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Asia Pacific</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235</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tcPr>
          <w:p>
            <w:pPr>
              <w:spacing w:after="0"/>
              <w:rPr>
                <w:sz w:val="18"/>
                <w:szCs w:val="18"/>
                <w:color w:val="auto"/>
              </w:rPr>
            </w:pPr>
          </w:p>
        </w:tc>
      </w:tr>
      <w:tr>
        <w:trPr>
          <w:trHeight w:val="210"/>
        </w:trPr>
        <w:tc>
          <w:tcPr>
            <w:tcW w:w="7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consolidated net revenues</w:t>
            </w:r>
          </w:p>
        </w:tc>
        <w:tc>
          <w:tcPr>
            <w:tcW w:w="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1,631</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3,356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“EMEA” consists of the Europe, Middle East, and Africa geographic regions.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Intersegment revenues reflect licensing and service fees charged between segments.</w:t>
      </w:r>
    </w:p>
    <w:p>
      <w:pPr>
        <w:spacing w:after="0" w:line="225" w:lineRule="exact"/>
        <w:rPr>
          <w:sz w:val="20"/>
          <w:szCs w:val="20"/>
          <w:color w:val="auto"/>
        </w:rPr>
      </w:pPr>
    </w:p>
    <w:p>
      <w:pPr>
        <w:ind w:right="280" w:firstLine="405"/>
        <w:spacing w:after="0" w:line="286" w:lineRule="auto"/>
        <w:rPr>
          <w:sz w:val="20"/>
          <w:szCs w:val="20"/>
          <w:color w:val="auto"/>
        </w:rPr>
      </w:pPr>
      <w:r>
        <w:rPr>
          <w:rFonts w:ascii="Arial" w:cs="Arial" w:eastAsia="Arial" w:hAnsi="Arial"/>
          <w:sz w:val="17"/>
          <w:szCs w:val="17"/>
          <w:color w:val="auto"/>
        </w:rPr>
        <w:t>The Company’s net revenues in the U.S. were 49% and 46% of consolidated net revenues for the three months ended June 30, 2018 and 2017, respectively. The Company’s net revenues in the U.K. were 10% of consolidated net revenues for both the three months ended June 30, 2018 and 2017. No other country’s net revenues exceeded 10% of consolidated net revenues for either the three months ended June 30, 2018 or 2017.</w:t>
      </w:r>
    </w:p>
    <w:p>
      <w:pPr>
        <w:spacing w:after="0" w:line="166" w:lineRule="exact"/>
        <w:rPr>
          <w:sz w:val="20"/>
          <w:szCs w:val="20"/>
          <w:color w:val="auto"/>
        </w:rPr>
      </w:pPr>
    </w:p>
    <w:p>
      <w:pPr>
        <w:ind w:right="440" w:firstLine="405"/>
        <w:spacing w:after="0" w:line="286" w:lineRule="auto"/>
        <w:rPr>
          <w:sz w:val="20"/>
          <w:szCs w:val="20"/>
          <w:color w:val="auto"/>
        </w:rPr>
      </w:pPr>
      <w:r>
        <w:rPr>
          <w:rFonts w:ascii="Arial" w:cs="Arial" w:eastAsia="Arial" w:hAnsi="Arial"/>
          <w:sz w:val="17"/>
          <w:szCs w:val="17"/>
          <w:color w:val="auto"/>
        </w:rPr>
        <w:t>The Company’s net revenues in the U.S. were 48% and 47% of consolidated net revenues for the six months ended June 30, 2018 and 2017, respectively. The Company’s net revenues in the U.K. were 10% of consolidated net revenues for both the six months ended June 30, 2018 and 2017. No other country’s net revenues exceeded 10% of consolidated net revenues for either the six months ended June 30, 2018 or 2017.</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Net revenues by platform, including a reconciliation to each of our reportable segment’s net revenues, for the three and six months ended June 30, 2018, were as follows (amounts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7"/>
          </w:tcPr>
          <w:p>
            <w:pPr>
              <w:jc w:val="center"/>
              <w:ind w:right="260"/>
              <w:spacing w:after="0"/>
              <w:rPr>
                <w:sz w:val="20"/>
                <w:szCs w:val="20"/>
                <w:color w:val="auto"/>
              </w:rPr>
            </w:pPr>
            <w:r>
              <w:rPr>
                <w:rFonts w:ascii="Arial" w:cs="Arial" w:eastAsia="Arial" w:hAnsi="Arial"/>
                <w:sz w:val="14"/>
                <w:szCs w:val="14"/>
                <w:b w:val="1"/>
                <w:bCs w:val="1"/>
                <w:color w:val="auto"/>
                <w:w w:val="93"/>
              </w:rPr>
              <w:t>Three Months Ended June 30, 2018</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Non-</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rPr>
              <w:t>Elimination</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of</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Activision</w:t>
            </w:r>
          </w:p>
        </w:tc>
        <w:tc>
          <w:tcPr>
            <w:tcW w:w="240" w:type="dxa"/>
            <w:vAlign w:val="bottom"/>
          </w:tcPr>
          <w:p>
            <w:pPr>
              <w:spacing w:after="0"/>
              <w:rPr>
                <w:sz w:val="12"/>
                <w:szCs w:val="12"/>
                <w:color w:val="auto"/>
              </w:rPr>
            </w:pPr>
          </w:p>
        </w:tc>
        <w:tc>
          <w:tcPr>
            <w:tcW w:w="11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Blizzard</w:t>
            </w:r>
          </w:p>
        </w:tc>
        <w:tc>
          <w:tcPr>
            <w:tcW w:w="200" w:type="dxa"/>
            <w:vAlign w:val="bottom"/>
          </w:tcPr>
          <w:p>
            <w:pPr>
              <w:spacing w:after="0"/>
              <w:rPr>
                <w:sz w:val="12"/>
                <w:szCs w:val="12"/>
                <w:color w:val="auto"/>
              </w:rPr>
            </w:pPr>
          </w:p>
        </w:tc>
        <w:tc>
          <w:tcPr>
            <w:tcW w:w="118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King</w:t>
            </w:r>
          </w:p>
        </w:tc>
        <w:tc>
          <w:tcPr>
            <w:tcW w:w="20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reportable</w:t>
            </w:r>
          </w:p>
        </w:tc>
        <w:tc>
          <w:tcPr>
            <w:tcW w:w="20" w:type="dxa"/>
            <w:vAlign w:val="bottom"/>
          </w:tcPr>
          <w:p>
            <w:pPr>
              <w:spacing w:after="0"/>
              <w:rPr>
                <w:sz w:val="12"/>
                <w:szCs w:val="12"/>
                <w:color w:val="auto"/>
              </w:rPr>
            </w:pPr>
          </w:p>
        </w:tc>
        <w:tc>
          <w:tcPr>
            <w:tcW w:w="134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intersegment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segments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revenues (3)</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revenues by platform:</w:t>
            </w: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Console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520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PC</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Mobile and ancillary (1)</w:t>
            </w:r>
          </w:p>
        </w:tc>
        <w:tc>
          <w:tcPr>
            <w:tcW w:w="22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471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(2)</w:t>
            </w:r>
          </w:p>
        </w:tc>
        <w:tc>
          <w:tcPr>
            <w:tcW w:w="2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consolidated net revenues</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592</w:t>
            </w:r>
          </w:p>
        </w:tc>
        <w:tc>
          <w:tcPr>
            <w:tcW w:w="20" w:type="dxa"/>
            <w:vAlign w:val="bottom"/>
            <w:tcBorders>
              <w:top w:val="single" w:sz="8" w:color="auto"/>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488</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510</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55</w:t>
            </w:r>
          </w:p>
        </w:tc>
        <w:tc>
          <w:tcPr>
            <w:tcW w:w="2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1,641</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Change in deferred revenues: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PC</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Mobile and ancillary (1)</w:t>
            </w:r>
          </w:p>
        </w:tc>
        <w:tc>
          <w:tcPr>
            <w:tcW w:w="2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Other (2)</w:t>
            </w:r>
          </w:p>
        </w:tc>
        <w:tc>
          <w:tcPr>
            <w:tcW w:w="220" w:type="dxa"/>
            <w:vAlign w:val="bottom"/>
          </w:tcPr>
          <w:p>
            <w:pPr>
              <w:spacing w:after="0"/>
              <w:rPr>
                <w:sz w:val="18"/>
                <w:szCs w:val="18"/>
                <w:color w:val="auto"/>
              </w:rPr>
            </w:pPr>
          </w:p>
        </w:tc>
        <w:tc>
          <w:tcPr>
            <w:tcW w:w="116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change in deferred revenues</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Segment net revenues: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Console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287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PC</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Mobile and ancillary (1)</w:t>
            </w:r>
          </w:p>
        </w:tc>
        <w:tc>
          <w:tcPr>
            <w:tcW w:w="22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464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(2)</w:t>
            </w:r>
          </w:p>
        </w:tc>
        <w:tc>
          <w:tcPr>
            <w:tcW w:w="2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Total segment net revenues</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338</w:t>
            </w: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489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502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3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right="480"/>
              <w:spacing w:after="0"/>
              <w:rPr>
                <w:sz w:val="20"/>
                <w:szCs w:val="20"/>
                <w:color w:val="auto"/>
              </w:rPr>
            </w:pPr>
            <w:r>
              <w:rPr>
                <w:rFonts w:ascii="Arial" w:cs="Arial" w:eastAsia="Arial" w:hAnsi="Arial"/>
                <w:sz w:val="14"/>
                <w:szCs w:val="14"/>
                <w:b w:val="1"/>
                <w:bCs w:val="1"/>
                <w:color w:val="auto"/>
                <w:w w:val="92"/>
              </w:rPr>
              <w:t>Six Months Ended June 30, 2018</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Non-</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Elimination</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of</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Activision</w:t>
            </w:r>
          </w:p>
        </w:tc>
        <w:tc>
          <w:tcPr>
            <w:tcW w:w="240" w:type="dxa"/>
            <w:vAlign w:val="bottom"/>
          </w:tcPr>
          <w:p>
            <w:pPr>
              <w:spacing w:after="0"/>
              <w:rPr>
                <w:sz w:val="12"/>
                <w:szCs w:val="12"/>
                <w:color w:val="auto"/>
              </w:rPr>
            </w:pPr>
          </w:p>
        </w:tc>
        <w:tc>
          <w:tcPr>
            <w:tcW w:w="11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Blizzard</w:t>
            </w:r>
          </w:p>
        </w:tc>
        <w:tc>
          <w:tcPr>
            <w:tcW w:w="200" w:type="dxa"/>
            <w:vAlign w:val="bottom"/>
          </w:tcPr>
          <w:p>
            <w:pPr>
              <w:spacing w:after="0"/>
              <w:rPr>
                <w:sz w:val="12"/>
                <w:szCs w:val="12"/>
                <w:color w:val="auto"/>
              </w:rPr>
            </w:pPr>
          </w:p>
        </w:tc>
        <w:tc>
          <w:tcPr>
            <w:tcW w:w="118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King</w:t>
            </w:r>
          </w:p>
        </w:tc>
        <w:tc>
          <w:tcPr>
            <w:tcW w:w="20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reportable</w:t>
            </w:r>
          </w:p>
        </w:tc>
        <w:tc>
          <w:tcPr>
            <w:tcW w:w="20" w:type="dxa"/>
            <w:vAlign w:val="bottom"/>
          </w:tcPr>
          <w:p>
            <w:pPr>
              <w:spacing w:after="0"/>
              <w:rPr>
                <w:sz w:val="12"/>
                <w:szCs w:val="12"/>
                <w:color w:val="auto"/>
              </w:rPr>
            </w:pPr>
          </w:p>
        </w:tc>
        <w:tc>
          <w:tcPr>
            <w:tcW w:w="134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intersegment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segments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9"/>
              </w:rPr>
              <w:t>revenues (3)</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revenues by platform:</w:t>
            </w: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Console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1,289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1,382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PC</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Mobile and ancillary (1)</w:t>
            </w:r>
          </w:p>
        </w:tc>
        <w:tc>
          <w:tcPr>
            <w:tcW w:w="22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961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(2)</w:t>
            </w:r>
          </w:p>
        </w:tc>
        <w:tc>
          <w:tcPr>
            <w:tcW w:w="2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20" w:type="dxa"/>
            <w:vAlign w:val="bottom"/>
            <w:tcBorders>
              <w:bottom w:val="single" w:sz="8" w:color="CCEEFF"/>
            </w:tcBorders>
          </w:tcPr>
          <w:p>
            <w:pPr>
              <w:spacing w:after="0"/>
              <w:rPr>
                <w:sz w:val="22"/>
                <w:szCs w:val="22"/>
                <w:color w:val="auto"/>
              </w:rPr>
            </w:pPr>
          </w:p>
        </w:tc>
        <w:tc>
          <w:tcPr>
            <w:tcW w:w="3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consolidated net revenues</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1,465</w:t>
            </w: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997</w:t>
            </w:r>
          </w:p>
        </w:tc>
        <w:tc>
          <w:tcPr>
            <w:tcW w:w="220" w:type="dxa"/>
            <w:vAlign w:val="bottom"/>
            <w:tcBorders>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1,043</w:t>
            </w:r>
          </w:p>
        </w:tc>
        <w:tc>
          <w:tcPr>
            <w:tcW w:w="220" w:type="dxa"/>
            <w:vAlign w:val="bottom"/>
            <w:tcBorders>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108</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3,607</w:t>
            </w:r>
          </w:p>
        </w:tc>
        <w:tc>
          <w:tcPr>
            <w:tcW w:w="100" w:type="dxa"/>
            <w:vAlign w:val="bottom"/>
            <w:tcBorders>
              <w:bottom w:val="single" w:sz="8" w:color="CCEEFF"/>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-1880870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-1880870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40" w:right="199" w:bottom="0" w:gutter="0" w:footer="0" w:header="0"/>
        </w:sectPr>
      </w:pPr>
    </w:p>
    <w:bookmarkStart w:id="22" w:name="page23"/>
    <w:bookmarkEnd w:id="22"/>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Change in deferred revenues:</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Console</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PC</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Mobile and ancillary (1)</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 (2)</w:t>
            </w:r>
          </w:p>
        </w:tc>
        <w:tc>
          <w:tcPr>
            <w:tcW w:w="4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change in deferred revenues</w:t>
            </w:r>
          </w:p>
        </w:tc>
        <w:tc>
          <w:tcPr>
            <w:tcW w:w="44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net revenues:</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Console</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566</w:t>
            </w:r>
          </w:p>
        </w:tc>
        <w:tc>
          <w:tcPr>
            <w:tcW w:w="220" w:type="dxa"/>
            <w:vAlign w:val="bottom"/>
          </w:tcPr>
          <w:p>
            <w:pPr>
              <w:spacing w:after="0"/>
              <w:rPr>
                <w:sz w:val="18"/>
                <w:szCs w:val="18"/>
                <w:color w:val="auto"/>
              </w:rPr>
            </w:pP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8"/>
                <w:szCs w:val="18"/>
                <w:color w:val="auto"/>
              </w:rPr>
            </w:pP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PC</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Mobile and ancillary (1)</w:t>
            </w:r>
          </w:p>
        </w:tc>
        <w:tc>
          <w:tcPr>
            <w:tcW w:w="44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954</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 (2)</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 segment net revenues</w:t>
            </w:r>
          </w:p>
        </w:tc>
        <w:tc>
          <w:tcPr>
            <w:tcW w:w="4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651</w:t>
            </w:r>
          </w:p>
        </w:tc>
        <w:tc>
          <w:tcPr>
            <w:tcW w:w="22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970</w:t>
            </w:r>
          </w:p>
        </w:tc>
        <w:tc>
          <w:tcPr>
            <w:tcW w:w="22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1,036</w:t>
            </w:r>
          </w:p>
        </w:tc>
        <w:tc>
          <w:tcPr>
            <w:tcW w:w="22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revenues by platform for the three and six months ended June 30, 2017, were as follows (amounts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18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7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June 30, 2017</w:t>
            </w:r>
          </w:p>
        </w:tc>
        <w:tc>
          <w:tcPr>
            <w:tcW w:w="20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 2017</w:t>
            </w:r>
          </w:p>
        </w:tc>
      </w:tr>
      <w:tr>
        <w:trPr>
          <w:trHeight w:val="196"/>
        </w:trPr>
        <w:tc>
          <w:tcPr>
            <w:tcW w:w="7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revenues by platform:</w:t>
            </w:r>
          </w:p>
        </w:tc>
        <w:tc>
          <w:tcPr>
            <w:tcW w:w="2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Console</w:t>
            </w:r>
          </w:p>
        </w:tc>
        <w:tc>
          <w:tcPr>
            <w:tcW w:w="2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568</w:t>
            </w:r>
          </w:p>
        </w:tc>
        <w:tc>
          <w:tcPr>
            <w:tcW w:w="2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18"/>
                <w:szCs w:val="18"/>
                <w:color w:val="auto"/>
              </w:rPr>
            </w:pPr>
          </w:p>
        </w:tc>
      </w:tr>
      <w:tr>
        <w:trPr>
          <w:trHeight w:val="216"/>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PC</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1,072</w:t>
            </w:r>
          </w:p>
        </w:tc>
        <w:tc>
          <w:tcPr>
            <w:tcW w:w="100" w:type="dxa"/>
            <w:vAlign w:val="bottom"/>
            <w:shd w:val="clear" w:color="auto" w:fill="CCEEFF"/>
          </w:tcPr>
          <w:p>
            <w:pPr>
              <w:spacing w:after="0"/>
              <w:rPr>
                <w:sz w:val="18"/>
                <w:szCs w:val="18"/>
                <w:color w:val="auto"/>
              </w:rPr>
            </w:pP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Mobile and ancillary (1)</w:t>
            </w:r>
          </w:p>
        </w:tc>
        <w:tc>
          <w:tcPr>
            <w:tcW w:w="280" w:type="dxa"/>
            <w:vAlign w:val="bottom"/>
          </w:tcPr>
          <w:p>
            <w:pPr>
              <w:spacing w:after="0"/>
              <w:rPr>
                <w:sz w:val="18"/>
                <w:szCs w:val="18"/>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493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18"/>
                <w:szCs w:val="18"/>
                <w:color w:val="auto"/>
              </w:rPr>
            </w:pPr>
          </w:p>
        </w:tc>
      </w:tr>
      <w:tr>
        <w:trPr>
          <w:trHeight w:val="216"/>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(2)</w:t>
            </w: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r>
      <w:tr>
        <w:trPr>
          <w:trHeight w:val="210"/>
        </w:trPr>
        <w:tc>
          <w:tcPr>
            <w:tcW w:w="7840" w:type="dxa"/>
            <w:vAlign w:val="bottom"/>
          </w:tcPr>
          <w:p>
            <w:pPr>
              <w:spacing w:after="0"/>
              <w:rPr>
                <w:sz w:val="20"/>
                <w:szCs w:val="20"/>
                <w:color w:val="auto"/>
              </w:rPr>
            </w:pPr>
            <w:r>
              <w:rPr>
                <w:rFonts w:ascii="Arial" w:cs="Arial" w:eastAsia="Arial" w:hAnsi="Arial"/>
                <w:sz w:val="18"/>
                <w:szCs w:val="18"/>
                <w:color w:val="auto"/>
              </w:rPr>
              <w:t>Total consolidated net revenues</w:t>
            </w:r>
          </w:p>
        </w:tc>
        <w:tc>
          <w:tcPr>
            <w:tcW w:w="2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1,631</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3,356</w:t>
            </w:r>
          </w:p>
        </w:tc>
        <w:tc>
          <w:tcPr>
            <w:tcW w:w="100" w:type="dxa"/>
            <w:vAlign w:val="bottom"/>
          </w:tcPr>
          <w:p>
            <w:pPr>
              <w:spacing w:after="0"/>
              <w:rPr>
                <w:sz w:val="18"/>
                <w:szCs w:val="18"/>
                <w:color w:val="auto"/>
              </w:rPr>
            </w:pPr>
          </w:p>
        </w:tc>
      </w:tr>
      <w:tr>
        <w:trPr>
          <w:trHeight w:val="20"/>
        </w:trPr>
        <w:tc>
          <w:tcPr>
            <w:tcW w:w="7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60" w:hanging="652"/>
        <w:spacing w:after="0" w:line="316" w:lineRule="auto"/>
        <w:tabs>
          <w:tab w:leader="none" w:pos="667" w:val="left"/>
        </w:tabs>
        <w:numPr>
          <w:ilvl w:val="0"/>
          <w:numId w:val="27"/>
        </w:numPr>
        <w:rPr>
          <w:rFonts w:ascii="Arial" w:cs="Arial" w:eastAsia="Arial" w:hAnsi="Arial"/>
          <w:sz w:val="17"/>
          <w:szCs w:val="17"/>
          <w:color w:val="auto"/>
        </w:rPr>
      </w:pPr>
      <w:r>
        <w:rPr>
          <w:rFonts w:ascii="Arial" w:cs="Arial" w:eastAsia="Arial" w:hAnsi="Arial"/>
          <w:sz w:val="17"/>
          <w:szCs w:val="17"/>
          <w:color w:val="auto"/>
        </w:rPr>
        <w:t>Net revenues from “Mobile and ancillary” include revenues from mobile devices, as well as non-platform specific game-related revenues, such as standalone sales of toys and accessories from our Skylanders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franchise and other physical merchandise and accessories.</w:t>
      </w:r>
    </w:p>
    <w:p>
      <w:pPr>
        <w:spacing w:after="0" w:line="57" w:lineRule="exact"/>
        <w:rPr>
          <w:rFonts w:ascii="Arial" w:cs="Arial" w:eastAsia="Arial" w:hAnsi="Arial"/>
          <w:sz w:val="17"/>
          <w:szCs w:val="17"/>
          <w:color w:val="auto"/>
        </w:rPr>
      </w:pPr>
    </w:p>
    <w:p>
      <w:pPr>
        <w:ind w:left="660" w:right="540" w:hanging="652"/>
        <w:spacing w:after="0" w:line="277" w:lineRule="auto"/>
        <w:tabs>
          <w:tab w:leader="none" w:pos="667"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revenues from “Other” include revenues from our Studios and Distribution businesses, as well as revenues from MLG and the Overwatch League.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Intersegment revenues reflect licensing and service fees charged between segments.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Long-lived assets by geographic region were as follows (amounts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tcPr>
          <w:p>
            <w:pPr>
              <w:ind w:left="40"/>
              <w:spacing w:after="0"/>
              <w:rPr>
                <w:sz w:val="20"/>
                <w:szCs w:val="20"/>
                <w:color w:val="auto"/>
              </w:rPr>
            </w:pPr>
            <w:r>
              <w:rPr>
                <w:rFonts w:ascii="Arial" w:cs="Arial" w:eastAsia="Arial" w:hAnsi="Arial"/>
                <w:sz w:val="14"/>
                <w:szCs w:val="14"/>
                <w:b w:val="1"/>
                <w:bCs w:val="1"/>
                <w:color w:val="auto"/>
              </w:rPr>
              <w:t>At June 30, 2018</w:t>
            </w:r>
          </w:p>
        </w:tc>
        <w:tc>
          <w:tcPr>
            <w:tcW w:w="1700" w:type="dxa"/>
            <w:vAlign w:val="bottom"/>
            <w:gridSpan w:val="3"/>
          </w:tcPr>
          <w:p>
            <w:pPr>
              <w:ind w:left="120"/>
              <w:spacing w:after="0"/>
              <w:rPr>
                <w:sz w:val="20"/>
                <w:szCs w:val="20"/>
                <w:color w:val="auto"/>
              </w:rPr>
            </w:pPr>
            <w:r>
              <w:rPr>
                <w:rFonts w:ascii="Arial" w:cs="Arial" w:eastAsia="Arial" w:hAnsi="Arial"/>
                <w:sz w:val="14"/>
                <w:szCs w:val="14"/>
                <w:b w:val="1"/>
                <w:bCs w:val="1"/>
                <w:color w:val="auto"/>
              </w:rPr>
              <w:t>At December 31, 2017</w:t>
            </w:r>
          </w:p>
        </w:tc>
      </w:tr>
      <w:tr>
        <w:trPr>
          <w:trHeight w:val="196"/>
        </w:trPr>
        <w:tc>
          <w:tcPr>
            <w:tcW w:w="7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Long-lived assets (1) by geographic region:</w:t>
            </w:r>
          </w:p>
        </w:tc>
        <w:tc>
          <w:tcPr>
            <w:tcW w:w="2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Americas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199</w:t>
            </w:r>
          </w:p>
        </w:tc>
        <w:tc>
          <w:tcPr>
            <w:tcW w:w="280" w:type="dxa"/>
            <w:vAlign w:val="bottom"/>
          </w:tcPr>
          <w:p>
            <w:pPr>
              <w:spacing w:after="0"/>
              <w:rPr>
                <w:sz w:val="18"/>
                <w:szCs w:val="18"/>
                <w:color w:val="auto"/>
              </w:rPr>
            </w:pPr>
          </w:p>
        </w:tc>
        <w:tc>
          <w:tcPr>
            <w:tcW w:w="700" w:type="dxa"/>
            <w:vAlign w:val="bottom"/>
          </w:tcPr>
          <w:p>
            <w:pPr>
              <w:jc w:val="right"/>
              <w:ind w:right="436"/>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8"/>
                <w:szCs w:val="18"/>
                <w:color w:val="auto"/>
              </w:rPr>
            </w:pPr>
          </w:p>
        </w:tc>
      </w:tr>
      <w:tr>
        <w:trPr>
          <w:trHeight w:val="216"/>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r>
      <w:tr>
        <w:trPr>
          <w:trHeight w:val="216"/>
        </w:trPr>
        <w:tc>
          <w:tcPr>
            <w:tcW w:w="78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Asia Pacific</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8"/>
                <w:szCs w:val="18"/>
                <w:color w:val="auto"/>
              </w:rPr>
            </w:pPr>
          </w:p>
        </w:tc>
      </w:tr>
      <w:tr>
        <w:trPr>
          <w:trHeight w:val="210"/>
        </w:trPr>
        <w:tc>
          <w:tcPr>
            <w:tcW w:w="7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long-lived assets by geographic region</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281</w:t>
            </w:r>
          </w:p>
        </w:tc>
        <w:tc>
          <w:tcPr>
            <w:tcW w:w="2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120" w:hanging="652"/>
        <w:spacing w:after="0" w:line="277" w:lineRule="auto"/>
        <w:tabs>
          <w:tab w:leader="none" w:pos="66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only long-lived assets that we classify by region are our long-term tangible fixed assets, which consist of property, plant, and equipment assets; all other long-term assets are not allocated by location.</w:t>
      </w:r>
    </w:p>
    <w:p>
      <w:pPr>
        <w:spacing w:after="0" w:line="166"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 xml:space="preserve">We account for our provision for income taxes in accordance with Accounting Standards Codification (“ASC”) 740, </w:t>
      </w:r>
      <w:r>
        <w:rPr>
          <w:rFonts w:ascii="Arial" w:cs="Arial" w:eastAsia="Arial" w:hAnsi="Arial"/>
          <w:sz w:val="16"/>
          <w:szCs w:val="16"/>
          <w:i w:val="1"/>
          <w:iCs w:val="1"/>
          <w:color w:val="auto"/>
        </w:rPr>
        <w:t>Income Taxes</w:t>
      </w:r>
      <w:r>
        <w:rPr>
          <w:rFonts w:ascii="Arial" w:cs="Arial" w:eastAsia="Arial" w:hAnsi="Arial"/>
          <w:sz w:val="16"/>
          <w:szCs w:val="16"/>
          <w:color w:val="auto"/>
        </w:rPr>
        <w:t>, which requires an estimate of the annual effective tax rate for the full year to be applied to the interim period, taking into account year-to-date amounts and projected results for the full year. The provision for income taxes represents federal, foreign, state, and local income taxes. Our effective tax rate differs from the statutory U.S. income tax rate due to the effect of state and local income taxes, tax rates that apply to our foreign income (including U.S. tax on foreign income), research and development credits, and certain nondeductible expenses. Our effective tax rate could fluctuate significantly from quarter to quarter based on recurring and nonrecurring factors including, but not limited to: variations in the estimated and actual level of pre-tax income or loss by jurisdiction (including changes in the mix of income by tax jurisdiction); changes in enacted tax laws and regulations, and interpretations thereof, including with respect to tax credits and state and local income taxes; developments in tax audits and other matters; recognition of excess tax benefits and tax deficiencies from share-based payments; and certain nondeductible expenses. Changes in judgment from the evaluation of new information resulting in the recognition, derecognition, or remeasurement of a tax position taken in a prior annual period are recognized separately in the quarter of the change.</w:t>
      </w:r>
    </w:p>
    <w:p>
      <w:pPr>
        <w:spacing w:after="0" w:line="169" w:lineRule="exact"/>
        <w:rPr>
          <w:sz w:val="20"/>
          <w:szCs w:val="20"/>
          <w:color w:val="auto"/>
        </w:rPr>
      </w:pPr>
    </w:p>
    <w:p>
      <w:pPr>
        <w:ind w:right="40" w:firstLine="396"/>
        <w:spacing w:after="0" w:line="255" w:lineRule="auto"/>
        <w:rPr>
          <w:sz w:val="20"/>
          <w:szCs w:val="20"/>
          <w:color w:val="auto"/>
        </w:rPr>
      </w:pPr>
      <w:r>
        <w:rPr>
          <w:rFonts w:ascii="Arial" w:cs="Arial" w:eastAsia="Arial" w:hAnsi="Arial"/>
          <w:sz w:val="18"/>
          <w:szCs w:val="18"/>
          <w:color w:val="auto"/>
        </w:rPr>
        <w:t>On June 27, 2018, the Company entered into a closing agreement with the Internal Revenue Service (“IRS”) to resolve certain intercompany transfer pricing arrangements for tax periods starting in 2009 (the “Closing Agreement”). The primary adjustments recognized in the second quarter of 2018 related to the Closing Agreement were a tax expense of $70 million and a reduction in unrecognized tax benefits of $437 million. In addition, we recognized $185 million of tax benefits related to other tax adjustments resulting from the changes in U.S. tax attributes and taxable income caused by the primary adjustments. We expect the Closing Agreement to result in federal and state cash tax payments of approximately $345 million, which we expect to be made mostly before December 31, 2018.</w:t>
      </w:r>
    </w:p>
    <w:p>
      <w:pPr>
        <w:spacing w:after="0" w:line="193"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We evaluate deferred tax assets each period for recoverability. We record a valuation allowance for assets that do not meet the threshold of “more likely than not” to be realized in the future. To make that determination, the Company evaluates the likelihood of realization based on the weight of all positive and negative evidence available. As of December 31, 2017, the Company had a deferred tax asset for California research and development credit carryforwards (“CA R&amp;D Credits”), which can be carried forward indefinitely. The Closing Agreement impacts historical and prospective filings in certain states, including California, and after considering the impact of the Closing Agreement on its prospective California taxable income, the Company determined that its</w:t>
      </w:r>
    </w:p>
    <w:p>
      <w:pPr>
        <w:sectPr>
          <w:pgSz w:w="11900" w:h="16887" w:orient="portrait"/>
          <w:cols w:equalWidth="0" w:num="1">
            <w:col w:w="11420"/>
          </w:cols>
          <w:pgMar w:left="240" w:top="140" w:right="239" w:bottom="0" w:gutter="0" w:footer="0" w:header="0"/>
        </w:sectPr>
      </w:pPr>
    </w:p>
    <w:bookmarkStart w:id="23" w:name="page24"/>
    <w:bookmarkEnd w:id="23"/>
    <w:p>
      <w:pPr>
        <w:spacing w:after="0" w:line="11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remaining CA R&amp;D Credits no longer met the threshold of more likely than not being realized in the future. Accordingly, during the three months ended June 30, 2018, we recorded a full valuation allowance of $57 million. Additionally, the Company has not recognized a tax benefit for current-year CA R&amp;D Credits in its year-to-date tax expense. We will reassess this determination quarterly and record a tax benefit if future evidence allows for a partial or full release of this valuation allowance.</w:t>
      </w:r>
    </w:p>
    <w:p>
      <w:pPr>
        <w:spacing w:after="0" w:line="187" w:lineRule="exact"/>
        <w:rPr>
          <w:sz w:val="20"/>
          <w:szCs w:val="20"/>
          <w:color w:val="auto"/>
        </w:rPr>
      </w:pPr>
    </w:p>
    <w:p>
      <w:pPr>
        <w:jc w:val="both"/>
        <w:ind w:right="240" w:firstLine="405"/>
        <w:spacing w:after="0" w:line="264" w:lineRule="auto"/>
        <w:rPr>
          <w:sz w:val="20"/>
          <w:szCs w:val="20"/>
          <w:color w:val="auto"/>
        </w:rPr>
      </w:pPr>
      <w:r>
        <w:rPr>
          <w:rFonts w:ascii="Arial" w:cs="Arial" w:eastAsia="Arial" w:hAnsi="Arial"/>
          <w:sz w:val="18"/>
          <w:szCs w:val="18"/>
          <w:color w:val="auto"/>
        </w:rPr>
        <w:t>On December 22, 2017, the U.S. Tax Reform Act was enacted. The U.S. Tax Reform Act, among other things, reduced the U.S. corporate income tax rate from 35% to 21% beginning in 2018 and implemented a modified territorial tax system that imposed a one-time tax on deemed repatriated earnings of foreign subsidiaries (the “Transition Tax”).</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405"/>
        <w:spacing w:after="0" w:line="288" w:lineRule="auto"/>
        <w:rPr>
          <w:sz w:val="20"/>
          <w:szCs w:val="20"/>
          <w:color w:val="auto"/>
        </w:rPr>
      </w:pPr>
      <w:r>
        <w:rPr>
          <w:rFonts w:ascii="Arial" w:cs="Arial" w:eastAsia="Arial" w:hAnsi="Arial"/>
          <w:sz w:val="16"/>
          <w:szCs w:val="16"/>
          <w:color w:val="auto"/>
        </w:rPr>
        <w:t>On December 22, 2017, the SEC staff issued Staff Accounting Bulletin No. 118 (“SAB 118”), which provides guidance on how to account for the effects of the U.S. Tax Reform Act under ASC 740. SAB 118 enabled companies to record a provisional amount for the effects of the U.S. Tax Reform Act based on a reasonable estimate, subject to adjustment during a measurement period of up to one year, until accounting is complete. During the fourth quarter of 2017, we recorded provisional amounts for the effects of the U.S. Tax Reform Act in accordance with SAB 118. In addition, as of December 31. 2017, we no longer considered the available cash balances related to undistributed earnings held outside of the U.S. by our foreign subsidiaries to be indefinitely reinvested. We continue to analyze the effects of the U.S. Tax Reform Act on our condensed consolidated financial statements. Accounting for the income tax effects of the U.S. Tax Reform Act requires complex new calculations to be performed and significant judgments in interpreting the legislation. Additional guidance may be issued on how the provisions of the U.S. Tax Reform Act will be applied or otherwise administered that is different from our interpretation. We may make adjustments to the provisional amounts as we collect and prepare the data necessary to finalize our calculations, interpret the U.S. Tax Reform Act and any additional guidance issued, and consider the effects of any additional actions we may take as a result of the U.S. Tax Reform Act.</w:t>
      </w:r>
    </w:p>
    <w:p>
      <w:pPr>
        <w:spacing w:after="0" w:line="169"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During the three months ended June 30, 2018, the Company obtained additional information, including adjustments related to the Closing Agreement, and the evaluation of the impact of changing our indefinite reinvestment assertion, which affected the provisional amount initially recorded for the U.S. Tax Reform Act in the fourth quarter of 2017. As a result, the Company recorded an additional tax expense of $34 million in the three months ended June 30, 2018 for the effects of the U.S. Tax Reform Act.</w:t>
      </w:r>
    </w:p>
    <w:p>
      <w:pPr>
        <w:spacing w:after="0" w:line="18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continue to evaluate the ongoing impacts of the U.S. Tax Reform Act, including provisions impacting certain foreign income, such as a tax on global intangible low-taxed income of foreign subsidiaries (“GILTI”) and a deduction for foreign derived intangible income. These provisions are complex and subject to continuing regulatory interpretation by the IRS. While we have included an estimate of GILTI in our estimated effective tax rate for 2018, we may make adjustments as we interpret the U.S. Tax Reform Act and any additional guidance issued, and consider the effects of any additional actions we may take as a result of the U.S. Tax Reform Act.</w:t>
      </w:r>
    </w:p>
    <w:p>
      <w:pPr>
        <w:spacing w:after="0" w:line="188"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The income tax expense of $6 million for the three months ended June 30, 2018, reflects an effective tax rate of 1%, which is lower than the effective tax rate of 17% for the three months ended June 30, 2017. The decrease is due to a discrete net tax benefit resulting from the Closing Agreement and the benefit from the lower U.S. corporate income tax rate in the current year, net of the impact of GILTI. This decrease was partially offset by the valuation allowance recorded with regard to CA R&amp;D Credits and the additional income tax expense related to the change in the provisional amount described above.</w:t>
      </w:r>
    </w:p>
    <w:p>
      <w:pPr>
        <w:spacing w:after="0" w:line="154"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The income tax expense of $73 million for the six months ended June 30, 2018, reflects an effective tax rate of 7%, which is lower than the effective tax rate of 10% for the six months ended June 30, 2017. The decrease is due to a discrete net tax benefit resulting from the Closing Agreement and the benefit from the lower U.S. corporate income tax rate in the current year, net of the impact of GILTI. This decrease was partially offset by the valuation allowance recorded with regard to CA R&amp;D Credits, lower excess tax benefits from share-based payments, and the additional income tax expense related to the change in the provisional amount described above.</w:t>
      </w:r>
    </w:p>
    <w:p>
      <w:pPr>
        <w:spacing w:after="0" w:line="188"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The effective tax rate of 1% and 7% for the three and six months ended June 30, 2018, respectively, is lower than the U.S. statutory rate of 21%, primarily due to a discrete net tax benefit resulting from the Closing Agreement, foreign earnings taxed at relatively lower statutory rates, the recognition of excess tax benefits from share-based payments, and recognition of federal research and development credits, partially offset by the valuation allowance recorded with regard to CA R&amp;D Credits and the additional income tax expense related to the change in the provisional amount described above.</w:t>
      </w:r>
    </w:p>
    <w:p>
      <w:pPr>
        <w:spacing w:after="0" w:line="154"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Activision Blizzard’s tax years 2009 through 2016 remain open to examination by the major taxing jurisdictions to which we are subject. The IRS is currently examining the Company’s federal tax returns for the 2009 through 2011 tax years, and during February 2018, the Company was notified that our tax returns for 2012 through 2016 tax years will also be subject to examination. The Company also has several state and non-U.S. audits pending, including the French audit discussed below. In addition, as part of purchase price accounting for our 2016 acquisition of King, the Company assumed $74 million of uncertain tax positions primarily related to pre-acquisition transfer pricing matters. The Company is currently in negotiations with the relevant jurisdictions and taxing authorities with respect to King’s transfer pricing, which could result in a different allocation of profits and losses between the relevant jurisdictions.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96"/>
        <w:spacing w:after="0" w:line="291" w:lineRule="auto"/>
        <w:rPr>
          <w:sz w:val="20"/>
          <w:szCs w:val="20"/>
          <w:color w:val="auto"/>
        </w:rPr>
      </w:pPr>
      <w:r>
        <w:rPr>
          <w:rFonts w:ascii="Arial" w:cs="Arial" w:eastAsia="Arial" w:hAnsi="Arial"/>
          <w:sz w:val="16"/>
          <w:szCs w:val="16"/>
          <w:color w:val="auto"/>
        </w:rPr>
        <w:t>On December 28, 2017, we received a Notice of Reassessment from the French Tax Authority (“FTA”) related to transfer pricing concerning intercompany transactions involving one of our French subsidiaries for the 2011 through 2013 tax years. The total assessment, including penalties and interest, was approximately €571 million ($660 million). We disagree with the proposed assessment and intend to vigorously contest it. We plan to pursue all remedies available to us to successfully resolve this matter, including administrative remedies with the FTA, and, if necessary, judicial remedies. While we believe our tax provisions at June 30, 2018 are appropriate, until such time as this matter is ultimately resolved we could be subject to significant additional tax liabilities. In addition to the risk of additional tax for years 2011 through 2013, if litigation regarding this matter were adversely determined and/or if the FTA were to seek adjustments of a similar nature for subsequent years, we could be subject to significant additional tax liabilities.</w:t>
      </w:r>
    </w:p>
    <w:p>
      <w:pPr>
        <w:spacing w:after="0" w:line="167"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In addition, certain of our subsidiaries are under examination or investigation, or may be subject to examination or investigation, by tax authorities in various jurisdictions. These proceedings may lead to adjustments or proposed adjustments to our taxes or provisions for uncertain tax positions. Such proceedings may have a material adverse effect on the Company’s consolidated financial position, liquidity or results of operations in the period or periods in</w:t>
      </w:r>
    </w:p>
    <w:p>
      <w:pPr>
        <w:sectPr>
          <w:pgSz w:w="11900" w:h="16952" w:orient="portrait"/>
          <w:cols w:equalWidth="0" w:num="1">
            <w:col w:w="11420"/>
          </w:cols>
          <w:pgMar w:left="240" w:top="125" w:right="239" w:bottom="0" w:gutter="0" w:footer="0" w:header="0"/>
        </w:sectPr>
      </w:pPr>
    </w:p>
    <w:bookmarkStart w:id="24" w:name="page25"/>
    <w:bookmarkEnd w:id="24"/>
    <w:p>
      <w:pPr>
        <w:ind w:right="340"/>
        <w:spacing w:after="0" w:line="264" w:lineRule="auto"/>
        <w:rPr>
          <w:sz w:val="20"/>
          <w:szCs w:val="20"/>
          <w:color w:val="auto"/>
        </w:rPr>
      </w:pPr>
      <w:r>
        <w:rPr>
          <w:rFonts w:ascii="Arial" w:cs="Arial" w:eastAsia="Arial" w:hAnsi="Arial"/>
          <w:sz w:val="18"/>
          <w:szCs w:val="18"/>
          <w:color w:val="auto"/>
        </w:rPr>
        <w:t>which the matters are resolved or in which appropriate tax provisions are taken into account in our financial statements. If we were to receive a materially adverse assessment from a taxing jurisdiction, we would plan to vigorously contest it and consider all of our options, including the pursuit of judicial remedies.</w:t>
      </w:r>
    </w:p>
    <w:p>
      <w:pPr>
        <w:spacing w:after="0" w:line="181" w:lineRule="exact"/>
        <w:rPr>
          <w:sz w:val="20"/>
          <w:szCs w:val="20"/>
          <w:color w:val="auto"/>
        </w:rPr>
      </w:pPr>
    </w:p>
    <w:p>
      <w:pPr>
        <w:ind w:right="220" w:firstLine="405"/>
        <w:spacing w:after="0" w:line="276" w:lineRule="auto"/>
        <w:rPr>
          <w:sz w:val="20"/>
          <w:szCs w:val="20"/>
          <w:color w:val="auto"/>
        </w:rPr>
      </w:pPr>
      <w:r>
        <w:rPr>
          <w:rFonts w:ascii="Arial" w:cs="Arial" w:eastAsia="Arial" w:hAnsi="Arial"/>
          <w:sz w:val="17"/>
          <w:szCs w:val="17"/>
          <w:color w:val="auto"/>
        </w:rPr>
        <w:t>We regularly assess the likelihood of adverse outcomes resulting from these examinations and monitor the progress of ongoing discussions with tax authorities in determining the appropriateness of our tax provisions. The final resolution of the Company’s global tax disputes is uncertain. There is significant judgment required in the analysis of disputes, including the probability determination and estimation of the potential exposure. Based on current information, in the opinion of the Company’s management, the ultimate resolution of these matters is not expected to have a material adverse effect on the Company’s consolidated financial position, liquidity or results of operations, except as noted above.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820" w:hanging="812"/>
        <w:spacing w:after="0"/>
        <w:tabs>
          <w:tab w:leader="none" w:pos="8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Computation of Basic/Diluted Earnings Per Common Share</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sets forth the computation of basic and diluted earnings per common share (amounts in millions, except per share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3320" w:type="dxa"/>
            <w:vAlign w:val="bottom"/>
            <w:gridSpan w:val="6"/>
          </w:tcPr>
          <w:p>
            <w:pPr>
              <w:ind w:left="340"/>
              <w:spacing w:after="0"/>
              <w:rPr>
                <w:sz w:val="20"/>
                <w:szCs w:val="20"/>
                <w:color w:val="auto"/>
              </w:rPr>
            </w:pPr>
            <w:r>
              <w:rPr>
                <w:rFonts w:ascii="Arial" w:cs="Arial" w:eastAsia="Arial" w:hAnsi="Arial"/>
                <w:sz w:val="14"/>
                <w:szCs w:val="14"/>
                <w:b w:val="1"/>
                <w:bCs w:val="1"/>
                <w:color w:val="auto"/>
              </w:rPr>
              <w:t>For the Three Months Ended June 30,</w:t>
            </w:r>
          </w:p>
        </w:tc>
        <w:tc>
          <w:tcPr>
            <w:tcW w:w="300" w:type="dxa"/>
            <w:vAlign w:val="bottom"/>
          </w:tcPr>
          <w:p>
            <w:pPr>
              <w:spacing w:after="0"/>
              <w:rPr>
                <w:sz w:val="14"/>
                <w:szCs w:val="14"/>
                <w:color w:val="auto"/>
              </w:rPr>
            </w:pPr>
          </w:p>
        </w:tc>
        <w:tc>
          <w:tcPr>
            <w:tcW w:w="280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Consolidated net income</w:t>
            </w:r>
          </w:p>
        </w:tc>
        <w:tc>
          <w:tcPr>
            <w:tcW w:w="880" w:type="dxa"/>
            <w:vAlign w:val="bottom"/>
          </w:tcPr>
          <w:p>
            <w:pPr>
              <w:jc w:val="right"/>
              <w:ind w:right="617"/>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402</w:t>
            </w:r>
          </w:p>
        </w:tc>
        <w:tc>
          <w:tcPr>
            <w:tcW w:w="300" w:type="dxa"/>
            <w:vAlign w:val="bottom"/>
          </w:tcPr>
          <w:p>
            <w:pPr>
              <w:spacing w:after="0"/>
              <w:rPr>
                <w:sz w:val="18"/>
                <w:szCs w:val="18"/>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243</w:t>
            </w:r>
          </w:p>
        </w:tc>
        <w:tc>
          <w:tcPr>
            <w:tcW w:w="280" w:type="dxa"/>
            <w:vAlign w:val="bottom"/>
          </w:tcPr>
          <w:p>
            <w:pPr>
              <w:spacing w:after="0"/>
              <w:rPr>
                <w:sz w:val="18"/>
                <w:szCs w:val="18"/>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902</w:t>
            </w:r>
          </w:p>
        </w:tc>
        <w:tc>
          <w:tcPr>
            <w:tcW w:w="280" w:type="dxa"/>
            <w:vAlign w:val="bottom"/>
          </w:tcPr>
          <w:p>
            <w:pPr>
              <w:spacing w:after="0"/>
              <w:rPr>
                <w:sz w:val="18"/>
                <w:szCs w:val="18"/>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Denominator:</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Denominator for basic earnings per common share—</w:t>
            </w: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weighted-average common shares outstanding</w:t>
            </w:r>
          </w:p>
        </w:tc>
        <w:tc>
          <w:tcPr>
            <w:tcW w:w="88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761</w:t>
            </w:r>
          </w:p>
        </w:tc>
        <w:tc>
          <w:tcPr>
            <w:tcW w:w="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754</w:t>
            </w: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760</w:t>
            </w:r>
          </w:p>
        </w:tc>
        <w:tc>
          <w:tcPr>
            <w:tcW w:w="2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tcPr>
          <w:p>
            <w:pPr>
              <w:ind w:left="160"/>
              <w:spacing w:after="0" w:line="201" w:lineRule="exact"/>
              <w:rPr>
                <w:sz w:val="20"/>
                <w:szCs w:val="20"/>
                <w:color w:val="auto"/>
              </w:rPr>
            </w:pPr>
            <w:r>
              <w:rPr>
                <w:rFonts w:ascii="Arial" w:cs="Arial" w:eastAsia="Arial" w:hAnsi="Arial"/>
                <w:sz w:val="18"/>
                <w:szCs w:val="18"/>
                <w:color w:val="auto"/>
                <w:w w:val="99"/>
              </w:rPr>
              <w:t>Effect of potential dilutive common shares under the treasury</w:t>
            </w: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stock method—employee stock options and awards</w:t>
            </w:r>
          </w:p>
        </w:tc>
        <w:tc>
          <w:tcPr>
            <w:tcW w:w="8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8"/>
              </w:rPr>
              <w:t>Denominator for basic earnings per common share—weighted-</w:t>
            </w:r>
          </w:p>
        </w:tc>
        <w:tc>
          <w:tcPr>
            <w:tcW w:w="88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770</w:t>
            </w:r>
          </w:p>
        </w:tc>
        <w:tc>
          <w:tcPr>
            <w:tcW w:w="3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764</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770</w:t>
            </w: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dilutive common shares outstanding</w:t>
            </w:r>
          </w:p>
        </w:tc>
        <w:tc>
          <w:tcPr>
            <w:tcW w:w="8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880" w:type="dxa"/>
            <w:vAlign w:val="bottom"/>
            <w:shd w:val="clear" w:color="auto" w:fill="CCEEFF"/>
          </w:tcPr>
          <w:p>
            <w:pPr>
              <w:jc w:val="right"/>
              <w:ind w:right="617"/>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0.53</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0.32</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1.19</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880" w:type="dxa"/>
            <w:vAlign w:val="bottom"/>
          </w:tcPr>
          <w:p>
            <w:pPr>
              <w:jc w:val="right"/>
              <w:ind w:right="617"/>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0.52</w:t>
            </w:r>
          </w:p>
        </w:tc>
        <w:tc>
          <w:tcPr>
            <w:tcW w:w="300" w:type="dxa"/>
            <w:vAlign w:val="bottom"/>
          </w:tcPr>
          <w:p>
            <w:pPr>
              <w:spacing w:after="0"/>
              <w:rPr>
                <w:sz w:val="20"/>
                <w:szCs w:val="20"/>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0.32</w:t>
            </w:r>
          </w:p>
        </w:tc>
        <w:tc>
          <w:tcPr>
            <w:tcW w:w="280" w:type="dxa"/>
            <w:vAlign w:val="bottom"/>
          </w:tcPr>
          <w:p>
            <w:pPr>
              <w:spacing w:after="0"/>
              <w:rPr>
                <w:sz w:val="20"/>
                <w:szCs w:val="20"/>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1.17</w:t>
            </w:r>
          </w:p>
        </w:tc>
        <w:tc>
          <w:tcPr>
            <w:tcW w:w="280" w:type="dxa"/>
            <w:vAlign w:val="bottom"/>
          </w:tcPr>
          <w:p>
            <w:pPr>
              <w:spacing w:after="0"/>
              <w:rPr>
                <w:sz w:val="20"/>
                <w:szCs w:val="20"/>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The vesting of certain of our employee-related restricted stock units and options is contingent upon the satisfaction of pre-defined performance measures. The shares underlying these equity awards are included in the weighted-average dilutive common shares only if the performance measures are met as of the end of the reporting period. Approximately 6 million shares are not included in the computation of diluted earnings per share for both the three and six months ended June 30, 2018, as their underlying performance measures had not yet been met. Approximately 9 million shares are not included in the computation of diluted earnings per share for both the three and six months ended June 30, 2017, as their underlying performance measures had not yet been met.</w:t>
      </w:r>
    </w:p>
    <w:p>
      <w:pPr>
        <w:spacing w:after="0" w:line="193"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Potential common shares are not included in the denominator of the diluted earnings per common share calculation when the inclusion of such shares would be anti-dilutive. Therefore, approximately 2 million options to purchase shares of common stock were not included in the calculation of diluted earnings per common share for both the three and six months ended June 30, 2018, and 1 million and 5 million options to purchase shares of common stock were not included in the calculation of diluted earnings per common share for the three and six months ended June 30, 2017, respectively, as the effect of their inclusion would be anti-dilutive.</w:t>
      </w:r>
    </w:p>
    <w:p>
      <w:pPr>
        <w:spacing w:after="0" w:line="184"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Capital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Program</w:t>
      </w:r>
    </w:p>
    <w:p>
      <w:pPr>
        <w:spacing w:after="0" w:line="225"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On February 2, 2017, our Board of Directors authorized a stock repurchase program under which we are authorized to repurchase up to $1 billion of our common stock during the two-year period from February 13, 2017 through February 12, 2019. As of June 30, 2018, we have not repurchased any shares under this program.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On February 1, 2018, our Board of Directors approved a cash dividend of $0.34 per common share. On May 9, 2018, we made an aggregate cash dividend payment of $259 million to shareholders of record at the close of business on March 30, 2018.</w:t>
      </w:r>
    </w:p>
    <w:p>
      <w:pPr>
        <w:spacing w:after="0" w:line="170"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On February 2, 2017, our Board of Directors approved a cash dividend of $0.30 per common share. On May 10, 2017, we made an aggregate cash dividend payment of $226 million to shareholders of record at the close of business on March 30,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40" w:firstLine="405"/>
        <w:spacing w:after="0" w:line="342" w:lineRule="auto"/>
        <w:rPr>
          <w:sz w:val="20"/>
          <w:szCs w:val="20"/>
          <w:color w:val="auto"/>
        </w:rPr>
      </w:pPr>
      <w:r>
        <w:rPr>
          <w:rFonts w:ascii="Arial" w:cs="Arial" w:eastAsia="Arial" w:hAnsi="Arial"/>
          <w:sz w:val="16"/>
          <w:szCs w:val="16"/>
          <w:color w:val="auto"/>
        </w:rPr>
        <w:t>We are party to routine claims, suits, investigations, audits, and other proceedings arising from the ordinary course of business, including with respect to intellectual property rights, contractual claims, labor and employment matters, regulatory matters, tax matters, unclaimed property matters, compliance</w:t>
      </w:r>
    </w:p>
    <w:p>
      <w:pPr>
        <w:sectPr>
          <w:pgSz w:w="11900" w:h="16838" w:orient="portrait"/>
          <w:cols w:equalWidth="0" w:num="1">
            <w:col w:w="11420"/>
          </w:cols>
          <w:pgMar w:left="240" w:top="125" w:right="239" w:bottom="0" w:gutter="0" w:footer="0" w:header="0"/>
        </w:sectPr>
      </w:pPr>
    </w:p>
    <w:bookmarkStart w:id="25" w:name="page26"/>
    <w:bookmarkEnd w:id="25"/>
    <w:p>
      <w:pPr>
        <w:ind w:right="140"/>
        <w:spacing w:after="0" w:line="277" w:lineRule="auto"/>
        <w:rPr>
          <w:sz w:val="20"/>
          <w:szCs w:val="20"/>
          <w:color w:val="auto"/>
        </w:rPr>
      </w:pPr>
      <w:r>
        <w:rPr>
          <w:rFonts w:ascii="Arial" w:cs="Arial" w:eastAsia="Arial" w:hAnsi="Arial"/>
          <w:sz w:val="18"/>
          <w:szCs w:val="18"/>
          <w:color w:val="auto"/>
        </w:rPr>
        <w:t>matters, and collection matters. In the opinion of management, after consultation with legal counsel, such routine claims and lawsuits are not significant and we do not expect them to have a material adverse effect on our business, financial condition, results of operations, or 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Activision Blizzard, Inc. is a leading global developer and publisher of interactive entertainment content and services. We develop and distribute content and services on video game consoles, personal computers (“PC”), and mobile devices. We also operate esports events and leagues and create film and television content based on our intellectual property. The terms “Activision Blizzard,” the “Company,” “we,” “us,” and “our” are used to refer collectively to Activision Blizzard, Inc. and its subsidiaries.</w:t>
      </w:r>
    </w:p>
    <w:p>
      <w:pPr>
        <w:spacing w:after="0" w:line="187"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The Company was originally incorporated in California in 1979 and was reincorporated in Delaware in December 1992. In connection with the 2008 business combination by and among the Company (then known as Activision, Inc.), Vivendi S.A. (“Vivendi”), and Vivendi Games, Inc., then an indirect wholly-owned subsidiary of Vivendi, we were renamed Activision Blizzard, Inc.</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common stock of Activision Blizzard is traded on The Nasdaq Stock Market under the ticker symbol “ATVI.”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Segments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Based on our organizational structure, we conduct our business through three reportable segments,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 Activision Publishing, Inc.</w:t>
      </w:r>
    </w:p>
    <w:p>
      <w:pPr>
        <w:spacing w:after="0" w:line="225"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Activision Publishing, Inc. (“Activision”), is a leading global developer and publisher of interactive software products and entertainment content, particularly for the console platform. Activision primarily delivers content through retail and digital channels, including full-game and in-game sales, as well as by licensing software to third-party or related-party companies that distribute Activision products. Activision develops, markets, and sells products based on our internally developed intellectual properties, as well as some licensed properties. We have also established a long-term alliance with Bungie to publish its game universe, Destiny.</w:t>
      </w:r>
    </w:p>
    <w:p>
      <w:pPr>
        <w:spacing w:after="0" w:line="188" w:lineRule="exact"/>
        <w:rPr>
          <w:sz w:val="20"/>
          <w:szCs w:val="20"/>
          <w:color w:val="auto"/>
        </w:rPr>
      </w:pPr>
    </w:p>
    <w:p>
      <w:pPr>
        <w:ind w:right="200" w:firstLine="405"/>
        <w:spacing w:after="0" w:line="227" w:lineRule="auto"/>
        <w:rPr>
          <w:sz w:val="20"/>
          <w:szCs w:val="20"/>
          <w:color w:val="auto"/>
        </w:rPr>
      </w:pPr>
      <w:r>
        <w:rPr>
          <w:rFonts w:ascii="Arial" w:cs="Arial" w:eastAsia="Arial" w:hAnsi="Arial"/>
          <w:sz w:val="18"/>
          <w:szCs w:val="18"/>
          <w:color w:val="auto"/>
        </w:rPr>
        <w:t>Activision’s key product franchises include: Call of Duty</w:t>
      </w:r>
      <w:r>
        <w:rPr>
          <w:rFonts w:ascii="Arial" w:cs="Arial" w:eastAsia="Arial" w:hAnsi="Arial"/>
          <w:sz w:val="23"/>
          <w:szCs w:val="23"/>
          <w:color w:val="auto"/>
          <w:vertAlign w:val="superscript"/>
        </w:rPr>
        <w:t>®</w:t>
      </w:r>
      <w:r>
        <w:rPr>
          <w:rFonts w:ascii="Arial" w:cs="Arial" w:eastAsia="Arial" w:hAnsi="Arial"/>
          <w:sz w:val="18"/>
          <w:szCs w:val="18"/>
          <w:color w:val="auto"/>
        </w:rPr>
        <w:t>, a first-person shooter for the console and PC platforms; and Destiny, an online universe of first-person action gameplay (which we call a “shared-world shooter”) for the console and PC platforms.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(ii) Blizzard Entertainment, Inc.</w:t>
      </w:r>
    </w:p>
    <w:p>
      <w:pPr>
        <w:spacing w:after="0" w:line="225" w:lineRule="exact"/>
        <w:rPr>
          <w:sz w:val="20"/>
          <w:szCs w:val="20"/>
          <w:color w:val="auto"/>
        </w:rPr>
      </w:pPr>
    </w:p>
    <w:p>
      <w:pPr>
        <w:ind w:right="20" w:firstLine="405"/>
        <w:spacing w:after="0" w:line="258" w:lineRule="auto"/>
        <w:rPr>
          <w:sz w:val="20"/>
          <w:szCs w:val="20"/>
          <w:color w:val="auto"/>
        </w:rPr>
      </w:pPr>
      <w:r>
        <w:rPr>
          <w:rFonts w:ascii="Arial" w:cs="Arial" w:eastAsia="Arial" w:hAnsi="Arial"/>
          <w:sz w:val="17"/>
          <w:szCs w:val="17"/>
          <w:color w:val="auto"/>
        </w:rPr>
        <w:t>Blizzard Entertainment, Inc. (“Blizzard”) is a leading global developer and publisher of interactive software products and entertainment content, particularly for the PC platform. Blizzard primarily delivers content through retail and digital channels, including subscriptions, full-game, and in-game sales, as well as by licensing software to third-party or related-party companies that distribute Blizzard products. Blizzard also maintains a proprietary online gaming service, Blizzard Battle.net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which facilitates digital distribution of Blizzard content, along with Activision’s </w:t>
      </w:r>
      <w:r>
        <w:rPr>
          <w:rFonts w:ascii="Arial" w:cs="Arial" w:eastAsia="Arial" w:hAnsi="Arial"/>
          <w:sz w:val="17"/>
          <w:szCs w:val="17"/>
          <w:i w:val="1"/>
          <w:iCs w:val="1"/>
          <w:color w:val="auto"/>
        </w:rPr>
        <w:t>Destiny 2</w:t>
      </w:r>
      <w:r>
        <w:rPr>
          <w:rFonts w:ascii="Arial" w:cs="Arial" w:eastAsia="Arial" w:hAnsi="Arial"/>
          <w:sz w:val="17"/>
          <w:szCs w:val="17"/>
          <w:color w:val="auto"/>
        </w:rPr>
        <w:t xml:space="preserve"> PC content, online social connectivity, and the creation of user-generated content. Blizzard also includes the activities of our Major League Gaming (“MLG”) business, which is responsible for various esports events, and serves as a multi-platform network for Activision Blizzard esports content.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405"/>
        <w:spacing w:after="0" w:line="199" w:lineRule="auto"/>
        <w:rPr>
          <w:sz w:val="20"/>
          <w:szCs w:val="20"/>
          <w:color w:val="auto"/>
        </w:rPr>
      </w:pPr>
      <w:r>
        <w:rPr>
          <w:rFonts w:ascii="Arial" w:cs="Arial" w:eastAsia="Arial" w:hAnsi="Arial"/>
          <w:sz w:val="18"/>
          <w:szCs w:val="18"/>
          <w:color w:val="auto"/>
        </w:rPr>
        <w:t>Blizzard’s key product franchises include: World of Warcraft</w:t>
      </w:r>
      <w:r>
        <w:rPr>
          <w:rFonts w:ascii="Arial" w:cs="Arial" w:eastAsia="Arial" w:hAnsi="Arial"/>
          <w:sz w:val="23"/>
          <w:szCs w:val="23"/>
          <w:color w:val="auto"/>
          <w:vertAlign w:val="superscript"/>
        </w:rPr>
        <w:t>®</w:t>
      </w:r>
      <w:r>
        <w:rPr>
          <w:rFonts w:ascii="Arial" w:cs="Arial" w:eastAsia="Arial" w:hAnsi="Arial"/>
          <w:sz w:val="18"/>
          <w:szCs w:val="18"/>
          <w:color w:val="auto"/>
        </w:rPr>
        <w:t>, a subscription-based massive multi-player online role-playing game for the PC platform; StarCraft</w:t>
      </w:r>
      <w:r>
        <w:rPr>
          <w:rFonts w:ascii="Arial" w:cs="Arial" w:eastAsia="Arial" w:hAnsi="Arial"/>
          <w:sz w:val="23"/>
          <w:szCs w:val="23"/>
          <w:color w:val="auto"/>
          <w:vertAlign w:val="superscript"/>
        </w:rPr>
        <w:t>®</w:t>
      </w:r>
      <w:r>
        <w:rPr>
          <w:rFonts w:ascii="Arial" w:cs="Arial" w:eastAsia="Arial" w:hAnsi="Arial"/>
          <w:sz w:val="18"/>
          <w:szCs w:val="18"/>
          <w:color w:val="auto"/>
        </w:rPr>
        <w:t>, a real-time strategy franchise for the PC platform; Diablo</w:t>
      </w:r>
      <w:r>
        <w:rPr>
          <w:rFonts w:ascii="Arial" w:cs="Arial" w:eastAsia="Arial" w:hAnsi="Arial"/>
          <w:sz w:val="23"/>
          <w:szCs w:val="23"/>
          <w:color w:val="auto"/>
          <w:vertAlign w:val="superscript"/>
        </w:rPr>
        <w:t>®</w:t>
      </w:r>
      <w:r>
        <w:rPr>
          <w:rFonts w:ascii="Arial" w:cs="Arial" w:eastAsia="Arial" w:hAnsi="Arial"/>
          <w:sz w:val="18"/>
          <w:szCs w:val="18"/>
          <w:color w:val="auto"/>
        </w:rPr>
        <w:t>, an action role-playing franchise for the PC and console platforms; Hearthstone</w:t>
      </w:r>
      <w:r>
        <w:rPr>
          <w:rFonts w:ascii="Arial" w:cs="Arial" w:eastAsia="Arial" w:hAnsi="Arial"/>
          <w:sz w:val="23"/>
          <w:szCs w:val="23"/>
          <w:color w:val="auto"/>
          <w:vertAlign w:val="superscript"/>
        </w:rPr>
        <w:t>®</w:t>
      </w:r>
      <w:r>
        <w:rPr>
          <w:rFonts w:ascii="Arial" w:cs="Arial" w:eastAsia="Arial" w:hAnsi="Arial"/>
          <w:sz w:val="18"/>
          <w:szCs w:val="18"/>
          <w:color w:val="auto"/>
        </w:rPr>
        <w:t>, an online collectible card franchise for the PC and mobile platforms; Heroes of the Storm</w:t>
      </w:r>
      <w:r>
        <w:rPr>
          <w:rFonts w:ascii="Arial" w:cs="Arial" w:eastAsia="Arial" w:hAnsi="Arial"/>
          <w:sz w:val="23"/>
          <w:szCs w:val="23"/>
          <w:color w:val="auto"/>
          <w:vertAlign w:val="superscript"/>
        </w:rPr>
        <w:t>®</w:t>
      </w:r>
      <w:r>
        <w:rPr>
          <w:rFonts w:ascii="Arial" w:cs="Arial" w:eastAsia="Arial" w:hAnsi="Arial"/>
          <w:sz w:val="18"/>
          <w:szCs w:val="18"/>
          <w:color w:val="auto"/>
        </w:rPr>
        <w:t>, a free-to-play team brawler for the PC platform; and Overwatch</w:t>
      </w:r>
      <w:r>
        <w:rPr>
          <w:rFonts w:ascii="Arial" w:cs="Arial" w:eastAsia="Arial" w:hAnsi="Arial"/>
          <w:sz w:val="23"/>
          <w:szCs w:val="23"/>
          <w:color w:val="auto"/>
          <w:vertAlign w:val="superscript"/>
        </w:rPr>
        <w:t>®</w:t>
      </w:r>
      <w:r>
        <w:rPr>
          <w:rFonts w:ascii="Arial" w:cs="Arial" w:eastAsia="Arial" w:hAnsi="Arial"/>
          <w:sz w:val="18"/>
          <w:szCs w:val="18"/>
          <w:color w:val="auto"/>
        </w:rPr>
        <w:t>, a team-based first-person shooter for the PC and console platforms.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(iii) King Digital Entertainment</w:t>
      </w:r>
    </w:p>
    <w:p>
      <w:pPr>
        <w:spacing w:after="0" w:line="225"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King Digital Entertainment (“King”) is a leading global developer and publisher of interactive entertainment content and services, particularly on mobile platforms, such as Google Inc.’s (“Google”) Android and Apple Inc.’s (“Apple”) iOS. King also distributes its content and services on the PC platform, primarily via Facebook. King’s games are free to play, however, players can acquire in-game items, either with virtual currency or directly using real currency.</w:t>
      </w:r>
    </w:p>
    <w:p>
      <w:pPr>
        <w:spacing w:after="0" w:line="187"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King’s key product franchises, all of which are for the mobile and PC platforms, include: Candy Crush™, which features “match three” games; Farm Heroes™, which also features “match three” games; and Bubble Witch™, which features “bubble shooter” games.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also engage in other businesses that do not represent reportable segments, including:</w:t>
      </w:r>
    </w:p>
    <w:p>
      <w:pPr>
        <w:spacing w:after="0" w:line="225" w:lineRule="exact"/>
        <w:rPr>
          <w:sz w:val="20"/>
          <w:szCs w:val="20"/>
          <w:color w:val="auto"/>
        </w:rPr>
      </w:pPr>
    </w:p>
    <w:p>
      <w:pPr>
        <w:jc w:val="both"/>
        <w:ind w:left="980" w:right="300" w:hanging="324"/>
        <w:spacing w:after="0" w:line="264" w:lineRule="auto"/>
        <w:tabs>
          <w:tab w:leader="none" w:pos="9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Activision Blizzard Studios (“Studios”) business, which is devoted to creating original film and television content based on our library of globally recognized intellectual properties, and which, in October 2017, released the second season of the animated TV series </w:t>
      </w:r>
      <w:r>
        <w:rPr>
          <w:rFonts w:ascii="Arial" w:cs="Arial" w:eastAsia="Arial" w:hAnsi="Arial"/>
          <w:sz w:val="18"/>
          <w:szCs w:val="18"/>
          <w:i w:val="1"/>
          <w:iCs w:val="1"/>
          <w:color w:val="auto"/>
        </w:rPr>
        <w:t>Skylanders™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Academy </w:t>
      </w:r>
      <w:r>
        <w:rPr>
          <w:rFonts w:ascii="Arial" w:cs="Arial" w:eastAsia="Arial" w:hAnsi="Arial"/>
          <w:sz w:val="18"/>
          <w:szCs w:val="18"/>
          <w:color w:val="auto"/>
        </w:rPr>
        <w:t>on Netflix; and</w:t>
      </w:r>
    </w:p>
    <w:p>
      <w:pPr>
        <w:spacing w:after="0" w:line="181" w:lineRule="exact"/>
        <w:rPr>
          <w:rFonts w:ascii="Arial" w:cs="Arial" w:eastAsia="Arial" w:hAnsi="Arial"/>
          <w:sz w:val="18"/>
          <w:szCs w:val="18"/>
          <w:color w:val="auto"/>
        </w:rPr>
      </w:pPr>
    </w:p>
    <w:p>
      <w:pPr>
        <w:jc w:val="both"/>
        <w:ind w:left="980" w:right="180" w:hanging="324"/>
        <w:spacing w:after="0" w:line="264" w:lineRule="auto"/>
        <w:tabs>
          <w:tab w:leader="none" w:pos="9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Activision Blizzard Distribution (“Distribution”) business, which consists of operations in Europe that provide warehousing, logistics, and sales distribution services to third-party publishers of interactive entertainment software, our own publishing operations, and manufacturers of interactive entertainment hardware.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Results and Highlights</w:t>
      </w:r>
    </w:p>
    <w:p>
      <w:pPr>
        <w:sectPr>
          <w:pgSz w:w="11900" w:h="16838" w:orient="portrait"/>
          <w:cols w:equalWidth="0" w:num="1">
            <w:col w:w="11400"/>
          </w:cols>
          <w:pgMar w:left="240" w:top="125" w:right="259" w:bottom="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Financial Results</w:t>
      </w:r>
    </w:p>
    <w:p>
      <w:pPr>
        <w:spacing w:after="0" w:line="225"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The Company’s financial results for 2018 are presented in accordance with a new revenue accounting standard that was adopted in the first quarter of 2018. Prior period results have not been restated to reflect this change in accounting standards. Further information about our adoption of the new standard is provided in Notes 2 and 3 of the notes to condensed consolidated financial statements included in Item 1 of this Quarterly Report on Form 10-Q.</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three months ended June 30, 2018:</w:t>
      </w:r>
    </w:p>
    <w:p>
      <w:pPr>
        <w:spacing w:after="0" w:line="225" w:lineRule="exact"/>
        <w:rPr>
          <w:sz w:val="20"/>
          <w:szCs w:val="20"/>
          <w:color w:val="auto"/>
        </w:rPr>
      </w:pPr>
    </w:p>
    <w:p>
      <w:pPr>
        <w:ind w:left="980" w:right="220" w:hanging="324"/>
        <w:spacing w:after="0" w:line="342" w:lineRule="auto"/>
        <w:tabs>
          <w:tab w:leader="none" w:pos="944"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consolidated net revenues increased 1% to $1.64 billion, while consolidated operating income increased 28% to $434 million, as compared to consolidated net revenues of $1.63 billion and consolidated operating income of $339 million for the three months ended June 30, 2017;</w:t>
      </w:r>
    </w:p>
    <w:p>
      <w:pPr>
        <w:spacing w:after="0" w:line="123" w:lineRule="exact"/>
        <w:rPr>
          <w:rFonts w:ascii="Arial" w:cs="Arial" w:eastAsia="Arial" w:hAnsi="Arial"/>
          <w:sz w:val="16"/>
          <w:szCs w:val="16"/>
          <w:color w:val="auto"/>
        </w:rPr>
      </w:pPr>
    </w:p>
    <w:p>
      <w:pPr>
        <w:ind w:left="980" w:right="680" w:hanging="324"/>
        <w:spacing w:after="0" w:line="277" w:lineRule="auto"/>
        <w:tabs>
          <w:tab w:leader="none" w:pos="944"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revenues from digital online channels were $1.26 billion, or 77% of consolidated net revenues, as compared to $1.31 billion, or 80% of consolidated net revenues, for the three months ended June 30, 2017;</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operating margin was 26.4%, as compared to 20.8% for the three months ended June 30, 2017;</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140" w:hanging="324"/>
        <w:spacing w:after="0" w:line="257" w:lineRule="auto"/>
        <w:tabs>
          <w:tab w:leader="none" w:pos="9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consolidated net income increased 65% to $402 million, as compared to $243 million for the three months ended June 30, 2017; the current period included $25 million of net tax benefits from several discrete tax items, primarily related to the settlement with the Internal Revenue Service (“IRS”) with respect to intercompany transfer pricing arrangements, the establishment of a valuation allowance on California research and development credit carryforwards, and updates to our accounting for the Tax Cuts and Jobs Act (“U.S. Tax Reform Act”) (see “Consolidated Results” discussion below for additional details); and</w:t>
      </w:r>
    </w:p>
    <w:p>
      <w:pPr>
        <w:spacing w:after="0" w:line="188" w:lineRule="exact"/>
        <w:rPr>
          <w:rFonts w:ascii="Arial" w:cs="Arial" w:eastAsia="Arial" w:hAnsi="Arial"/>
          <w:sz w:val="18"/>
          <w:szCs w:val="18"/>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diluted earnings per common share increased 63% to $0.52, as compared to $0.32 for the three months ended June 30, 2017.</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six months ended June 30, 2018:</w:t>
      </w:r>
    </w:p>
    <w:p>
      <w:pPr>
        <w:spacing w:after="0" w:line="225" w:lineRule="exact"/>
        <w:rPr>
          <w:sz w:val="20"/>
          <w:szCs w:val="20"/>
          <w:color w:val="auto"/>
        </w:rPr>
      </w:pPr>
    </w:p>
    <w:p>
      <w:pPr>
        <w:ind w:left="980" w:right="320" w:hanging="324"/>
        <w:spacing w:after="0" w:line="342" w:lineRule="auto"/>
        <w:tabs>
          <w:tab w:leader="none" w:pos="944"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consolidated net revenues increased 7% to $3.61 billion, while consolidated operating income increased 24% to $1.0 billion, as compared to consolidated net revenues of $3.36 billion and consolidated operating income of $831 million for the six months ended June 30, 2017;</w:t>
      </w:r>
    </w:p>
    <w:p>
      <w:pPr>
        <w:spacing w:after="0" w:line="123" w:lineRule="exact"/>
        <w:rPr>
          <w:rFonts w:ascii="Arial" w:cs="Arial" w:eastAsia="Arial" w:hAnsi="Arial"/>
          <w:sz w:val="16"/>
          <w:szCs w:val="16"/>
          <w:color w:val="auto"/>
        </w:rPr>
      </w:pPr>
    </w:p>
    <w:p>
      <w:pPr>
        <w:ind w:left="980" w:right="680" w:hanging="324"/>
        <w:spacing w:after="0" w:line="277" w:lineRule="auto"/>
        <w:tabs>
          <w:tab w:leader="none" w:pos="944"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revenues from digital online channels were $2.72 billion, or 75% of consolidated net revenues, as compared to $2.69 billion, or 80% of consolidated net revenues, for the six months ended June 30, 2017;</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operating margin was 28.5%, as compared to 24.8% for the six months ended June 30, 2017;</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cash flows from operating activities were $538 million, a decrease of 20%, as compared to $676 million for the six months ended June 30, 2017;</w:t>
      </w:r>
    </w:p>
    <w:p>
      <w:pPr>
        <w:spacing w:after="0" w:line="248" w:lineRule="exact"/>
        <w:rPr>
          <w:rFonts w:ascii="Arial" w:cs="Arial" w:eastAsia="Arial" w:hAnsi="Arial"/>
          <w:sz w:val="16"/>
          <w:szCs w:val="16"/>
          <w:color w:val="auto"/>
        </w:rPr>
      </w:pPr>
    </w:p>
    <w:p>
      <w:pPr>
        <w:ind w:left="980" w:right="20" w:hanging="324"/>
        <w:spacing w:after="0" w:line="257" w:lineRule="auto"/>
        <w:tabs>
          <w:tab w:leader="none" w:pos="944"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consolidated net income increased 35% to $902 million, as compared to $669 million for the six months ended June 30, 2017; the current period included $25 million of net tax benefits from several discrete tax items, primarily related to the settlement with the IRS with respect to intercompany transfer pricing arrangements, the establishment of a valuation allowance on California research and development credit carryforwards, and updates to our accounting for the U.S. Tax Reform Act (see “Consolidated Results” discussion below for additional details); and</w:t>
      </w:r>
    </w:p>
    <w:p>
      <w:pPr>
        <w:spacing w:after="0" w:line="188" w:lineRule="exact"/>
        <w:rPr>
          <w:rFonts w:ascii="Arial" w:cs="Arial" w:eastAsia="Arial" w:hAnsi="Arial"/>
          <w:sz w:val="18"/>
          <w:szCs w:val="18"/>
          <w:color w:val="auto"/>
        </w:rPr>
      </w:pPr>
    </w:p>
    <w:p>
      <w:pPr>
        <w:ind w:left="940" w:hanging="284"/>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diluted earnings per common share increased 33% to $1.17, as compared to $0.88 for the six months ended June 30, 2017.</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Since certain of our games are hosted online or include significant online functionality that represents a separate performance obligation, we defer the transaction price allocable to the online functionality from the sale of these games and recognize the attributable revenues over the relevant estimated service periods, which are generally less than a year. Net revenues and operating income for the three months ended June 30, 2018, include a net effect of $256 million and $182 million, respectively, from the recognition of deferred net revenues and related cost of revenues. Net revenues and operating income for the six months ended June 30, 2018, include a net effect of $838 million and $557 million, respectively, from the recognition of deferred net revenues and related cost of revenues.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Content Release and Event Highlights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Games and downloadable content that were released during the three months ended June 30, 2018, include:</w:t>
      </w:r>
    </w:p>
    <w:p>
      <w:pPr>
        <w:spacing w:after="0" w:line="225" w:lineRule="exact"/>
        <w:rPr>
          <w:sz w:val="20"/>
          <w:szCs w:val="20"/>
          <w:color w:val="auto"/>
        </w:rPr>
      </w:pPr>
    </w:p>
    <w:p>
      <w:pPr>
        <w:ind w:left="940" w:hanging="284"/>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Activision’s </w:t>
      </w:r>
      <w:r>
        <w:rPr>
          <w:rFonts w:ascii="Arial" w:cs="Arial" w:eastAsia="Arial" w:hAnsi="Arial"/>
          <w:sz w:val="18"/>
          <w:szCs w:val="18"/>
          <w:i w:val="1"/>
          <w:iCs w:val="1"/>
          <w:color w:val="auto"/>
        </w:rPr>
        <w:t>Warmind</w:t>
      </w:r>
      <w:r>
        <w:rPr>
          <w:rFonts w:ascii="Arial" w:cs="Arial" w:eastAsia="Arial" w:hAnsi="Arial"/>
          <w:sz w:val="18"/>
          <w:szCs w:val="18"/>
          <w:color w:val="auto"/>
        </w:rPr>
        <w:t xml:space="preserve">, the second expansion to </w:t>
      </w:r>
      <w:r>
        <w:rPr>
          <w:rFonts w:ascii="Arial" w:cs="Arial" w:eastAsia="Arial" w:hAnsi="Arial"/>
          <w:sz w:val="18"/>
          <w:szCs w:val="18"/>
          <w:i w:val="1"/>
          <w:iCs w:val="1"/>
          <w:color w:val="auto"/>
        </w:rPr>
        <w:t>Destiny 2</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Activision’s </w:t>
      </w:r>
      <w:r>
        <w:rPr>
          <w:rFonts w:ascii="Arial" w:cs="Arial" w:eastAsia="Arial" w:hAnsi="Arial"/>
          <w:sz w:val="18"/>
          <w:szCs w:val="18"/>
          <w:i w:val="1"/>
          <w:iCs w:val="1"/>
          <w:color w:val="auto"/>
        </w:rPr>
        <w:t>The War Machine</w:t>
      </w:r>
      <w:r>
        <w:rPr>
          <w:rFonts w:ascii="Arial" w:cs="Arial" w:eastAsia="Arial" w:hAnsi="Arial"/>
          <w:sz w:val="18"/>
          <w:szCs w:val="18"/>
          <w:color w:val="auto"/>
        </w:rPr>
        <w:t xml:space="preserve">, the second downloadable content pack for </w:t>
      </w:r>
      <w:r>
        <w:rPr>
          <w:rFonts w:ascii="Arial" w:cs="Arial" w:eastAsia="Arial" w:hAnsi="Arial"/>
          <w:sz w:val="18"/>
          <w:szCs w:val="18"/>
          <w:i w:val="1"/>
          <w:iCs w:val="1"/>
          <w:color w:val="auto"/>
        </w:rPr>
        <w:t>Call of Duty: WWII</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Activision’s </w:t>
      </w:r>
      <w:r>
        <w:rPr>
          <w:rFonts w:ascii="Arial" w:cs="Arial" w:eastAsia="Arial" w:hAnsi="Arial"/>
          <w:sz w:val="18"/>
          <w:szCs w:val="18"/>
          <w:i w:val="1"/>
          <w:iCs w:val="1"/>
          <w:color w:val="auto"/>
        </w:rPr>
        <w:t>United Front</w:t>
      </w:r>
      <w:r>
        <w:rPr>
          <w:rFonts w:ascii="Arial" w:cs="Arial" w:eastAsia="Arial" w:hAnsi="Arial"/>
          <w:sz w:val="18"/>
          <w:szCs w:val="18"/>
          <w:color w:val="auto"/>
        </w:rPr>
        <w:t xml:space="preserve">, the third downloadable content pack for </w:t>
      </w:r>
      <w:r>
        <w:rPr>
          <w:rFonts w:ascii="Arial" w:cs="Arial" w:eastAsia="Arial" w:hAnsi="Arial"/>
          <w:sz w:val="18"/>
          <w:szCs w:val="18"/>
          <w:i w:val="1"/>
          <w:iCs w:val="1"/>
          <w:color w:val="auto"/>
        </w:rPr>
        <w:t>Call of Duty: WWII,</w:t>
      </w:r>
      <w:r>
        <w:rPr>
          <w:rFonts w:ascii="Arial" w:cs="Arial" w:eastAsia="Arial" w:hAnsi="Arial"/>
          <w:sz w:val="18"/>
          <w:szCs w:val="18"/>
          <w:color w:val="auto"/>
        </w:rPr>
        <w:t xml:space="preserve"> on PlayStation 4</w:t>
      </w:r>
      <w:r>
        <w:rPr>
          <w:rFonts w:ascii="Arial" w:cs="Arial" w:eastAsia="Arial" w:hAnsi="Arial"/>
          <w:sz w:val="18"/>
          <w:szCs w:val="18"/>
          <w:i w:val="1"/>
          <w:iCs w:val="1"/>
          <w:color w:val="auto"/>
        </w:rPr>
        <w:t>;</w:t>
      </w:r>
    </w:p>
    <w:p>
      <w:pPr>
        <w:spacing w:after="0" w:line="225" w:lineRule="exact"/>
        <w:rPr>
          <w:rFonts w:ascii="Arial" w:cs="Arial" w:eastAsia="Arial" w:hAnsi="Arial"/>
          <w:sz w:val="18"/>
          <w:szCs w:val="18"/>
          <w:color w:val="auto"/>
        </w:rPr>
      </w:pPr>
    </w:p>
    <w:p>
      <w:pPr>
        <w:ind w:left="980" w:right="420" w:hanging="324"/>
        <w:spacing w:after="0" w:line="277" w:lineRule="auto"/>
        <w:tabs>
          <w:tab w:leader="none" w:pos="944"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Activision’s </w:t>
      </w:r>
      <w:r>
        <w:rPr>
          <w:rFonts w:ascii="Arial" w:cs="Arial" w:eastAsia="Arial" w:hAnsi="Arial"/>
          <w:sz w:val="18"/>
          <w:szCs w:val="18"/>
          <w:i w:val="1"/>
          <w:iCs w:val="1"/>
          <w:color w:val="auto"/>
        </w:rPr>
        <w:t>Crash Bandicoot™ N. Sane Trilogy</w:t>
      </w:r>
      <w:r>
        <w:rPr>
          <w:rFonts w:ascii="Arial" w:cs="Arial" w:eastAsia="Arial" w:hAnsi="Arial"/>
          <w:sz w:val="18"/>
          <w:szCs w:val="18"/>
          <w:color w:val="auto"/>
        </w:rPr>
        <w:t>, a remastered version of the first three Crash Bandicoot games, on the Xbox One, PC, and Nintendo Switch;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Blizzard’s latest expansion to </w:t>
      </w:r>
      <w:r>
        <w:rPr>
          <w:rFonts w:ascii="Arial" w:cs="Arial" w:eastAsia="Arial" w:hAnsi="Arial"/>
          <w:sz w:val="18"/>
          <w:szCs w:val="18"/>
          <w:i w:val="1"/>
          <w:iCs w:val="1"/>
          <w:color w:val="auto"/>
        </w:rPr>
        <w:t>Hearthstone—The Witchwood™</w:t>
      </w:r>
      <w:r>
        <w:rPr>
          <w:rFonts w:ascii="Arial" w:cs="Arial" w:eastAsia="Arial" w:hAnsi="Arial"/>
          <w:sz w:val="18"/>
          <w:szCs w:val="18"/>
          <w:color w:val="auto"/>
        </w:rPr>
        <w: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360"/>
          </w:cols>
          <w:pgMar w:left="240" w:top="125" w:right="299" w:bottom="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Operating Metrics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operating metrics are key performance indicators that we use to evaluate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Bookings</w:t>
      </w:r>
    </w:p>
    <w:p>
      <w:pPr>
        <w:spacing w:after="0" w:line="225"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7"/>
          <w:szCs w:val="17"/>
          <w:color w:val="auto"/>
        </w:rPr>
        <w:t>We monitor net bookings as a key operating metric in evaluating the performance of our business. Net bookings is defined as the net amount of products and services sold digitally or sold-in physically in the period, and includes license fees, merchandise, and publisher incentives, among others. Net bookings is equal to net revenues excluding the impact from deferrals. Net bookings were as follows (amounts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Pr>
          <w:p>
            <w:pPr>
              <w:spacing w:after="0"/>
              <w:rPr>
                <w:sz w:val="14"/>
                <w:szCs w:val="14"/>
                <w:color w:val="auto"/>
              </w:rPr>
            </w:pPr>
          </w:p>
        </w:tc>
        <w:tc>
          <w:tcPr>
            <w:tcW w:w="1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June 30, 2017</w:t>
            </w:r>
          </w:p>
        </w:tc>
        <w:tc>
          <w:tcPr>
            <w:tcW w:w="2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6"/>
        </w:trPr>
        <w:tc>
          <w:tcPr>
            <w:tcW w:w="6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bookings</w:t>
            </w:r>
          </w:p>
        </w:tc>
        <w:tc>
          <w:tcPr>
            <w:tcW w:w="2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Three Months Ended</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1,385</w:t>
            </w:r>
          </w:p>
        </w:tc>
        <w:tc>
          <w:tcPr>
            <w:tcW w:w="3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1,418</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ind w:left="74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2,769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2,614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Q2 2018 vs. Q2 2017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decrease in net bookings for the three months ended June 30, 2018, as compared to the three months ended June 30, 2017, was primarily due to:</w:t>
      </w:r>
    </w:p>
    <w:p>
      <w:pPr>
        <w:spacing w:after="0" w:line="248" w:lineRule="exact"/>
        <w:rPr>
          <w:sz w:val="20"/>
          <w:szCs w:val="20"/>
          <w:color w:val="auto"/>
        </w:rPr>
      </w:pPr>
    </w:p>
    <w:p>
      <w:pPr>
        <w:ind w:left="980" w:right="300" w:hanging="324"/>
        <w:spacing w:after="0" w:line="258" w:lineRule="auto"/>
        <w:tabs>
          <w:tab w:leader="none" w:pos="944"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lower net bookings in the current quarter from </w:t>
      </w:r>
      <w:r>
        <w:rPr>
          <w:rFonts w:ascii="Arial" w:cs="Arial" w:eastAsia="Arial" w:hAnsi="Arial"/>
          <w:sz w:val="16"/>
          <w:szCs w:val="16"/>
          <w:i w:val="1"/>
          <w:iCs w:val="1"/>
          <w:color w:val="auto"/>
        </w:rPr>
        <w:t>Call of Duty: Infinite Warfare</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(which, when referred to herein, is inclusive of </w:t>
      </w:r>
      <w:r>
        <w:rPr>
          <w:rFonts w:ascii="Arial" w:cs="Arial" w:eastAsia="Arial" w:hAnsi="Arial"/>
          <w:sz w:val="16"/>
          <w:szCs w:val="16"/>
          <w:i w:val="1"/>
          <w:iCs w:val="1"/>
          <w:color w:val="auto"/>
        </w:rPr>
        <w:t>Call of Duty:</w:t>
      </w:r>
      <w:r>
        <w:rPr>
          <w:rFonts w:ascii="Arial" w:cs="Arial" w:eastAsia="Arial" w:hAnsi="Arial"/>
          <w:sz w:val="16"/>
          <w:szCs w:val="16"/>
          <w:color w:val="auto"/>
        </w:rPr>
        <w:t xml:space="preserve"> </w:t>
      </w:r>
      <w:r>
        <w:rPr>
          <w:rFonts w:ascii="Arial" w:cs="Arial" w:eastAsia="Arial" w:hAnsi="Arial"/>
          <w:sz w:val="16"/>
          <w:szCs w:val="16"/>
          <w:i w:val="1"/>
          <w:iCs w:val="1"/>
          <w:color w:val="auto"/>
        </w:rPr>
        <w:t>Modern Warfare</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xml:space="preserve"> Remastered</w:t>
      </w:r>
      <w:r>
        <w:rPr>
          <w:rFonts w:ascii="Arial" w:cs="Arial" w:eastAsia="Arial" w:hAnsi="Arial"/>
          <w:sz w:val="16"/>
          <w:szCs w:val="16"/>
          <w:color w:val="auto"/>
        </w:rPr>
        <w:t>), which was released in November 2016, as compared to net bookings in the comparable prior year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from </w:t>
      </w:r>
      <w:r>
        <w:rPr>
          <w:rFonts w:ascii="Arial" w:cs="Arial" w:eastAsia="Arial" w:hAnsi="Arial"/>
          <w:sz w:val="16"/>
          <w:szCs w:val="16"/>
          <w:i w:val="1"/>
          <w:iCs w:val="1"/>
          <w:color w:val="auto"/>
        </w:rPr>
        <w:t>Call of Duty: Black Ops III</w:t>
      </w:r>
      <w:r>
        <w:rPr>
          <w:rFonts w:ascii="Arial" w:cs="Arial" w:eastAsia="Arial" w:hAnsi="Arial"/>
          <w:sz w:val="16"/>
          <w:szCs w:val="16"/>
          <w:color w:val="auto"/>
        </w:rPr>
        <w:t xml:space="preserve">, the comparable 2015 title, primarily since the prior-year quarter included the May 2017 release of </w:t>
      </w:r>
      <w:r>
        <w:rPr>
          <w:rFonts w:ascii="Arial" w:cs="Arial" w:eastAsia="Arial" w:hAnsi="Arial"/>
          <w:sz w:val="16"/>
          <w:szCs w:val="16"/>
          <w:i w:val="1"/>
          <w:iCs w:val="1"/>
          <w:color w:val="auto"/>
        </w:rPr>
        <w:t>Zombies</w:t>
      </w:r>
      <w:r>
        <w:rPr>
          <w:rFonts w:ascii="Arial" w:cs="Arial" w:eastAsia="Arial" w:hAnsi="Arial"/>
          <w:sz w:val="16"/>
          <w:szCs w:val="16"/>
          <w:color w:val="auto"/>
        </w:rPr>
        <w:t xml:space="preserve"> </w:t>
      </w:r>
      <w:r>
        <w:rPr>
          <w:rFonts w:ascii="Arial" w:cs="Arial" w:eastAsia="Arial" w:hAnsi="Arial"/>
          <w:sz w:val="16"/>
          <w:szCs w:val="16"/>
          <w:i w:val="1"/>
          <w:iCs w:val="1"/>
          <w:color w:val="auto"/>
        </w:rPr>
        <w:t>Chronicles</w:t>
      </w:r>
      <w:r>
        <w:rPr>
          <w:rFonts w:ascii="Arial" w:cs="Arial" w:eastAsia="Arial" w:hAnsi="Arial"/>
          <w:sz w:val="16"/>
          <w:szCs w:val="16"/>
          <w:color w:val="auto"/>
        </w:rPr>
        <w:t>, a downloadable content pack for</w:t>
      </w:r>
      <w:r>
        <w:rPr>
          <w:rFonts w:ascii="Arial" w:cs="Arial" w:eastAsia="Arial" w:hAnsi="Arial"/>
          <w:sz w:val="16"/>
          <w:szCs w:val="16"/>
          <w:i w:val="1"/>
          <w:iCs w:val="1"/>
          <w:color w:val="auto"/>
        </w:rPr>
        <w:t xml:space="preserve"> Call of Duty: Black Ops III, </w:t>
      </w:r>
      <w:r>
        <w:rPr>
          <w:rFonts w:ascii="Arial" w:cs="Arial" w:eastAsia="Arial" w:hAnsi="Arial"/>
          <w:sz w:val="16"/>
          <w:szCs w:val="16"/>
          <w:color w:val="auto"/>
        </w:rPr>
        <w:t>with no comparable content release in the current quarter; and</w:t>
      </w:r>
    </w:p>
    <w:p>
      <w:pPr>
        <w:spacing w:after="0" w:line="190" w:lineRule="exact"/>
        <w:rPr>
          <w:rFonts w:ascii="Arial" w:cs="Arial" w:eastAsia="Arial" w:hAnsi="Arial"/>
          <w:sz w:val="16"/>
          <w:szCs w:val="16"/>
          <w:color w:val="auto"/>
        </w:rPr>
      </w:pPr>
    </w:p>
    <w:p>
      <w:pPr>
        <w:ind w:left="940" w:hanging="284"/>
        <w:spacing w:after="0"/>
        <w:tabs>
          <w:tab w:leader="none" w:pos="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lower net bookings from </w:t>
      </w:r>
      <w:r>
        <w:rPr>
          <w:rFonts w:ascii="Arial" w:cs="Arial" w:eastAsia="Arial" w:hAnsi="Arial"/>
          <w:sz w:val="18"/>
          <w:szCs w:val="18"/>
          <w:i w:val="1"/>
          <w:iCs w:val="1"/>
          <w:color w:val="auto"/>
        </w:rPr>
        <w:t>Overwatch</w:t>
      </w:r>
      <w:r>
        <w:rPr>
          <w:rFonts w:ascii="Arial" w:cs="Arial" w:eastAsia="Arial" w:hAnsi="Arial"/>
          <w:sz w:val="18"/>
          <w:szCs w:val="18"/>
          <w:color w:val="auto"/>
        </w:rPr>
        <w:t>, which was released in May 2016.</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decrease was partially offset by:</w:t>
      </w:r>
    </w:p>
    <w:p>
      <w:pPr>
        <w:spacing w:after="0" w:line="225" w:lineRule="exact"/>
        <w:rPr>
          <w:sz w:val="20"/>
          <w:szCs w:val="20"/>
          <w:color w:val="auto"/>
        </w:rPr>
      </w:pPr>
    </w:p>
    <w:p>
      <w:pPr>
        <w:ind w:left="980" w:right="640" w:hanging="324"/>
        <w:spacing w:after="0" w:line="277" w:lineRule="auto"/>
        <w:tabs>
          <w:tab w:leader="none" w:pos="9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higher net bookings from </w:t>
      </w:r>
      <w:r>
        <w:rPr>
          <w:rFonts w:ascii="Arial" w:cs="Arial" w:eastAsia="Arial" w:hAnsi="Arial"/>
          <w:sz w:val="18"/>
          <w:szCs w:val="18"/>
          <w:i w:val="1"/>
          <w:iCs w:val="1"/>
          <w:color w:val="auto"/>
        </w:rPr>
        <w:t>Call of Duty: WWII</w:t>
      </w:r>
      <w:r>
        <w:rPr>
          <w:rFonts w:ascii="Arial" w:cs="Arial" w:eastAsia="Arial" w:hAnsi="Arial"/>
          <w:sz w:val="18"/>
          <w:szCs w:val="18"/>
          <w:color w:val="auto"/>
        </w:rPr>
        <w:t xml:space="preserve">, which was released in November 2017, as compared to </w:t>
      </w:r>
      <w:r>
        <w:rPr>
          <w:rFonts w:ascii="Arial" w:cs="Arial" w:eastAsia="Arial" w:hAnsi="Arial"/>
          <w:sz w:val="18"/>
          <w:szCs w:val="18"/>
          <w:i w:val="1"/>
          <w:iCs w:val="1"/>
          <w:color w:val="auto"/>
        </w:rPr>
        <w:t>Call of Duty: Infinite Warfare</w:t>
      </w:r>
      <w:r>
        <w:rPr>
          <w:rFonts w:ascii="Arial" w:cs="Arial" w:eastAsia="Arial" w:hAnsi="Arial"/>
          <w:sz w:val="18"/>
          <w:szCs w:val="18"/>
          <w:color w:val="auto"/>
        </w:rPr>
        <w:t>, the comparable 2016 title;</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higher net bookings from the Destiny franchise, driven by </w:t>
      </w:r>
      <w:r>
        <w:rPr>
          <w:rFonts w:ascii="Arial" w:cs="Arial" w:eastAsia="Arial" w:hAnsi="Arial"/>
          <w:sz w:val="18"/>
          <w:szCs w:val="18"/>
          <w:i w:val="1"/>
          <w:iCs w:val="1"/>
          <w:color w:val="auto"/>
        </w:rPr>
        <w:t>Destiny 2</w:t>
      </w:r>
      <w:r>
        <w:rPr>
          <w:rFonts w:ascii="Arial" w:cs="Arial" w:eastAsia="Arial" w:hAnsi="Arial"/>
          <w:sz w:val="18"/>
          <w:szCs w:val="18"/>
          <w:color w:val="auto"/>
        </w:rPr>
        <w:t>, which was released in September 2017, and its associated in-game content, with no comparable release in 2016;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higher net bookings from the Candy Crush franchise due to increased monetization, primarily through in-game events and features.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YTD Q2 2018 vs. YTD Q2 2017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increase in net bookings for the six months ended June 30, 2018, as compared to the six months ended June 30, 2017, was primarily due to:</w:t>
      </w:r>
    </w:p>
    <w:p>
      <w:pPr>
        <w:spacing w:after="0" w:line="237" w:lineRule="exact"/>
        <w:rPr>
          <w:sz w:val="20"/>
          <w:szCs w:val="20"/>
          <w:color w:val="auto"/>
        </w:rPr>
      </w:pPr>
    </w:p>
    <w:p>
      <w:pPr>
        <w:ind w:left="940" w:hanging="284"/>
        <w:spacing w:after="0"/>
        <w:tabs>
          <w:tab w:leader="none" w:pos="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higher net bookings from </w:t>
      </w:r>
      <w:r>
        <w:rPr>
          <w:rFonts w:ascii="Arial" w:cs="Arial" w:eastAsia="Arial" w:hAnsi="Arial"/>
          <w:sz w:val="18"/>
          <w:szCs w:val="18"/>
          <w:i w:val="1"/>
          <w:iCs w:val="1"/>
          <w:color w:val="auto"/>
        </w:rPr>
        <w:t>Call of Duty: WWII</w:t>
      </w:r>
      <w:r>
        <w:rPr>
          <w:rFonts w:ascii="Arial" w:cs="Arial" w:eastAsia="Arial" w:hAnsi="Arial"/>
          <w:sz w:val="18"/>
          <w:szCs w:val="18"/>
          <w:color w:val="auto"/>
        </w:rPr>
        <w:t xml:space="preserve">, as compared to </w:t>
      </w:r>
      <w:r>
        <w:rPr>
          <w:rFonts w:ascii="Arial" w:cs="Arial" w:eastAsia="Arial" w:hAnsi="Arial"/>
          <w:sz w:val="18"/>
          <w:szCs w:val="18"/>
          <w:i w:val="1"/>
          <w:iCs w:val="1"/>
          <w:color w:val="auto"/>
        </w:rPr>
        <w:t>Call of Duty: Infinite Warfare</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420" w:right="1020" w:firstLine="236"/>
        <w:spacing w:after="0" w:line="501" w:lineRule="auto"/>
        <w:tabs>
          <w:tab w:leader="none" w:pos="951"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higher net bookings from the Candy Crush franchise due to increased monetization, primarily through in-game events and features. The increase was partially offset by:</w:t>
      </w:r>
    </w:p>
    <w:p>
      <w:pPr>
        <w:ind w:left="940" w:hanging="284"/>
        <w:spacing w:after="0"/>
        <w:tabs>
          <w:tab w:leader="none" w:pos="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lower net bookings from </w:t>
      </w:r>
      <w:r>
        <w:rPr>
          <w:rFonts w:ascii="Arial" w:cs="Arial" w:eastAsia="Arial" w:hAnsi="Arial"/>
          <w:sz w:val="18"/>
          <w:szCs w:val="18"/>
          <w:i w:val="1"/>
          <w:iCs w:val="1"/>
          <w:color w:val="auto"/>
        </w:rPr>
        <w:t>Call of Duty: Infinite Warfare</w:t>
      </w:r>
      <w:r>
        <w:rPr>
          <w:rFonts w:ascii="Arial" w:cs="Arial" w:eastAsia="Arial" w:hAnsi="Arial"/>
          <w:sz w:val="18"/>
          <w:szCs w:val="18"/>
          <w:color w:val="auto"/>
        </w:rPr>
        <w:t xml:space="preserve">, as compared to </w:t>
      </w:r>
      <w:r>
        <w:rPr>
          <w:rFonts w:ascii="Arial" w:cs="Arial" w:eastAsia="Arial" w:hAnsi="Arial"/>
          <w:sz w:val="18"/>
          <w:szCs w:val="18"/>
          <w:i w:val="1"/>
          <w:iCs w:val="1"/>
          <w:color w:val="auto"/>
        </w:rPr>
        <w:t>Call of Duty: Black Ops III;</w:t>
      </w:r>
      <w:r>
        <w:rPr>
          <w:rFonts w:ascii="Arial" w:cs="Arial" w:eastAsia="Arial" w:hAnsi="Arial"/>
          <w:sz w:val="18"/>
          <w:szCs w:val="18"/>
          <w:color w:val="auto"/>
        </w:rPr>
        <w:t xml:space="preserve">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lower net bookings from </w:t>
      </w:r>
      <w:r>
        <w:rPr>
          <w:rFonts w:ascii="Arial" w:cs="Arial" w:eastAsia="Arial" w:hAnsi="Arial"/>
          <w:sz w:val="18"/>
          <w:szCs w:val="18"/>
          <w:i w:val="1"/>
          <w:iCs w:val="1"/>
          <w:color w:val="auto"/>
        </w:rPr>
        <w:t>Overwatch</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Monthly Active Users</w:t>
      </w:r>
    </w:p>
    <w:p>
      <w:pPr>
        <w:spacing w:after="0" w:line="22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We monitor monthly active users (“MAUs”) as a key measure of the overall size of our user base. MAUs are the number of individuals who accessed a particular game in a given month. We calculate average MAUs in a period by adding the total number of MAUs in each of the months in a given period and dividing that total by the number of months in the period. An individual who accesses two of our games would be counted as two users. In addition, due to technical limitations, for Activision and King, an individual who accesses the same game on two platforms or devices in the relevant period would be counted as two users. For Blizzard, an individual who accesses the same game on two platforms or devices in the relevant period would generally be counted as a single user.</w:t>
      </w:r>
    </w:p>
    <w:p>
      <w:pPr>
        <w:spacing w:after="0" w:line="193"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number of MAUs for a given period can be significantly impacted by the timing of new content releases, since new releases may cause a temporary surge in MAUs. Accordingly, although we believe that overall trending in the number of MAUs can be a meaningful performance metric, period-to-period fluctuations may not be indicative of longer-term trends. The following table details our average MAUs on a sequential quarterly basis for each of our reportable segments (amounts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3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June 30, 2018</w:t>
            </w:r>
          </w:p>
        </w:tc>
        <w:tc>
          <w:tcPr>
            <w:tcW w:w="1380" w:type="dxa"/>
            <w:vAlign w:val="bottom"/>
            <w:gridSpan w:val="2"/>
          </w:tcPr>
          <w:p>
            <w:pPr>
              <w:ind w:left="260"/>
              <w:spacing w:after="0"/>
              <w:rPr>
                <w:sz w:val="20"/>
                <w:szCs w:val="20"/>
                <w:color w:val="auto"/>
              </w:rPr>
            </w:pPr>
            <w:r>
              <w:rPr>
                <w:rFonts w:ascii="Arial" w:cs="Arial" w:eastAsia="Arial" w:hAnsi="Arial"/>
                <w:sz w:val="14"/>
                <w:szCs w:val="14"/>
                <w:b w:val="1"/>
                <w:bCs w:val="1"/>
                <w:color w:val="auto"/>
              </w:rPr>
              <w:t>March 31,</w:t>
            </w: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w:t>
            </w: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September</w:t>
            </w:r>
          </w:p>
        </w:tc>
        <w:tc>
          <w:tcPr>
            <w:tcW w:w="13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June 30, 2017</w:t>
            </w:r>
          </w:p>
        </w:tc>
        <w:tc>
          <w:tcPr>
            <w:tcW w:w="1240" w:type="dxa"/>
            <w:vAlign w:val="bottom"/>
            <w:gridSpan w:val="2"/>
          </w:tcPr>
          <w:p>
            <w:pPr>
              <w:ind w:left="2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160" w:type="dxa"/>
            <w:vAlign w:val="bottom"/>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1160" w:type="dxa"/>
            <w:vAlign w:val="bottom"/>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1160" w:type="dxa"/>
            <w:vAlign w:val="bottom"/>
          </w:tcPr>
          <w:p>
            <w:pPr>
              <w:jc w:val="right"/>
              <w:ind w:right="256"/>
              <w:spacing w:after="0"/>
              <w:rPr>
                <w:sz w:val="20"/>
                <w:szCs w:val="20"/>
                <w:color w:val="auto"/>
              </w:rPr>
            </w:pPr>
            <w:r>
              <w:rPr>
                <w:rFonts w:ascii="Arial" w:cs="Arial" w:eastAsia="Arial" w:hAnsi="Arial"/>
                <w:sz w:val="14"/>
                <w:szCs w:val="14"/>
                <w:b w:val="1"/>
                <w:bCs w:val="1"/>
                <w:color w:val="auto"/>
              </w:rPr>
              <w:t>30, 2017</w:t>
            </w:r>
          </w:p>
        </w:tc>
        <w:tc>
          <w:tcPr>
            <w:tcW w:w="2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140" w:type="dxa"/>
            <w:vAlign w:val="bottom"/>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Activision</w:t>
            </w:r>
          </w:p>
        </w:tc>
        <w:tc>
          <w:tcPr>
            <w:tcW w:w="11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45</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51</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55</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49</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47</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Blizzard</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King</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270</w:t>
            </w:r>
          </w:p>
        </w:tc>
        <w:tc>
          <w:tcPr>
            <w:tcW w:w="22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285</w:t>
            </w:r>
          </w:p>
        </w:tc>
        <w:tc>
          <w:tcPr>
            <w:tcW w:w="22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290</w:t>
            </w:r>
          </w:p>
        </w:tc>
        <w:tc>
          <w:tcPr>
            <w:tcW w:w="22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293</w:t>
            </w:r>
          </w:p>
        </w:tc>
        <w:tc>
          <w:tcPr>
            <w:tcW w:w="2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314</w:t>
            </w:r>
          </w:p>
        </w:tc>
        <w:tc>
          <w:tcPr>
            <w:tcW w:w="2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352</w:t>
            </w:r>
          </w:p>
        </w:tc>
        <w:tc>
          <w:tcPr>
            <w:tcW w:w="220" w:type="dxa"/>
            <w:vAlign w:val="bottom"/>
          </w:tcPr>
          <w:p>
            <w:pPr>
              <w:spacing w:after="0"/>
              <w:rPr>
                <w:sz w:val="18"/>
                <w:szCs w:val="18"/>
                <w:color w:val="auto"/>
              </w:rPr>
            </w:pP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374</w:t>
            </w:r>
          </w:p>
        </w:tc>
        <w:tc>
          <w:tcPr>
            <w:tcW w:w="220" w:type="dxa"/>
            <w:vAlign w:val="bottom"/>
          </w:tcPr>
          <w:p>
            <w:pPr>
              <w:spacing w:after="0"/>
              <w:rPr>
                <w:sz w:val="18"/>
                <w:szCs w:val="18"/>
                <w:color w:val="auto"/>
              </w:rPr>
            </w:pP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385</w:t>
            </w:r>
          </w:p>
        </w:tc>
        <w:tc>
          <w:tcPr>
            <w:tcW w:w="220" w:type="dxa"/>
            <w:vAlign w:val="bottom"/>
          </w:tcPr>
          <w:p>
            <w:pPr>
              <w:spacing w:after="0"/>
              <w:rPr>
                <w:sz w:val="18"/>
                <w:szCs w:val="18"/>
                <w:color w:val="auto"/>
              </w:rPr>
            </w:pP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384</w:t>
            </w:r>
          </w:p>
        </w:tc>
        <w:tc>
          <w:tcPr>
            <w:tcW w:w="200" w:type="dxa"/>
            <w:vAlign w:val="bottom"/>
          </w:tcPr>
          <w:p>
            <w:pPr>
              <w:spacing w:after="0"/>
              <w:rPr>
                <w:sz w:val="18"/>
                <w:szCs w:val="18"/>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407</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28" w:name="page29"/>
    <w:bookmarkEnd w:id="28"/>
    <w:p>
      <w:pPr>
        <w:ind w:firstLine="405"/>
        <w:spacing w:after="0" w:line="264" w:lineRule="auto"/>
        <w:rPr>
          <w:sz w:val="20"/>
          <w:szCs w:val="20"/>
          <w:color w:val="auto"/>
        </w:rPr>
      </w:pPr>
      <w:r>
        <w:rPr>
          <w:rFonts w:ascii="Arial" w:cs="Arial" w:eastAsia="Arial" w:hAnsi="Arial"/>
          <w:sz w:val="18"/>
          <w:szCs w:val="18"/>
          <w:color w:val="auto"/>
        </w:rPr>
        <w:t>Average MAUs decreased by 22 million, or 6%, for the three months ended June 30, 2018, as compared to the three months ended March 31, 2018. The sequential decrease in King’s average MAUs is due to decreases across franchises and less engaged users leaving the network. The sequential decrease in Activision’s average MAUs is due primarily to lower MAUs for the Call of Duty franchise.</w:t>
      </w:r>
    </w:p>
    <w:p>
      <w:pPr>
        <w:spacing w:after="0" w:line="181" w:lineRule="exact"/>
        <w:rPr>
          <w:sz w:val="20"/>
          <w:szCs w:val="20"/>
          <w:color w:val="auto"/>
        </w:rPr>
      </w:pPr>
    </w:p>
    <w:p>
      <w:pPr>
        <w:jc w:val="both"/>
        <w:ind w:right="40" w:firstLine="401"/>
        <w:spacing w:after="0" w:line="264" w:lineRule="auto"/>
        <w:rPr>
          <w:sz w:val="20"/>
          <w:szCs w:val="20"/>
          <w:color w:val="auto"/>
        </w:rPr>
      </w:pPr>
      <w:r>
        <w:rPr>
          <w:rFonts w:ascii="Arial" w:cs="Arial" w:eastAsia="Arial" w:hAnsi="Arial"/>
          <w:sz w:val="18"/>
          <w:szCs w:val="18"/>
          <w:color w:val="auto"/>
        </w:rPr>
        <w:t xml:space="preserve">Average MAUs decreased by 55 million, or 14%, for the three months ended June 30, 2018, as compared to the three months ended June 30, 2017. The year-over-year decrease in King’s average MAUs is due to decreases across King’s franchises due to less engaged users leaving the network. The year-over-year decrease in Blizzard’s average MAUs is due to lower MAUs for </w:t>
      </w:r>
      <w:r>
        <w:rPr>
          <w:rFonts w:ascii="Arial" w:cs="Arial" w:eastAsia="Arial" w:hAnsi="Arial"/>
          <w:sz w:val="18"/>
          <w:szCs w:val="18"/>
          <w:i w:val="1"/>
          <w:iCs w:val="1"/>
          <w:color w:val="auto"/>
        </w:rPr>
        <w:t>Heroes of the Storm</w:t>
      </w:r>
      <w:r>
        <w:rPr>
          <w:rFonts w:ascii="Arial" w:cs="Arial" w:eastAsia="Arial" w:hAnsi="Arial"/>
          <w:sz w:val="18"/>
          <w:szCs w:val="18"/>
          <w:color w:val="auto"/>
        </w:rPr>
        <w:t xml:space="preserve"> and </w:t>
      </w:r>
      <w:r>
        <w:rPr>
          <w:rFonts w:ascii="Arial" w:cs="Arial" w:eastAsia="Arial" w:hAnsi="Arial"/>
          <w:sz w:val="18"/>
          <w:szCs w:val="18"/>
          <w:i w:val="1"/>
          <w:iCs w:val="1"/>
          <w:color w:val="auto"/>
        </w:rPr>
        <w:t>Overwatch</w:t>
      </w:r>
      <w:r>
        <w:rPr>
          <w:rFonts w:ascii="Arial" w:cs="Arial" w:eastAsia="Arial" w:hAnsi="Arial"/>
          <w:sz w:val="18"/>
          <w:szCs w:val="18"/>
          <w:color w:val="auto"/>
        </w:rPr>
        <w:t>.</w:t>
      </w:r>
    </w:p>
    <w:p>
      <w:pPr>
        <w:spacing w:after="0" w:line="181" w:lineRule="exact"/>
        <w:rPr>
          <w:sz w:val="20"/>
          <w:szCs w:val="20"/>
          <w:color w:val="auto"/>
        </w:rPr>
      </w:pPr>
    </w:p>
    <w:p>
      <w:pPr>
        <w:ind w:right="220" w:firstLine="401"/>
        <w:spacing w:after="0" w:line="308" w:lineRule="auto"/>
        <w:rPr>
          <w:sz w:val="20"/>
          <w:szCs w:val="20"/>
          <w:color w:val="auto"/>
        </w:rPr>
      </w:pPr>
      <w:r>
        <w:rPr>
          <w:rFonts w:ascii="Arial" w:cs="Arial" w:eastAsia="Arial" w:hAnsi="Arial"/>
          <w:sz w:val="17"/>
          <w:szCs w:val="17"/>
          <w:color w:val="auto"/>
        </w:rPr>
        <w:t>MAUs at King for the three months ended June 30, 2018, were also negatively impacted as a result of technical system changes made by some third-party partners in response to data initiatives, which inadvertently impacted some users’ ability to play and spend money in King games.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Overview of Business Trends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Interactive Entertainment and Mobile Gaming Growth</w:t>
      </w:r>
    </w:p>
    <w:p>
      <w:pPr>
        <w:spacing w:after="0" w:line="225" w:lineRule="exact"/>
        <w:rPr>
          <w:sz w:val="20"/>
          <w:szCs w:val="20"/>
          <w:color w:val="auto"/>
        </w:rPr>
      </w:pPr>
    </w:p>
    <w:p>
      <w:pPr>
        <w:ind w:right="180" w:firstLine="405"/>
        <w:spacing w:after="0" w:line="312" w:lineRule="auto"/>
        <w:rPr>
          <w:sz w:val="20"/>
          <w:szCs w:val="20"/>
          <w:color w:val="auto"/>
        </w:rPr>
      </w:pPr>
      <w:r>
        <w:rPr>
          <w:rFonts w:ascii="Arial" w:cs="Arial" w:eastAsia="Arial" w:hAnsi="Arial"/>
          <w:sz w:val="16"/>
          <w:szCs w:val="16"/>
          <w:color w:val="auto"/>
        </w:rPr>
        <w:t>Our business participates in the global interactive entertainment industry. Games have become an increasingly popular form of entertainment, and we estimate the total industry grew, on average, 18% from 2014 to 2017. The industry continues to benefit from additional players entering the market as interactive entertainment becomes more commonplace across age groups and as more developing regions gain access to this form of entertainment.</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Further, the wide adoption of smart phones globally and the free-to-play business model on those platforms has increased the total addressable market for gaming significantly by introducing gaming to new age groups and new regions and allowing gaming to occur more widely outside the home. Mobile gaming is estimated to be larger than both console and PC gaming and continues to grow at a significant rate. King is a leading developer of mobile and free-to-play games and our other business units have mobile efforts underway that present the opportunity for us to expand the reach of, and drive additional player investment from, our franchises.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Opportunities to Expand Franchises Outside of Games</w:t>
      </w:r>
    </w:p>
    <w:p>
      <w:pPr>
        <w:spacing w:after="0" w:line="225"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Our fans spend significant time investing in our franchises through purchases of our game content, whether through purchases of full games or downloadable content or via microtransactions. Given the passion our players have for our franchises, we believe there are emerging opportunities to drive additional engagement and investment in our franchises outside of games. These opportunities include esports, film and television, and consumer products. Our efforts to build these adjacent opportunities are still relatively nascent, but we view them as potentially significant sources of future revenues.</w:t>
      </w:r>
    </w:p>
    <w:p>
      <w:pPr>
        <w:spacing w:after="0" w:line="154" w:lineRule="exact"/>
        <w:rPr>
          <w:sz w:val="20"/>
          <w:szCs w:val="20"/>
          <w:color w:val="auto"/>
        </w:rPr>
      </w:pPr>
    </w:p>
    <w:p>
      <w:pPr>
        <w:ind w:firstLine="405"/>
        <w:spacing w:after="0" w:line="238" w:lineRule="auto"/>
        <w:rPr>
          <w:sz w:val="20"/>
          <w:szCs w:val="20"/>
          <w:color w:val="auto"/>
        </w:rPr>
      </w:pPr>
      <w:r>
        <w:rPr>
          <w:rFonts w:ascii="Arial" w:cs="Arial" w:eastAsia="Arial" w:hAnsi="Arial"/>
          <w:sz w:val="17"/>
          <w:szCs w:val="17"/>
          <w:color w:val="auto"/>
        </w:rPr>
        <w:t>As part of our efforts to take advantage of the esports opportunity, during 2017 we completed the sale of 12 teams for the Overwatch League</w:t>
      </w:r>
      <w:r>
        <w:rPr>
          <w:rFonts w:ascii="Arial" w:cs="Arial" w:eastAsia="Arial" w:hAnsi="Arial"/>
          <w:sz w:val="22"/>
          <w:szCs w:val="22"/>
          <w:color w:val="auto"/>
          <w:vertAlign w:val="superscript"/>
        </w:rPr>
        <w:t>TM</w:t>
      </w:r>
      <w:r>
        <w:rPr>
          <w:rFonts w:ascii="Arial" w:cs="Arial" w:eastAsia="Arial" w:hAnsi="Arial"/>
          <w:sz w:val="17"/>
          <w:szCs w:val="17"/>
          <w:color w:val="auto"/>
        </w:rPr>
        <w:t>, the first major global professional esports league with city-based teams, and we are nearing completion of the league’s inaugural season.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Sales Among the Most Popular Franchises</w:t>
      </w:r>
    </w:p>
    <w:p>
      <w:pPr>
        <w:spacing w:after="0" w:line="225"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The concentration of retail revenues among key titles has continued as a trend in the overall interactive entertainment industry. According to The NPD Group, the top 10 titles accounted for 36% of the retail sales in the U.S. interactive entertainment industry in 2017. Similarly, a significant portion of our revenues has historically been derived from video games based on a few popular franchises and these video games were responsible for a disproportionately high percentage of our profits. For example, the Call of Duty, Candy Crush, World of Warcraft, and Overwatch franchises, collectively, accounted for 66% of our consolidated net revenues—and a significantly higher percentage of our operating income—for 2017.</w:t>
      </w:r>
    </w:p>
    <w:p>
      <w:pPr>
        <w:spacing w:after="0" w:line="173"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The top titles in the industry are also becoming more consistent as players and revenues concentrate more heavily in established franchises. The top 10 console franchises in 2017 were all established franchises. Similarly, according to U.S. rankings for the Apple App Store and Google Play store per App Annie Intelligence, as of December 2017, the top 10 mobile games have an average tenure of 22 months.</w:t>
      </w:r>
    </w:p>
    <w:p>
      <w:pPr>
        <w:spacing w:after="0" w:line="166" w:lineRule="exact"/>
        <w:rPr>
          <w:sz w:val="20"/>
          <w:szCs w:val="20"/>
          <w:color w:val="auto"/>
        </w:rPr>
      </w:pPr>
    </w:p>
    <w:p>
      <w:pPr>
        <w:ind w:right="300" w:firstLine="405"/>
        <w:spacing w:after="0" w:line="279" w:lineRule="auto"/>
        <w:rPr>
          <w:sz w:val="20"/>
          <w:szCs w:val="20"/>
          <w:color w:val="auto"/>
        </w:rPr>
      </w:pPr>
      <w:r>
        <w:rPr>
          <w:rFonts w:ascii="Arial" w:cs="Arial" w:eastAsia="Arial" w:hAnsi="Arial"/>
          <w:sz w:val="17"/>
          <w:szCs w:val="17"/>
          <w:color w:val="auto"/>
        </w:rPr>
        <w:t xml:space="preserve">In addition to investing in, and developing sequels and content for, our top franchises, we are continually exploring additional ways to expand those franchises. Further, while there is no guarantee of success, we invest in new properties in an effort to develop future top franchises. In 2014, we released </w:t>
      </w:r>
      <w:r>
        <w:rPr>
          <w:rFonts w:ascii="Arial" w:cs="Arial" w:eastAsia="Arial" w:hAnsi="Arial"/>
          <w:sz w:val="17"/>
          <w:szCs w:val="17"/>
          <w:i w:val="1"/>
          <w:iCs w:val="1"/>
          <w:color w:val="auto"/>
        </w:rPr>
        <w:t xml:space="preserve">Hearthstone </w:t>
      </w:r>
      <w:r>
        <w:rPr>
          <w:rFonts w:ascii="Arial" w:cs="Arial" w:eastAsia="Arial" w:hAnsi="Arial"/>
          <w:sz w:val="17"/>
          <w:szCs w:val="17"/>
          <w:color w:val="auto"/>
        </w:rPr>
        <w:t>and</w:t>
      </w:r>
      <w:r>
        <w:rPr>
          <w:rFonts w:ascii="Arial" w:cs="Arial" w:eastAsia="Arial" w:hAnsi="Arial"/>
          <w:sz w:val="17"/>
          <w:szCs w:val="17"/>
          <w:i w:val="1"/>
          <w:iCs w:val="1"/>
          <w:color w:val="auto"/>
        </w:rPr>
        <w:t xml:space="preserve"> Destiny</w:t>
      </w:r>
      <w:r>
        <w:rPr>
          <w:rFonts w:ascii="Arial" w:cs="Arial" w:eastAsia="Arial" w:hAnsi="Arial"/>
          <w:sz w:val="17"/>
          <w:szCs w:val="17"/>
          <w:color w:val="auto"/>
        </w:rPr>
        <w:t>, in 2015, we released</w:t>
      </w:r>
      <w:r>
        <w:rPr>
          <w:rFonts w:ascii="Arial" w:cs="Arial" w:eastAsia="Arial" w:hAnsi="Arial"/>
          <w:sz w:val="17"/>
          <w:szCs w:val="17"/>
          <w:i w:val="1"/>
          <w:iCs w:val="1"/>
          <w:color w:val="auto"/>
        </w:rPr>
        <w:t xml:space="preserve"> Heroes of the Storm</w:t>
      </w:r>
      <w:r>
        <w:rPr>
          <w:rFonts w:ascii="Arial" w:cs="Arial" w:eastAsia="Arial" w:hAnsi="Arial"/>
          <w:sz w:val="17"/>
          <w:szCs w:val="17"/>
          <w:color w:val="auto"/>
        </w:rPr>
        <w:t>, and in 2016, we released</w:t>
      </w:r>
      <w:r>
        <w:rPr>
          <w:rFonts w:ascii="Arial" w:cs="Arial" w:eastAsia="Arial" w:hAnsi="Arial"/>
          <w:sz w:val="17"/>
          <w:szCs w:val="17"/>
          <w:i w:val="1"/>
          <w:iCs w:val="1"/>
          <w:color w:val="auto"/>
        </w:rPr>
        <w:t xml:space="preserve"> Overwatch</w:t>
      </w:r>
      <w:r>
        <w:rPr>
          <w:rFonts w:ascii="Arial" w:cs="Arial" w:eastAsia="Arial" w:hAnsi="Arial"/>
          <w:sz w:val="17"/>
          <w:szCs w:val="17"/>
          <w:color w:val="auto"/>
        </w:rPr>
        <w:t>. Additionally, to diversify our portfolio of key</w:t>
      </w:r>
      <w:r>
        <w:rPr>
          <w:rFonts w:ascii="Arial" w:cs="Arial" w:eastAsia="Arial" w:hAnsi="Arial"/>
          <w:sz w:val="17"/>
          <w:szCs w:val="17"/>
          <w:i w:val="1"/>
          <w:iCs w:val="1"/>
          <w:color w:val="auto"/>
        </w:rPr>
        <w:t xml:space="preserve"> </w:t>
      </w:r>
      <w:r>
        <w:rPr>
          <w:rFonts w:ascii="Arial" w:cs="Arial" w:eastAsia="Arial" w:hAnsi="Arial"/>
          <w:sz w:val="17"/>
          <w:szCs w:val="17"/>
          <w:color w:val="auto"/>
        </w:rPr>
        <w:t>franchises and increase our presence in the mobile market, in 2016 we acquired King.</w:t>
      </w:r>
    </w:p>
    <w:p>
      <w:pPr>
        <w:spacing w:after="0" w:line="171"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Overall, we do expect that a limited number of popular franchises will continue to produce a disproportionately high percentage of our, and the industry’s, revenues and profits in the near future. Accordingly, our ability to maintain our top franchises and our ability to successfully compete against our competitors’ top franchises can significantly impact our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Revenue Business Models</w:t>
      </w:r>
    </w:p>
    <w:p>
      <w:pPr>
        <w:spacing w:after="0" w:line="225" w:lineRule="exact"/>
        <w:rPr>
          <w:sz w:val="20"/>
          <w:szCs w:val="20"/>
          <w:color w:val="auto"/>
        </w:rPr>
      </w:pPr>
    </w:p>
    <w:p>
      <w:pPr>
        <w:ind w:right="180" w:firstLine="405"/>
        <w:spacing w:after="0" w:line="279" w:lineRule="auto"/>
        <w:rPr>
          <w:sz w:val="20"/>
          <w:szCs w:val="20"/>
          <w:color w:val="auto"/>
        </w:rPr>
      </w:pPr>
      <w:r>
        <w:rPr>
          <w:rFonts w:ascii="Arial" w:cs="Arial" w:eastAsia="Arial" w:hAnsi="Arial"/>
          <w:sz w:val="17"/>
          <w:szCs w:val="17"/>
          <w:color w:val="auto"/>
        </w:rPr>
        <w:t>Increased consumer online connectivity has allowed us to offer players new investment opportunities and to shift our business further towards a more consistently recurring and year-round model. Offering downloadable content and microtransactions, in addition to full games, allows our players to access and invest in new content throughout the year. This incremental content not only provides additional high-margin revenues, it can also increase player engagement. Also, mobile games, and free-to-play games more broadly, are generally less seasonal.</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Data</w:t>
      </w:r>
    </w:p>
    <w:p>
      <w:pPr>
        <w:sectPr>
          <w:pgSz w:w="11900" w:h="16838" w:orient="portrait"/>
          <w:cols w:equalWidth="0" w:num="1">
            <w:col w:w="11360"/>
          </w:cols>
          <w:pgMar w:left="240" w:top="125" w:right="299" w:bottom="36" w:gutter="0" w:footer="0" w:header="0"/>
        </w:sectPr>
      </w:pPr>
    </w:p>
    <w:bookmarkStart w:id="29" w:name="page30"/>
    <w:bookmarkEnd w:id="29"/>
    <w:p>
      <w:pPr>
        <w:spacing w:after="0" w:line="50" w:lineRule="exact"/>
        <w:rPr>
          <w:sz w:val="20"/>
          <w:szCs w:val="20"/>
          <w:color w:val="auto"/>
        </w:rPr>
      </w:pPr>
    </w:p>
    <w:p>
      <w:pPr>
        <w:ind w:right="240" w:firstLine="405"/>
        <w:spacing w:after="0" w:line="308" w:lineRule="auto"/>
        <w:rPr>
          <w:sz w:val="20"/>
          <w:szCs w:val="20"/>
          <w:color w:val="auto"/>
        </w:rPr>
      </w:pPr>
      <w:r>
        <w:rPr>
          <w:rFonts w:ascii="Arial" w:cs="Arial" w:eastAsia="Arial" w:hAnsi="Arial"/>
          <w:sz w:val="17"/>
          <w:szCs w:val="17"/>
          <w:color w:val="auto"/>
        </w:rPr>
        <w:t>The following table sets forth condensed consolidated statements of operations data for the periods indicated in dollars (amounts in millions) and as a percentage of total net revenues, except for cost of revenues, which are presented as a percentage of associated revenues: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9"/>
          </w:tcPr>
          <w:p>
            <w:pPr>
              <w:ind w:left="380"/>
              <w:spacing w:after="0"/>
              <w:rPr>
                <w:sz w:val="20"/>
                <w:szCs w:val="20"/>
                <w:color w:val="auto"/>
              </w:rPr>
            </w:pPr>
            <w:r>
              <w:rPr>
                <w:rFonts w:ascii="Arial" w:cs="Arial" w:eastAsia="Arial" w:hAnsi="Arial"/>
                <w:sz w:val="14"/>
                <w:szCs w:val="14"/>
                <w:b w:val="1"/>
                <w:bCs w:val="1"/>
                <w:color w:val="auto"/>
                <w:w w:val="96"/>
              </w:rPr>
              <w:t>For the Three Months Ended June 30,</w:t>
            </w: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rPr>
              <w:t>For the Six Months Ended June 30,</w:t>
            </w: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ind w:right="590"/>
              <w:spacing w:after="0" w:line="142"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revenues</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Product sales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464</w:t>
            </w:r>
          </w:p>
        </w:tc>
        <w:tc>
          <w:tcPr>
            <w:tcW w:w="1220" w:type="dxa"/>
            <w:vAlign w:val="bottom"/>
            <w:gridSpan w:val="4"/>
          </w:tcPr>
          <w:p>
            <w:pPr>
              <w:jc w:val="right"/>
              <w:ind w:right="220"/>
              <w:spacing w:after="0"/>
              <w:rPr>
                <w:sz w:val="20"/>
                <w:szCs w:val="20"/>
                <w:color w:val="auto"/>
              </w:rPr>
            </w:pPr>
            <w:r>
              <w:rPr>
                <w:rFonts w:ascii="Arial" w:cs="Arial" w:eastAsia="Arial" w:hAnsi="Arial"/>
                <w:sz w:val="18"/>
                <w:szCs w:val="18"/>
                <w:color w:val="auto"/>
              </w:rPr>
              <w:t>28%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481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1,184</w:t>
            </w:r>
          </w:p>
        </w:tc>
        <w:tc>
          <w:tcPr>
            <w:tcW w:w="22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33%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989</w:t>
            </w:r>
          </w:p>
        </w:tc>
        <w:tc>
          <w:tcPr>
            <w:tcW w:w="220" w:type="dxa"/>
            <w:vAlign w:val="bottom"/>
          </w:tcPr>
          <w:p>
            <w:pPr>
              <w:spacing w:after="0"/>
              <w:rPr>
                <w:sz w:val="18"/>
                <w:szCs w:val="18"/>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w w:val="88"/>
              </w:rPr>
              <w:t>29%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Subscription, licensing, and other revenues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1,177</w:t>
            </w:r>
          </w:p>
        </w:tc>
        <w:tc>
          <w:tcPr>
            <w:tcW w:w="10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3"/>
              </w:rPr>
              <w:t>1,150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2,423</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3"/>
              </w:rPr>
              <w:t>2,367</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Total net revenues</w:t>
            </w:r>
          </w:p>
        </w:tc>
        <w:tc>
          <w:tcPr>
            <w:tcW w:w="2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1,641</w:t>
            </w:r>
          </w:p>
        </w:tc>
        <w:tc>
          <w:tcPr>
            <w:tcW w:w="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3"/>
              </w:rPr>
              <w:t>1,631</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3,607</w:t>
            </w:r>
          </w:p>
        </w:tc>
        <w:tc>
          <w:tcPr>
            <w:tcW w:w="220" w:type="dxa"/>
            <w:vAlign w:val="bottom"/>
          </w:tcPr>
          <w:p>
            <w:pPr>
              <w:spacing w:after="0"/>
              <w:rPr>
                <w:sz w:val="18"/>
                <w:szCs w:val="18"/>
                <w:color w:val="auto"/>
              </w:rPr>
            </w:pPr>
          </w:p>
        </w:tc>
        <w:tc>
          <w:tcPr>
            <w:tcW w:w="5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3"/>
              </w:rPr>
              <w:t>3,356</w:t>
            </w:r>
          </w:p>
        </w:tc>
        <w:tc>
          <w:tcPr>
            <w:tcW w:w="220" w:type="dxa"/>
            <w:vAlign w:val="bottom"/>
          </w:tcPr>
          <w:p>
            <w:pPr>
              <w:spacing w:after="0"/>
              <w:rPr>
                <w:sz w:val="18"/>
                <w:szCs w:val="18"/>
                <w:color w:val="auto"/>
              </w:rPr>
            </w:pPr>
          </w:p>
        </w:tc>
        <w:tc>
          <w:tcPr>
            <w:tcW w:w="5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revenues—product sales: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Product costs</w:t>
            </w: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126</w:t>
            </w:r>
          </w:p>
        </w:tc>
        <w:tc>
          <w:tcPr>
            <w:tcW w:w="1000" w:type="dxa"/>
            <w:vAlign w:val="bottom"/>
            <w:gridSpan w:val="3"/>
          </w:tcPr>
          <w:p>
            <w:pPr>
              <w:jc w:val="right"/>
              <w:ind w:right="5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289</w:t>
            </w:r>
          </w:p>
        </w:tc>
        <w:tc>
          <w:tcPr>
            <w:tcW w:w="22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273</w:t>
            </w:r>
          </w:p>
        </w:tc>
        <w:tc>
          <w:tcPr>
            <w:tcW w:w="22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Software royalties, amortization, and</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intellectual property licenses</w:t>
            </w: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163</w:t>
            </w: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tcPr>
          <w:p>
            <w:pPr>
              <w:ind w:left="160"/>
              <w:spacing w:after="0" w:line="201" w:lineRule="exact"/>
              <w:rPr>
                <w:sz w:val="20"/>
                <w:szCs w:val="20"/>
                <w:color w:val="auto"/>
              </w:rPr>
            </w:pPr>
            <w:r>
              <w:rPr>
                <w:rFonts w:ascii="Arial" w:cs="Arial" w:eastAsia="Arial" w:hAnsi="Arial"/>
                <w:sz w:val="18"/>
                <w:szCs w:val="18"/>
                <w:color w:val="auto"/>
              </w:rPr>
              <w:t>Cost of revenues—subscription, licensing, and</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other revenues: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Game operations and distribution costs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521</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468</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tcPr>
          <w:p>
            <w:pPr>
              <w:ind w:left="360"/>
              <w:spacing w:after="0" w:line="201" w:lineRule="exact"/>
              <w:rPr>
                <w:sz w:val="20"/>
                <w:szCs w:val="20"/>
                <w:color w:val="auto"/>
              </w:rPr>
            </w:pPr>
            <w:r>
              <w:rPr>
                <w:rFonts w:ascii="Arial" w:cs="Arial" w:eastAsia="Arial" w:hAnsi="Arial"/>
                <w:sz w:val="18"/>
                <w:szCs w:val="18"/>
                <w:color w:val="auto"/>
              </w:rPr>
              <w:t>Software royalties, amortization, and</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tcPr>
          <w:p>
            <w:pPr>
              <w:ind w:left="360"/>
              <w:spacing w:after="0"/>
              <w:rPr>
                <w:sz w:val="20"/>
                <w:szCs w:val="20"/>
                <w:color w:val="auto"/>
              </w:rPr>
            </w:pPr>
            <w:r>
              <w:rPr>
                <w:rFonts w:ascii="Arial" w:cs="Arial" w:eastAsia="Arial" w:hAnsi="Arial"/>
                <w:sz w:val="18"/>
                <w:szCs w:val="18"/>
                <w:color w:val="auto"/>
              </w:rPr>
              <w:t>intellectual property licenses</w:t>
            </w:r>
          </w:p>
        </w:tc>
        <w:tc>
          <w:tcPr>
            <w:tcW w:w="2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85</w:t>
            </w:r>
          </w:p>
        </w:tc>
        <w:tc>
          <w:tcPr>
            <w:tcW w:w="1000" w:type="dxa"/>
            <w:vAlign w:val="bottom"/>
            <w:gridSpan w:val="3"/>
          </w:tcPr>
          <w:p>
            <w:pPr>
              <w:jc w:val="right"/>
              <w:ind w:right="5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242</w:t>
            </w:r>
          </w:p>
        </w:tc>
        <w:tc>
          <w:tcPr>
            <w:tcW w:w="220" w:type="dxa"/>
            <w:vAlign w:val="bottom"/>
          </w:tcPr>
          <w:p>
            <w:pPr>
              <w:spacing w:after="0"/>
              <w:rPr>
                <w:sz w:val="20"/>
                <w:szCs w:val="20"/>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development</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513</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478</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226</w:t>
            </w:r>
          </w:p>
        </w:tc>
        <w:tc>
          <w:tcPr>
            <w:tcW w:w="1000" w:type="dxa"/>
            <w:vAlign w:val="bottom"/>
            <w:gridSpan w:val="3"/>
          </w:tcPr>
          <w:p>
            <w:pPr>
              <w:jc w:val="right"/>
              <w:ind w:right="5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308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477</w:t>
            </w:r>
          </w:p>
        </w:tc>
        <w:tc>
          <w:tcPr>
            <w:tcW w:w="22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554</w:t>
            </w:r>
          </w:p>
        </w:tc>
        <w:tc>
          <w:tcPr>
            <w:tcW w:w="22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415</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347</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1,207</w:t>
            </w:r>
          </w:p>
        </w:tc>
        <w:tc>
          <w:tcPr>
            <w:tcW w:w="80" w:type="dxa"/>
            <w:vAlign w:val="bottom"/>
            <w:tcBorders>
              <w:top w:val="single" w:sz="8" w:color="auto"/>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74</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3"/>
              </w:rPr>
              <w:t>1,292</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79</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2,578</w:t>
            </w:r>
          </w:p>
        </w:tc>
        <w:tc>
          <w:tcPr>
            <w:tcW w:w="22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71</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3"/>
              </w:rPr>
              <w:t>2,525</w:t>
            </w:r>
          </w:p>
        </w:tc>
        <w:tc>
          <w:tcPr>
            <w:tcW w:w="22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75</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434</w:t>
            </w:r>
          </w:p>
        </w:tc>
        <w:tc>
          <w:tcPr>
            <w:tcW w:w="1000" w:type="dxa"/>
            <w:vAlign w:val="bottom"/>
            <w:gridSpan w:val="3"/>
          </w:tcPr>
          <w:p>
            <w:pPr>
              <w:jc w:val="right"/>
              <w:ind w:right="5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339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1,029</w:t>
            </w:r>
          </w:p>
        </w:tc>
        <w:tc>
          <w:tcPr>
            <w:tcW w:w="22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831</w:t>
            </w:r>
          </w:p>
        </w:tc>
        <w:tc>
          <w:tcPr>
            <w:tcW w:w="22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2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293</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975</w:t>
            </w:r>
          </w:p>
        </w:tc>
        <w:tc>
          <w:tcPr>
            <w:tcW w:w="220" w:type="dxa"/>
            <w:vAlign w:val="bottom"/>
          </w:tcPr>
          <w:p>
            <w:pPr>
              <w:spacing w:after="0"/>
              <w:rPr>
                <w:sz w:val="18"/>
                <w:szCs w:val="18"/>
                <w:color w:val="auto"/>
              </w:rPr>
            </w:pPr>
          </w:p>
        </w:tc>
        <w:tc>
          <w:tcPr>
            <w:tcW w:w="5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746</w:t>
            </w:r>
          </w:p>
        </w:tc>
        <w:tc>
          <w:tcPr>
            <w:tcW w:w="220" w:type="dxa"/>
            <w:vAlign w:val="bottom"/>
          </w:tcPr>
          <w:p>
            <w:pPr>
              <w:spacing w:after="0"/>
              <w:rPr>
                <w:sz w:val="18"/>
                <w:szCs w:val="18"/>
                <w:color w:val="auto"/>
              </w:rPr>
            </w:pPr>
          </w:p>
        </w:tc>
        <w:tc>
          <w:tcPr>
            <w:tcW w:w="5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8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243</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902</w:t>
            </w:r>
          </w:p>
        </w:tc>
        <w:tc>
          <w:tcPr>
            <w:tcW w:w="220" w:type="dxa"/>
            <w:vAlign w:val="bottom"/>
          </w:tcPr>
          <w:p>
            <w:pPr>
              <w:spacing w:after="0"/>
              <w:rPr>
                <w:sz w:val="18"/>
                <w:szCs w:val="18"/>
                <w:color w:val="auto"/>
              </w:rPr>
            </w:pPr>
          </w:p>
        </w:tc>
        <w:tc>
          <w:tcPr>
            <w:tcW w:w="5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83"/>
              </w:rPr>
              <w:t>25%</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669</w:t>
            </w:r>
          </w:p>
        </w:tc>
        <w:tc>
          <w:tcPr>
            <w:tcW w:w="220" w:type="dxa"/>
            <w:vAlign w:val="bottom"/>
          </w:tcPr>
          <w:p>
            <w:pPr>
              <w:spacing w:after="0"/>
              <w:rPr>
                <w:sz w:val="18"/>
                <w:szCs w:val="18"/>
                <w:color w:val="auto"/>
              </w:rPr>
            </w:pPr>
          </w:p>
        </w:tc>
        <w:tc>
          <w:tcPr>
            <w:tcW w:w="5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83"/>
              </w:rPr>
              <w:t>20%</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Net Revenues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our consolidated net revenues and the increase (decrease) in deferred net revenues recognized (amounts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96"/>
              </w:rPr>
              <w:t>For the Three Months Ended June 30,</w:t>
            </w: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w w:val="97"/>
              </w:rPr>
              <w:t>For the Six Months Ended June 30,</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80" w:type="dxa"/>
            <w:vAlign w:val="bottom"/>
          </w:tcPr>
          <w:p>
            <w:pPr>
              <w:spacing w:after="0"/>
              <w:rPr>
                <w:sz w:val="10"/>
                <w:szCs w:val="10"/>
                <w:color w:val="auto"/>
              </w:rPr>
            </w:pPr>
          </w:p>
        </w:tc>
        <w:tc>
          <w:tcPr>
            <w:tcW w:w="84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1100" w:type="dxa"/>
            <w:vAlign w:val="bottom"/>
            <w:gridSpan w:val="2"/>
            <w:vMerge w:val="restart"/>
          </w:tcPr>
          <w:p>
            <w:pPr>
              <w:jc w:val="right"/>
              <w:ind w:right="210"/>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0"/>
                <w:szCs w:val="10"/>
                <w:color w:val="auto"/>
              </w:rPr>
            </w:pPr>
          </w:p>
        </w:tc>
        <w:tc>
          <w:tcPr>
            <w:tcW w:w="1120" w:type="dxa"/>
            <w:vAlign w:val="bottom"/>
            <w:gridSpan w:val="4"/>
          </w:tcPr>
          <w:p>
            <w:pPr>
              <w:ind w:left="140"/>
              <w:spacing w:after="0" w:line="119" w:lineRule="exact"/>
              <w:rPr>
                <w:sz w:val="20"/>
                <w:szCs w:val="20"/>
                <w:color w:val="auto"/>
              </w:rPr>
            </w:pPr>
            <w:r>
              <w:rPr>
                <w:rFonts w:ascii="Arial" w:cs="Arial" w:eastAsia="Arial" w:hAnsi="Arial"/>
                <w:sz w:val="13"/>
                <w:szCs w:val="13"/>
                <w:b w:val="1"/>
                <w:bCs w:val="1"/>
                <w:color w:val="auto"/>
              </w:rPr>
              <w:t>Increase</w:t>
            </w: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8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1040" w:type="dxa"/>
            <w:vAlign w:val="bottom"/>
            <w:gridSpan w:val="2"/>
            <w:vMerge w:val="restart"/>
          </w:tcPr>
          <w:p>
            <w:pPr>
              <w:jc w:val="right"/>
              <w:ind w:right="210"/>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0"/>
                <w:szCs w:val="10"/>
                <w:color w:val="auto"/>
              </w:rPr>
            </w:pPr>
          </w:p>
        </w:tc>
        <w:tc>
          <w:tcPr>
            <w:tcW w:w="1060" w:type="dxa"/>
            <w:vAlign w:val="bottom"/>
            <w:gridSpan w:val="3"/>
          </w:tcPr>
          <w:p>
            <w:pPr>
              <w:ind w:left="160"/>
              <w:spacing w:after="0" w:line="119" w:lineRule="exact"/>
              <w:rPr>
                <w:sz w:val="20"/>
                <w:szCs w:val="20"/>
                <w:color w:val="auto"/>
              </w:rPr>
            </w:pPr>
            <w:r>
              <w:rPr>
                <w:rFonts w:ascii="Arial" w:cs="Arial" w:eastAsia="Arial" w:hAnsi="Arial"/>
                <w:sz w:val="13"/>
                <w:szCs w:val="13"/>
                <w:b w:val="1"/>
                <w:bCs w:val="1"/>
                <w:color w:val="auto"/>
              </w:rPr>
              <w:t>Increase</w:t>
            </w: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9"/>
              </w:rPr>
              <w:t>(decrease)</w:t>
            </w:r>
          </w:p>
        </w:tc>
        <w:tc>
          <w:tcPr>
            <w:tcW w:w="106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(decrease)</w:t>
            </w: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net revenues</w:t>
            </w:r>
          </w:p>
        </w:tc>
        <w:tc>
          <w:tcPr>
            <w:tcW w:w="8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  1,641</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   1,631</w:t>
            </w: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  3,607</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  3,356</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80" w:type="dxa"/>
            <w:vAlign w:val="bottom"/>
          </w:tcPr>
          <w:p>
            <w:pPr>
              <w:spacing w:after="0" w:line="201" w:lineRule="exact"/>
              <w:rPr>
                <w:sz w:val="20"/>
                <w:szCs w:val="20"/>
                <w:color w:val="auto"/>
              </w:rPr>
            </w:pPr>
            <w:r>
              <w:rPr>
                <w:rFonts w:ascii="Arial" w:cs="Arial" w:eastAsia="Arial" w:hAnsi="Arial"/>
                <w:sz w:val="18"/>
                <w:szCs w:val="18"/>
                <w:color w:val="auto"/>
              </w:rPr>
              <w:t>Net effect from recognition</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(deferral) of deferred net revenues</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256</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213</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76"/>
              <w:spacing w:after="0"/>
              <w:rPr>
                <w:sz w:val="20"/>
                <w:szCs w:val="20"/>
                <w:color w:val="auto"/>
              </w:rPr>
            </w:pPr>
            <w:r>
              <w:rPr>
                <w:rFonts w:ascii="Arial" w:cs="Arial" w:eastAsia="Arial" w:hAnsi="Arial"/>
                <w:sz w:val="18"/>
                <w:szCs w:val="18"/>
                <w:color w:val="auto"/>
              </w:rPr>
              <w:t>838</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742</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Net Revenues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Q2 2018 vs. Q2 2017</w:t>
      </w:r>
    </w:p>
    <w:p>
      <w:pPr>
        <w:spacing w:after="0" w:line="225" w:lineRule="exact"/>
        <w:rPr>
          <w:sz w:val="20"/>
          <w:szCs w:val="20"/>
          <w:color w:val="auto"/>
        </w:rPr>
      </w:pPr>
    </w:p>
    <w:p>
      <w:pPr>
        <w:jc w:val="both"/>
        <w:ind w:right="220" w:firstLine="405"/>
        <w:spacing w:after="0" w:line="277" w:lineRule="auto"/>
        <w:rPr>
          <w:sz w:val="20"/>
          <w:szCs w:val="20"/>
          <w:color w:val="auto"/>
        </w:rPr>
      </w:pPr>
      <w:r>
        <w:rPr>
          <w:rFonts w:ascii="Arial" w:cs="Arial" w:eastAsia="Arial" w:hAnsi="Arial"/>
          <w:sz w:val="18"/>
          <w:szCs w:val="18"/>
          <w:color w:val="auto"/>
        </w:rPr>
        <w:t>The slight increase in consolidated net revenues for the three months ended June 30, 2018, as compared to the three months ended June 30, 2017, was primarily due to:</w:t>
      </w:r>
    </w:p>
    <w:p>
      <w:pPr>
        <w:spacing w:after="0" w:line="170" w:lineRule="exact"/>
        <w:rPr>
          <w:sz w:val="20"/>
          <w:szCs w:val="20"/>
          <w:color w:val="auto"/>
        </w:rPr>
      </w:pPr>
    </w:p>
    <w:p>
      <w:pPr>
        <w:ind w:left="940" w:hanging="284"/>
        <w:spacing w:after="0"/>
        <w:tabs>
          <w:tab w:leader="none" w:pos="9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higher revenues recognized from Activision of $68 million, primarily due to higher revenues recognized from </w:t>
      </w:r>
      <w:r>
        <w:rPr>
          <w:rFonts w:ascii="Arial" w:cs="Arial" w:eastAsia="Arial" w:hAnsi="Arial"/>
          <w:sz w:val="17"/>
          <w:szCs w:val="17"/>
          <w:i w:val="1"/>
          <w:iCs w:val="1"/>
          <w:color w:val="auto"/>
        </w:rPr>
        <w:t>Call of Duty: WWII</w:t>
      </w:r>
      <w:r>
        <w:rPr>
          <w:rFonts w:ascii="Arial" w:cs="Arial" w:eastAsia="Arial" w:hAnsi="Arial"/>
          <w:sz w:val="17"/>
          <w:szCs w:val="17"/>
          <w:color w:val="auto"/>
        </w:rPr>
        <w:t>, which was</w:t>
      </w:r>
    </w:p>
    <w:p>
      <w:pPr>
        <w:spacing w:after="0" w:line="34" w:lineRule="exact"/>
        <w:rPr>
          <w:rFonts w:ascii="Arial" w:cs="Arial" w:eastAsia="Arial" w:hAnsi="Arial"/>
          <w:sz w:val="17"/>
          <w:szCs w:val="17"/>
          <w:color w:val="auto"/>
        </w:rPr>
      </w:pPr>
    </w:p>
    <w:p>
      <w:pPr>
        <w:jc w:val="both"/>
        <w:ind w:left="980" w:right="100"/>
        <w:spacing w:after="0" w:line="254" w:lineRule="auto"/>
        <w:rPr>
          <w:rFonts w:ascii="Arial" w:cs="Arial" w:eastAsia="Arial" w:hAnsi="Arial"/>
          <w:sz w:val="17"/>
          <w:szCs w:val="17"/>
          <w:color w:val="auto"/>
        </w:rPr>
      </w:pPr>
      <w:r>
        <w:rPr>
          <w:rFonts w:ascii="Arial" w:cs="Arial" w:eastAsia="Arial" w:hAnsi="Arial"/>
          <w:sz w:val="18"/>
          <w:szCs w:val="18"/>
          <w:color w:val="auto"/>
        </w:rPr>
        <w:t xml:space="preserve">released in November 2017, as compared to </w:t>
      </w:r>
      <w:r>
        <w:rPr>
          <w:rFonts w:ascii="Arial" w:cs="Arial" w:eastAsia="Arial" w:hAnsi="Arial"/>
          <w:sz w:val="18"/>
          <w:szCs w:val="18"/>
          <w:i w:val="1"/>
          <w:iCs w:val="1"/>
          <w:color w:val="auto"/>
        </w:rPr>
        <w:t>Call of Duty: Infinite Warfare</w:t>
      </w:r>
      <w:r>
        <w:rPr>
          <w:rFonts w:ascii="Arial" w:cs="Arial" w:eastAsia="Arial" w:hAnsi="Arial"/>
          <w:sz w:val="18"/>
          <w:szCs w:val="18"/>
          <w:color w:val="auto"/>
        </w:rPr>
        <w:t xml:space="preserve">, the comparable 2016 title and higher revenues recognized from the Destiny franchise, driven by </w:t>
      </w:r>
      <w:r>
        <w:rPr>
          <w:rFonts w:ascii="Arial" w:cs="Arial" w:eastAsia="Arial" w:hAnsi="Arial"/>
          <w:sz w:val="18"/>
          <w:szCs w:val="18"/>
          <w:i w:val="1"/>
          <w:iCs w:val="1"/>
          <w:color w:val="auto"/>
        </w:rPr>
        <w:t>Destiny 2</w:t>
      </w:r>
      <w:r>
        <w:rPr>
          <w:rFonts w:ascii="Arial" w:cs="Arial" w:eastAsia="Arial" w:hAnsi="Arial"/>
          <w:sz w:val="18"/>
          <w:szCs w:val="18"/>
          <w:color w:val="auto"/>
        </w:rPr>
        <w:t xml:space="preserve">, which was released in September 2017, and its associated in-game content, with no comparable release in 2016, partially offset by lower revenues recognized from </w:t>
      </w:r>
      <w:r>
        <w:rPr>
          <w:rFonts w:ascii="Arial" w:cs="Arial" w:eastAsia="Arial" w:hAnsi="Arial"/>
          <w:sz w:val="18"/>
          <w:szCs w:val="18"/>
          <w:i w:val="1"/>
          <w:iCs w:val="1"/>
          <w:color w:val="auto"/>
        </w:rPr>
        <w:t>Call of Duty: Infinite Warfare</w:t>
      </w:r>
      <w:r>
        <w:rPr>
          <w:rFonts w:ascii="Arial" w:cs="Arial" w:eastAsia="Arial" w:hAnsi="Arial"/>
          <w:sz w:val="18"/>
          <w:szCs w:val="18"/>
          <w:color w:val="auto"/>
        </w:rPr>
        <w:t xml:space="preserve">, which was released in November 2016, as compared to </w:t>
      </w:r>
      <w:r>
        <w:rPr>
          <w:rFonts w:ascii="Arial" w:cs="Arial" w:eastAsia="Arial" w:hAnsi="Arial"/>
          <w:sz w:val="18"/>
          <w:szCs w:val="18"/>
          <w:i w:val="1"/>
          <w:iCs w:val="1"/>
          <w:color w:val="auto"/>
        </w:rPr>
        <w:t>Call of Duty: Black Ops III</w:t>
      </w:r>
      <w:r>
        <w:rPr>
          <w:rFonts w:ascii="Arial" w:cs="Arial" w:eastAsia="Arial" w:hAnsi="Arial"/>
          <w:sz w:val="18"/>
          <w:szCs w:val="18"/>
          <w:color w:val="auto"/>
        </w:rPr>
        <w:t>, the comparable 2015 title; and</w:t>
      </w:r>
    </w:p>
    <w:p>
      <w:pPr>
        <w:spacing w:after="0" w:line="189" w:lineRule="exact"/>
        <w:rPr>
          <w:rFonts w:ascii="Arial" w:cs="Arial" w:eastAsia="Arial" w:hAnsi="Arial"/>
          <w:sz w:val="17"/>
          <w:szCs w:val="17"/>
          <w:color w:val="auto"/>
        </w:rPr>
      </w:pPr>
    </w:p>
    <w:p>
      <w:pPr>
        <w:ind w:left="980" w:right="80" w:hanging="324"/>
        <w:spacing w:after="0" w:line="277" w:lineRule="auto"/>
        <w:tabs>
          <w:tab w:leader="none" w:pos="944" w:val="left"/>
        </w:tabs>
        <w:numPr>
          <w:ilvl w:val="0"/>
          <w:numId w:val="41"/>
        </w:numPr>
        <w:rPr>
          <w:rFonts w:ascii="Arial" w:cs="Arial" w:eastAsia="Arial" w:hAnsi="Arial"/>
          <w:sz w:val="18"/>
          <w:szCs w:val="18"/>
          <w:color w:val="auto"/>
        </w:rPr>
      </w:pPr>
      <w:r>
        <w:rPr>
          <w:rFonts w:ascii="Arial" w:cs="Arial" w:eastAsia="Arial" w:hAnsi="Arial"/>
          <w:sz w:val="18"/>
          <w:szCs w:val="18"/>
          <w:color w:val="auto"/>
        </w:rPr>
        <w:t>higher revenues from King of $32 million, driven by the Candy Crush franchise’s increased monetization, primarily through in-game events and features.</w:t>
      </w:r>
    </w:p>
    <w:p>
      <w:pPr>
        <w:spacing w:after="0" w:line="170" w:lineRule="exact"/>
        <w:rPr>
          <w:sz w:val="20"/>
          <w:szCs w:val="20"/>
          <w:color w:val="auto"/>
        </w:rPr>
      </w:pPr>
    </w:p>
    <w:p>
      <w:pPr>
        <w:ind w:right="720" w:firstLine="405"/>
        <w:spacing w:after="0" w:line="277" w:lineRule="auto"/>
        <w:rPr>
          <w:sz w:val="20"/>
          <w:szCs w:val="20"/>
          <w:color w:val="auto"/>
        </w:rPr>
      </w:pPr>
      <w:r>
        <w:rPr>
          <w:rFonts w:ascii="Arial" w:cs="Arial" w:eastAsia="Arial" w:hAnsi="Arial"/>
          <w:sz w:val="18"/>
          <w:szCs w:val="18"/>
          <w:color w:val="auto"/>
        </w:rPr>
        <w:t xml:space="preserve">The increase was partially offset by lower revenues recognized from Blizzard of $81 million, primarily due to lower revenues recognized from </w:t>
      </w:r>
      <w:r>
        <w:rPr>
          <w:rFonts w:ascii="Arial" w:cs="Arial" w:eastAsia="Arial" w:hAnsi="Arial"/>
          <w:sz w:val="18"/>
          <w:szCs w:val="18"/>
          <w:i w:val="1"/>
          <w:iCs w:val="1"/>
          <w:color w:val="auto"/>
        </w:rPr>
        <w:t>Overwatch</w:t>
      </w:r>
      <w:r>
        <w:rPr>
          <w:rFonts w:ascii="Arial" w:cs="Arial" w:eastAsia="Arial" w:hAnsi="Arial"/>
          <w:sz w:val="18"/>
          <w:szCs w:val="18"/>
          <w:color w:val="auto"/>
        </w:rPr>
        <w:t>, which was released in May 2016.</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YTD Q2 2018 vs. YTD Q2 2017</w:t>
      </w:r>
    </w:p>
    <w:p>
      <w:pPr>
        <w:spacing w:after="0" w:line="225"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increase in consolidated net revenues for the six months ended June 30, 2018, as compared to the six months ended June 30, 2017, was primarily due to:</w:t>
      </w:r>
    </w:p>
    <w:p>
      <w:pPr>
        <w:spacing w:after="0" w:line="170" w:lineRule="exact"/>
        <w:rPr>
          <w:sz w:val="20"/>
          <w:szCs w:val="20"/>
          <w:color w:val="auto"/>
        </w:rPr>
      </w:pPr>
    </w:p>
    <w:p>
      <w:pPr>
        <w:ind w:left="980" w:right="120" w:hanging="324"/>
        <w:spacing w:after="0" w:line="286" w:lineRule="auto"/>
        <w:tabs>
          <w:tab w:leader="none" w:pos="944"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higher revenues recognized from Activision of $358 million, primarily due to higher revenues recognized from the Destiny franchise, driven by </w:t>
      </w:r>
      <w:r>
        <w:rPr>
          <w:rFonts w:ascii="Arial" w:cs="Arial" w:eastAsia="Arial" w:hAnsi="Arial"/>
          <w:sz w:val="17"/>
          <w:szCs w:val="17"/>
          <w:i w:val="1"/>
          <w:iCs w:val="1"/>
          <w:color w:val="auto"/>
        </w:rPr>
        <w:t xml:space="preserve">Destiny 2 </w:t>
      </w:r>
      <w:r>
        <w:rPr>
          <w:rFonts w:ascii="Arial" w:cs="Arial" w:eastAsia="Arial" w:hAnsi="Arial"/>
          <w:sz w:val="17"/>
          <w:szCs w:val="17"/>
          <w:color w:val="auto"/>
        </w:rPr>
        <w:t>and higher revenues recognized from</w:t>
      </w:r>
      <w:r>
        <w:rPr>
          <w:rFonts w:ascii="Arial" w:cs="Arial" w:eastAsia="Arial" w:hAnsi="Arial"/>
          <w:sz w:val="17"/>
          <w:szCs w:val="17"/>
          <w:i w:val="1"/>
          <w:iCs w:val="1"/>
          <w:color w:val="auto"/>
        </w:rPr>
        <w:t xml:space="preserve"> Call of Duty: WWII</w:t>
      </w:r>
      <w:r>
        <w:rPr>
          <w:rFonts w:ascii="Arial" w:cs="Arial" w:eastAsia="Arial" w:hAnsi="Arial"/>
          <w:sz w:val="17"/>
          <w:szCs w:val="17"/>
          <w:color w:val="auto"/>
        </w:rPr>
        <w:t>, as compared to</w:t>
      </w:r>
      <w:r>
        <w:rPr>
          <w:rFonts w:ascii="Arial" w:cs="Arial" w:eastAsia="Arial" w:hAnsi="Arial"/>
          <w:sz w:val="17"/>
          <w:szCs w:val="17"/>
          <w:i w:val="1"/>
          <w:iCs w:val="1"/>
          <w:color w:val="auto"/>
        </w:rPr>
        <w:t xml:space="preserve"> Call of Duty: Infinite Warfare</w:t>
      </w:r>
      <w:r>
        <w:rPr>
          <w:rFonts w:ascii="Arial" w:cs="Arial" w:eastAsia="Arial" w:hAnsi="Arial"/>
          <w:sz w:val="17"/>
          <w:szCs w:val="17"/>
          <w:color w:val="auto"/>
        </w:rPr>
        <w:t>, partially offset by lower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revenues recognized from </w:t>
      </w:r>
      <w:r>
        <w:rPr>
          <w:rFonts w:ascii="Arial" w:cs="Arial" w:eastAsia="Arial" w:hAnsi="Arial"/>
          <w:sz w:val="17"/>
          <w:szCs w:val="17"/>
          <w:i w:val="1"/>
          <w:iCs w:val="1"/>
          <w:color w:val="auto"/>
        </w:rPr>
        <w:t>Call of Duty: Infinite Warfare</w:t>
      </w:r>
      <w:r>
        <w:rPr>
          <w:rFonts w:ascii="Arial" w:cs="Arial" w:eastAsia="Arial" w:hAnsi="Arial"/>
          <w:sz w:val="17"/>
          <w:szCs w:val="17"/>
          <w:color w:val="auto"/>
        </w:rPr>
        <w:t xml:space="preserve">, as compared to </w:t>
      </w:r>
      <w:r>
        <w:rPr>
          <w:rFonts w:ascii="Arial" w:cs="Arial" w:eastAsia="Arial" w:hAnsi="Arial"/>
          <w:sz w:val="17"/>
          <w:szCs w:val="17"/>
          <w:i w:val="1"/>
          <w:iCs w:val="1"/>
          <w:color w:val="auto"/>
        </w:rPr>
        <w:t>Call of Duty: Black Ops III</w:t>
      </w:r>
      <w:r>
        <w:rPr>
          <w:rFonts w:ascii="Arial" w:cs="Arial" w:eastAsia="Arial" w:hAnsi="Arial"/>
          <w:sz w:val="17"/>
          <w:szCs w:val="17"/>
          <w:color w:val="auto"/>
        </w:rPr>
        <w:t>; and</w:t>
      </w:r>
    </w:p>
    <w:p>
      <w:pPr>
        <w:spacing w:after="0" w:line="165" w:lineRule="exact"/>
        <w:rPr>
          <w:rFonts w:ascii="Arial" w:cs="Arial" w:eastAsia="Arial" w:hAnsi="Arial"/>
          <w:sz w:val="17"/>
          <w:szCs w:val="17"/>
          <w:color w:val="auto"/>
        </w:rPr>
      </w:pPr>
    </w:p>
    <w:p>
      <w:pPr>
        <w:ind w:left="980" w:right="80" w:hanging="324"/>
        <w:spacing w:after="0" w:line="277" w:lineRule="auto"/>
        <w:tabs>
          <w:tab w:leader="none" w:pos="944"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higher revenues from King of $101 million, primarily driven by the Candy Crush franchise’s increased monetization, primarily through in-game events and features.</w:t>
      </w:r>
    </w:p>
    <w:p>
      <w:pPr>
        <w:sectPr>
          <w:pgSz w:w="11900" w:h="16888" w:orient="portrait"/>
          <w:cols w:equalWidth="0" w:num="1">
            <w:col w:w="11420"/>
          </w:cols>
          <w:pgMar w:left="240" w:top="125" w:right="239" w:bottom="0" w:gutter="0" w:footer="0" w:header="0"/>
        </w:sectPr>
      </w:pPr>
    </w:p>
    <w:bookmarkStart w:id="30" w:name="page31"/>
    <w:bookmarkEnd w:id="30"/>
    <w:p>
      <w:pPr>
        <w:ind w:right="640" w:firstLine="405"/>
        <w:spacing w:after="0" w:line="277" w:lineRule="auto"/>
        <w:rPr>
          <w:sz w:val="20"/>
          <w:szCs w:val="20"/>
          <w:color w:val="auto"/>
        </w:rPr>
      </w:pPr>
      <w:r>
        <w:rPr>
          <w:rFonts w:ascii="Arial" w:cs="Arial" w:eastAsia="Arial" w:hAnsi="Arial"/>
          <w:sz w:val="18"/>
          <w:szCs w:val="18"/>
          <w:color w:val="auto"/>
        </w:rPr>
        <w:t xml:space="preserve">The increase was partially offset by lower revenues recognized from Blizzard of $184 million, primarily due to lower revenues recognized from </w:t>
      </w:r>
      <w:r>
        <w:rPr>
          <w:rFonts w:ascii="Arial" w:cs="Arial" w:eastAsia="Arial" w:hAnsi="Arial"/>
          <w:sz w:val="18"/>
          <w:szCs w:val="18"/>
          <w:i w:val="1"/>
          <w:iCs w:val="1"/>
          <w:color w:val="auto"/>
        </w:rPr>
        <w:t>Overwatch</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Deferred Revenues Recognized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Q2 2018 vs. Q2 2017</w:t>
      </w:r>
    </w:p>
    <w:p>
      <w:pPr>
        <w:spacing w:after="0" w:line="225" w:lineRule="exact"/>
        <w:rPr>
          <w:sz w:val="20"/>
          <w:szCs w:val="20"/>
          <w:color w:val="auto"/>
        </w:rPr>
      </w:pPr>
    </w:p>
    <w:p>
      <w:pPr>
        <w:jc w:val="both"/>
        <w:ind w:right="120" w:firstLine="405"/>
        <w:spacing w:after="0" w:line="279" w:lineRule="auto"/>
        <w:rPr>
          <w:sz w:val="20"/>
          <w:szCs w:val="20"/>
          <w:color w:val="auto"/>
        </w:rPr>
      </w:pPr>
      <w:r>
        <w:rPr>
          <w:rFonts w:ascii="Arial" w:cs="Arial" w:eastAsia="Arial" w:hAnsi="Arial"/>
          <w:sz w:val="17"/>
          <w:szCs w:val="17"/>
          <w:color w:val="auto"/>
        </w:rPr>
        <w:t xml:space="preserve">The increase in net deferred revenues recognized for the three months ended June 30, 2018, as compared to the three months ended June 30, 2017, was primarily due to higher net deferred revenues recognized for Activision of $46 million, primarily due to net deferred revenues recognized from </w:t>
      </w:r>
      <w:r>
        <w:rPr>
          <w:rFonts w:ascii="Arial" w:cs="Arial" w:eastAsia="Arial" w:hAnsi="Arial"/>
          <w:sz w:val="17"/>
          <w:szCs w:val="17"/>
          <w:i w:val="1"/>
          <w:iCs w:val="1"/>
          <w:color w:val="auto"/>
        </w:rPr>
        <w:t>Call of Duty:</w:t>
      </w:r>
      <w:r>
        <w:rPr>
          <w:rFonts w:ascii="Arial" w:cs="Arial" w:eastAsia="Arial" w:hAnsi="Arial"/>
          <w:sz w:val="17"/>
          <w:szCs w:val="17"/>
          <w:color w:val="auto"/>
        </w:rPr>
        <w:t xml:space="preserve"> </w:t>
      </w:r>
      <w:r>
        <w:rPr>
          <w:rFonts w:ascii="Arial" w:cs="Arial" w:eastAsia="Arial" w:hAnsi="Arial"/>
          <w:sz w:val="17"/>
          <w:szCs w:val="17"/>
          <w:i w:val="1"/>
          <w:iCs w:val="1"/>
          <w:color w:val="auto"/>
        </w:rPr>
        <w:t>Infinite Warfare</w:t>
      </w:r>
      <w:r>
        <w:rPr>
          <w:rFonts w:ascii="Arial" w:cs="Arial" w:eastAsia="Arial" w:hAnsi="Arial"/>
          <w:sz w:val="17"/>
          <w:szCs w:val="17"/>
          <w:color w:val="auto"/>
        </w:rPr>
        <w:t>, which was released in November 2016, as compared to a net deferral of revenues in the prior period for</w:t>
      </w:r>
      <w:r>
        <w:rPr>
          <w:rFonts w:ascii="Arial" w:cs="Arial" w:eastAsia="Arial" w:hAnsi="Arial"/>
          <w:sz w:val="17"/>
          <w:szCs w:val="17"/>
          <w:i w:val="1"/>
          <w:iCs w:val="1"/>
          <w:color w:val="auto"/>
        </w:rPr>
        <w:t xml:space="preserve"> Call of Duty: Black Ops III</w:t>
      </w:r>
      <w:r>
        <w:rPr>
          <w:rFonts w:ascii="Arial" w:cs="Arial" w:eastAsia="Arial" w:hAnsi="Arial"/>
          <w:sz w:val="17"/>
          <w:szCs w:val="17"/>
          <w:color w:val="auto"/>
        </w:rPr>
        <w:t>, which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was released in November 2015, driven by the release its downloadable content pack, </w:t>
      </w:r>
      <w:r>
        <w:rPr>
          <w:rFonts w:ascii="Arial" w:cs="Arial" w:eastAsia="Arial" w:hAnsi="Arial"/>
          <w:sz w:val="17"/>
          <w:szCs w:val="17"/>
          <w:i w:val="1"/>
          <w:iCs w:val="1"/>
          <w:color w:val="auto"/>
        </w:rPr>
        <w:t>Zombies Chronicles,</w:t>
      </w:r>
      <w:r>
        <w:rPr>
          <w:rFonts w:ascii="Arial" w:cs="Arial" w:eastAsia="Arial" w:hAnsi="Arial"/>
          <w:sz w:val="17"/>
          <w:szCs w:val="17"/>
          <w:color w:val="auto"/>
        </w:rPr>
        <w:t xml:space="preserve"> in May 2017.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YTD Q2 2018 vs. YTD Q2 2017</w:t>
      </w:r>
    </w:p>
    <w:p>
      <w:pPr>
        <w:spacing w:after="0" w:line="225" w:lineRule="exact"/>
        <w:rPr>
          <w:sz w:val="20"/>
          <w:szCs w:val="20"/>
          <w:color w:val="auto"/>
        </w:rPr>
      </w:pPr>
    </w:p>
    <w:p>
      <w:pPr>
        <w:ind w:right="260" w:firstLine="405"/>
        <w:spacing w:after="0" w:line="312" w:lineRule="auto"/>
        <w:rPr>
          <w:sz w:val="20"/>
          <w:szCs w:val="20"/>
          <w:color w:val="auto"/>
        </w:rPr>
      </w:pPr>
      <w:r>
        <w:rPr>
          <w:rFonts w:ascii="Arial" w:cs="Arial" w:eastAsia="Arial" w:hAnsi="Arial"/>
          <w:sz w:val="16"/>
          <w:szCs w:val="16"/>
          <w:color w:val="auto"/>
        </w:rPr>
        <w:t xml:space="preserve">The increase in net deferred revenues recognized for the six months ended June 30, 2018, as compared to the six months ended June 30, 2017, was primarily due to higher net deferred revenues recognized for Activision of $239 million, primarily due to higher net deferred revenues recognized from the Destiny franchise, driven by </w:t>
      </w:r>
      <w:r>
        <w:rPr>
          <w:rFonts w:ascii="Arial" w:cs="Arial" w:eastAsia="Arial" w:hAnsi="Arial"/>
          <w:sz w:val="16"/>
          <w:szCs w:val="16"/>
          <w:i w:val="1"/>
          <w:iCs w:val="1"/>
          <w:color w:val="auto"/>
        </w:rPr>
        <w:t>Destiny 2,</w:t>
      </w:r>
      <w:r>
        <w:rPr>
          <w:rFonts w:ascii="Arial" w:cs="Arial" w:eastAsia="Arial" w:hAnsi="Arial"/>
          <w:sz w:val="16"/>
          <w:szCs w:val="16"/>
          <w:color w:val="auto"/>
        </w:rPr>
        <w:t xml:space="preserve"> which was released in September 2017, and its associated in-game content, with no comparable release in 2016.</w:t>
      </w:r>
    </w:p>
    <w:p>
      <w:pPr>
        <w:spacing w:after="0" w:line="147" w:lineRule="exact"/>
        <w:rPr>
          <w:sz w:val="20"/>
          <w:szCs w:val="20"/>
          <w:color w:val="auto"/>
        </w:rPr>
      </w:pPr>
    </w:p>
    <w:p>
      <w:pPr>
        <w:ind w:right="220" w:firstLine="405"/>
        <w:spacing w:after="0" w:line="294" w:lineRule="auto"/>
        <w:rPr>
          <w:sz w:val="20"/>
          <w:szCs w:val="20"/>
          <w:color w:val="auto"/>
        </w:rPr>
      </w:pPr>
      <w:r>
        <w:rPr>
          <w:rFonts w:ascii="Arial" w:cs="Arial" w:eastAsia="Arial" w:hAnsi="Arial"/>
          <w:sz w:val="17"/>
          <w:szCs w:val="17"/>
          <w:color w:val="auto"/>
        </w:rPr>
        <w:t xml:space="preserve">The increase was partially offset by lower net deferred revenues recognized from Blizzard of $145 million, primarily due to a net deferral of revenues for </w:t>
      </w:r>
      <w:r>
        <w:rPr>
          <w:rFonts w:ascii="Arial" w:cs="Arial" w:eastAsia="Arial" w:hAnsi="Arial"/>
          <w:sz w:val="17"/>
          <w:szCs w:val="17"/>
          <w:i w:val="1"/>
          <w:iCs w:val="1"/>
          <w:color w:val="auto"/>
        </w:rPr>
        <w:t>World of Warcraft</w:t>
      </w:r>
      <w:r>
        <w:rPr>
          <w:rFonts w:ascii="Arial" w:cs="Arial" w:eastAsia="Arial" w:hAnsi="Arial"/>
          <w:sz w:val="17"/>
          <w:szCs w:val="17"/>
          <w:color w:val="auto"/>
        </w:rPr>
        <w:t xml:space="preserve">, primarily driven by revenues associated with in-game content and the timing of expansion releases, as compared to net deferred revenues recognized in the prior-year period from </w:t>
      </w:r>
      <w:r>
        <w:rPr>
          <w:rFonts w:ascii="Arial" w:cs="Arial" w:eastAsia="Arial" w:hAnsi="Arial"/>
          <w:sz w:val="17"/>
          <w:szCs w:val="17"/>
          <w:i w:val="1"/>
          <w:iCs w:val="1"/>
          <w:color w:val="auto"/>
        </w:rPr>
        <w:t>World of Warcraft: Legion</w:t>
      </w:r>
      <w:r>
        <w:rPr>
          <w:rFonts w:ascii="Arial" w:cs="Arial" w:eastAsia="Arial" w:hAnsi="Arial"/>
          <w:sz w:val="22"/>
          <w:szCs w:val="22"/>
          <w:color w:val="auto"/>
          <w:vertAlign w:val="superscript"/>
        </w:rPr>
        <w:t>TM</w:t>
      </w:r>
      <w:r>
        <w:rPr>
          <w:rFonts w:ascii="Arial" w:cs="Arial" w:eastAsia="Arial" w:hAnsi="Arial"/>
          <w:sz w:val="17"/>
          <w:szCs w:val="17"/>
          <w:color w:val="auto"/>
        </w:rPr>
        <w:t>, which was released in August 2016.</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Impact</w:t>
      </w:r>
    </w:p>
    <w:p>
      <w:pPr>
        <w:spacing w:after="0" w:line="225"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Changes in foreign exchange rates had a positive impact of $51 million and $161 million on our consolidated net revenues for the three and six months ended June 30, 2018, respectively, as compared to the same periods in the previous year. The changes are primarily due to changes in the value of the U.S. dollar relative to the euro and the British pound.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229"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Currently, we have three reportable segments. Our operating segments are consistent with the manner in which our operations are reviewed and managed by our Chief Executive Officer, who is our chief operating decision maker (“CODM”). The CODM reviews segment performance exclusive of: the impact of the change in deferred revenues and related cost of revenues with respect to certain of our online-enabled games; share-based compensation expense; amortization of intangible assets as a result of purchase price accounting; fees and other expenses (including legal fees, expenses, and accruals) related to acquisitions, associated integration activities, and financings; certain restructuring costs; and certain other non-cash charges. The CODM does not review any information regarding total assets on an operating segment basis, and accordingly, no disclosure is made with respect thereto.</w:t>
      </w:r>
    </w:p>
    <w:p>
      <w:pPr>
        <w:spacing w:after="0" w:line="165"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Our operating segments are also consistent with our internal organizational structure, the way we assess operating performance and allocate resources, and the availability of separate financial information. We do not aggregate operating segments.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80" w:firstLine="405"/>
        <w:spacing w:after="0" w:line="277" w:lineRule="auto"/>
        <w:rPr>
          <w:sz w:val="20"/>
          <w:szCs w:val="20"/>
          <w:color w:val="auto"/>
        </w:rPr>
      </w:pPr>
      <w:r>
        <w:rPr>
          <w:rFonts w:ascii="Arial" w:cs="Arial" w:eastAsia="Arial" w:hAnsi="Arial"/>
          <w:sz w:val="18"/>
          <w:szCs w:val="18"/>
          <w:color w:val="auto"/>
        </w:rPr>
        <w:t>Information on reportable segment net revenues and operating income for the three months ended June 30, 2018 and 2017, are presented below (amounts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10"/>
          </w:tcPr>
          <w:p>
            <w:pPr>
              <w:ind w:left="180"/>
              <w:spacing w:after="0"/>
              <w:rPr>
                <w:sz w:val="20"/>
                <w:szCs w:val="20"/>
                <w:color w:val="auto"/>
              </w:rPr>
            </w:pPr>
            <w:r>
              <w:rPr>
                <w:rFonts w:ascii="Arial" w:cs="Arial" w:eastAsia="Arial" w:hAnsi="Arial"/>
                <w:sz w:val="14"/>
                <w:szCs w:val="14"/>
                <w:b w:val="1"/>
                <w:bCs w:val="1"/>
                <w:color w:val="auto"/>
              </w:rPr>
              <w:t>Three Months Ended June 30, 2018</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w w:val="98"/>
              </w:rPr>
              <w:t>$ Increase / (Decrease)</w:t>
            </w: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2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Activision</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Blizzard</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4"/>
          </w:tcPr>
          <w:p>
            <w:pPr>
              <w:ind w:left="60"/>
              <w:spacing w:after="0" w:line="142" w:lineRule="exact"/>
              <w:rPr>
                <w:sz w:val="20"/>
                <w:szCs w:val="20"/>
                <w:color w:val="auto"/>
              </w:rPr>
            </w:pPr>
            <w:r>
              <w:rPr>
                <w:rFonts w:ascii="Arial" w:cs="Arial" w:eastAsia="Arial" w:hAnsi="Arial"/>
                <w:sz w:val="14"/>
                <w:szCs w:val="14"/>
                <w:b w:val="1"/>
                <w:bCs w:val="1"/>
                <w:color w:val="auto"/>
              </w:rPr>
              <w:t>King</w:t>
            </w:r>
          </w:p>
        </w:tc>
        <w:tc>
          <w:tcPr>
            <w:tcW w:w="220" w:type="dxa"/>
            <w:vAlign w:val="bottom"/>
          </w:tcPr>
          <w:p>
            <w:pPr>
              <w:spacing w:after="0"/>
              <w:rPr>
                <w:sz w:val="12"/>
                <w:szCs w:val="12"/>
                <w:color w:val="auto"/>
              </w:rPr>
            </w:pPr>
          </w:p>
        </w:tc>
        <w:tc>
          <w:tcPr>
            <w:tcW w:w="7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160" w:type="dxa"/>
            <w:vAlign w:val="bottom"/>
            <w:gridSpan w:val="3"/>
          </w:tcPr>
          <w:p>
            <w:pPr>
              <w:ind w:left="160"/>
              <w:spacing w:after="0" w:line="142" w:lineRule="exact"/>
              <w:rPr>
                <w:sz w:val="20"/>
                <w:szCs w:val="20"/>
                <w:color w:val="auto"/>
              </w:rPr>
            </w:pPr>
            <w:r>
              <w:rPr>
                <w:rFonts w:ascii="Arial" w:cs="Arial" w:eastAsia="Arial" w:hAnsi="Arial"/>
                <w:sz w:val="14"/>
                <w:szCs w:val="14"/>
                <w:b w:val="1"/>
                <w:bCs w:val="1"/>
                <w:color w:val="auto"/>
              </w:rPr>
              <w:t>Activision</w:t>
            </w:r>
          </w:p>
        </w:tc>
        <w:tc>
          <w:tcPr>
            <w:tcW w:w="180" w:type="dxa"/>
            <w:vAlign w:val="bottom"/>
          </w:tcPr>
          <w:p>
            <w:pPr>
              <w:spacing w:after="0"/>
              <w:rPr>
                <w:sz w:val="12"/>
                <w:szCs w:val="12"/>
                <w:color w:val="auto"/>
              </w:rPr>
            </w:pPr>
          </w:p>
        </w:tc>
        <w:tc>
          <w:tcPr>
            <w:tcW w:w="9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Blizzard</w:t>
            </w:r>
          </w:p>
        </w:tc>
        <w:tc>
          <w:tcPr>
            <w:tcW w:w="240" w:type="dxa"/>
            <w:vAlign w:val="bottom"/>
          </w:tcPr>
          <w:p>
            <w:pPr>
              <w:spacing w:after="0"/>
              <w:rPr>
                <w:sz w:val="12"/>
                <w:szCs w:val="12"/>
                <w:color w:val="auto"/>
              </w:rPr>
            </w:pPr>
          </w:p>
        </w:tc>
        <w:tc>
          <w:tcPr>
            <w:tcW w:w="86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King</w:t>
            </w:r>
          </w:p>
        </w:tc>
        <w:tc>
          <w:tcPr>
            <w:tcW w:w="240" w:type="dxa"/>
            <w:vAlign w:val="bottom"/>
          </w:tcPr>
          <w:p>
            <w:pPr>
              <w:spacing w:after="0"/>
              <w:rPr>
                <w:sz w:val="12"/>
                <w:szCs w:val="12"/>
                <w:color w:val="auto"/>
              </w:rPr>
            </w:pPr>
          </w:p>
        </w:tc>
        <w:tc>
          <w:tcPr>
            <w:tcW w:w="66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Segment Net Revenues</w:t>
            </w:r>
          </w:p>
        </w:tc>
        <w:tc>
          <w:tcPr>
            <w:tcW w:w="3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tcPr>
          <w:p>
            <w:pPr>
              <w:ind w:left="160"/>
              <w:spacing w:after="0" w:line="201" w:lineRule="exact"/>
              <w:rPr>
                <w:sz w:val="20"/>
                <w:szCs w:val="20"/>
                <w:color w:val="auto"/>
              </w:rPr>
            </w:pPr>
            <w:r>
              <w:rPr>
                <w:rFonts w:ascii="Arial" w:cs="Arial" w:eastAsia="Arial" w:hAnsi="Arial"/>
                <w:sz w:val="18"/>
                <w:szCs w:val="18"/>
                <w:color w:val="auto"/>
              </w:rPr>
              <w:t>Net revenues from external</w:t>
            </w: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customers</w:t>
            </w:r>
          </w:p>
        </w:tc>
        <w:tc>
          <w:tcPr>
            <w:tcW w:w="3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338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485</w:t>
            </w:r>
          </w:p>
        </w:tc>
        <w:tc>
          <w:tcPr>
            <w:tcW w:w="22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502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520" w:type="dxa"/>
            <w:vAlign w:val="bottom"/>
          </w:tcPr>
          <w:p>
            <w:pPr>
              <w:ind w:left="24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Intersegment net revenues</w:t>
            </w: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4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Segment net revenues</w:t>
            </w:r>
          </w:p>
        </w:tc>
        <w:tc>
          <w:tcPr>
            <w:tcW w:w="36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338</w:t>
            </w:r>
          </w:p>
        </w:tc>
        <w:tc>
          <w:tcPr>
            <w:tcW w:w="2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489</w:t>
            </w:r>
          </w:p>
        </w:tc>
        <w:tc>
          <w:tcPr>
            <w:tcW w:w="2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20" w:type="dxa"/>
            <w:vAlign w:val="bottom"/>
            <w:tcBorders>
              <w:top w:val="single" w:sz="8" w:color="auto"/>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1,329</w:t>
            </w:r>
          </w:p>
        </w:tc>
        <w:tc>
          <w:tcPr>
            <w:tcW w:w="100" w:type="dxa"/>
            <w:vAlign w:val="bottom"/>
            <w:tcBorders>
              <w:top w:val="single" w:sz="8" w:color="auto"/>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b w:val="1"/>
                <w:bCs w:val="1"/>
                <w:color w:val="auto"/>
              </w:rPr>
              <w:t>Segment operating income</w:t>
            </w:r>
          </w:p>
        </w:tc>
        <w:tc>
          <w:tcPr>
            <w:tcW w:w="3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10"/>
          </w:tcPr>
          <w:p>
            <w:pPr>
              <w:ind w:left="160"/>
              <w:spacing w:after="0"/>
              <w:rPr>
                <w:sz w:val="20"/>
                <w:szCs w:val="20"/>
                <w:color w:val="auto"/>
              </w:rPr>
            </w:pPr>
            <w:r>
              <w:rPr>
                <w:rFonts w:ascii="Arial" w:cs="Arial" w:eastAsia="Arial" w:hAnsi="Arial"/>
                <w:sz w:val="14"/>
                <w:szCs w:val="14"/>
                <w:b w:val="1"/>
                <w:bCs w:val="1"/>
                <w:color w:val="auto"/>
              </w:rPr>
              <w:t>Three Months Ended June 30, 2017</w:t>
            </w: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2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Activision</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Blizzard</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4"/>
          </w:tcPr>
          <w:p>
            <w:pPr>
              <w:ind w:left="60"/>
              <w:spacing w:after="0" w:line="142" w:lineRule="exact"/>
              <w:rPr>
                <w:sz w:val="20"/>
                <w:szCs w:val="20"/>
                <w:color w:val="auto"/>
              </w:rPr>
            </w:pPr>
            <w:r>
              <w:rPr>
                <w:rFonts w:ascii="Arial" w:cs="Arial" w:eastAsia="Arial" w:hAnsi="Arial"/>
                <w:sz w:val="14"/>
                <w:szCs w:val="14"/>
                <w:b w:val="1"/>
                <w:bCs w:val="1"/>
                <w:color w:val="auto"/>
              </w:rPr>
              <w:t>King</w:t>
            </w:r>
          </w:p>
        </w:tc>
        <w:tc>
          <w:tcPr>
            <w:tcW w:w="220" w:type="dxa"/>
            <w:vAlign w:val="bottom"/>
          </w:tcPr>
          <w:p>
            <w:pPr>
              <w:spacing w:after="0"/>
              <w:rPr>
                <w:sz w:val="12"/>
                <w:szCs w:val="12"/>
                <w:color w:val="auto"/>
              </w:rPr>
            </w:pPr>
          </w:p>
        </w:tc>
        <w:tc>
          <w:tcPr>
            <w:tcW w:w="66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rPr>
              <w:t>Total</w:t>
            </w:r>
          </w:p>
        </w:tc>
        <w:tc>
          <w:tcPr>
            <w:tcW w:w="280" w:type="dxa"/>
            <w:vAlign w:val="bottom"/>
            <w:gridSpan w:val="2"/>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Segment Net Revenues</w:t>
            </w:r>
          </w:p>
        </w:tc>
        <w:tc>
          <w:tcPr>
            <w:tcW w:w="3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tcPr>
          <w:p>
            <w:pPr>
              <w:ind w:left="160"/>
              <w:spacing w:after="0" w:line="201" w:lineRule="exact"/>
              <w:rPr>
                <w:sz w:val="20"/>
                <w:szCs w:val="20"/>
                <w:color w:val="auto"/>
              </w:rPr>
            </w:pPr>
            <w:r>
              <w:rPr>
                <w:rFonts w:ascii="Arial" w:cs="Arial" w:eastAsia="Arial" w:hAnsi="Arial"/>
                <w:sz w:val="18"/>
                <w:szCs w:val="18"/>
                <w:color w:val="auto"/>
              </w:rPr>
              <w:t>Net revenues from external</w:t>
            </w: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customers</w:t>
            </w:r>
          </w:p>
        </w:tc>
        <w:tc>
          <w:tcPr>
            <w:tcW w:w="3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316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566</w:t>
            </w:r>
          </w:p>
        </w:tc>
        <w:tc>
          <w:tcPr>
            <w:tcW w:w="22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480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1,362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Intersegment net revenues</w:t>
            </w: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4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Segment net revenues</w:t>
            </w:r>
          </w:p>
        </w:tc>
        <w:tc>
          <w:tcPr>
            <w:tcW w:w="36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316</w:t>
            </w:r>
          </w:p>
        </w:tc>
        <w:tc>
          <w:tcPr>
            <w:tcW w:w="2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566</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480</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1,362</w:t>
            </w:r>
          </w:p>
        </w:tc>
        <w:tc>
          <w:tcPr>
            <w:tcW w:w="100" w:type="dxa"/>
            <w:vAlign w:val="bottom"/>
            <w:tcBorders>
              <w:bottom w:val="single" w:sz="8" w:color="CCEEFF"/>
            </w:tcBorders>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b w:val="1"/>
                <w:bCs w:val="1"/>
                <w:color w:val="auto"/>
              </w:rPr>
              <w:t>Segment operating income</w:t>
            </w:r>
          </w:p>
        </w:tc>
        <w:tc>
          <w:tcPr>
            <w:tcW w:w="3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225</w:t>
            </w:r>
          </w:p>
        </w:tc>
        <w:tc>
          <w:tcPr>
            <w:tcW w:w="22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0" w:gutter="0" w:footer="0" w:header="0"/>
        </w:sectPr>
      </w:pPr>
    </w:p>
    <w:bookmarkStart w:id="31" w:name="page32"/>
    <w:bookmarkEnd w:id="31"/>
    <w:p>
      <w:pPr>
        <w:ind w:right="120" w:firstLine="405"/>
        <w:spacing w:after="0" w:line="277" w:lineRule="auto"/>
        <w:rPr>
          <w:sz w:val="20"/>
          <w:szCs w:val="20"/>
          <w:color w:val="auto"/>
        </w:rPr>
      </w:pPr>
      <w:r>
        <w:rPr>
          <w:rFonts w:ascii="Arial" w:cs="Arial" w:eastAsia="Arial" w:hAnsi="Arial"/>
          <w:sz w:val="18"/>
          <w:szCs w:val="18"/>
          <w:color w:val="auto"/>
        </w:rPr>
        <w:t>Information on reportable segment net revenues and operating income for the six months ended June 30, 2018 and 2017, are presented below (amounts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9"/>
          </w:tcPr>
          <w:p>
            <w:pPr>
              <w:spacing w:after="0"/>
              <w:rPr>
                <w:sz w:val="20"/>
                <w:szCs w:val="20"/>
                <w:color w:val="auto"/>
              </w:rPr>
            </w:pPr>
            <w:r>
              <w:rPr>
                <w:rFonts w:ascii="Arial" w:cs="Arial" w:eastAsia="Arial" w:hAnsi="Arial"/>
                <w:sz w:val="14"/>
                <w:szCs w:val="14"/>
                <w:b w:val="1"/>
                <w:bCs w:val="1"/>
                <w:color w:val="auto"/>
              </w:rPr>
              <w:t>Six Months Ended June 30, 2018</w:t>
            </w: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 Increase / (Decrease)</w:t>
            </w: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40" w:type="dxa"/>
            <w:vAlign w:val="bottom"/>
            <w:gridSpan w:val="3"/>
          </w:tcPr>
          <w:p>
            <w:pPr>
              <w:ind w:left="140"/>
              <w:spacing w:after="0" w:line="142" w:lineRule="exact"/>
              <w:rPr>
                <w:sz w:val="20"/>
                <w:szCs w:val="20"/>
                <w:color w:val="auto"/>
              </w:rPr>
            </w:pPr>
            <w:r>
              <w:rPr>
                <w:rFonts w:ascii="Arial" w:cs="Arial" w:eastAsia="Arial" w:hAnsi="Arial"/>
                <w:sz w:val="14"/>
                <w:szCs w:val="14"/>
                <w:b w:val="1"/>
                <w:bCs w:val="1"/>
                <w:color w:val="auto"/>
              </w:rPr>
              <w:t>Activision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Blizzard</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King</w:t>
            </w:r>
          </w:p>
        </w:tc>
        <w:tc>
          <w:tcPr>
            <w:tcW w:w="24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ind w:left="160"/>
              <w:spacing w:after="0" w:line="142" w:lineRule="exact"/>
              <w:rPr>
                <w:sz w:val="20"/>
                <w:szCs w:val="20"/>
                <w:color w:val="auto"/>
              </w:rPr>
            </w:pPr>
            <w:r>
              <w:rPr>
                <w:rFonts w:ascii="Arial" w:cs="Arial" w:eastAsia="Arial" w:hAnsi="Arial"/>
                <w:sz w:val="14"/>
                <w:szCs w:val="14"/>
                <w:b w:val="1"/>
                <w:bCs w:val="1"/>
                <w:color w:val="auto"/>
              </w:rPr>
              <w:t>Activision</w:t>
            </w:r>
          </w:p>
        </w:tc>
        <w:tc>
          <w:tcPr>
            <w:tcW w:w="180" w:type="dxa"/>
            <w:vAlign w:val="bottom"/>
          </w:tcPr>
          <w:p>
            <w:pPr>
              <w:spacing w:after="0"/>
              <w:rPr>
                <w:sz w:val="12"/>
                <w:szCs w:val="12"/>
                <w:color w:val="auto"/>
              </w:rPr>
            </w:pPr>
          </w:p>
        </w:tc>
        <w:tc>
          <w:tcPr>
            <w:tcW w:w="9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Blizzard</w:t>
            </w:r>
          </w:p>
        </w:tc>
        <w:tc>
          <w:tcPr>
            <w:tcW w:w="240" w:type="dxa"/>
            <w:vAlign w:val="bottom"/>
          </w:tcPr>
          <w:p>
            <w:pPr>
              <w:spacing w:after="0"/>
              <w:rPr>
                <w:sz w:val="12"/>
                <w:szCs w:val="12"/>
                <w:color w:val="auto"/>
              </w:rPr>
            </w:pPr>
          </w:p>
        </w:tc>
        <w:tc>
          <w:tcPr>
            <w:tcW w:w="8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King</w:t>
            </w:r>
          </w:p>
        </w:tc>
        <w:tc>
          <w:tcPr>
            <w:tcW w:w="240" w:type="dxa"/>
            <w:vAlign w:val="bottom"/>
          </w:tcPr>
          <w:p>
            <w:pPr>
              <w:spacing w:after="0"/>
              <w:rPr>
                <w:sz w:val="12"/>
                <w:szCs w:val="12"/>
                <w:color w:val="auto"/>
              </w:rPr>
            </w:pPr>
          </w:p>
        </w:tc>
        <w:tc>
          <w:tcPr>
            <w:tcW w:w="66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Segment Net Revenues</w:t>
            </w:r>
          </w:p>
        </w:tc>
        <w:tc>
          <w:tcPr>
            <w:tcW w:w="3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tcPr>
          <w:p>
            <w:pPr>
              <w:ind w:left="160"/>
              <w:spacing w:after="0" w:line="201" w:lineRule="exact"/>
              <w:rPr>
                <w:sz w:val="20"/>
                <w:szCs w:val="20"/>
                <w:color w:val="auto"/>
              </w:rPr>
            </w:pPr>
            <w:r>
              <w:rPr>
                <w:rFonts w:ascii="Arial" w:cs="Arial" w:eastAsia="Arial" w:hAnsi="Arial"/>
                <w:sz w:val="18"/>
                <w:szCs w:val="18"/>
                <w:color w:val="auto"/>
              </w:rPr>
              <w:t>Net revenues from external</w:t>
            </w: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customers</w:t>
            </w:r>
          </w:p>
        </w:tc>
        <w:tc>
          <w:tcPr>
            <w:tcW w:w="3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651</w:t>
            </w:r>
          </w:p>
        </w:tc>
        <w:tc>
          <w:tcPr>
            <w:tcW w:w="2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964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1,036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2,651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Intersegment net revenues</w:t>
            </w: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4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Segment net revenues</w:t>
            </w:r>
          </w:p>
        </w:tc>
        <w:tc>
          <w:tcPr>
            <w:tcW w:w="36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651</w:t>
            </w:r>
          </w:p>
        </w:tc>
        <w:tc>
          <w:tcPr>
            <w:tcW w:w="2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970</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1,036</w:t>
            </w: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2,657</w:t>
            </w:r>
          </w:p>
        </w:tc>
        <w:tc>
          <w:tcPr>
            <w:tcW w:w="20" w:type="dxa"/>
            <w:vAlign w:val="bottom"/>
            <w:tcBorders>
              <w:top w:val="single" w:sz="8" w:color="auto"/>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119</w:t>
            </w:r>
          </w:p>
        </w:tc>
        <w:tc>
          <w:tcPr>
            <w:tcW w:w="2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82</w:t>
            </w:r>
          </w:p>
        </w:tc>
        <w:tc>
          <w:tcPr>
            <w:tcW w:w="2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b w:val="1"/>
                <w:bCs w:val="1"/>
                <w:color w:val="auto"/>
              </w:rPr>
              <w:t>Segment operating income</w:t>
            </w:r>
          </w:p>
        </w:tc>
        <w:tc>
          <w:tcPr>
            <w:tcW w:w="3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360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790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9"/>
          </w:tcPr>
          <w:p>
            <w:pPr>
              <w:spacing w:after="0"/>
              <w:rPr>
                <w:sz w:val="20"/>
                <w:szCs w:val="20"/>
                <w:color w:val="auto"/>
              </w:rPr>
            </w:pPr>
            <w:r>
              <w:rPr>
                <w:rFonts w:ascii="Arial" w:cs="Arial" w:eastAsia="Arial" w:hAnsi="Arial"/>
                <w:sz w:val="14"/>
                <w:szCs w:val="14"/>
                <w:b w:val="1"/>
                <w:bCs w:val="1"/>
                <w:color w:val="auto"/>
              </w:rPr>
              <w:t>Six Months Ended June 30, 2017</w:t>
            </w: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40" w:type="dxa"/>
            <w:vAlign w:val="bottom"/>
            <w:gridSpan w:val="3"/>
          </w:tcPr>
          <w:p>
            <w:pPr>
              <w:ind w:left="160"/>
              <w:spacing w:after="0" w:line="142" w:lineRule="exact"/>
              <w:rPr>
                <w:sz w:val="20"/>
                <w:szCs w:val="20"/>
                <w:color w:val="auto"/>
              </w:rPr>
            </w:pPr>
            <w:r>
              <w:rPr>
                <w:rFonts w:ascii="Arial" w:cs="Arial" w:eastAsia="Arial" w:hAnsi="Arial"/>
                <w:sz w:val="14"/>
                <w:szCs w:val="14"/>
                <w:b w:val="1"/>
                <w:bCs w:val="1"/>
                <w:color w:val="auto"/>
              </w:rPr>
              <w:t>Activision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Blizzard</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King</w:t>
            </w:r>
          </w:p>
        </w:tc>
        <w:tc>
          <w:tcPr>
            <w:tcW w:w="240" w:type="dxa"/>
            <w:vAlign w:val="bottom"/>
          </w:tcPr>
          <w:p>
            <w:pPr>
              <w:spacing w:after="0"/>
              <w:rPr>
                <w:sz w:val="12"/>
                <w:szCs w:val="12"/>
                <w:color w:val="auto"/>
              </w:rPr>
            </w:pPr>
          </w:p>
        </w:tc>
        <w:tc>
          <w:tcPr>
            <w:tcW w:w="66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rPr>
              <w:t>Total</w:t>
            </w:r>
          </w:p>
        </w:tc>
        <w:tc>
          <w:tcPr>
            <w:tcW w:w="240" w:type="dxa"/>
            <w:vAlign w:val="bottom"/>
            <w:gridSpan w:val="3"/>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Segment Net Revenues</w:t>
            </w:r>
          </w:p>
        </w:tc>
        <w:tc>
          <w:tcPr>
            <w:tcW w:w="3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tcPr>
          <w:p>
            <w:pPr>
              <w:ind w:left="160"/>
              <w:spacing w:after="0" w:line="201" w:lineRule="exact"/>
              <w:rPr>
                <w:sz w:val="20"/>
                <w:szCs w:val="20"/>
                <w:color w:val="auto"/>
              </w:rPr>
            </w:pPr>
            <w:r>
              <w:rPr>
                <w:rFonts w:ascii="Arial" w:cs="Arial" w:eastAsia="Arial" w:hAnsi="Arial"/>
                <w:sz w:val="18"/>
                <w:szCs w:val="18"/>
                <w:color w:val="auto"/>
              </w:rPr>
              <w:t>Net revenues from external</w:t>
            </w: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customers</w:t>
            </w:r>
          </w:p>
        </w:tc>
        <w:tc>
          <w:tcPr>
            <w:tcW w:w="3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532</w:t>
            </w:r>
          </w:p>
        </w:tc>
        <w:tc>
          <w:tcPr>
            <w:tcW w:w="2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954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2,495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Intersegment net revenues</w:t>
            </w: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4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Segment net revenues</w:t>
            </w:r>
          </w:p>
        </w:tc>
        <w:tc>
          <w:tcPr>
            <w:tcW w:w="36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532</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20" w:type="dxa"/>
            <w:vAlign w:val="bottom"/>
            <w:tcBorders>
              <w:top w:val="single" w:sz="8" w:color="auto"/>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20" w:type="dxa"/>
            <w:vAlign w:val="bottom"/>
            <w:tcBorders>
              <w:top w:val="single" w:sz="8" w:color="auto"/>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2,495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b w:val="1"/>
                <w:bCs w:val="1"/>
                <w:color w:val="auto"/>
              </w:rPr>
              <w:t>Segment operating income</w:t>
            </w:r>
          </w:p>
        </w:tc>
        <w:tc>
          <w:tcPr>
            <w:tcW w:w="3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330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825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5620" w:right="4720" w:hanging="5612"/>
        <w:spacing w:after="0" w:line="573"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Intersegment revenues reflect licensing and service fees charged between segments.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9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Reconciliations of total segment net revenues and total segment operating income to consolidated net revenues and consolidated income before income tax expense are presented in the table below (amounts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3300" w:type="dxa"/>
            <w:vAlign w:val="bottom"/>
            <w:gridSpan w:val="6"/>
          </w:tcPr>
          <w:p>
            <w:pPr>
              <w:ind w:left="340"/>
              <w:spacing w:after="0"/>
              <w:rPr>
                <w:sz w:val="20"/>
                <w:szCs w:val="20"/>
                <w:color w:val="auto"/>
              </w:rPr>
            </w:pPr>
            <w:r>
              <w:rPr>
                <w:rFonts w:ascii="Arial" w:cs="Arial" w:eastAsia="Arial" w:hAnsi="Arial"/>
                <w:sz w:val="14"/>
                <w:szCs w:val="14"/>
                <w:b w:val="1"/>
                <w:bCs w:val="1"/>
                <w:color w:val="auto"/>
              </w:rPr>
              <w:t>For the Three Months Ended June 30,</w:t>
            </w:r>
          </w:p>
        </w:tc>
        <w:tc>
          <w:tcPr>
            <w:tcW w:w="300" w:type="dxa"/>
            <w:vAlign w:val="bottom"/>
          </w:tcPr>
          <w:p>
            <w:pPr>
              <w:spacing w:after="0"/>
              <w:rPr>
                <w:sz w:val="14"/>
                <w:szCs w:val="14"/>
                <w:color w:val="auto"/>
              </w:rPr>
            </w:pPr>
          </w:p>
        </w:tc>
        <w:tc>
          <w:tcPr>
            <w:tcW w:w="2820" w:type="dxa"/>
            <w:vAlign w:val="bottom"/>
            <w:gridSpan w:val="5"/>
          </w:tcPr>
          <w:p>
            <w:pPr>
              <w:ind w:left="12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Reconciliation to consolidated net revenues:</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Segment net revenues</w:t>
            </w:r>
          </w:p>
        </w:tc>
        <w:tc>
          <w:tcPr>
            <w:tcW w:w="840" w:type="dxa"/>
            <w:vAlign w:val="bottom"/>
          </w:tcPr>
          <w:p>
            <w:pPr>
              <w:jc w:val="right"/>
              <w:ind w:right="576"/>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1,329</w:t>
            </w:r>
          </w:p>
        </w:tc>
        <w:tc>
          <w:tcPr>
            <w:tcW w:w="300" w:type="dxa"/>
            <w:vAlign w:val="bottom"/>
          </w:tcPr>
          <w:p>
            <w:pPr>
              <w:spacing w:after="0"/>
              <w:rPr>
                <w:sz w:val="18"/>
                <w:szCs w:val="18"/>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1,362</w:t>
            </w:r>
          </w:p>
        </w:tc>
        <w:tc>
          <w:tcPr>
            <w:tcW w:w="280" w:type="dxa"/>
            <w:vAlign w:val="bottom"/>
          </w:tcPr>
          <w:p>
            <w:pPr>
              <w:spacing w:after="0"/>
              <w:rPr>
                <w:sz w:val="18"/>
                <w:szCs w:val="18"/>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2,657</w:t>
            </w:r>
          </w:p>
        </w:tc>
        <w:tc>
          <w:tcPr>
            <w:tcW w:w="280" w:type="dxa"/>
            <w:vAlign w:val="bottom"/>
          </w:tcPr>
          <w:p>
            <w:pPr>
              <w:spacing w:after="0"/>
              <w:rPr>
                <w:sz w:val="18"/>
                <w:szCs w:val="18"/>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2,495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other segments (1)</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118</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effect from recognition (deferral) of deferred net revenues</w:t>
            </w:r>
          </w:p>
        </w:tc>
        <w:tc>
          <w:tcPr>
            <w:tcW w:w="84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256</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838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intersegment revenues (2)</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Consolidated net revenues</w:t>
            </w:r>
          </w:p>
        </w:tc>
        <w:tc>
          <w:tcPr>
            <w:tcW w:w="84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1,641</w:t>
            </w:r>
          </w:p>
        </w:tc>
        <w:tc>
          <w:tcPr>
            <w:tcW w:w="3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1,631</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3,607</w:t>
            </w:r>
          </w:p>
        </w:tc>
        <w:tc>
          <w:tcPr>
            <w:tcW w:w="28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3,356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980" w:type="dxa"/>
            <w:vAlign w:val="bottom"/>
          </w:tcPr>
          <w:p>
            <w:pPr>
              <w:spacing w:after="0" w:line="198" w:lineRule="exact"/>
              <w:rPr>
                <w:sz w:val="20"/>
                <w:szCs w:val="20"/>
                <w:color w:val="auto"/>
              </w:rPr>
            </w:pPr>
            <w:r>
              <w:rPr>
                <w:rFonts w:ascii="Arial" w:cs="Arial" w:eastAsia="Arial" w:hAnsi="Arial"/>
                <w:sz w:val="18"/>
                <w:szCs w:val="18"/>
                <w:b w:val="1"/>
                <w:bCs w:val="1"/>
                <w:color w:val="auto"/>
              </w:rPr>
              <w:t>Reconciliation to consolidated income before income tax</w:t>
            </w: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expense:</w:t>
            </w: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84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386</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476</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790</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Operating (loss) income from other segments (1)</w:t>
            </w:r>
          </w:p>
        </w:tc>
        <w:tc>
          <w:tcPr>
            <w:tcW w:w="84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effect from recognition (deferral) of deferred net revenues</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and related cost of revenues</w:t>
            </w:r>
          </w:p>
        </w:tc>
        <w:tc>
          <w:tcPr>
            <w:tcW w:w="84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557</w:t>
            </w:r>
          </w:p>
        </w:tc>
        <w:tc>
          <w:tcPr>
            <w:tcW w:w="2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Fees and other expenses related to the acquisition of King</w:t>
            </w:r>
          </w:p>
        </w:tc>
        <w:tc>
          <w:tcPr>
            <w:tcW w:w="84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costs</w:t>
            </w: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 non-cash charges</w:t>
            </w:r>
          </w:p>
        </w:tc>
        <w:tc>
          <w:tcPr>
            <w:tcW w:w="84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operating income</w:t>
            </w: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434</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339</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1,029</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and other expense (income), net</w:t>
            </w: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3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54</w:t>
            </w:r>
          </w:p>
        </w:tc>
        <w:tc>
          <w:tcPr>
            <w:tcW w:w="2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income before income tax expense</w:t>
            </w:r>
          </w:p>
        </w:tc>
        <w:tc>
          <w:tcPr>
            <w:tcW w:w="84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c>
          <w:tcPr>
            <w:tcW w:w="3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293</w:t>
            </w:r>
          </w:p>
        </w:tc>
        <w:tc>
          <w:tcPr>
            <w:tcW w:w="2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975</w:t>
            </w:r>
          </w:p>
        </w:tc>
        <w:tc>
          <w:tcPr>
            <w:tcW w:w="2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440" w:hanging="652"/>
        <w:spacing w:after="0" w:line="277" w:lineRule="auto"/>
        <w:tabs>
          <w:tab w:leader="none" w:pos="667"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other income and expenses from operating segments managed outside the reportable segments, including our Studios and Distribution businesses. Also includes unallocated corporate income and expenses.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Intersegment revenues reflect licensing and service fees charged between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Net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Activision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Q2 2018 vs. Q2 2017</w:t>
      </w:r>
    </w:p>
    <w:p>
      <w:pPr>
        <w:spacing w:after="0" w:line="225"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color w:val="auto"/>
        </w:rPr>
        <w:t>The increase in Activision’s net revenues for the three months ended June 30, 2018, as compared to the three months ended June 30, 2017, was primarily due to:</w:t>
      </w:r>
    </w:p>
    <w:p>
      <w:pPr>
        <w:spacing w:after="0" w:line="170" w:lineRule="exact"/>
        <w:rPr>
          <w:sz w:val="20"/>
          <w:szCs w:val="20"/>
          <w:color w:val="auto"/>
        </w:rPr>
      </w:pPr>
    </w:p>
    <w:p>
      <w:pPr>
        <w:ind w:left="980" w:right="40" w:hanging="324"/>
        <w:spacing w:after="0" w:line="277" w:lineRule="auto"/>
        <w:tabs>
          <w:tab w:leader="none" w:pos="944"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higher revenues from </w:t>
      </w:r>
      <w:r>
        <w:rPr>
          <w:rFonts w:ascii="Arial" w:cs="Arial" w:eastAsia="Arial" w:hAnsi="Arial"/>
          <w:sz w:val="18"/>
          <w:szCs w:val="18"/>
          <w:i w:val="1"/>
          <w:iCs w:val="1"/>
          <w:color w:val="auto"/>
        </w:rPr>
        <w:t>Call of Duty: WWII</w:t>
      </w:r>
      <w:r>
        <w:rPr>
          <w:rFonts w:ascii="Arial" w:cs="Arial" w:eastAsia="Arial" w:hAnsi="Arial"/>
          <w:sz w:val="18"/>
          <w:szCs w:val="18"/>
          <w:color w:val="auto"/>
        </w:rPr>
        <w:t xml:space="preserve">, which was released in November 2017, as compared to </w:t>
      </w:r>
      <w:r>
        <w:rPr>
          <w:rFonts w:ascii="Arial" w:cs="Arial" w:eastAsia="Arial" w:hAnsi="Arial"/>
          <w:sz w:val="18"/>
          <w:szCs w:val="18"/>
          <w:i w:val="1"/>
          <w:iCs w:val="1"/>
          <w:color w:val="auto"/>
        </w:rPr>
        <w:t>Call of Duty: Infinite Warfare,</w:t>
      </w:r>
      <w:r>
        <w:rPr>
          <w:rFonts w:ascii="Arial" w:cs="Arial" w:eastAsia="Arial" w:hAnsi="Arial"/>
          <w:sz w:val="18"/>
          <w:szCs w:val="18"/>
          <w:color w:val="auto"/>
        </w:rPr>
        <w:t xml:space="preserve"> the comparable 2016 title;</w:t>
      </w:r>
    </w:p>
    <w:p>
      <w:pPr>
        <w:sectPr>
          <w:pgSz w:w="11900" w:h="16838" w:orient="portrait"/>
          <w:cols w:equalWidth="0" w:num="1">
            <w:col w:w="11420"/>
          </w:cols>
          <w:pgMar w:left="240" w:top="125" w:right="239" w:bottom="0" w:gutter="0" w:footer="0" w:header="0"/>
        </w:sectPr>
      </w:pPr>
    </w:p>
    <w:bookmarkStart w:id="32" w:name="page33"/>
    <w:bookmarkEnd w:id="32"/>
    <w:p>
      <w:pPr>
        <w:ind w:left="980" w:right="320" w:hanging="324"/>
        <w:spacing w:after="0" w:line="277" w:lineRule="auto"/>
        <w:tabs>
          <w:tab w:leader="none" w:pos="944"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higher revenues from the Destiny franchise, driven by </w:t>
      </w:r>
      <w:r>
        <w:rPr>
          <w:rFonts w:ascii="Arial" w:cs="Arial" w:eastAsia="Arial" w:hAnsi="Arial"/>
          <w:sz w:val="18"/>
          <w:szCs w:val="18"/>
          <w:i w:val="1"/>
          <w:iCs w:val="1"/>
          <w:color w:val="auto"/>
        </w:rPr>
        <w:t>Destiny 2</w:t>
      </w:r>
      <w:r>
        <w:rPr>
          <w:rFonts w:ascii="Arial" w:cs="Arial" w:eastAsia="Arial" w:hAnsi="Arial"/>
          <w:sz w:val="18"/>
          <w:szCs w:val="18"/>
          <w:color w:val="auto"/>
        </w:rPr>
        <w:t>, which was released in September 2017, and its associated in-game content, with no comparable release in 2016;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revenues from the continued strength of </w:t>
      </w:r>
      <w:r>
        <w:rPr>
          <w:rFonts w:ascii="Arial" w:cs="Arial" w:eastAsia="Arial" w:hAnsi="Arial"/>
          <w:sz w:val="18"/>
          <w:szCs w:val="18"/>
          <w:i w:val="1"/>
          <w:iCs w:val="1"/>
          <w:color w:val="auto"/>
        </w:rPr>
        <w:t>Call of Duty: Black Ops III</w:t>
      </w:r>
      <w:r>
        <w:rPr>
          <w:rFonts w:ascii="Arial" w:cs="Arial" w:eastAsia="Arial" w:hAnsi="Arial"/>
          <w:sz w:val="18"/>
          <w:szCs w:val="18"/>
          <w:color w:val="auto"/>
        </w:rPr>
        <w:t>, as compared to prior catalog releases.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xml:space="preserve">The increase was partially offset by lower net revenues from </w:t>
      </w:r>
      <w:r>
        <w:rPr>
          <w:rFonts w:ascii="Arial" w:cs="Arial" w:eastAsia="Arial" w:hAnsi="Arial"/>
          <w:sz w:val="16"/>
          <w:szCs w:val="16"/>
          <w:i w:val="1"/>
          <w:iCs w:val="1"/>
          <w:color w:val="auto"/>
        </w:rPr>
        <w:t>Call of Duty: Infinite Warfare</w:t>
      </w:r>
      <w:r>
        <w:rPr>
          <w:rFonts w:ascii="Arial" w:cs="Arial" w:eastAsia="Arial" w:hAnsi="Arial"/>
          <w:sz w:val="16"/>
          <w:szCs w:val="16"/>
          <w:color w:val="auto"/>
        </w:rPr>
        <w:t xml:space="preserve">, which was released in November 2016, as compared to </w:t>
      </w:r>
      <w:r>
        <w:rPr>
          <w:rFonts w:ascii="Arial" w:cs="Arial" w:eastAsia="Arial" w:hAnsi="Arial"/>
          <w:sz w:val="16"/>
          <w:szCs w:val="16"/>
          <w:i w:val="1"/>
          <w:iCs w:val="1"/>
          <w:color w:val="auto"/>
        </w:rPr>
        <w:t>Call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 Duty: Black Ops III</w:t>
      </w:r>
      <w:r>
        <w:rPr>
          <w:rFonts w:ascii="Arial" w:cs="Arial" w:eastAsia="Arial" w:hAnsi="Arial"/>
          <w:sz w:val="18"/>
          <w:szCs w:val="18"/>
          <w:color w:val="auto"/>
        </w:rPr>
        <w:t>, the comparable 2015 title.</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YTD Q2 2018 vs. YTD Q2 2017</w:t>
      </w:r>
    </w:p>
    <w:p>
      <w:pPr>
        <w:spacing w:after="0" w:line="225"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increase in Activision’s net revenues for the six months ended June 30, 2018, as compared to the six months ended June 30, 2017, was primarily due to the same drivers and partially offsetting factors as for the three months ended June 30, 2018 discussed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Blizzard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Q2 2018 vs. Q2 2017</w:t>
      </w:r>
    </w:p>
    <w:p>
      <w:pPr>
        <w:spacing w:after="0" w:line="225"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 xml:space="preserve">The decrease in Blizzard’s net revenues for the three months ended June 30, 2018, as compared to the three months ended June 30, 2017, was primarily due to lower revenues from </w:t>
      </w:r>
      <w:r>
        <w:rPr>
          <w:rFonts w:ascii="Arial" w:cs="Arial" w:eastAsia="Arial" w:hAnsi="Arial"/>
          <w:sz w:val="18"/>
          <w:szCs w:val="18"/>
          <w:i w:val="1"/>
          <w:iCs w:val="1"/>
          <w:color w:val="auto"/>
        </w:rPr>
        <w:t>Overwatch</w:t>
      </w:r>
      <w:r>
        <w:rPr>
          <w:rFonts w:ascii="Arial" w:cs="Arial" w:eastAsia="Arial" w:hAnsi="Arial"/>
          <w:sz w:val="18"/>
          <w:szCs w:val="18"/>
          <w:color w:val="auto"/>
        </w:rPr>
        <w:t>, which was released in May 2016. The decrease was partially offset by revenues from the Overwatch League, which started its inaugural regular season in January 2018.</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YTD Q2 2018 vs. YTD Q2 2017</w:t>
      </w:r>
    </w:p>
    <w:p>
      <w:pPr>
        <w:spacing w:after="0" w:line="225" w:lineRule="exact"/>
        <w:rPr>
          <w:sz w:val="20"/>
          <w:szCs w:val="20"/>
          <w:color w:val="auto"/>
        </w:rPr>
      </w:pPr>
    </w:p>
    <w:p>
      <w:pPr>
        <w:jc w:val="both"/>
        <w:ind w:right="40" w:firstLine="405"/>
        <w:spacing w:after="0" w:line="277" w:lineRule="auto"/>
        <w:rPr>
          <w:sz w:val="20"/>
          <w:szCs w:val="20"/>
          <w:color w:val="auto"/>
        </w:rPr>
      </w:pPr>
      <w:r>
        <w:rPr>
          <w:rFonts w:ascii="Arial" w:cs="Arial" w:eastAsia="Arial" w:hAnsi="Arial"/>
          <w:sz w:val="18"/>
          <w:szCs w:val="18"/>
          <w:color w:val="auto"/>
        </w:rPr>
        <w:t xml:space="preserve">The decrease in Blizzard’s net revenues for the six months ended June 30, 2018, as compared to the six months ended June 30, 2017, was primarily due to lower revenues from </w:t>
      </w:r>
      <w:r>
        <w:rPr>
          <w:rFonts w:ascii="Arial" w:cs="Arial" w:eastAsia="Arial" w:hAnsi="Arial"/>
          <w:sz w:val="18"/>
          <w:szCs w:val="18"/>
          <w:i w:val="1"/>
          <w:iCs w:val="1"/>
          <w:color w:val="auto"/>
        </w:rPr>
        <w:t>Overwatch.</w:t>
      </w:r>
      <w:r>
        <w:rPr>
          <w:rFonts w:ascii="Arial" w:cs="Arial" w:eastAsia="Arial" w:hAnsi="Arial"/>
          <w:sz w:val="18"/>
          <w:szCs w:val="18"/>
          <w:color w:val="auto"/>
        </w:rPr>
        <w:t xml:space="preserve"> The decrease was partially offset by:</w:t>
      </w:r>
    </w:p>
    <w:p>
      <w:pPr>
        <w:spacing w:after="0" w:line="170" w:lineRule="exact"/>
        <w:rPr>
          <w:sz w:val="20"/>
          <w:szCs w:val="20"/>
          <w:color w:val="auto"/>
        </w:rPr>
      </w:pPr>
    </w:p>
    <w:p>
      <w:pPr>
        <w:ind w:left="940" w:hanging="284"/>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revenues from the Overwatch League; and</w:t>
      </w:r>
    </w:p>
    <w:p>
      <w:pPr>
        <w:spacing w:after="0" w:line="225" w:lineRule="exact"/>
        <w:rPr>
          <w:rFonts w:ascii="Arial" w:cs="Arial" w:eastAsia="Arial" w:hAnsi="Arial"/>
          <w:sz w:val="18"/>
          <w:szCs w:val="18"/>
          <w:color w:val="auto"/>
        </w:rPr>
      </w:pPr>
    </w:p>
    <w:p>
      <w:pPr>
        <w:ind w:left="980" w:right="20" w:hanging="324"/>
        <w:spacing w:after="0" w:line="292" w:lineRule="auto"/>
        <w:tabs>
          <w:tab w:leader="none" w:pos="944"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higher revenues from </w:t>
      </w:r>
      <w:r>
        <w:rPr>
          <w:rFonts w:ascii="Arial" w:cs="Arial" w:eastAsia="Arial" w:hAnsi="Arial"/>
          <w:sz w:val="18"/>
          <w:szCs w:val="18"/>
          <w:i w:val="1"/>
          <w:iCs w:val="1"/>
          <w:color w:val="auto"/>
        </w:rPr>
        <w:t>World of Warcraft</w:t>
      </w:r>
      <w:r>
        <w:rPr>
          <w:rFonts w:ascii="Arial" w:cs="Arial" w:eastAsia="Arial" w:hAnsi="Arial"/>
          <w:sz w:val="18"/>
          <w:szCs w:val="18"/>
          <w:color w:val="auto"/>
        </w:rPr>
        <w:t xml:space="preserve">, primarily due to revenues associated with in-game content delivered to customers upon pre-purchase of </w:t>
      </w:r>
      <w:r>
        <w:rPr>
          <w:rFonts w:ascii="Arial" w:cs="Arial" w:eastAsia="Arial" w:hAnsi="Arial"/>
          <w:sz w:val="18"/>
          <w:szCs w:val="18"/>
          <w:i w:val="1"/>
          <w:iCs w:val="1"/>
          <w:color w:val="auto"/>
        </w:rPr>
        <w:t>World of Warcraft: Battle for Azeroth</w:t>
      </w:r>
      <w:r>
        <w:rPr>
          <w:rFonts w:ascii="Arial" w:cs="Arial" w:eastAsia="Arial" w:hAnsi="Arial"/>
          <w:sz w:val="23"/>
          <w:szCs w:val="23"/>
          <w:color w:val="auto"/>
          <w:vertAlign w:val="superscript"/>
        </w:rPr>
        <w:t>TM</w:t>
      </w:r>
      <w:r>
        <w:rPr>
          <w:rFonts w:ascii="Arial" w:cs="Arial" w:eastAsia="Arial" w:hAnsi="Arial"/>
          <w:sz w:val="18"/>
          <w:szCs w:val="18"/>
          <w:color w:val="auto"/>
        </w:rPr>
        <w: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King</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Q2 2018 vs. Q2 2017</w:t>
      </w:r>
    </w:p>
    <w:p>
      <w:pPr>
        <w:spacing w:after="0" w:line="225" w:lineRule="exact"/>
        <w:rPr>
          <w:sz w:val="20"/>
          <w:szCs w:val="20"/>
          <w:color w:val="auto"/>
        </w:rPr>
      </w:pPr>
    </w:p>
    <w:p>
      <w:pPr>
        <w:ind w:right="20" w:firstLine="405"/>
        <w:spacing w:after="0" w:line="308" w:lineRule="auto"/>
        <w:rPr>
          <w:sz w:val="20"/>
          <w:szCs w:val="20"/>
          <w:color w:val="auto"/>
        </w:rPr>
      </w:pPr>
      <w:r>
        <w:rPr>
          <w:rFonts w:ascii="Arial" w:cs="Arial" w:eastAsia="Arial" w:hAnsi="Arial"/>
          <w:sz w:val="17"/>
          <w:szCs w:val="17"/>
          <w:color w:val="auto"/>
        </w:rPr>
        <w:t>The increase in King’s net revenues for the three months ended June 30, 2018, as compared to the three months ended June 30, 2017, was primarily due to higher revenues from the Candy Crush franchise’s increased monetization, primarily through in-game events and features.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YTD Q2 2018 vs. YTD Q2 2017</w:t>
      </w:r>
    </w:p>
    <w:p>
      <w:pPr>
        <w:spacing w:after="0" w:line="225"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increase in King’s net revenues for the six months ended June 30, 2018, as compared to the six months ended June 30, 2017, was primarily due to higher revenues from the Candy Crush franchise’s increased monetization, primarily through in-game events and features.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 from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Activision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Q2 2018 vs. Q2 2017</w:t>
      </w:r>
    </w:p>
    <w:p>
      <w:pPr>
        <w:spacing w:after="0" w:line="22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Activision’s operating income for the three months ended June 30, 2018, was comparable to the three months ended June 30, 2017, despite the increase in sales. This was primarily due to:</w:t>
      </w:r>
    </w:p>
    <w:p>
      <w:pPr>
        <w:spacing w:after="0" w:line="170" w:lineRule="exact"/>
        <w:rPr>
          <w:sz w:val="20"/>
          <w:szCs w:val="20"/>
          <w:color w:val="auto"/>
        </w:rPr>
      </w:pPr>
    </w:p>
    <w:p>
      <w:pPr>
        <w:ind w:left="980" w:right="80" w:hanging="324"/>
        <w:spacing w:after="0" w:line="277" w:lineRule="auto"/>
        <w:tabs>
          <w:tab w:leader="none" w:pos="944"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higher software amortization and royalties associated with the Destiny franchise, primarily due to the release of </w:t>
      </w:r>
      <w:r>
        <w:rPr>
          <w:rFonts w:ascii="Arial" w:cs="Arial" w:eastAsia="Arial" w:hAnsi="Arial"/>
          <w:sz w:val="18"/>
          <w:szCs w:val="18"/>
          <w:i w:val="1"/>
          <w:iCs w:val="1"/>
          <w:color w:val="auto"/>
        </w:rPr>
        <w:t>Warmind</w:t>
      </w:r>
      <w:r>
        <w:rPr>
          <w:rFonts w:ascii="Arial" w:cs="Arial" w:eastAsia="Arial" w:hAnsi="Arial"/>
          <w:sz w:val="18"/>
          <w:szCs w:val="18"/>
          <w:color w:val="auto"/>
        </w:rPr>
        <w:t xml:space="preserve">, the second expansion to </w:t>
      </w:r>
      <w:r>
        <w:rPr>
          <w:rFonts w:ascii="Arial" w:cs="Arial" w:eastAsia="Arial" w:hAnsi="Arial"/>
          <w:sz w:val="18"/>
          <w:szCs w:val="18"/>
          <w:i w:val="1"/>
          <w:iCs w:val="1"/>
          <w:color w:val="auto"/>
        </w:rPr>
        <w:t>Destiny 2,</w:t>
      </w:r>
      <w:r>
        <w:rPr>
          <w:rFonts w:ascii="Arial" w:cs="Arial" w:eastAsia="Arial" w:hAnsi="Arial"/>
          <w:sz w:val="18"/>
          <w:szCs w:val="18"/>
          <w:color w:val="auto"/>
        </w:rPr>
        <w:t xml:space="preserve"> in May 2018, with no comparable release in 2017;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higher developer costs to support existing and upcoming title releases.</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These were offset by lower sales and marketing costs, primarily associated with the Destiny franchise.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YTD Q2 2018 vs. YTD Q2 2017</w:t>
      </w:r>
    </w:p>
    <w:p>
      <w:pPr>
        <w:spacing w:after="0" w:line="225"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The increase in Activision’s operating income for the six months ended June 30, 2018, as compared to the six months ended June 30, 2017, was primarily due to:</w:t>
      </w:r>
    </w:p>
    <w:p>
      <w:pPr>
        <w:spacing w:after="0" w:line="170" w:lineRule="exact"/>
        <w:rPr>
          <w:sz w:val="20"/>
          <w:szCs w:val="20"/>
          <w:color w:val="auto"/>
        </w:rPr>
      </w:pPr>
    </w:p>
    <w:p>
      <w:pPr>
        <w:ind w:left="940" w:hanging="284"/>
        <w:spacing w:after="0"/>
        <w:tabs>
          <w:tab w:leader="none" w:pos="9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higher revenues, as discussed above; and</w:t>
      </w:r>
    </w:p>
    <w:p>
      <w:pPr>
        <w:sectPr>
          <w:pgSz w:w="11900" w:h="16838" w:orient="portrait"/>
          <w:cols w:equalWidth="0" w:num="1">
            <w:col w:w="11380"/>
          </w:cols>
          <w:pgMar w:left="240" w:top="125" w:right="279" w:bottom="0" w:gutter="0" w:footer="0" w:header="0"/>
        </w:sectPr>
      </w:pPr>
    </w:p>
    <w:bookmarkStart w:id="33" w:name="page34"/>
    <w:bookmarkEnd w:id="33"/>
    <w:p>
      <w:pPr>
        <w:ind w:left="420" w:right="4660" w:firstLine="236"/>
        <w:spacing w:after="0" w:line="501" w:lineRule="auto"/>
        <w:tabs>
          <w:tab w:leader="none" w:pos="951" w:val="left"/>
        </w:tabs>
        <w:numPr>
          <w:ilvl w:val="0"/>
          <w:numId w:val="50"/>
        </w:numPr>
        <w:rPr>
          <w:rFonts w:ascii="Arial" w:cs="Arial" w:eastAsia="Arial" w:hAnsi="Arial"/>
          <w:sz w:val="18"/>
          <w:szCs w:val="18"/>
          <w:color w:val="auto"/>
        </w:rPr>
      </w:pPr>
      <w:r>
        <w:rPr>
          <w:rFonts w:ascii="Arial" w:cs="Arial" w:eastAsia="Arial" w:hAnsi="Arial"/>
          <w:sz w:val="18"/>
          <w:szCs w:val="18"/>
          <w:color w:val="auto"/>
        </w:rPr>
        <w:t>lower sales and marketing costs, primarily associated with the Destiny franchise. The increase was partially offset by:</w:t>
      </w:r>
    </w:p>
    <w:p>
      <w:pPr>
        <w:ind w:left="980" w:right="280" w:hanging="324"/>
        <w:spacing w:after="0" w:line="277" w:lineRule="auto"/>
        <w:tabs>
          <w:tab w:leader="none" w:pos="944" w:val="left"/>
        </w:tabs>
        <w:numPr>
          <w:ilvl w:val="0"/>
          <w:numId w:val="50"/>
        </w:numPr>
        <w:rPr>
          <w:rFonts w:ascii="Arial" w:cs="Arial" w:eastAsia="Arial" w:hAnsi="Arial"/>
          <w:sz w:val="18"/>
          <w:szCs w:val="18"/>
          <w:color w:val="auto"/>
        </w:rPr>
      </w:pPr>
      <w:r>
        <w:rPr>
          <w:rFonts w:ascii="Arial" w:cs="Arial" w:eastAsia="Arial" w:hAnsi="Arial"/>
          <w:sz w:val="18"/>
          <w:szCs w:val="18"/>
          <w:color w:val="auto"/>
        </w:rPr>
        <w:t>higher developer costs to support existing and upcoming title releases, partially offset by higher capitalization of software development costs; and</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44"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higher software amortization and royalties associated with the Destiny franchise, primarily due to the release of </w:t>
      </w:r>
      <w:r>
        <w:rPr>
          <w:rFonts w:ascii="Arial" w:cs="Arial" w:eastAsia="Arial" w:hAnsi="Arial"/>
          <w:sz w:val="18"/>
          <w:szCs w:val="18"/>
          <w:i w:val="1"/>
          <w:iCs w:val="1"/>
          <w:color w:val="auto"/>
        </w:rPr>
        <w:t>Warmind</w:t>
      </w:r>
      <w:r>
        <w:rPr>
          <w:rFonts w:ascii="Arial" w:cs="Arial" w:eastAsia="Arial" w:hAnsi="Arial"/>
          <w:sz w:val="18"/>
          <w:szCs w:val="18"/>
          <w:color w:val="auto"/>
        </w:rPr>
        <w:t xml:space="preserve">, the second expansion to </w:t>
      </w:r>
      <w:r>
        <w:rPr>
          <w:rFonts w:ascii="Arial" w:cs="Arial" w:eastAsia="Arial" w:hAnsi="Arial"/>
          <w:sz w:val="18"/>
          <w:szCs w:val="18"/>
          <w:i w:val="1"/>
          <w:iCs w:val="1"/>
          <w:color w:val="auto"/>
        </w:rPr>
        <w:t>Destiny 2,</w:t>
      </w:r>
      <w:r>
        <w:rPr>
          <w:rFonts w:ascii="Arial" w:cs="Arial" w:eastAsia="Arial" w:hAnsi="Arial"/>
          <w:sz w:val="18"/>
          <w:szCs w:val="18"/>
          <w:color w:val="auto"/>
        </w:rPr>
        <w:t xml:space="preserve"> in May 2018, with no comparable release in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Blizzard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Q2 2018 vs. Q2 2017</w:t>
      </w:r>
    </w:p>
    <w:p>
      <w:pPr>
        <w:spacing w:after="0" w:line="225"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The decrease in Blizzard’s operating income for the three months ended June 30, 2018, as compared to the three months ended June 30, 2017, was primarily due to:</w:t>
      </w:r>
    </w:p>
    <w:p>
      <w:pPr>
        <w:spacing w:after="0" w:line="170" w:lineRule="exact"/>
        <w:rPr>
          <w:sz w:val="20"/>
          <w:szCs w:val="20"/>
          <w:color w:val="auto"/>
        </w:rPr>
      </w:pPr>
    </w:p>
    <w:p>
      <w:pPr>
        <w:ind w:left="940" w:hanging="284"/>
        <w:spacing w:after="0"/>
        <w:tabs>
          <w:tab w:leader="none" w:pos="9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lower revenues, as discussed above;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higher costs to operate and support Blizzard’s core business and adjacent areas of opportunity.</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decrease was partially offset by higher capitalization of software development costs due to the timing of the game development cycle.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YTD Q2 2018 vs. YTD Q2 2017</w:t>
      </w:r>
    </w:p>
    <w:p>
      <w:pPr>
        <w:spacing w:after="0" w:line="225"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decrease in Blizzard’s operating income for the six months ended June 30, 2018, as compared to the six months ended June 30, 2017, was primarily due to the same drivers and partially offsetting factors as for the three months ended June 30, 2018 discussed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King</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Q2 2018 vs. Q2 2017</w:t>
      </w:r>
    </w:p>
    <w:p>
      <w:pPr>
        <w:spacing w:after="0" w:line="22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increase in King’s operating income for the three months ended June 30, 2018, as compared to the three months ended June 30, 2017, was primarily due to the higher revenues, as discussed above.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YTD Q2 2018 vs. YTD Q2 2017</w:t>
      </w:r>
    </w:p>
    <w:p>
      <w:pPr>
        <w:spacing w:after="0" w:line="22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increase in King’s operating income for the six months ended June 30, 2018, as compared to the six months ended June 30, 2017, was primarily due to the higher revenues, as discussed above. The increase was partially offset by:</w:t>
      </w:r>
    </w:p>
    <w:p>
      <w:pPr>
        <w:spacing w:after="0" w:line="170" w:lineRule="exact"/>
        <w:rPr>
          <w:sz w:val="20"/>
          <w:szCs w:val="20"/>
          <w:color w:val="auto"/>
        </w:rPr>
      </w:pPr>
    </w:p>
    <w:p>
      <w:pPr>
        <w:ind w:left="940" w:hanging="284"/>
        <w:spacing w:after="0"/>
        <w:tabs>
          <w:tab w:leader="none" w:pos="9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higher marketing and product development costs for King franchises; and</w:t>
      </w:r>
    </w:p>
    <w:p>
      <w:pPr>
        <w:spacing w:after="0" w:line="225" w:lineRule="exact"/>
        <w:rPr>
          <w:rFonts w:ascii="Arial" w:cs="Arial" w:eastAsia="Arial" w:hAnsi="Arial"/>
          <w:sz w:val="18"/>
          <w:szCs w:val="18"/>
          <w:color w:val="auto"/>
        </w:rPr>
      </w:pPr>
    </w:p>
    <w:p>
      <w:pPr>
        <w:ind w:left="980" w:right="200" w:hanging="324"/>
        <w:spacing w:after="0" w:line="277" w:lineRule="auto"/>
        <w:tabs>
          <w:tab w:leader="none" w:pos="944" w:val="left"/>
        </w:tabs>
        <w:numPr>
          <w:ilvl w:val="0"/>
          <w:numId w:val="52"/>
        </w:numPr>
        <w:rPr>
          <w:rFonts w:ascii="Arial" w:cs="Arial" w:eastAsia="Arial" w:hAnsi="Arial"/>
          <w:sz w:val="18"/>
          <w:szCs w:val="18"/>
          <w:color w:val="auto"/>
        </w:rPr>
      </w:pPr>
      <w:r>
        <w:rPr>
          <w:rFonts w:ascii="Arial" w:cs="Arial" w:eastAsia="Arial" w:hAnsi="Arial"/>
          <w:sz w:val="18"/>
          <w:szCs w:val="18"/>
          <w:color w:val="auto"/>
        </w:rPr>
        <w:t>higher digital storefront fees (e.g. fees retained by Apple and Google for our sales on their platforms), primarily associated with the increase in mobile revenues.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Impact</w:t>
      </w:r>
    </w:p>
    <w:p>
      <w:pPr>
        <w:spacing w:after="0" w:line="225"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Changes in foreign exchange rates had a positive impact of $36 million and $108 million on reportable segment net revenues for the three and six months ended June 30, 2018, respectively, as compared to the same periods in the previous year. The changes are primarily due to changes in the value of the U.S. dollar relative to the euro and the British pound.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 by Distribution Channel</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details our consolidated net revenues by distribution channel (amounts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6"/>
          </w:tcPr>
          <w:p>
            <w:pPr>
              <w:jc w:val="right"/>
              <w:spacing w:after="0"/>
              <w:rPr>
                <w:sz w:val="20"/>
                <w:szCs w:val="20"/>
                <w:color w:val="auto"/>
              </w:rPr>
            </w:pPr>
            <w:r>
              <w:rPr>
                <w:rFonts w:ascii="Arial" w:cs="Arial" w:eastAsia="Arial" w:hAnsi="Arial"/>
                <w:sz w:val="14"/>
                <w:szCs w:val="14"/>
                <w:b w:val="1"/>
                <w:bCs w:val="1"/>
                <w:color w:val="auto"/>
              </w:rPr>
              <w:t>For the Three Months Ended June 30,</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80" w:type="dxa"/>
            <w:vAlign w:val="bottom"/>
            <w:gridSpan w:val="8"/>
          </w:tcPr>
          <w:p>
            <w:pPr>
              <w:ind w:left="32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19"/>
        </w:trPr>
        <w:tc>
          <w:tcPr>
            <w:tcW w:w="44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236"/>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right"/>
              <w:ind w:right="70"/>
              <w:spacing w:after="0" w:line="119" w:lineRule="exact"/>
              <w:rPr>
                <w:sz w:val="20"/>
                <w:szCs w:val="20"/>
                <w:color w:val="auto"/>
              </w:rPr>
            </w:pPr>
            <w:r>
              <w:rPr>
                <w:rFonts w:ascii="Arial" w:cs="Arial" w:eastAsia="Arial" w:hAnsi="Arial"/>
                <w:sz w:val="13"/>
                <w:szCs w:val="13"/>
                <w:b w:val="1"/>
                <w:bCs w:val="1"/>
                <w:color w:val="auto"/>
              </w:rPr>
              <w:t>Increase</w:t>
            </w:r>
          </w:p>
        </w:tc>
        <w:tc>
          <w:tcPr>
            <w:tcW w:w="28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115"/>
              <w:spacing w:after="0" w:line="119" w:lineRule="exact"/>
              <w:rPr>
                <w:sz w:val="20"/>
                <w:szCs w:val="20"/>
                <w:color w:val="auto"/>
              </w:rPr>
            </w:pPr>
            <w:r>
              <w:rPr>
                <w:rFonts w:ascii="Arial" w:cs="Arial" w:eastAsia="Arial" w:hAnsi="Arial"/>
                <w:sz w:val="13"/>
                <w:szCs w:val="13"/>
                <w:b w:val="1"/>
                <w:bCs w:val="1"/>
                <w:color w:val="auto"/>
                <w:w w:val="94"/>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9"/>
              </w:rPr>
              <w:t>(decrease)</w:t>
            </w:r>
          </w:p>
        </w:tc>
        <w:tc>
          <w:tcPr>
            <w:tcW w:w="2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3"/>
          </w:tcPr>
          <w:p>
            <w:pPr>
              <w:ind w:left="14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6"/>
        </w:trPr>
        <w:tc>
          <w:tcPr>
            <w:tcW w:w="4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revenues by distribution channel:</w:t>
            </w:r>
          </w:p>
        </w:tc>
        <w:tc>
          <w:tcPr>
            <w:tcW w:w="2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Digital online channels (1)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1,259</w:t>
            </w:r>
          </w:p>
        </w:tc>
        <w:tc>
          <w:tcPr>
            <w:tcW w:w="220" w:type="dxa"/>
            <w:vAlign w:val="bottom"/>
          </w:tcPr>
          <w:p>
            <w:pPr>
              <w:spacing w:after="0"/>
              <w:rPr>
                <w:sz w:val="18"/>
                <w:szCs w:val="18"/>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1,309</w:t>
            </w:r>
          </w:p>
        </w:tc>
        <w:tc>
          <w:tcPr>
            <w:tcW w:w="240" w:type="dxa"/>
            <w:vAlign w:val="bottom"/>
          </w:tcPr>
          <w:p>
            <w:pPr>
              <w:spacing w:after="0"/>
              <w:rPr>
                <w:sz w:val="18"/>
                <w:szCs w:val="18"/>
                <w:color w:val="auto"/>
              </w:rPr>
            </w:pPr>
          </w:p>
        </w:tc>
        <w:tc>
          <w:tcPr>
            <w:tcW w:w="420" w:type="dxa"/>
            <w:vAlign w:val="bottom"/>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(50)</w:t>
            </w:r>
          </w:p>
        </w:tc>
        <w:tc>
          <w:tcPr>
            <w:tcW w:w="280" w:type="dxa"/>
            <w:vAlign w:val="bottom"/>
          </w:tcPr>
          <w:p>
            <w:pPr>
              <w:spacing w:after="0"/>
              <w:rPr>
                <w:sz w:val="18"/>
                <w:szCs w:val="18"/>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2,720</w:t>
            </w:r>
          </w:p>
        </w:tc>
        <w:tc>
          <w:tcPr>
            <w:tcW w:w="2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2,694</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5"/>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Retail channels</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278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260</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690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529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(2)</w:t>
            </w: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104</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62</w:t>
            </w:r>
          </w:p>
        </w:tc>
        <w:tc>
          <w:tcPr>
            <w:tcW w:w="2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197</w:t>
            </w: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133</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consolidated net revenues</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1,641</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1,631</w:t>
            </w:r>
          </w:p>
        </w:tc>
        <w:tc>
          <w:tcPr>
            <w:tcW w:w="2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3,607</w:t>
            </w: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3,356</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0" w:hanging="652"/>
        <w:spacing w:after="0" w:line="277" w:lineRule="auto"/>
        <w:tabs>
          <w:tab w:leader="none" w:pos="667"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Net revenues from “Digital online channels” include revenues from digitally-distributed subscriptions, downloadable content, microtransactions, and products, as well as licensing royalties.</w:t>
      </w:r>
    </w:p>
    <w:p>
      <w:pPr>
        <w:spacing w:after="0" w:line="170" w:lineRule="exact"/>
        <w:rPr>
          <w:rFonts w:ascii="Arial" w:cs="Arial" w:eastAsia="Arial" w:hAnsi="Arial"/>
          <w:sz w:val="18"/>
          <w:szCs w:val="18"/>
          <w:color w:val="auto"/>
        </w:rPr>
      </w:pPr>
    </w:p>
    <w:p>
      <w:pPr>
        <w:ind w:left="660" w:right="540" w:hanging="652"/>
        <w:spacing w:after="0" w:line="277" w:lineRule="auto"/>
        <w:tabs>
          <w:tab w:leader="none" w:pos="667"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Net revenues from “Other” include revenues from our Studios and Distribution businesses, as well as revenues from MLG and the Overwatch League.</w:t>
      </w:r>
    </w:p>
    <w:p>
      <w:pPr>
        <w:sectPr>
          <w:pgSz w:w="11900" w:h="16838" w:orient="portrait"/>
          <w:cols w:equalWidth="0" w:num="1">
            <w:col w:w="11420"/>
          </w:cols>
          <w:pgMar w:left="240" w:top="125" w:right="239" w:bottom="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Digital Online Channel Net Revenues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Q2 2018 vs. Q2 2017</w:t>
      </w:r>
    </w:p>
    <w:p>
      <w:pPr>
        <w:spacing w:after="0" w:line="225"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decrease in net revenues from digital online channels for the three months ended June 30, 2018, as compared to the three months ended June 30, 2017, was primarily due to:</w:t>
      </w:r>
    </w:p>
    <w:p>
      <w:pPr>
        <w:spacing w:after="0" w:line="170" w:lineRule="exact"/>
        <w:rPr>
          <w:sz w:val="20"/>
          <w:szCs w:val="20"/>
          <w:color w:val="auto"/>
        </w:rPr>
      </w:pPr>
    </w:p>
    <w:p>
      <w:pPr>
        <w:ind w:left="940" w:hanging="284"/>
        <w:spacing w:after="0"/>
        <w:tabs>
          <w:tab w:leader="none" w:pos="9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lower revenues recognized from </w:t>
      </w:r>
      <w:r>
        <w:rPr>
          <w:rFonts w:ascii="Arial" w:cs="Arial" w:eastAsia="Arial" w:hAnsi="Arial"/>
          <w:sz w:val="18"/>
          <w:szCs w:val="18"/>
          <w:i w:val="1"/>
          <w:iCs w:val="1"/>
          <w:color w:val="auto"/>
        </w:rPr>
        <w:t>Overwatch</w:t>
      </w:r>
      <w:r>
        <w:rPr>
          <w:rFonts w:ascii="Arial" w:cs="Arial" w:eastAsia="Arial" w:hAnsi="Arial"/>
          <w:sz w:val="18"/>
          <w:szCs w:val="18"/>
          <w:color w:val="auto"/>
        </w:rPr>
        <w:t>, which was released in May 2016; and</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44"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lower revenues recognized from </w:t>
      </w:r>
      <w:r>
        <w:rPr>
          <w:rFonts w:ascii="Arial" w:cs="Arial" w:eastAsia="Arial" w:hAnsi="Arial"/>
          <w:sz w:val="18"/>
          <w:szCs w:val="18"/>
          <w:i w:val="1"/>
          <w:iCs w:val="1"/>
          <w:color w:val="auto"/>
        </w:rPr>
        <w:t>Call of Duty: Infinite Warfare</w:t>
      </w:r>
      <w:r>
        <w:rPr>
          <w:rFonts w:ascii="Arial" w:cs="Arial" w:eastAsia="Arial" w:hAnsi="Arial"/>
          <w:sz w:val="18"/>
          <w:szCs w:val="18"/>
          <w:color w:val="auto"/>
        </w:rPr>
        <w:t xml:space="preserve">, which was released in November 2016, as compared to </w:t>
      </w:r>
      <w:r>
        <w:rPr>
          <w:rFonts w:ascii="Arial" w:cs="Arial" w:eastAsia="Arial" w:hAnsi="Arial"/>
          <w:sz w:val="18"/>
          <w:szCs w:val="18"/>
          <w:i w:val="1"/>
          <w:iCs w:val="1"/>
          <w:color w:val="auto"/>
        </w:rPr>
        <w:t>Call of Duty: Black Ops</w:t>
      </w:r>
      <w:r>
        <w:rPr>
          <w:rFonts w:ascii="Arial" w:cs="Arial" w:eastAsia="Arial" w:hAnsi="Arial"/>
          <w:sz w:val="18"/>
          <w:szCs w:val="18"/>
          <w:color w:val="auto"/>
        </w:rPr>
        <w:t xml:space="preserve"> </w:t>
      </w:r>
      <w:r>
        <w:rPr>
          <w:rFonts w:ascii="Arial" w:cs="Arial" w:eastAsia="Arial" w:hAnsi="Arial"/>
          <w:sz w:val="18"/>
          <w:szCs w:val="18"/>
          <w:i w:val="1"/>
          <w:iCs w:val="1"/>
          <w:color w:val="auto"/>
        </w:rPr>
        <w:t>III</w:t>
      </w:r>
      <w:r>
        <w:rPr>
          <w:rFonts w:ascii="Arial" w:cs="Arial" w:eastAsia="Arial" w:hAnsi="Arial"/>
          <w:sz w:val="18"/>
          <w:szCs w:val="18"/>
          <w:color w:val="auto"/>
        </w:rPr>
        <w:t>, the comparable 2015 title.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decrease was partially offset by:</w:t>
      </w:r>
    </w:p>
    <w:p>
      <w:pPr>
        <w:spacing w:after="0" w:line="225" w:lineRule="exact"/>
        <w:rPr>
          <w:sz w:val="20"/>
          <w:szCs w:val="20"/>
          <w:color w:val="auto"/>
        </w:rPr>
      </w:pPr>
    </w:p>
    <w:p>
      <w:pPr>
        <w:ind w:left="940" w:hanging="284"/>
        <w:spacing w:after="0"/>
        <w:tabs>
          <w:tab w:leader="none" w:pos="9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higher revenues from the Candy Crush franchise due to increased monetization, primarily through in-game events and features; and</w:t>
      </w:r>
    </w:p>
    <w:p>
      <w:pPr>
        <w:spacing w:after="0" w:line="236" w:lineRule="exact"/>
        <w:rPr>
          <w:rFonts w:ascii="Arial" w:cs="Arial" w:eastAsia="Arial" w:hAnsi="Arial"/>
          <w:sz w:val="17"/>
          <w:szCs w:val="17"/>
          <w:color w:val="auto"/>
        </w:rPr>
      </w:pPr>
    </w:p>
    <w:p>
      <w:pPr>
        <w:ind w:left="980" w:right="140" w:hanging="324"/>
        <w:spacing w:after="0" w:line="277" w:lineRule="auto"/>
        <w:tabs>
          <w:tab w:leader="none" w:pos="944"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higher revenues recognized from the Destiny franchise, driven by </w:t>
      </w:r>
      <w:r>
        <w:rPr>
          <w:rFonts w:ascii="Arial" w:cs="Arial" w:eastAsia="Arial" w:hAnsi="Arial"/>
          <w:sz w:val="18"/>
          <w:szCs w:val="18"/>
          <w:i w:val="1"/>
          <w:iCs w:val="1"/>
          <w:color w:val="auto"/>
        </w:rPr>
        <w:t>Destiny 2</w:t>
      </w:r>
      <w:r>
        <w:rPr>
          <w:rFonts w:ascii="Arial" w:cs="Arial" w:eastAsia="Arial" w:hAnsi="Arial"/>
          <w:sz w:val="18"/>
          <w:szCs w:val="18"/>
          <w:color w:val="auto"/>
        </w:rPr>
        <w:t>, which was released in September 2017, and its associated in-game content, with no comparable release in 2016.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YTD Q2 2018 vs. YTD Q2 2017</w:t>
      </w:r>
    </w:p>
    <w:p>
      <w:pPr>
        <w:spacing w:after="0" w:line="225"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increase in net revenues from digital online channels for the six months ended June 30, 2018, as compared to the six months ended June 30, 2017, was primarily due to:</w:t>
      </w:r>
    </w:p>
    <w:p>
      <w:pPr>
        <w:spacing w:after="0" w:line="170" w:lineRule="exact"/>
        <w:rPr>
          <w:sz w:val="20"/>
          <w:szCs w:val="20"/>
          <w:color w:val="auto"/>
        </w:rPr>
      </w:pPr>
    </w:p>
    <w:p>
      <w:pPr>
        <w:ind w:left="940" w:hanging="284"/>
        <w:spacing w:after="0"/>
        <w:tabs>
          <w:tab w:leader="none" w:pos="9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higher revenues from the Candy Crush franchise due to increased monetization, primarily through in-game events and features; and</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higher revenues recognized from the Destiny franchise, driven by </w:t>
      </w:r>
      <w:r>
        <w:rPr>
          <w:rFonts w:ascii="Arial" w:cs="Arial" w:eastAsia="Arial" w:hAnsi="Arial"/>
          <w:sz w:val="18"/>
          <w:szCs w:val="18"/>
          <w:i w:val="1"/>
          <w:iCs w:val="1"/>
          <w:color w:val="auto"/>
        </w:rPr>
        <w:t>Destiny 2.</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increase was partially offset by:</w:t>
      </w:r>
    </w:p>
    <w:p>
      <w:pPr>
        <w:spacing w:after="0" w:line="225" w:lineRule="exact"/>
        <w:rPr>
          <w:sz w:val="20"/>
          <w:szCs w:val="20"/>
          <w:color w:val="auto"/>
        </w:rPr>
      </w:pPr>
    </w:p>
    <w:p>
      <w:pPr>
        <w:ind w:left="940" w:hanging="284"/>
        <w:spacing w:after="0"/>
        <w:tabs>
          <w:tab w:leader="none" w:pos="9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lower revenues recognized from </w:t>
      </w:r>
      <w:r>
        <w:rPr>
          <w:rFonts w:ascii="Arial" w:cs="Arial" w:eastAsia="Arial" w:hAnsi="Arial"/>
          <w:sz w:val="18"/>
          <w:szCs w:val="18"/>
          <w:i w:val="1"/>
          <w:iCs w:val="1"/>
          <w:color w:val="auto"/>
        </w:rPr>
        <w:t>Overwatch</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right="2740" w:firstLine="656"/>
        <w:spacing w:after="0" w:line="501" w:lineRule="auto"/>
        <w:tabs>
          <w:tab w:leader="none" w:pos="936"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lower revenues recognized from </w:t>
      </w:r>
      <w:r>
        <w:rPr>
          <w:rFonts w:ascii="Arial" w:cs="Arial" w:eastAsia="Arial" w:hAnsi="Arial"/>
          <w:sz w:val="18"/>
          <w:szCs w:val="18"/>
          <w:i w:val="1"/>
          <w:iCs w:val="1"/>
          <w:color w:val="auto"/>
        </w:rPr>
        <w:t>Call of Duty: Infinite Warfare</w:t>
      </w:r>
      <w:r>
        <w:rPr>
          <w:rFonts w:ascii="Arial" w:cs="Arial" w:eastAsia="Arial" w:hAnsi="Arial"/>
          <w:sz w:val="18"/>
          <w:szCs w:val="18"/>
          <w:color w:val="auto"/>
        </w:rPr>
        <w:t xml:space="preserve">, as compared to </w:t>
      </w:r>
      <w:r>
        <w:rPr>
          <w:rFonts w:ascii="Arial" w:cs="Arial" w:eastAsia="Arial" w:hAnsi="Arial"/>
          <w:sz w:val="18"/>
          <w:szCs w:val="18"/>
          <w:i w:val="1"/>
          <w:iCs w:val="1"/>
          <w:color w:val="auto"/>
        </w:rPr>
        <w:t>Call of Duty: Black Ops III.</w:t>
      </w:r>
      <w:r>
        <w:rPr>
          <w:rFonts w:ascii="Arial" w:cs="Arial" w:eastAsia="Arial" w:hAnsi="Arial"/>
          <w:sz w:val="18"/>
          <w:szCs w:val="18"/>
          <w:color w:val="auto"/>
        </w:rPr>
        <w:t xml:space="preserve"> </w:t>
      </w:r>
      <w:r>
        <w:rPr>
          <w:rFonts w:ascii="Arial" w:cs="Arial" w:eastAsia="Arial" w:hAnsi="Arial"/>
          <w:sz w:val="18"/>
          <w:szCs w:val="18"/>
          <w:i w:val="1"/>
          <w:iCs w:val="1"/>
          <w:color w:val="auto"/>
        </w:rPr>
        <w:t>Retail Channel Net Revenues</w:t>
      </w:r>
    </w:p>
    <w:p>
      <w:pPr>
        <w:ind w:left="420"/>
        <w:spacing w:after="0"/>
        <w:rPr>
          <w:sz w:val="20"/>
          <w:szCs w:val="20"/>
          <w:color w:val="auto"/>
        </w:rPr>
      </w:pPr>
      <w:r>
        <w:rPr>
          <w:rFonts w:ascii="Arial" w:cs="Arial" w:eastAsia="Arial" w:hAnsi="Arial"/>
          <w:sz w:val="18"/>
          <w:szCs w:val="18"/>
          <w:u w:val="single" w:color="auto"/>
          <w:color w:val="auto"/>
        </w:rPr>
        <w:t>Q2 2018 vs. Q2 2017</w:t>
      </w:r>
    </w:p>
    <w:p>
      <w:pPr>
        <w:spacing w:after="0" w:line="225" w:lineRule="exact"/>
        <w:rPr>
          <w:sz w:val="20"/>
          <w:szCs w:val="20"/>
          <w:color w:val="auto"/>
        </w:rPr>
      </w:pPr>
    </w:p>
    <w:p>
      <w:pPr>
        <w:jc w:val="both"/>
        <w:ind w:right="80" w:firstLine="405"/>
        <w:spacing w:after="0" w:line="312" w:lineRule="auto"/>
        <w:rPr>
          <w:sz w:val="20"/>
          <w:szCs w:val="20"/>
          <w:color w:val="auto"/>
        </w:rPr>
      </w:pPr>
      <w:r>
        <w:rPr>
          <w:rFonts w:ascii="Arial" w:cs="Arial" w:eastAsia="Arial" w:hAnsi="Arial"/>
          <w:sz w:val="16"/>
          <w:szCs w:val="16"/>
          <w:color w:val="auto"/>
        </w:rPr>
        <w:t xml:space="preserve">The increase in net revenues from retail channels for the three months ended June 30, 2018, as compared to the three months ended June 30, 2017, was primarily due to higher revenues recognized from </w:t>
      </w:r>
      <w:r>
        <w:rPr>
          <w:rFonts w:ascii="Arial" w:cs="Arial" w:eastAsia="Arial" w:hAnsi="Arial"/>
          <w:sz w:val="16"/>
          <w:szCs w:val="16"/>
          <w:i w:val="1"/>
          <w:iCs w:val="1"/>
          <w:color w:val="auto"/>
        </w:rPr>
        <w:t>Call of Duty: WWII</w:t>
      </w:r>
      <w:r>
        <w:rPr>
          <w:rFonts w:ascii="Arial" w:cs="Arial" w:eastAsia="Arial" w:hAnsi="Arial"/>
          <w:sz w:val="16"/>
          <w:szCs w:val="16"/>
          <w:color w:val="auto"/>
        </w:rPr>
        <w:t xml:space="preserve">, which was released in November 2017, as compared to </w:t>
      </w:r>
      <w:r>
        <w:rPr>
          <w:rFonts w:ascii="Arial" w:cs="Arial" w:eastAsia="Arial" w:hAnsi="Arial"/>
          <w:sz w:val="16"/>
          <w:szCs w:val="16"/>
          <w:i w:val="1"/>
          <w:iCs w:val="1"/>
          <w:color w:val="auto"/>
        </w:rPr>
        <w:t>Call of Duty: Infinite Warfare,</w:t>
      </w:r>
      <w:r>
        <w:rPr>
          <w:rFonts w:ascii="Arial" w:cs="Arial" w:eastAsia="Arial" w:hAnsi="Arial"/>
          <w:sz w:val="16"/>
          <w:szCs w:val="16"/>
          <w:color w:val="auto"/>
        </w:rPr>
        <w:t xml:space="preserve"> the comparable 2016 title. The increase was partially offset by lower revenues recognized from </w:t>
      </w:r>
      <w:r>
        <w:rPr>
          <w:rFonts w:ascii="Arial" w:cs="Arial" w:eastAsia="Arial" w:hAnsi="Arial"/>
          <w:sz w:val="16"/>
          <w:szCs w:val="16"/>
          <w:i w:val="1"/>
          <w:iCs w:val="1"/>
          <w:color w:val="auto"/>
        </w:rPr>
        <w:t>Overwatch</w:t>
      </w:r>
      <w:r>
        <w:rPr>
          <w:rFonts w:ascii="Arial" w:cs="Arial" w:eastAsia="Arial" w:hAnsi="Arial"/>
          <w:sz w:val="16"/>
          <w:szCs w:val="16"/>
          <w:color w:val="auto"/>
        </w:rPr>
        <w:t>, which was released in May 2016.</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YTD Q2 2018 vs. YTD Q2 2017</w:t>
      </w:r>
    </w:p>
    <w:p>
      <w:pPr>
        <w:spacing w:after="0" w:line="225" w:lineRule="exact"/>
        <w:rPr>
          <w:sz w:val="20"/>
          <w:szCs w:val="20"/>
          <w:color w:val="auto"/>
        </w:rPr>
      </w:pPr>
    </w:p>
    <w:p>
      <w:pPr>
        <w:ind w:right="420" w:firstLine="405"/>
        <w:spacing w:after="0" w:line="312" w:lineRule="auto"/>
        <w:rPr>
          <w:sz w:val="20"/>
          <w:szCs w:val="20"/>
          <w:color w:val="auto"/>
        </w:rPr>
      </w:pPr>
      <w:r>
        <w:rPr>
          <w:rFonts w:ascii="Arial" w:cs="Arial" w:eastAsia="Arial" w:hAnsi="Arial"/>
          <w:sz w:val="16"/>
          <w:szCs w:val="16"/>
          <w:color w:val="auto"/>
        </w:rPr>
        <w:t xml:space="preserve">The increase in net revenues from retail channels for the six months ended June 30, 2018, as compared to the six months ended June 30, 2017, was primarily due to the same driver and partially offsetting factor as for the three months ended June 30, 2018 discussed above, as well as higher revenues recognized from the Destiny franchise, driven by </w:t>
      </w:r>
      <w:r>
        <w:rPr>
          <w:rFonts w:ascii="Arial" w:cs="Arial" w:eastAsia="Arial" w:hAnsi="Arial"/>
          <w:sz w:val="16"/>
          <w:szCs w:val="16"/>
          <w:i w:val="1"/>
          <w:iCs w:val="1"/>
          <w:color w:val="auto"/>
        </w:rPr>
        <w:t>Destiny 2</w:t>
      </w:r>
      <w:r>
        <w:rPr>
          <w:rFonts w:ascii="Arial" w:cs="Arial" w:eastAsia="Arial" w:hAnsi="Arial"/>
          <w:sz w:val="16"/>
          <w:szCs w:val="16"/>
          <w:color w:val="auto"/>
        </w:rPr>
        <w:t>, which was released in September 2017, with no comparable release in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 by Geographic Region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details our consolidated net revenues by geographic region (amounts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40" w:type="dxa"/>
            <w:vAlign w:val="bottom"/>
            <w:gridSpan w:val="8"/>
          </w:tcPr>
          <w:p>
            <w:pPr>
              <w:ind w:left="480"/>
              <w:spacing w:after="0"/>
              <w:rPr>
                <w:sz w:val="20"/>
                <w:szCs w:val="20"/>
                <w:color w:val="auto"/>
              </w:rPr>
            </w:pPr>
            <w:r>
              <w:rPr>
                <w:rFonts w:ascii="Arial" w:cs="Arial" w:eastAsia="Arial" w:hAnsi="Arial"/>
                <w:sz w:val="14"/>
                <w:szCs w:val="14"/>
                <w:b w:val="1"/>
                <w:bCs w:val="1"/>
                <w:color w:val="auto"/>
              </w:rPr>
              <w:t>For the Three Months Ended June 30,</w:t>
            </w:r>
          </w:p>
        </w:tc>
        <w:tc>
          <w:tcPr>
            <w:tcW w:w="300" w:type="dxa"/>
            <w:vAlign w:val="bottom"/>
          </w:tcPr>
          <w:p>
            <w:pPr>
              <w:spacing w:after="0"/>
              <w:rPr>
                <w:sz w:val="14"/>
                <w:szCs w:val="14"/>
                <w:color w:val="auto"/>
              </w:rPr>
            </w:pPr>
          </w:p>
        </w:tc>
        <w:tc>
          <w:tcPr>
            <w:tcW w:w="3640" w:type="dxa"/>
            <w:vAlign w:val="bottom"/>
            <w:gridSpan w:val="8"/>
          </w:tcPr>
          <w:p>
            <w:pPr>
              <w:ind w:left="54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117"/>
              <w:spacing w:after="0" w:line="119" w:lineRule="exact"/>
              <w:rPr>
                <w:sz w:val="20"/>
                <w:szCs w:val="20"/>
                <w:color w:val="auto"/>
              </w:rPr>
            </w:pPr>
            <w:r>
              <w:rPr>
                <w:rFonts w:ascii="Arial" w:cs="Arial" w:eastAsia="Arial" w:hAnsi="Arial"/>
                <w:sz w:val="13"/>
                <w:szCs w:val="13"/>
                <w:b w:val="1"/>
                <w:bCs w:val="1"/>
                <w:color w:val="auto"/>
                <w:w w:val="98"/>
              </w:rPr>
              <w:t>Increase</w:t>
            </w:r>
          </w:p>
        </w:tc>
        <w:tc>
          <w:tcPr>
            <w:tcW w:w="24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6"/>
        </w:trPr>
        <w:tc>
          <w:tcPr>
            <w:tcW w:w="3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revenues by geographic region:</w:t>
            </w:r>
          </w:p>
        </w:tc>
        <w:tc>
          <w:tcPr>
            <w:tcW w:w="3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Americas</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900</w:t>
            </w:r>
          </w:p>
        </w:tc>
        <w:tc>
          <w:tcPr>
            <w:tcW w:w="220" w:type="dxa"/>
            <w:vAlign w:val="bottom"/>
          </w:tcPr>
          <w:p>
            <w:pPr>
              <w:spacing w:after="0"/>
              <w:rPr>
                <w:sz w:val="18"/>
                <w:szCs w:val="18"/>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858</w:t>
            </w:r>
          </w:p>
        </w:tc>
        <w:tc>
          <w:tcPr>
            <w:tcW w:w="2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center"/>
              <w:ind w:left="457"/>
              <w:spacing w:after="0"/>
              <w:rPr>
                <w:sz w:val="20"/>
                <w:szCs w:val="20"/>
                <w:color w:val="auto"/>
              </w:rPr>
            </w:pPr>
            <w:r>
              <w:rPr>
                <w:rFonts w:ascii="Arial" w:cs="Arial" w:eastAsia="Arial" w:hAnsi="Arial"/>
                <w:sz w:val="18"/>
                <w:szCs w:val="18"/>
                <w:color w:val="auto"/>
                <w:w w:val="89"/>
              </w:rPr>
              <w:t>42</w:t>
            </w:r>
          </w:p>
        </w:tc>
        <w:tc>
          <w:tcPr>
            <w:tcW w:w="240" w:type="dxa"/>
            <w:vAlign w:val="bottom"/>
          </w:tcPr>
          <w:p>
            <w:pPr>
              <w:spacing w:after="0"/>
              <w:rPr>
                <w:sz w:val="18"/>
                <w:szCs w:val="18"/>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1,966</w:t>
            </w:r>
          </w:p>
        </w:tc>
        <w:tc>
          <w:tcPr>
            <w:tcW w:w="200" w:type="dxa"/>
            <w:vAlign w:val="bottom"/>
          </w:tcPr>
          <w:p>
            <w:pPr>
              <w:spacing w:after="0"/>
              <w:rPr>
                <w:sz w:val="18"/>
                <w:szCs w:val="18"/>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1,787</w:t>
            </w:r>
          </w:p>
        </w:tc>
        <w:tc>
          <w:tcPr>
            <w:tcW w:w="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ind w:left="54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EMEA (1)</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552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538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left="457"/>
              <w:spacing w:after="0"/>
              <w:rPr>
                <w:sz w:val="20"/>
                <w:szCs w:val="20"/>
                <w:color w:val="auto"/>
              </w:rPr>
            </w:pPr>
            <w:r>
              <w:rPr>
                <w:rFonts w:ascii="Arial" w:cs="Arial" w:eastAsia="Arial" w:hAnsi="Arial"/>
                <w:sz w:val="18"/>
                <w:szCs w:val="18"/>
                <w:color w:val="auto"/>
                <w:w w:val="89"/>
              </w:rPr>
              <w:t>14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1,239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1,092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Asia Pacific</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189</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235</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left="457"/>
              <w:spacing w:after="0"/>
              <w:rPr>
                <w:sz w:val="20"/>
                <w:szCs w:val="20"/>
                <w:color w:val="auto"/>
              </w:rPr>
            </w:pPr>
            <w:r>
              <w:rPr>
                <w:rFonts w:ascii="Arial" w:cs="Arial" w:eastAsia="Arial" w:hAnsi="Arial"/>
                <w:sz w:val="18"/>
                <w:szCs w:val="18"/>
                <w:color w:val="auto"/>
                <w:w w:val="93"/>
              </w:rPr>
              <w:t>(46)</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402</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477</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net revenues</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1,641</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1,631</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center"/>
              <w:ind w:left="457"/>
              <w:spacing w:after="0"/>
              <w:rPr>
                <w:sz w:val="20"/>
                <w:szCs w:val="20"/>
                <w:color w:val="auto"/>
              </w:rPr>
            </w:pPr>
            <w:r>
              <w:rPr>
                <w:rFonts w:ascii="Arial" w:cs="Arial" w:eastAsia="Arial" w:hAnsi="Arial"/>
                <w:sz w:val="18"/>
                <w:szCs w:val="18"/>
                <w:color w:val="auto"/>
                <w:w w:val="89"/>
              </w:rPr>
              <w:t>10</w:t>
            </w: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3,607</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3,356</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20" w:right="5160" w:hanging="5612"/>
        <w:spacing w:after="0" w:line="432"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“EMEA” consists of the Europe, Middle East, and Africa geographic regions.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276860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Q2 2018 vs. Q2 2017</w:t>
      </w:r>
    </w:p>
    <w:p>
      <w:pPr>
        <w:sectPr>
          <w:pgSz w:w="11900" w:h="16838" w:orient="portrait"/>
          <w:cols w:equalWidth="0" w:num="1">
            <w:col w:w="11420"/>
          </w:cols>
          <w:pgMar w:left="240" w:top="125" w:right="239" w:bottom="0" w:gutter="0" w:footer="0" w:header="0"/>
        </w:sectPr>
      </w:pPr>
    </w:p>
    <w:bookmarkStart w:id="35" w:name="page36"/>
    <w:bookmarkEnd w:id="35"/>
    <w:p>
      <w:pPr>
        <w:ind w:right="40" w:firstLine="405"/>
        <w:spacing w:after="0" w:line="342" w:lineRule="auto"/>
        <w:rPr>
          <w:sz w:val="20"/>
          <w:szCs w:val="20"/>
          <w:color w:val="auto"/>
        </w:rPr>
      </w:pPr>
      <w:r>
        <w:rPr>
          <w:rFonts w:ascii="Arial" w:cs="Arial" w:eastAsia="Arial" w:hAnsi="Arial"/>
          <w:sz w:val="16"/>
          <w:szCs w:val="16"/>
          <w:color w:val="auto"/>
        </w:rPr>
        <w:t>The increase in net revenues from the Americas region for the three months ended June 30, 2018, as compared to the three months ended June 30, 2017, was primarily due to higher revenues from the Candy Crush franchise due to increased monetization, primarily through in-game events and features.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YTD Q2 2018 vs. YTD Q2 2017</w:t>
      </w:r>
    </w:p>
    <w:p>
      <w:pPr>
        <w:spacing w:after="0" w:line="22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increase in net revenues from the Americas region for the six months ended June 30, 2018, as compared to the six months ended June 30, 2017, was primarily due to:</w:t>
      </w:r>
    </w:p>
    <w:p>
      <w:pPr>
        <w:spacing w:after="0" w:line="170" w:lineRule="exact"/>
        <w:rPr>
          <w:sz w:val="20"/>
          <w:szCs w:val="20"/>
          <w:color w:val="auto"/>
        </w:rPr>
      </w:pPr>
    </w:p>
    <w:p>
      <w:pPr>
        <w:ind w:left="980" w:right="140" w:hanging="324"/>
        <w:spacing w:after="0" w:line="277" w:lineRule="auto"/>
        <w:tabs>
          <w:tab w:leader="none" w:pos="944"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higher revenues recognized from the Destiny franchise, driven by </w:t>
      </w:r>
      <w:r>
        <w:rPr>
          <w:rFonts w:ascii="Arial" w:cs="Arial" w:eastAsia="Arial" w:hAnsi="Arial"/>
          <w:sz w:val="18"/>
          <w:szCs w:val="18"/>
          <w:i w:val="1"/>
          <w:iCs w:val="1"/>
          <w:color w:val="auto"/>
        </w:rPr>
        <w:t>Destiny 2,</w:t>
      </w:r>
      <w:r>
        <w:rPr>
          <w:rFonts w:ascii="Arial" w:cs="Arial" w:eastAsia="Arial" w:hAnsi="Arial"/>
          <w:sz w:val="18"/>
          <w:szCs w:val="18"/>
          <w:color w:val="auto"/>
        </w:rPr>
        <w:t xml:space="preserve"> which was released in September 2017, and its associated in-game content, with no comparable release in 2016;</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higher revenues from the Candy Crush franchise due to increased monetization, primarily through in-game events and features; and</w:t>
      </w:r>
    </w:p>
    <w:p>
      <w:pPr>
        <w:spacing w:after="0" w:line="236" w:lineRule="exact"/>
        <w:rPr>
          <w:rFonts w:ascii="Arial" w:cs="Arial" w:eastAsia="Arial" w:hAnsi="Arial"/>
          <w:sz w:val="17"/>
          <w:szCs w:val="17"/>
          <w:color w:val="auto"/>
        </w:rPr>
      </w:pPr>
    </w:p>
    <w:p>
      <w:pPr>
        <w:ind w:left="980" w:right="80" w:hanging="324"/>
        <w:spacing w:after="0" w:line="277" w:lineRule="auto"/>
        <w:tabs>
          <w:tab w:leader="none" w:pos="944"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higher revenues recognized from </w:t>
      </w:r>
      <w:r>
        <w:rPr>
          <w:rFonts w:ascii="Arial" w:cs="Arial" w:eastAsia="Arial" w:hAnsi="Arial"/>
          <w:sz w:val="18"/>
          <w:szCs w:val="18"/>
          <w:i w:val="1"/>
          <w:iCs w:val="1"/>
          <w:color w:val="auto"/>
        </w:rPr>
        <w:t>Call of Duty: WWII</w:t>
      </w:r>
      <w:r>
        <w:rPr>
          <w:rFonts w:ascii="Arial" w:cs="Arial" w:eastAsia="Arial" w:hAnsi="Arial"/>
          <w:sz w:val="18"/>
          <w:szCs w:val="18"/>
          <w:color w:val="auto"/>
        </w:rPr>
        <w:t xml:space="preserve">, which was released in November 2017, as compared to </w:t>
      </w:r>
      <w:r>
        <w:rPr>
          <w:rFonts w:ascii="Arial" w:cs="Arial" w:eastAsia="Arial" w:hAnsi="Arial"/>
          <w:sz w:val="18"/>
          <w:szCs w:val="18"/>
          <w:i w:val="1"/>
          <w:iCs w:val="1"/>
          <w:color w:val="auto"/>
        </w:rPr>
        <w:t>Call of Duty: Infinite Warfare,</w:t>
      </w:r>
      <w:r>
        <w:rPr>
          <w:rFonts w:ascii="Arial" w:cs="Arial" w:eastAsia="Arial" w:hAnsi="Arial"/>
          <w:sz w:val="18"/>
          <w:szCs w:val="18"/>
          <w:color w:val="auto"/>
        </w:rPr>
        <w:t xml:space="preserve"> the comparable 2016 title.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xml:space="preserve">The increase was partially offset by lower revenues recognized from </w:t>
      </w:r>
      <w:r>
        <w:rPr>
          <w:rFonts w:ascii="Arial" w:cs="Arial" w:eastAsia="Arial" w:hAnsi="Arial"/>
          <w:sz w:val="16"/>
          <w:szCs w:val="16"/>
          <w:i w:val="1"/>
          <w:iCs w:val="1"/>
          <w:color w:val="auto"/>
        </w:rPr>
        <w:t>Call of Duty: Infinite Warfare</w:t>
      </w:r>
      <w:r>
        <w:rPr>
          <w:rFonts w:ascii="Arial" w:cs="Arial" w:eastAsia="Arial" w:hAnsi="Arial"/>
          <w:sz w:val="16"/>
          <w:szCs w:val="16"/>
          <w:color w:val="auto"/>
        </w:rPr>
        <w:t>, which was released in November 2016, as compared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i w:val="1"/>
          <w:iCs w:val="1"/>
          <w:color w:val="auto"/>
        </w:rPr>
        <w:t>Call of Duty: Black Ops III,</w:t>
      </w:r>
      <w:r>
        <w:rPr>
          <w:rFonts w:ascii="Arial" w:cs="Arial" w:eastAsia="Arial" w:hAnsi="Arial"/>
          <w:sz w:val="18"/>
          <w:szCs w:val="18"/>
          <w:color w:val="auto"/>
        </w:rPr>
        <w:t xml:space="preserve"> the comparable 2015 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EMEA</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Q2 2018 vs. Q2 2017</w:t>
      </w:r>
    </w:p>
    <w:p>
      <w:pPr>
        <w:spacing w:after="0" w:line="225"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 xml:space="preserve">The increase in net revenues in the EMEA region for the three months ended June 30, 2018, as compared to the three months ended June 30, 2017, was primarily due to higher revenues recognized from </w:t>
      </w:r>
      <w:r>
        <w:rPr>
          <w:rFonts w:ascii="Arial" w:cs="Arial" w:eastAsia="Arial" w:hAnsi="Arial"/>
          <w:sz w:val="18"/>
          <w:szCs w:val="18"/>
          <w:i w:val="1"/>
          <w:iCs w:val="1"/>
          <w:color w:val="auto"/>
        </w:rPr>
        <w:t>Call of Duty: WWII</w:t>
      </w:r>
      <w:r>
        <w:rPr>
          <w:rFonts w:ascii="Arial" w:cs="Arial" w:eastAsia="Arial" w:hAnsi="Arial"/>
          <w:sz w:val="18"/>
          <w:szCs w:val="18"/>
          <w:color w:val="auto"/>
        </w:rPr>
        <w:t xml:space="preserve">, which was released in November 2017, as compared to </w:t>
      </w:r>
      <w:r>
        <w:rPr>
          <w:rFonts w:ascii="Arial" w:cs="Arial" w:eastAsia="Arial" w:hAnsi="Arial"/>
          <w:sz w:val="18"/>
          <w:szCs w:val="18"/>
          <w:i w:val="1"/>
          <w:iCs w:val="1"/>
          <w:color w:val="auto"/>
        </w:rPr>
        <w:t>Call of Duty: Infinite Warfare,</w:t>
      </w:r>
      <w:r>
        <w:rPr>
          <w:rFonts w:ascii="Arial" w:cs="Arial" w:eastAsia="Arial" w:hAnsi="Arial"/>
          <w:sz w:val="18"/>
          <w:szCs w:val="18"/>
          <w:color w:val="auto"/>
        </w:rPr>
        <w:t xml:space="preserve"> the comparable 2016 title.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YTD Q2 2018 vs. YTD Q2 2017</w:t>
      </w:r>
    </w:p>
    <w:p>
      <w:pPr>
        <w:spacing w:after="0" w:line="22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increase in net revenues in the EMEA region for the six months ended June 30, 2018, as compared to the six months ended June 30, 2017, primarily due to:</w:t>
      </w:r>
    </w:p>
    <w:p>
      <w:pPr>
        <w:spacing w:after="0" w:line="170" w:lineRule="exact"/>
        <w:rPr>
          <w:sz w:val="20"/>
          <w:szCs w:val="20"/>
          <w:color w:val="auto"/>
        </w:rPr>
      </w:pPr>
    </w:p>
    <w:p>
      <w:pPr>
        <w:ind w:left="940" w:hanging="284"/>
        <w:spacing w:after="0"/>
        <w:tabs>
          <w:tab w:leader="none" w:pos="9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higher revenues recognized from </w:t>
      </w:r>
      <w:r>
        <w:rPr>
          <w:rFonts w:ascii="Arial" w:cs="Arial" w:eastAsia="Arial" w:hAnsi="Arial"/>
          <w:sz w:val="18"/>
          <w:szCs w:val="18"/>
          <w:i w:val="1"/>
          <w:iCs w:val="1"/>
          <w:color w:val="auto"/>
        </w:rPr>
        <w:t>Call of Duty: WWII</w:t>
      </w:r>
      <w:r>
        <w:rPr>
          <w:rFonts w:ascii="Arial" w:cs="Arial" w:eastAsia="Arial" w:hAnsi="Arial"/>
          <w:sz w:val="18"/>
          <w:szCs w:val="18"/>
          <w:color w:val="auto"/>
        </w:rPr>
        <w:t xml:space="preserve">, as compared to </w:t>
      </w:r>
      <w:r>
        <w:rPr>
          <w:rFonts w:ascii="Arial" w:cs="Arial" w:eastAsia="Arial" w:hAnsi="Arial"/>
          <w:sz w:val="18"/>
          <w:szCs w:val="18"/>
          <w:i w:val="1"/>
          <w:iCs w:val="1"/>
          <w:color w:val="auto"/>
        </w:rPr>
        <w:t>Call of Duty: Infinite Warfare;</w:t>
      </w:r>
      <w:r>
        <w:rPr>
          <w:rFonts w:ascii="Arial" w:cs="Arial" w:eastAsia="Arial" w:hAnsi="Arial"/>
          <w:sz w:val="18"/>
          <w:szCs w:val="18"/>
          <w:color w:val="auto"/>
        </w:rPr>
        <w:t xml:space="preserve"> and</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44"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higher revenues recognized from the Destiny franchise, driven by </w:t>
      </w:r>
      <w:r>
        <w:rPr>
          <w:rFonts w:ascii="Arial" w:cs="Arial" w:eastAsia="Arial" w:hAnsi="Arial"/>
          <w:sz w:val="18"/>
          <w:szCs w:val="18"/>
          <w:i w:val="1"/>
          <w:iCs w:val="1"/>
          <w:color w:val="auto"/>
        </w:rPr>
        <w:t>Destiny 2,</w:t>
      </w:r>
      <w:r>
        <w:rPr>
          <w:rFonts w:ascii="Arial" w:cs="Arial" w:eastAsia="Arial" w:hAnsi="Arial"/>
          <w:sz w:val="18"/>
          <w:szCs w:val="18"/>
          <w:color w:val="auto"/>
        </w:rPr>
        <w:t xml:space="preserve"> which was released in September 2017, and its associated in-game content, with no comparable release in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 Pacific</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Q2 2018 vs. Q2 2017</w:t>
      </w:r>
    </w:p>
    <w:p>
      <w:pPr>
        <w:spacing w:after="0" w:line="225"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 xml:space="preserve">The decrease in net revenues in the Asia Pacific region for the three months ended June 30, 2018, as compared to the three months ended June 30, 2017, was primarily due to lower revenues recognized from </w:t>
      </w:r>
      <w:r>
        <w:rPr>
          <w:rFonts w:ascii="Arial" w:cs="Arial" w:eastAsia="Arial" w:hAnsi="Arial"/>
          <w:sz w:val="18"/>
          <w:szCs w:val="18"/>
          <w:i w:val="1"/>
          <w:iCs w:val="1"/>
          <w:color w:val="auto"/>
        </w:rPr>
        <w:t>Overwatch</w:t>
      </w:r>
      <w:r>
        <w:rPr>
          <w:rFonts w:ascii="Arial" w:cs="Arial" w:eastAsia="Arial" w:hAnsi="Arial"/>
          <w:sz w:val="18"/>
          <w:szCs w:val="18"/>
          <w:color w:val="auto"/>
        </w:rPr>
        <w:t>, which was released in May 2016.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YTD Q2 2018 vs. YTD Q2 2017</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 xml:space="preserve">The decrease in net revenues in the Asia Pacific region for the six months ended June 30, 2018, as compared to the six months ended June 30, 2017, was primarily due to lower revenues recognized from </w:t>
      </w:r>
      <w:r>
        <w:rPr>
          <w:rFonts w:ascii="Arial" w:cs="Arial" w:eastAsia="Arial" w:hAnsi="Arial"/>
          <w:sz w:val="18"/>
          <w:szCs w:val="18"/>
          <w:i w:val="1"/>
          <w:iCs w:val="1"/>
          <w:color w:val="auto"/>
        </w:rPr>
        <w:t>Overwatch</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 by Platform</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details our consolidated net revenues by platform (amounts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60" w:type="dxa"/>
            <w:vAlign w:val="bottom"/>
            <w:gridSpan w:val="8"/>
          </w:tcPr>
          <w:p>
            <w:pPr>
              <w:ind w:left="440"/>
              <w:spacing w:after="0"/>
              <w:rPr>
                <w:sz w:val="20"/>
                <w:szCs w:val="20"/>
                <w:color w:val="auto"/>
              </w:rPr>
            </w:pPr>
            <w:r>
              <w:rPr>
                <w:rFonts w:ascii="Arial" w:cs="Arial" w:eastAsia="Arial" w:hAnsi="Arial"/>
                <w:sz w:val="14"/>
                <w:szCs w:val="14"/>
                <w:b w:val="1"/>
                <w:bCs w:val="1"/>
                <w:color w:val="auto"/>
              </w:rPr>
              <w:t>For the Three Months Ended June 30,</w:t>
            </w:r>
          </w:p>
        </w:tc>
        <w:tc>
          <w:tcPr>
            <w:tcW w:w="300" w:type="dxa"/>
            <w:vAlign w:val="bottom"/>
          </w:tcPr>
          <w:p>
            <w:pPr>
              <w:spacing w:after="0"/>
              <w:rPr>
                <w:sz w:val="14"/>
                <w:szCs w:val="14"/>
                <w:color w:val="auto"/>
              </w:rPr>
            </w:pPr>
          </w:p>
        </w:tc>
        <w:tc>
          <w:tcPr>
            <w:tcW w:w="3720" w:type="dxa"/>
            <w:vAlign w:val="bottom"/>
            <w:gridSpan w:val="8"/>
          </w:tcPr>
          <w:p>
            <w:pPr>
              <w:ind w:left="56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55"/>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116"/>
              <w:spacing w:after="0" w:line="119" w:lineRule="exact"/>
              <w:rPr>
                <w:sz w:val="20"/>
                <w:szCs w:val="20"/>
                <w:color w:val="auto"/>
              </w:rPr>
            </w:pPr>
            <w:r>
              <w:rPr>
                <w:rFonts w:ascii="Arial" w:cs="Arial" w:eastAsia="Arial" w:hAnsi="Arial"/>
                <w:sz w:val="13"/>
                <w:szCs w:val="13"/>
                <w:b w:val="1"/>
                <w:bCs w:val="1"/>
                <w:color w:val="auto"/>
                <w:w w:val="98"/>
              </w:rPr>
              <w:t>Increase</w:t>
            </w:r>
          </w:p>
        </w:tc>
        <w:tc>
          <w:tcPr>
            <w:tcW w:w="22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136"/>
              <w:spacing w:after="0" w:line="119" w:lineRule="exact"/>
              <w:rPr>
                <w:sz w:val="20"/>
                <w:szCs w:val="20"/>
                <w:color w:val="auto"/>
              </w:rPr>
            </w:pPr>
            <w:r>
              <w:rPr>
                <w:rFonts w:ascii="Arial" w:cs="Arial" w:eastAsia="Arial" w:hAnsi="Arial"/>
                <w:sz w:val="13"/>
                <w:szCs w:val="13"/>
                <w:b w:val="1"/>
                <w:bCs w:val="1"/>
                <w:color w:val="auto"/>
                <w:w w:val="98"/>
              </w:rPr>
              <w:t>Increase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(Decrease)</w:t>
            </w:r>
          </w:p>
        </w:tc>
        <w:tc>
          <w:tcPr>
            <w:tcW w:w="3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6"/>
        </w:trPr>
        <w:tc>
          <w:tcPr>
            <w:tcW w:w="3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revenues by platform:</w:t>
            </w: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Console</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565</w:t>
            </w:r>
          </w:p>
        </w:tc>
        <w:tc>
          <w:tcPr>
            <w:tcW w:w="180" w:type="dxa"/>
            <w:vAlign w:val="bottom"/>
          </w:tcPr>
          <w:p>
            <w:pPr>
              <w:spacing w:after="0"/>
              <w:rPr>
                <w:sz w:val="18"/>
                <w:szCs w:val="18"/>
                <w:color w:val="auto"/>
              </w:rPr>
            </w:pP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568</w:t>
            </w:r>
          </w:p>
        </w:tc>
        <w:tc>
          <w:tcPr>
            <w:tcW w:w="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1,382</w:t>
            </w:r>
          </w:p>
        </w:tc>
        <w:tc>
          <w:tcPr>
            <w:tcW w:w="220" w:type="dxa"/>
            <w:vAlign w:val="bottom"/>
          </w:tcPr>
          <w:p>
            <w:pPr>
              <w:spacing w:after="0"/>
              <w:rPr>
                <w:sz w:val="18"/>
                <w:szCs w:val="18"/>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1,182</w:t>
            </w:r>
          </w:p>
        </w:tc>
        <w:tc>
          <w:tcPr>
            <w:tcW w:w="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PC</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451</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971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1,072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Mobile and ancillary (1)</w:t>
            </w:r>
          </w:p>
        </w:tc>
        <w:tc>
          <w:tcPr>
            <w:tcW w:w="300" w:type="dxa"/>
            <w:vAlign w:val="bottom"/>
          </w:tcPr>
          <w:p>
            <w:pPr>
              <w:spacing w:after="0"/>
              <w:rPr>
                <w:sz w:val="18"/>
                <w:szCs w:val="18"/>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521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493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1,057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969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(2)</w:t>
            </w: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197</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133</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Total consolidated net revenues</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1,641</w:t>
            </w:r>
          </w:p>
        </w:tc>
        <w:tc>
          <w:tcPr>
            <w:tcW w:w="180" w:type="dxa"/>
            <w:vAlign w:val="bottom"/>
          </w:tcPr>
          <w:p>
            <w:pPr>
              <w:spacing w:after="0"/>
              <w:rPr>
                <w:sz w:val="18"/>
                <w:szCs w:val="18"/>
                <w:color w:val="auto"/>
              </w:rPr>
            </w:pP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1,631</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3,607</w:t>
            </w: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3,356</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40" w:hanging="652"/>
        <w:spacing w:after="0" w:line="316" w:lineRule="auto"/>
        <w:tabs>
          <w:tab w:leader="none" w:pos="667" w:val="left"/>
        </w:tabs>
        <w:numPr>
          <w:ilvl w:val="0"/>
          <w:numId w:val="61"/>
        </w:numPr>
        <w:rPr>
          <w:rFonts w:ascii="Arial" w:cs="Arial" w:eastAsia="Arial" w:hAnsi="Arial"/>
          <w:sz w:val="17"/>
          <w:szCs w:val="17"/>
          <w:color w:val="auto"/>
        </w:rPr>
      </w:pPr>
      <w:r>
        <w:rPr>
          <w:rFonts w:ascii="Arial" w:cs="Arial" w:eastAsia="Arial" w:hAnsi="Arial"/>
          <w:sz w:val="17"/>
          <w:szCs w:val="17"/>
          <w:color w:val="auto"/>
        </w:rPr>
        <w:t>Net revenues from “Mobile and ancillary” include revenues from mobile devices, as well as non-platform-specific game-related revenues, such as standalone sales of toys and accessories from our Skylanders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franchise and other physical merchandise and accessories.</w:t>
      </w:r>
    </w:p>
    <w:p>
      <w:pPr>
        <w:spacing w:after="0" w:line="57" w:lineRule="exact"/>
        <w:rPr>
          <w:rFonts w:ascii="Arial" w:cs="Arial" w:eastAsia="Arial" w:hAnsi="Arial"/>
          <w:sz w:val="17"/>
          <w:szCs w:val="17"/>
          <w:color w:val="auto"/>
        </w:rPr>
      </w:pPr>
    </w:p>
    <w:p>
      <w:pPr>
        <w:ind w:left="660" w:right="540" w:hanging="652"/>
        <w:spacing w:after="0" w:line="277" w:lineRule="auto"/>
        <w:tabs>
          <w:tab w:leader="none" w:pos="667" w:val="left"/>
        </w:tabs>
        <w:numPr>
          <w:ilvl w:val="0"/>
          <w:numId w:val="61"/>
        </w:numPr>
        <w:rPr>
          <w:rFonts w:ascii="Arial" w:cs="Arial" w:eastAsia="Arial" w:hAnsi="Arial"/>
          <w:sz w:val="18"/>
          <w:szCs w:val="18"/>
          <w:color w:val="auto"/>
        </w:rPr>
      </w:pPr>
      <w:r>
        <w:rPr>
          <w:rFonts w:ascii="Arial" w:cs="Arial" w:eastAsia="Arial" w:hAnsi="Arial"/>
          <w:sz w:val="18"/>
          <w:szCs w:val="18"/>
          <w:color w:val="auto"/>
        </w:rPr>
        <w:t>Net revenues from “Other” include revenues from our Studios and Distribution businesses, as well as revenues from MLG and the Overwatch League.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Console</w:t>
      </w:r>
    </w:p>
    <w:p>
      <w:pPr>
        <w:sectPr>
          <w:pgSz w:w="11900" w:h="16838" w:orient="portrait"/>
          <w:cols w:equalWidth="0" w:num="1">
            <w:col w:w="11420"/>
          </w:cols>
          <w:pgMar w:left="240" w:top="341" w:right="239" w:bottom="0" w:gutter="0" w:footer="0" w:header="0"/>
        </w:sectPr>
      </w:pPr>
    </w:p>
    <w:bookmarkStart w:id="36" w:name="page37"/>
    <w:bookmarkEnd w:id="36"/>
    <w:p>
      <w:pPr>
        <w:spacing w:after="0" w:line="1"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Q2 2018 vs. Q2 2017</w:t>
      </w:r>
    </w:p>
    <w:p>
      <w:pPr>
        <w:spacing w:after="0" w:line="22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Net revenues from the console platform for the three months ended June 30, 2018, were comparable to the three months ended June 30, 2017, primarily due to:</w:t>
      </w:r>
    </w:p>
    <w:p>
      <w:pPr>
        <w:spacing w:after="0" w:line="170" w:lineRule="exact"/>
        <w:rPr>
          <w:sz w:val="20"/>
          <w:szCs w:val="20"/>
          <w:color w:val="auto"/>
        </w:rPr>
      </w:pPr>
    </w:p>
    <w:p>
      <w:pPr>
        <w:ind w:left="980" w:right="60" w:hanging="324"/>
        <w:spacing w:after="0" w:line="277" w:lineRule="auto"/>
        <w:tabs>
          <w:tab w:leader="none" w:pos="944"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higher revenues recognized from </w:t>
      </w:r>
      <w:r>
        <w:rPr>
          <w:rFonts w:ascii="Arial" w:cs="Arial" w:eastAsia="Arial" w:hAnsi="Arial"/>
          <w:sz w:val="18"/>
          <w:szCs w:val="18"/>
          <w:i w:val="1"/>
          <w:iCs w:val="1"/>
          <w:color w:val="auto"/>
        </w:rPr>
        <w:t>Call of Duty: WWII</w:t>
      </w:r>
      <w:r>
        <w:rPr>
          <w:rFonts w:ascii="Arial" w:cs="Arial" w:eastAsia="Arial" w:hAnsi="Arial"/>
          <w:sz w:val="18"/>
          <w:szCs w:val="18"/>
          <w:color w:val="auto"/>
        </w:rPr>
        <w:t xml:space="preserve">, which was released in November 2017, as compared to </w:t>
      </w:r>
      <w:r>
        <w:rPr>
          <w:rFonts w:ascii="Arial" w:cs="Arial" w:eastAsia="Arial" w:hAnsi="Arial"/>
          <w:sz w:val="18"/>
          <w:szCs w:val="18"/>
          <w:i w:val="1"/>
          <w:iCs w:val="1"/>
          <w:color w:val="auto"/>
        </w:rPr>
        <w:t>Call of Duty: Infinite Warfare,</w:t>
      </w:r>
      <w:r>
        <w:rPr>
          <w:rFonts w:ascii="Arial" w:cs="Arial" w:eastAsia="Arial" w:hAnsi="Arial"/>
          <w:sz w:val="18"/>
          <w:szCs w:val="18"/>
          <w:color w:val="auto"/>
        </w:rPr>
        <w:t xml:space="preserve"> the comparable 2016 title; and</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44"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higher revenues recognized from the Destiny franchise, driven by </w:t>
      </w:r>
      <w:r>
        <w:rPr>
          <w:rFonts w:ascii="Arial" w:cs="Arial" w:eastAsia="Arial" w:hAnsi="Arial"/>
          <w:sz w:val="18"/>
          <w:szCs w:val="18"/>
          <w:i w:val="1"/>
          <w:iCs w:val="1"/>
          <w:color w:val="auto"/>
        </w:rPr>
        <w:t>Destiny 2</w:t>
      </w:r>
      <w:r>
        <w:rPr>
          <w:rFonts w:ascii="Arial" w:cs="Arial" w:eastAsia="Arial" w:hAnsi="Arial"/>
          <w:sz w:val="18"/>
          <w:szCs w:val="18"/>
          <w:color w:val="auto"/>
        </w:rPr>
        <w:t>, which was released in September 2017, and its associated in-game content, with no comparable release in 2016.</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higher revenues above were offset by:</w:t>
      </w:r>
    </w:p>
    <w:p>
      <w:pPr>
        <w:spacing w:after="0" w:line="225" w:lineRule="exact"/>
        <w:rPr>
          <w:sz w:val="20"/>
          <w:szCs w:val="20"/>
          <w:color w:val="auto"/>
        </w:rPr>
      </w:pPr>
    </w:p>
    <w:p>
      <w:pPr>
        <w:ind w:left="980" w:right="100" w:hanging="324"/>
        <w:spacing w:after="0" w:line="277" w:lineRule="auto"/>
        <w:tabs>
          <w:tab w:leader="none" w:pos="944"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lower revenues recognized from </w:t>
      </w:r>
      <w:r>
        <w:rPr>
          <w:rFonts w:ascii="Arial" w:cs="Arial" w:eastAsia="Arial" w:hAnsi="Arial"/>
          <w:sz w:val="18"/>
          <w:szCs w:val="18"/>
          <w:i w:val="1"/>
          <w:iCs w:val="1"/>
          <w:color w:val="auto"/>
        </w:rPr>
        <w:t>Call of Duty: Infinite Warfare</w:t>
      </w:r>
      <w:r>
        <w:rPr>
          <w:rFonts w:ascii="Arial" w:cs="Arial" w:eastAsia="Arial" w:hAnsi="Arial"/>
          <w:sz w:val="18"/>
          <w:szCs w:val="18"/>
          <w:color w:val="auto"/>
        </w:rPr>
        <w:t xml:space="preserve">, which was released in November 2016, as compared to </w:t>
      </w:r>
      <w:r>
        <w:rPr>
          <w:rFonts w:ascii="Arial" w:cs="Arial" w:eastAsia="Arial" w:hAnsi="Arial"/>
          <w:sz w:val="18"/>
          <w:szCs w:val="18"/>
          <w:i w:val="1"/>
          <w:iCs w:val="1"/>
          <w:color w:val="auto"/>
        </w:rPr>
        <w:t>Call of Duty: Black Ops</w:t>
      </w:r>
      <w:r>
        <w:rPr>
          <w:rFonts w:ascii="Arial" w:cs="Arial" w:eastAsia="Arial" w:hAnsi="Arial"/>
          <w:sz w:val="18"/>
          <w:szCs w:val="18"/>
          <w:color w:val="auto"/>
        </w:rPr>
        <w:t xml:space="preserve"> </w:t>
      </w:r>
      <w:r>
        <w:rPr>
          <w:rFonts w:ascii="Arial" w:cs="Arial" w:eastAsia="Arial" w:hAnsi="Arial"/>
          <w:sz w:val="18"/>
          <w:szCs w:val="18"/>
          <w:i w:val="1"/>
          <w:iCs w:val="1"/>
          <w:color w:val="auto"/>
        </w:rPr>
        <w:t>III</w:t>
      </w:r>
      <w:r>
        <w:rPr>
          <w:rFonts w:ascii="Arial" w:cs="Arial" w:eastAsia="Arial" w:hAnsi="Arial"/>
          <w:sz w:val="18"/>
          <w:szCs w:val="18"/>
          <w:color w:val="auto"/>
        </w:rPr>
        <w:t>, the comparable 2015 title;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lower revenues recognized from </w:t>
      </w:r>
      <w:r>
        <w:rPr>
          <w:rFonts w:ascii="Arial" w:cs="Arial" w:eastAsia="Arial" w:hAnsi="Arial"/>
          <w:sz w:val="18"/>
          <w:szCs w:val="18"/>
          <w:i w:val="1"/>
          <w:iCs w:val="1"/>
          <w:color w:val="auto"/>
        </w:rPr>
        <w:t>Overwatch</w:t>
      </w:r>
      <w:r>
        <w:rPr>
          <w:rFonts w:ascii="Arial" w:cs="Arial" w:eastAsia="Arial" w:hAnsi="Arial"/>
          <w:sz w:val="18"/>
          <w:szCs w:val="18"/>
          <w:color w:val="auto"/>
        </w:rPr>
        <w:t>, which was released in May 2016.</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YTD Q2 2018 vs. YTD Q2 2017</w:t>
      </w:r>
    </w:p>
    <w:p>
      <w:pPr>
        <w:spacing w:after="0" w:line="225"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increase in net revenues from the console platform for the six months ended June 30, 2018, as compared to the six months ended June 30, 2017, was primarily due to:</w:t>
      </w:r>
    </w:p>
    <w:p>
      <w:pPr>
        <w:spacing w:after="0" w:line="170" w:lineRule="exact"/>
        <w:rPr>
          <w:sz w:val="20"/>
          <w:szCs w:val="20"/>
          <w:color w:val="auto"/>
        </w:rPr>
      </w:pPr>
    </w:p>
    <w:p>
      <w:pPr>
        <w:ind w:left="5620" w:right="2900" w:hanging="4964"/>
        <w:spacing w:after="0" w:line="528" w:lineRule="auto"/>
        <w:tabs>
          <w:tab w:leader="none" w:pos="941"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higher revenues recognized from </w:t>
      </w:r>
      <w:r>
        <w:rPr>
          <w:rFonts w:ascii="Arial" w:cs="Arial" w:eastAsia="Arial" w:hAnsi="Arial"/>
          <w:sz w:val="18"/>
          <w:szCs w:val="18"/>
          <w:i w:val="1"/>
          <w:iCs w:val="1"/>
          <w:color w:val="auto"/>
        </w:rPr>
        <w:t>Call of Duty: WWII</w:t>
      </w:r>
      <w:r>
        <w:rPr>
          <w:rFonts w:ascii="Arial" w:cs="Arial" w:eastAsia="Arial" w:hAnsi="Arial"/>
          <w:sz w:val="18"/>
          <w:szCs w:val="18"/>
          <w:color w:val="auto"/>
        </w:rPr>
        <w:t xml:space="preserve">, as compared to </w:t>
      </w:r>
      <w:r>
        <w:rPr>
          <w:rFonts w:ascii="Arial" w:cs="Arial" w:eastAsia="Arial" w:hAnsi="Arial"/>
          <w:sz w:val="18"/>
          <w:szCs w:val="18"/>
          <w:i w:val="1"/>
          <w:iCs w:val="1"/>
          <w:color w:val="auto"/>
        </w:rPr>
        <w:t>Call of Duty: Infinite Warfare</w:t>
      </w:r>
      <w:r>
        <w:rPr>
          <w:rFonts w:ascii="Arial" w:cs="Arial" w:eastAsia="Arial" w:hAnsi="Arial"/>
          <w:sz w:val="18"/>
          <w:szCs w:val="18"/>
          <w:color w:val="auto"/>
        </w:rPr>
        <w:t>; and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200" w:hanging="324"/>
        <w:spacing w:after="0" w:line="277" w:lineRule="auto"/>
        <w:tabs>
          <w:tab w:leader="none" w:pos="944"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higher revenues recognized from the Destiny franchise, driven by </w:t>
      </w:r>
      <w:r>
        <w:rPr>
          <w:rFonts w:ascii="Arial" w:cs="Arial" w:eastAsia="Arial" w:hAnsi="Arial"/>
          <w:sz w:val="18"/>
          <w:szCs w:val="18"/>
          <w:i w:val="1"/>
          <w:iCs w:val="1"/>
          <w:color w:val="auto"/>
        </w:rPr>
        <w:t>Destiny 2</w:t>
      </w:r>
      <w:r>
        <w:rPr>
          <w:rFonts w:ascii="Arial" w:cs="Arial" w:eastAsia="Arial" w:hAnsi="Arial"/>
          <w:sz w:val="18"/>
          <w:szCs w:val="18"/>
          <w:color w:val="auto"/>
        </w:rPr>
        <w:t>, and its associated in-game content, with no comparable release in 2016.</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The higher revenues above were partially offset by lower revenues recognized from </w:t>
      </w:r>
      <w:r>
        <w:rPr>
          <w:rFonts w:ascii="Arial" w:cs="Arial" w:eastAsia="Arial" w:hAnsi="Arial"/>
          <w:sz w:val="18"/>
          <w:szCs w:val="18"/>
          <w:i w:val="1"/>
          <w:iCs w:val="1"/>
          <w:color w:val="auto"/>
        </w:rPr>
        <w:t>Call of Duty: Infinite Warfare</w:t>
      </w:r>
      <w:r>
        <w:rPr>
          <w:rFonts w:ascii="Arial" w:cs="Arial" w:eastAsia="Arial" w:hAnsi="Arial"/>
          <w:sz w:val="18"/>
          <w:szCs w:val="18"/>
          <w:color w:val="auto"/>
        </w:rPr>
        <w:t>, which was released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November 2016, as compared to </w:t>
      </w:r>
      <w:r>
        <w:rPr>
          <w:rFonts w:ascii="Arial" w:cs="Arial" w:eastAsia="Arial" w:hAnsi="Arial"/>
          <w:sz w:val="18"/>
          <w:szCs w:val="18"/>
          <w:i w:val="1"/>
          <w:iCs w:val="1"/>
          <w:color w:val="auto"/>
        </w:rPr>
        <w:t>Call of Duty: Black Ops III</w:t>
      </w:r>
      <w:r>
        <w:rPr>
          <w:rFonts w:ascii="Arial" w:cs="Arial" w:eastAsia="Arial" w:hAnsi="Arial"/>
          <w:sz w:val="18"/>
          <w:szCs w:val="18"/>
          <w:color w:val="auto"/>
        </w:rPr>
        <w:t>, the comparable 2015 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PC</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Q2 2018 vs. Q2 2017</w:t>
      </w:r>
    </w:p>
    <w:p>
      <w:pPr>
        <w:spacing w:after="0" w:line="225"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decrease in net revenues from the PC platform for the three months ended June 30, 2018, as compared to the three months ended June 30, 2017, was primarily due to:</w:t>
      </w:r>
    </w:p>
    <w:p>
      <w:pPr>
        <w:spacing w:after="0" w:line="170" w:lineRule="exact"/>
        <w:rPr>
          <w:sz w:val="20"/>
          <w:szCs w:val="20"/>
          <w:color w:val="auto"/>
        </w:rPr>
      </w:pPr>
    </w:p>
    <w:p>
      <w:pPr>
        <w:ind w:left="940" w:hanging="284"/>
        <w:spacing w:after="0"/>
        <w:tabs>
          <w:tab w:leader="none" w:pos="9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lower revenues recognized from </w:t>
      </w:r>
      <w:r>
        <w:rPr>
          <w:rFonts w:ascii="Arial" w:cs="Arial" w:eastAsia="Arial" w:hAnsi="Arial"/>
          <w:sz w:val="18"/>
          <w:szCs w:val="18"/>
          <w:i w:val="1"/>
          <w:iCs w:val="1"/>
          <w:color w:val="auto"/>
        </w:rPr>
        <w:t>Overwatch</w:t>
      </w:r>
      <w:r>
        <w:rPr>
          <w:rFonts w:ascii="Arial" w:cs="Arial" w:eastAsia="Arial" w:hAnsi="Arial"/>
          <w:sz w:val="18"/>
          <w:szCs w:val="18"/>
          <w:color w:val="auto"/>
        </w:rPr>
        <w:t>, which was released in May 2016; and</w:t>
      </w:r>
    </w:p>
    <w:p>
      <w:pPr>
        <w:spacing w:after="0" w:line="225" w:lineRule="exact"/>
        <w:rPr>
          <w:rFonts w:ascii="Arial" w:cs="Arial" w:eastAsia="Arial" w:hAnsi="Arial"/>
          <w:sz w:val="18"/>
          <w:szCs w:val="18"/>
          <w:color w:val="auto"/>
        </w:rPr>
      </w:pPr>
    </w:p>
    <w:p>
      <w:pPr>
        <w:ind w:left="980" w:right="400" w:hanging="324"/>
        <w:spacing w:after="0" w:line="277" w:lineRule="auto"/>
        <w:tabs>
          <w:tab w:leader="none" w:pos="944"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lower revenues recognized from </w:t>
      </w:r>
      <w:r>
        <w:rPr>
          <w:rFonts w:ascii="Arial" w:cs="Arial" w:eastAsia="Arial" w:hAnsi="Arial"/>
          <w:sz w:val="18"/>
          <w:szCs w:val="18"/>
          <w:i w:val="1"/>
          <w:iCs w:val="1"/>
          <w:color w:val="auto"/>
        </w:rPr>
        <w:t>World of Warcraft</w:t>
      </w:r>
      <w:r>
        <w:rPr>
          <w:rFonts w:ascii="Arial" w:cs="Arial" w:eastAsia="Arial" w:hAnsi="Arial"/>
          <w:sz w:val="18"/>
          <w:szCs w:val="18"/>
          <w:color w:val="auto"/>
        </w:rPr>
        <w:t xml:space="preserve">, driven by the release of </w:t>
      </w:r>
      <w:r>
        <w:rPr>
          <w:rFonts w:ascii="Arial" w:cs="Arial" w:eastAsia="Arial" w:hAnsi="Arial"/>
          <w:sz w:val="18"/>
          <w:szCs w:val="18"/>
          <w:i w:val="1"/>
          <w:iCs w:val="1"/>
          <w:color w:val="auto"/>
        </w:rPr>
        <w:t>World of Warcraft: Legion</w:t>
      </w:r>
      <w:r>
        <w:rPr>
          <w:rFonts w:ascii="Arial" w:cs="Arial" w:eastAsia="Arial" w:hAnsi="Arial"/>
          <w:sz w:val="18"/>
          <w:szCs w:val="18"/>
          <w:color w:val="auto"/>
        </w:rPr>
        <w:t xml:space="preserve"> in August 2016, with no comparable release in 2017.</w:t>
      </w:r>
    </w:p>
    <w:p>
      <w:pPr>
        <w:spacing w:after="0" w:line="170"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 xml:space="preserve">The decrease was partially offset by revenues recognized from </w:t>
      </w:r>
      <w:r>
        <w:rPr>
          <w:rFonts w:ascii="Arial" w:cs="Arial" w:eastAsia="Arial" w:hAnsi="Arial"/>
          <w:sz w:val="18"/>
          <w:szCs w:val="18"/>
          <w:i w:val="1"/>
          <w:iCs w:val="1"/>
          <w:color w:val="auto"/>
        </w:rPr>
        <w:t>Destiny 2</w:t>
      </w:r>
      <w:r>
        <w:rPr>
          <w:rFonts w:ascii="Arial" w:cs="Arial" w:eastAsia="Arial" w:hAnsi="Arial"/>
          <w:sz w:val="18"/>
          <w:szCs w:val="18"/>
          <w:color w:val="auto"/>
        </w:rPr>
        <w:t>, which was released on the PC platform in October 2017, and its associated in-game content, with no comparable release in 2016.</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YTD Q2 2018 vs. YTD Q2 2017</w:t>
      </w:r>
    </w:p>
    <w:p>
      <w:pPr>
        <w:spacing w:after="0" w:line="225" w:lineRule="exact"/>
        <w:rPr>
          <w:sz w:val="20"/>
          <w:szCs w:val="20"/>
          <w:color w:val="auto"/>
        </w:rPr>
      </w:pPr>
    </w:p>
    <w:p>
      <w:pPr>
        <w:ind w:right="280" w:firstLine="405"/>
        <w:spacing w:after="0" w:line="308" w:lineRule="auto"/>
        <w:rPr>
          <w:sz w:val="20"/>
          <w:szCs w:val="20"/>
          <w:color w:val="auto"/>
        </w:rPr>
      </w:pPr>
      <w:r>
        <w:rPr>
          <w:rFonts w:ascii="Arial" w:cs="Arial" w:eastAsia="Arial" w:hAnsi="Arial"/>
          <w:sz w:val="17"/>
          <w:szCs w:val="17"/>
          <w:color w:val="auto"/>
        </w:rPr>
        <w:t>The decrease in net revenues from the PC platform for the six months ended June 30, 2018, as compared to the six months ended June 30, 2017, was primarily due to the same drivers and partially offsetting factors as for the three months ended June 30, 2018 discussed above.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and Ancillary</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Q2 2018 vs. Q2 2017</w:t>
      </w:r>
    </w:p>
    <w:p>
      <w:pPr>
        <w:spacing w:after="0" w:line="225"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The increase in net revenues from mobile and ancillary for the three months ended June 30, 2018, as compared to the three months ended June 30, 2017, was primarily due to higher revenues from the Candy Crush franchise’s increased monetization, primarily through in-game events and features.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YTD Q2 2018 vs. YTD Q2 2017</w:t>
      </w:r>
    </w:p>
    <w:p>
      <w:pPr>
        <w:spacing w:after="0" w:line="225"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increase in net revenues from mobile and ancillary for the six months ended June 30, 2018, as compared to the six months ended June 30, 2017, was primarily due to the same driver as for the three months ended June 30, 2018 discussed above.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ectPr>
          <w:pgSz w:w="11900" w:h="16839" w:orient="portrait"/>
          <w:cols w:equalWidth="0" w:num="1">
            <w:col w:w="11400"/>
          </w:cols>
          <w:pgMar w:left="240" w:top="125" w:right="25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Cost of Revenues</w:t>
      </w:r>
    </w:p>
    <w:p>
      <w:pPr>
        <w:sectPr>
          <w:pgSz w:w="11900" w:h="16839" w:orient="portrait"/>
          <w:cols w:equalWidth="0" w:num="1">
            <w:col w:w="11400"/>
          </w:cols>
          <w:pgMar w:left="240" w:top="125" w:right="259" w:bottom="0" w:gutter="0" w:footer="0" w:header="0"/>
          <w:type w:val="continuous"/>
        </w:sectPr>
      </w:pPr>
    </w:p>
    <w:bookmarkStart w:id="37" w:name="page38"/>
    <w:bookmarkEnd w:id="37"/>
    <w:p>
      <w:pPr>
        <w:ind w:left="420"/>
        <w:spacing w:after="0"/>
        <w:rPr>
          <w:sz w:val="20"/>
          <w:szCs w:val="20"/>
          <w:color w:val="auto"/>
        </w:rPr>
      </w:pPr>
      <w:r>
        <w:rPr>
          <w:rFonts w:ascii="Arial" w:cs="Arial" w:eastAsia="Arial" w:hAnsi="Arial"/>
          <w:sz w:val="17"/>
          <w:szCs w:val="17"/>
          <w:color w:val="auto"/>
        </w:rPr>
        <w:t>The following table detail the components of cost of revenues in dollars (amounts in millions) and as a percentage of associated net revenues: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w:t>
            </w:r>
          </w:p>
        </w:tc>
        <w:tc>
          <w:tcPr>
            <w:tcW w:w="300" w:type="dxa"/>
            <w:vAlign w:val="bottom"/>
          </w:tcPr>
          <w:p>
            <w:pPr>
              <w:spacing w:after="0"/>
              <w:rPr>
                <w:sz w:val="14"/>
                <w:szCs w:val="14"/>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 of associated</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w:t>
            </w:r>
          </w:p>
        </w:tc>
        <w:tc>
          <w:tcPr>
            <w:tcW w:w="300" w:type="dxa"/>
            <w:vAlign w:val="bottom"/>
          </w:tcPr>
          <w:p>
            <w:pPr>
              <w:spacing w:after="0"/>
              <w:rPr>
                <w:sz w:val="14"/>
                <w:szCs w:val="14"/>
                <w:color w:val="auto"/>
              </w:rPr>
            </w:pP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 of associated</w:t>
            </w:r>
          </w:p>
        </w:tc>
        <w:tc>
          <w:tcPr>
            <w:tcW w:w="200" w:type="dxa"/>
            <w:vAlign w:val="bottom"/>
          </w:tcPr>
          <w:p>
            <w:pPr>
              <w:spacing w:after="0"/>
              <w:rPr>
                <w:sz w:val="14"/>
                <w:szCs w:val="14"/>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1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Ended June 30,</w:t>
            </w:r>
          </w:p>
        </w:tc>
        <w:tc>
          <w:tcPr>
            <w:tcW w:w="3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w w:val="97"/>
              </w:rPr>
              <w:t>Ended June 30,</w:t>
            </w:r>
          </w:p>
        </w:tc>
        <w:tc>
          <w:tcPr>
            <w:tcW w:w="3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2018</w:t>
            </w:r>
          </w:p>
        </w:tc>
        <w:tc>
          <w:tcPr>
            <w:tcW w:w="30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net revenues</w:t>
            </w:r>
          </w:p>
        </w:tc>
        <w:tc>
          <w:tcPr>
            <w:tcW w:w="200" w:type="dxa"/>
            <w:vAlign w:val="bottom"/>
          </w:tcPr>
          <w:p>
            <w:pPr>
              <w:spacing w:after="0"/>
              <w:rPr>
                <w:sz w:val="14"/>
                <w:szCs w:val="14"/>
                <w:color w:val="auto"/>
              </w:rPr>
            </w:pPr>
          </w:p>
        </w:tc>
        <w:tc>
          <w:tcPr>
            <w:tcW w:w="920" w:type="dxa"/>
            <w:vAlign w:val="bottom"/>
          </w:tcPr>
          <w:p>
            <w:pPr>
              <w:jc w:val="center"/>
              <w:ind w:right="94"/>
              <w:spacing w:after="0"/>
              <w:rPr>
                <w:sz w:val="20"/>
                <w:szCs w:val="20"/>
                <w:color w:val="auto"/>
              </w:rPr>
            </w:pPr>
            <w:r>
              <w:rPr>
                <w:rFonts w:ascii="Arial" w:cs="Arial" w:eastAsia="Arial" w:hAnsi="Arial"/>
                <w:sz w:val="14"/>
                <w:szCs w:val="14"/>
                <w:b w:val="1"/>
                <w:bCs w:val="1"/>
                <w:color w:val="auto"/>
                <w:w w:val="96"/>
              </w:rPr>
              <w:t>2017</w:t>
            </w:r>
          </w:p>
        </w:tc>
        <w:tc>
          <w:tcPr>
            <w:tcW w:w="30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net revenues</w:t>
            </w:r>
          </w:p>
        </w:tc>
        <w:tc>
          <w:tcPr>
            <w:tcW w:w="2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196"/>
        </w:trPr>
        <w:tc>
          <w:tcPr>
            <w:tcW w:w="4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Cost of revenues—product sales:</w:t>
            </w: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Product costs</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126</w:t>
            </w:r>
          </w:p>
        </w:tc>
        <w:tc>
          <w:tcPr>
            <w:tcW w:w="1720" w:type="dxa"/>
            <w:vAlign w:val="bottom"/>
            <w:gridSpan w:val="3"/>
          </w:tcPr>
          <w:p>
            <w:pPr>
              <w:jc w:val="right"/>
              <w:ind w:right="280"/>
              <w:spacing w:after="0"/>
              <w:rPr>
                <w:sz w:val="20"/>
                <w:szCs w:val="20"/>
                <w:color w:val="auto"/>
              </w:rPr>
            </w:pPr>
            <w:r>
              <w:rPr>
                <w:rFonts w:ascii="Arial" w:cs="Arial" w:eastAsia="Arial" w:hAnsi="Arial"/>
                <w:sz w:val="18"/>
                <w:szCs w:val="18"/>
                <w:color w:val="auto"/>
              </w:rPr>
              <w:t>27%</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130</w:t>
            </w:r>
          </w:p>
        </w:tc>
        <w:tc>
          <w:tcPr>
            <w:tcW w:w="1720" w:type="dxa"/>
            <w:vAlign w:val="bottom"/>
            <w:gridSpan w:val="3"/>
          </w:tcPr>
          <w:p>
            <w:pPr>
              <w:ind w:left="1100"/>
              <w:spacing w:after="0"/>
              <w:rPr>
                <w:sz w:val="20"/>
                <w:szCs w:val="20"/>
                <w:color w:val="auto"/>
              </w:rPr>
            </w:pPr>
            <w:r>
              <w:rPr>
                <w:rFonts w:ascii="Arial" w:cs="Arial" w:eastAsia="Arial" w:hAnsi="Arial"/>
                <w:sz w:val="18"/>
                <w:szCs w:val="18"/>
                <w:color w:val="auto"/>
              </w:rPr>
              <w:t>27%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Software royalties, amortization, and intellectual</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licenses</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49</w:t>
            </w:r>
          </w:p>
        </w:tc>
        <w:tc>
          <w:tcPr>
            <w:tcW w:w="14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w:t>
            </w:r>
          </w:p>
        </w:tc>
        <w:tc>
          <w:tcPr>
            <w:tcW w:w="14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480" w:type="dxa"/>
            <w:vAlign w:val="bottom"/>
          </w:tcPr>
          <w:p>
            <w:pPr>
              <w:spacing w:after="0" w:line="201" w:lineRule="exact"/>
              <w:rPr>
                <w:sz w:val="20"/>
                <w:szCs w:val="20"/>
                <w:color w:val="auto"/>
              </w:rPr>
            </w:pPr>
            <w:r>
              <w:rPr>
                <w:rFonts w:ascii="Arial" w:cs="Arial" w:eastAsia="Arial" w:hAnsi="Arial"/>
                <w:sz w:val="18"/>
                <w:szCs w:val="18"/>
                <w:color w:val="auto"/>
              </w:rPr>
              <w:t>Cost of revenues—subscription, licensing, and other</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Game operations and distribution costs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250</w:t>
            </w:r>
          </w:p>
        </w:tc>
        <w:tc>
          <w:tcPr>
            <w:tcW w:w="14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236</w:t>
            </w:r>
          </w:p>
        </w:tc>
        <w:tc>
          <w:tcPr>
            <w:tcW w:w="14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80" w:type="dxa"/>
            <w:vAlign w:val="bottom"/>
          </w:tcPr>
          <w:p>
            <w:pPr>
              <w:ind w:left="180"/>
              <w:spacing w:after="0" w:line="201" w:lineRule="exact"/>
              <w:rPr>
                <w:sz w:val="20"/>
                <w:szCs w:val="20"/>
                <w:color w:val="auto"/>
              </w:rPr>
            </w:pPr>
            <w:r>
              <w:rPr>
                <w:rFonts w:ascii="Arial" w:cs="Arial" w:eastAsia="Arial" w:hAnsi="Arial"/>
                <w:sz w:val="18"/>
                <w:szCs w:val="18"/>
                <w:color w:val="auto"/>
              </w:rPr>
              <w:t>Software royalties, amortization, and intellectual</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property licenses</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85</w:t>
            </w:r>
          </w:p>
        </w:tc>
        <w:tc>
          <w:tcPr>
            <w:tcW w:w="1440" w:type="dxa"/>
            <w:vAlign w:val="bottom"/>
            <w:tcBorders>
              <w:bottom w:val="single" w:sz="8" w:color="CCEEFF"/>
            </w:tcBorders>
            <w:gridSpan w:val="2"/>
          </w:tcPr>
          <w:p>
            <w:pPr>
              <w:jc w:val="right"/>
              <w:ind w:right="68"/>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120</w:t>
            </w:r>
          </w:p>
        </w:tc>
        <w:tc>
          <w:tcPr>
            <w:tcW w:w="1420" w:type="dxa"/>
            <w:vAlign w:val="bottom"/>
            <w:tcBorders>
              <w:bottom w:val="single" w:sz="8" w:color="CCEEFF"/>
            </w:tcBorders>
            <w:gridSpan w:val="2"/>
          </w:tcPr>
          <w:p>
            <w:pPr>
              <w:ind w:left="1100"/>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510</w:t>
            </w:r>
          </w:p>
        </w:tc>
        <w:tc>
          <w:tcPr>
            <w:tcW w:w="17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561</w:t>
            </w:r>
          </w:p>
        </w:tc>
        <w:tc>
          <w:tcPr>
            <w:tcW w:w="1720" w:type="dxa"/>
            <w:vAlign w:val="bottom"/>
            <w:tcBorders>
              <w:bottom w:val="single" w:sz="8" w:color="CCEEFF"/>
            </w:tcBorders>
            <w:gridSpan w:val="3"/>
            <w:shd w:val="clear" w:color="auto" w:fill="CCEEFF"/>
          </w:tcPr>
          <w:p>
            <w:pPr>
              <w:ind w:left="1100"/>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center"/>
              <w:ind w:right="134"/>
              <w:spacing w:after="0"/>
              <w:rPr>
                <w:sz w:val="20"/>
                <w:szCs w:val="20"/>
                <w:color w:val="auto"/>
              </w:rPr>
            </w:pPr>
            <w:r>
              <w:rPr>
                <w:rFonts w:ascii="Arial" w:cs="Arial" w:eastAsia="Arial" w:hAnsi="Arial"/>
                <w:sz w:val="14"/>
                <w:szCs w:val="14"/>
                <w:b w:val="1"/>
                <w:bCs w:val="1"/>
                <w:color w:val="auto"/>
                <w:w w:val="93"/>
              </w:rPr>
              <w:t>Six Months</w:t>
            </w:r>
          </w:p>
        </w:tc>
        <w:tc>
          <w:tcPr>
            <w:tcW w:w="300" w:type="dxa"/>
            <w:vAlign w:val="bottom"/>
          </w:tcPr>
          <w:p>
            <w:pPr>
              <w:spacing w:after="0"/>
              <w:rPr>
                <w:sz w:val="24"/>
                <w:szCs w:val="24"/>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 of associated</w:t>
            </w:r>
          </w:p>
        </w:tc>
        <w:tc>
          <w:tcPr>
            <w:tcW w:w="200" w:type="dxa"/>
            <w:vAlign w:val="bottom"/>
          </w:tcPr>
          <w:p>
            <w:pPr>
              <w:spacing w:after="0"/>
              <w:rPr>
                <w:sz w:val="24"/>
                <w:szCs w:val="24"/>
                <w:color w:val="auto"/>
              </w:rPr>
            </w:pPr>
          </w:p>
        </w:tc>
        <w:tc>
          <w:tcPr>
            <w:tcW w:w="920" w:type="dxa"/>
            <w:vAlign w:val="bottom"/>
          </w:tcPr>
          <w:p>
            <w:pPr>
              <w:jc w:val="center"/>
              <w:ind w:right="94"/>
              <w:spacing w:after="0"/>
              <w:rPr>
                <w:sz w:val="20"/>
                <w:szCs w:val="20"/>
                <w:color w:val="auto"/>
              </w:rPr>
            </w:pPr>
            <w:r>
              <w:rPr>
                <w:rFonts w:ascii="Arial" w:cs="Arial" w:eastAsia="Arial" w:hAnsi="Arial"/>
                <w:sz w:val="14"/>
                <w:szCs w:val="14"/>
                <w:b w:val="1"/>
                <w:bCs w:val="1"/>
                <w:color w:val="auto"/>
                <w:w w:val="93"/>
              </w:rPr>
              <w:t>Six Months</w:t>
            </w:r>
          </w:p>
        </w:tc>
        <w:tc>
          <w:tcPr>
            <w:tcW w:w="300" w:type="dxa"/>
            <w:vAlign w:val="bottom"/>
          </w:tcPr>
          <w:p>
            <w:pPr>
              <w:spacing w:after="0"/>
              <w:rPr>
                <w:sz w:val="24"/>
                <w:szCs w:val="24"/>
                <w:color w:val="auto"/>
              </w:rPr>
            </w:pP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 of associated</w:t>
            </w:r>
          </w:p>
        </w:tc>
        <w:tc>
          <w:tcPr>
            <w:tcW w:w="200" w:type="dxa"/>
            <w:vAlign w:val="bottom"/>
          </w:tcPr>
          <w:p>
            <w:pPr>
              <w:spacing w:after="0"/>
              <w:rPr>
                <w:sz w:val="24"/>
                <w:szCs w:val="24"/>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1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Ended June 30,</w:t>
            </w:r>
          </w:p>
        </w:tc>
        <w:tc>
          <w:tcPr>
            <w:tcW w:w="3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w w:val="97"/>
              </w:rPr>
              <w:t>Ended June 30,</w:t>
            </w:r>
          </w:p>
        </w:tc>
        <w:tc>
          <w:tcPr>
            <w:tcW w:w="3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2018</w:t>
            </w:r>
          </w:p>
        </w:tc>
        <w:tc>
          <w:tcPr>
            <w:tcW w:w="30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net revenues</w:t>
            </w:r>
          </w:p>
        </w:tc>
        <w:tc>
          <w:tcPr>
            <w:tcW w:w="200" w:type="dxa"/>
            <w:vAlign w:val="bottom"/>
          </w:tcPr>
          <w:p>
            <w:pPr>
              <w:spacing w:after="0"/>
              <w:rPr>
                <w:sz w:val="14"/>
                <w:szCs w:val="14"/>
                <w:color w:val="auto"/>
              </w:rPr>
            </w:pPr>
          </w:p>
        </w:tc>
        <w:tc>
          <w:tcPr>
            <w:tcW w:w="920" w:type="dxa"/>
            <w:vAlign w:val="bottom"/>
          </w:tcPr>
          <w:p>
            <w:pPr>
              <w:jc w:val="center"/>
              <w:ind w:right="94"/>
              <w:spacing w:after="0"/>
              <w:rPr>
                <w:sz w:val="20"/>
                <w:szCs w:val="20"/>
                <w:color w:val="auto"/>
              </w:rPr>
            </w:pPr>
            <w:r>
              <w:rPr>
                <w:rFonts w:ascii="Arial" w:cs="Arial" w:eastAsia="Arial" w:hAnsi="Arial"/>
                <w:sz w:val="14"/>
                <w:szCs w:val="14"/>
                <w:b w:val="1"/>
                <w:bCs w:val="1"/>
                <w:color w:val="auto"/>
                <w:w w:val="96"/>
              </w:rPr>
              <w:t>2017</w:t>
            </w:r>
          </w:p>
        </w:tc>
        <w:tc>
          <w:tcPr>
            <w:tcW w:w="30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net revenues</w:t>
            </w:r>
          </w:p>
        </w:tc>
        <w:tc>
          <w:tcPr>
            <w:tcW w:w="2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196"/>
        </w:trPr>
        <w:tc>
          <w:tcPr>
            <w:tcW w:w="4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Cost of revenues—product sales:</w:t>
            </w: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Product costs</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289</w:t>
            </w:r>
          </w:p>
        </w:tc>
        <w:tc>
          <w:tcPr>
            <w:tcW w:w="1720" w:type="dxa"/>
            <w:vAlign w:val="bottom"/>
            <w:gridSpan w:val="3"/>
          </w:tcPr>
          <w:p>
            <w:pPr>
              <w:jc w:val="right"/>
              <w:ind w:right="280"/>
              <w:spacing w:after="0"/>
              <w:rPr>
                <w:sz w:val="20"/>
                <w:szCs w:val="20"/>
                <w:color w:val="auto"/>
              </w:rPr>
            </w:pPr>
            <w:r>
              <w:rPr>
                <w:rFonts w:ascii="Arial" w:cs="Arial" w:eastAsia="Arial" w:hAnsi="Arial"/>
                <w:sz w:val="18"/>
                <w:szCs w:val="18"/>
                <w:color w:val="auto"/>
              </w:rPr>
              <w:t>24%</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273</w:t>
            </w:r>
          </w:p>
        </w:tc>
        <w:tc>
          <w:tcPr>
            <w:tcW w:w="1720" w:type="dxa"/>
            <w:vAlign w:val="bottom"/>
            <w:gridSpan w:val="3"/>
          </w:tcPr>
          <w:p>
            <w:pPr>
              <w:ind w:left="1100"/>
              <w:spacing w:after="0"/>
              <w:rPr>
                <w:sz w:val="20"/>
                <w:szCs w:val="20"/>
                <w:color w:val="auto"/>
              </w:rPr>
            </w:pPr>
            <w:r>
              <w:rPr>
                <w:rFonts w:ascii="Arial" w:cs="Arial" w:eastAsia="Arial" w:hAnsi="Arial"/>
                <w:sz w:val="18"/>
                <w:szCs w:val="18"/>
                <w:color w:val="auto"/>
              </w:rPr>
              <w:t>28%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Software royalties, amortization, and intellectual</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licenses</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194</w:t>
            </w:r>
          </w:p>
        </w:tc>
        <w:tc>
          <w:tcPr>
            <w:tcW w:w="14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163</w:t>
            </w:r>
          </w:p>
        </w:tc>
        <w:tc>
          <w:tcPr>
            <w:tcW w:w="14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480" w:type="dxa"/>
            <w:vAlign w:val="bottom"/>
          </w:tcPr>
          <w:p>
            <w:pPr>
              <w:spacing w:after="0" w:line="201" w:lineRule="exact"/>
              <w:rPr>
                <w:sz w:val="20"/>
                <w:szCs w:val="20"/>
                <w:color w:val="auto"/>
              </w:rPr>
            </w:pPr>
            <w:r>
              <w:rPr>
                <w:rFonts w:ascii="Arial" w:cs="Arial" w:eastAsia="Arial" w:hAnsi="Arial"/>
                <w:sz w:val="18"/>
                <w:szCs w:val="18"/>
                <w:color w:val="auto"/>
              </w:rPr>
              <w:t>Cost of revenues—subscription, licensing, and other</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180"/>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Game operations and distribution costs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521</w:t>
            </w:r>
          </w:p>
        </w:tc>
        <w:tc>
          <w:tcPr>
            <w:tcW w:w="14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468</w:t>
            </w:r>
          </w:p>
        </w:tc>
        <w:tc>
          <w:tcPr>
            <w:tcW w:w="14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80" w:type="dxa"/>
            <w:vAlign w:val="bottom"/>
          </w:tcPr>
          <w:p>
            <w:pPr>
              <w:ind w:left="180"/>
              <w:spacing w:after="0" w:line="201" w:lineRule="exact"/>
              <w:rPr>
                <w:sz w:val="20"/>
                <w:szCs w:val="20"/>
                <w:color w:val="auto"/>
              </w:rPr>
            </w:pPr>
            <w:r>
              <w:rPr>
                <w:rFonts w:ascii="Arial" w:cs="Arial" w:eastAsia="Arial" w:hAnsi="Arial"/>
                <w:sz w:val="18"/>
                <w:szCs w:val="18"/>
                <w:color w:val="auto"/>
              </w:rPr>
              <w:t>Software royalties, amortization, and intellectual</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property licenses</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169</w:t>
            </w:r>
          </w:p>
        </w:tc>
        <w:tc>
          <w:tcPr>
            <w:tcW w:w="1440" w:type="dxa"/>
            <w:vAlign w:val="bottom"/>
            <w:tcBorders>
              <w:bottom w:val="single" w:sz="8" w:color="CCEEFF"/>
            </w:tcBorders>
            <w:gridSpan w:val="2"/>
          </w:tcPr>
          <w:p>
            <w:pPr>
              <w:jc w:val="right"/>
              <w:ind w:right="68"/>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242</w:t>
            </w:r>
          </w:p>
        </w:tc>
        <w:tc>
          <w:tcPr>
            <w:tcW w:w="1420" w:type="dxa"/>
            <w:vAlign w:val="bottom"/>
            <w:tcBorders>
              <w:bottom w:val="single" w:sz="8" w:color="CCEEFF"/>
            </w:tcBorders>
            <w:gridSpan w:val="2"/>
          </w:tcPr>
          <w:p>
            <w:pPr>
              <w:ind w:left="1100"/>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1,173</w:t>
            </w:r>
          </w:p>
        </w:tc>
        <w:tc>
          <w:tcPr>
            <w:tcW w:w="17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1,146</w:t>
            </w:r>
          </w:p>
        </w:tc>
        <w:tc>
          <w:tcPr>
            <w:tcW w:w="1720" w:type="dxa"/>
            <w:vAlign w:val="bottom"/>
            <w:tcBorders>
              <w:bottom w:val="single" w:sz="8" w:color="CCEEFF"/>
            </w:tcBorders>
            <w:gridSpan w:val="3"/>
            <w:shd w:val="clear" w:color="auto" w:fill="CCEEFF"/>
          </w:tcPr>
          <w:p>
            <w:pPr>
              <w:ind w:left="1100"/>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Revenues—Product Sales: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Q2 2018 vs. Q2 2017</w:t>
      </w:r>
    </w:p>
    <w:p>
      <w:pPr>
        <w:spacing w:after="0" w:line="225"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slight decrease in product costs for the three months ended June 30, 2018, as compared to the three months ended June 30, 2017, was in-line with the slight decrease in product sales.</w:t>
      </w:r>
    </w:p>
    <w:p>
      <w:pPr>
        <w:spacing w:after="0" w:line="170"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decrease in software royalties, amortization, and intellectual property licenses related to product sales for the three months ended June 30, 2018, as compared to the three months ended June 30, 2017, was primarily due to:</w:t>
      </w:r>
    </w:p>
    <w:p>
      <w:pPr>
        <w:spacing w:after="0" w:line="170" w:lineRule="exact"/>
        <w:rPr>
          <w:sz w:val="20"/>
          <w:szCs w:val="20"/>
          <w:color w:val="auto"/>
        </w:rPr>
      </w:pPr>
    </w:p>
    <w:p>
      <w:pPr>
        <w:ind w:left="980" w:hanging="324"/>
        <w:spacing w:after="0" w:line="264" w:lineRule="auto"/>
        <w:tabs>
          <w:tab w:leader="none" w:pos="944"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lower software amortization and royalties from Activision of $13 million, driven by lower software amortization and royalties from </w:t>
      </w:r>
      <w:r>
        <w:rPr>
          <w:rFonts w:ascii="Arial" w:cs="Arial" w:eastAsia="Arial" w:hAnsi="Arial"/>
          <w:sz w:val="18"/>
          <w:szCs w:val="18"/>
          <w:i w:val="1"/>
          <w:iCs w:val="1"/>
          <w:color w:val="auto"/>
        </w:rPr>
        <w:t>Call of Duty: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WWII </w:t>
      </w:r>
      <w:r>
        <w:rPr>
          <w:rFonts w:ascii="Arial" w:cs="Arial" w:eastAsia="Arial" w:hAnsi="Arial"/>
          <w:sz w:val="18"/>
          <w:szCs w:val="18"/>
          <w:color w:val="auto"/>
        </w:rPr>
        <w:t>as compared to</w:t>
      </w:r>
      <w:r>
        <w:rPr>
          <w:rFonts w:ascii="Arial" w:cs="Arial" w:eastAsia="Arial" w:hAnsi="Arial"/>
          <w:sz w:val="18"/>
          <w:szCs w:val="18"/>
          <w:i w:val="1"/>
          <w:iCs w:val="1"/>
          <w:color w:val="auto"/>
        </w:rPr>
        <w:t xml:space="preserve"> Call of Duty: Infinite Warfare, </w:t>
      </w:r>
      <w:r>
        <w:rPr>
          <w:rFonts w:ascii="Arial" w:cs="Arial" w:eastAsia="Arial" w:hAnsi="Arial"/>
          <w:sz w:val="18"/>
          <w:szCs w:val="18"/>
          <w:color w:val="auto"/>
        </w:rPr>
        <w:t>partially offset by higher software amortization and royalties from the Destiny franchise,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primarily due to the release of </w:t>
      </w:r>
      <w:r>
        <w:rPr>
          <w:rFonts w:ascii="Arial" w:cs="Arial" w:eastAsia="Arial" w:hAnsi="Arial"/>
          <w:sz w:val="18"/>
          <w:szCs w:val="18"/>
          <w:i w:val="1"/>
          <w:iCs w:val="1"/>
          <w:color w:val="auto"/>
        </w:rPr>
        <w:t>Destiny 2</w:t>
      </w:r>
      <w:r>
        <w:rPr>
          <w:rFonts w:ascii="Arial" w:cs="Arial" w:eastAsia="Arial" w:hAnsi="Arial"/>
          <w:sz w:val="18"/>
          <w:szCs w:val="18"/>
          <w:color w:val="auto"/>
        </w:rPr>
        <w:t xml:space="preserve"> in September 2017; and</w:t>
      </w:r>
    </w:p>
    <w:p>
      <w:pPr>
        <w:spacing w:after="0" w:line="181" w:lineRule="exact"/>
        <w:rPr>
          <w:rFonts w:ascii="Arial" w:cs="Arial" w:eastAsia="Arial" w:hAnsi="Arial"/>
          <w:sz w:val="18"/>
          <w:szCs w:val="18"/>
          <w:color w:val="auto"/>
        </w:rPr>
      </w:pPr>
    </w:p>
    <w:p>
      <w:pPr>
        <w:ind w:left="980" w:right="40" w:hanging="324"/>
        <w:spacing w:after="0" w:line="277" w:lineRule="auto"/>
        <w:tabs>
          <w:tab w:leader="none" w:pos="944"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lower software amortization and royalties from Blizzard of $13 million, driven by </w:t>
      </w:r>
      <w:r>
        <w:rPr>
          <w:rFonts w:ascii="Arial" w:cs="Arial" w:eastAsia="Arial" w:hAnsi="Arial"/>
          <w:sz w:val="18"/>
          <w:szCs w:val="18"/>
          <w:i w:val="1"/>
          <w:iCs w:val="1"/>
          <w:color w:val="auto"/>
        </w:rPr>
        <w:t>World of Warcraft</w:t>
      </w:r>
      <w:r>
        <w:rPr>
          <w:rFonts w:ascii="Arial" w:cs="Arial" w:eastAsia="Arial" w:hAnsi="Arial"/>
          <w:sz w:val="18"/>
          <w:szCs w:val="18"/>
          <w:color w:val="auto"/>
        </w:rPr>
        <w:t xml:space="preserve">, for which </w:t>
      </w:r>
      <w:r>
        <w:rPr>
          <w:rFonts w:ascii="Arial" w:cs="Arial" w:eastAsia="Arial" w:hAnsi="Arial"/>
          <w:sz w:val="18"/>
          <w:szCs w:val="18"/>
          <w:i w:val="1"/>
          <w:iCs w:val="1"/>
          <w:color w:val="auto"/>
        </w:rPr>
        <w:t>World of Warcraft: Legion</w:t>
      </w:r>
      <w:r>
        <w:rPr>
          <w:rFonts w:ascii="Arial" w:cs="Arial" w:eastAsia="Arial" w:hAnsi="Arial"/>
          <w:sz w:val="18"/>
          <w:szCs w:val="18"/>
          <w:color w:val="auto"/>
        </w:rPr>
        <w:t xml:space="preserve"> which was released in August 2016, with no comparable release in 2017.</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YTD Q2 2018 vs. YTD Q2 2017</w:t>
      </w:r>
    </w:p>
    <w:p>
      <w:pPr>
        <w:spacing w:after="0" w:line="225" w:lineRule="exact"/>
        <w:rPr>
          <w:sz w:val="20"/>
          <w:szCs w:val="20"/>
          <w:color w:val="auto"/>
        </w:rPr>
      </w:pPr>
    </w:p>
    <w:p>
      <w:pPr>
        <w:ind w:right="160" w:firstLine="405"/>
        <w:spacing w:after="0" w:line="308" w:lineRule="auto"/>
        <w:rPr>
          <w:sz w:val="20"/>
          <w:szCs w:val="20"/>
          <w:color w:val="auto"/>
        </w:rPr>
      </w:pPr>
      <w:r>
        <w:rPr>
          <w:rFonts w:ascii="Arial" w:cs="Arial" w:eastAsia="Arial" w:hAnsi="Arial"/>
          <w:sz w:val="17"/>
          <w:szCs w:val="17"/>
          <w:color w:val="auto"/>
        </w:rPr>
        <w:t>The increase in product costs for the six months ended June 30, 2018, as compared to the six months ended June 30, 2017, was primarily due to higher product costs from Activision of $21 million, driven by the increase in product sales associated with the Destiny and Call of Duty franchises.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 xml:space="preserve">The increase in software royalties, amortization, and intellectual property licenses related to product sales for the six months ended June 30, 2018, as compared to the six months ended June 30, 2017, was primarily due to higher software amortization and royalties from Activision of $55 million, primarily due to the Destiny franchise, driven by the release of </w:t>
      </w:r>
      <w:r>
        <w:rPr>
          <w:rFonts w:ascii="Arial" w:cs="Arial" w:eastAsia="Arial" w:hAnsi="Arial"/>
          <w:sz w:val="17"/>
          <w:szCs w:val="17"/>
          <w:i w:val="1"/>
          <w:iCs w:val="1"/>
          <w:color w:val="auto"/>
        </w:rPr>
        <w:t>Destiny 2,</w:t>
      </w:r>
      <w:r>
        <w:rPr>
          <w:rFonts w:ascii="Arial" w:cs="Arial" w:eastAsia="Arial" w:hAnsi="Arial"/>
          <w:sz w:val="17"/>
          <w:szCs w:val="17"/>
          <w:color w:val="auto"/>
        </w:rPr>
        <w:t xml:space="preserve"> which was released in September 2017, with no comparable release in 2016, partially offset by lower software amortization associated with </w:t>
      </w:r>
      <w:r>
        <w:rPr>
          <w:rFonts w:ascii="Arial" w:cs="Arial" w:eastAsia="Arial" w:hAnsi="Arial"/>
          <w:sz w:val="17"/>
          <w:szCs w:val="17"/>
          <w:i w:val="1"/>
          <w:iCs w:val="1"/>
          <w:color w:val="auto"/>
        </w:rPr>
        <w:t>Call of Duty: WWII,</w:t>
      </w:r>
      <w:r>
        <w:rPr>
          <w:rFonts w:ascii="Arial" w:cs="Arial" w:eastAsia="Arial" w:hAnsi="Arial"/>
          <w:sz w:val="17"/>
          <w:szCs w:val="17"/>
          <w:color w:val="auto"/>
        </w:rPr>
        <w:t xml:space="preserve"> as compared to </w:t>
      </w:r>
      <w:r>
        <w:rPr>
          <w:rFonts w:ascii="Arial" w:cs="Arial" w:eastAsia="Arial" w:hAnsi="Arial"/>
          <w:sz w:val="17"/>
          <w:szCs w:val="17"/>
          <w:i w:val="1"/>
          <w:iCs w:val="1"/>
          <w:color w:val="auto"/>
        </w:rPr>
        <w:t>Call of Duty: Infinite Warfare.</w:t>
      </w:r>
      <w:r>
        <w:rPr>
          <w:rFonts w:ascii="Arial" w:cs="Arial" w:eastAsia="Arial" w:hAnsi="Arial"/>
          <w:sz w:val="17"/>
          <w:szCs w:val="17"/>
          <w:color w:val="auto"/>
        </w:rPr>
        <w:t xml:space="preserve"> The increase from Activision was partially offset by lower software amortization and royalties from Blizzard of $24 million, driven by </w:t>
      </w:r>
      <w:r>
        <w:rPr>
          <w:rFonts w:ascii="Arial" w:cs="Arial" w:eastAsia="Arial" w:hAnsi="Arial"/>
          <w:sz w:val="17"/>
          <w:szCs w:val="17"/>
          <w:i w:val="1"/>
          <w:iCs w:val="1"/>
          <w:color w:val="auto"/>
        </w:rPr>
        <w:t>World of Warcraft: Legion</w:t>
      </w:r>
      <w:r>
        <w:rPr>
          <w:rFonts w:ascii="Arial" w:cs="Arial" w:eastAsia="Arial" w:hAnsi="Arial"/>
          <w:sz w:val="17"/>
          <w:szCs w:val="17"/>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Revenues—Subscription, Licensing, and Other Revenues: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Q2 2018 vs. Q2 2017</w:t>
      </w:r>
    </w:p>
    <w:p>
      <w:pPr>
        <w:spacing w:after="0" w:line="225"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The increase in game operations and distribution costs for the three months ended June 30, 2018, as compared to the three months ended June 30, 2017, was primarily due to higher personnel, facilities, and equipment costs of $15 million associated with our online games and broadcasting operations.</w:t>
      </w:r>
    </w:p>
    <w:p>
      <w:pPr>
        <w:spacing w:after="0" w:line="124"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The decrease in software royalties, amortization, and intellectual property licenses related to subscription, licensing, and other revenues for the three months ended June 30, 2018, as compared to the three months ended June 30, 2017, was primarily due to a decrease of $40 million in amortization of internally-developed franchise intangible assets acquired as part of our acquisition of King.</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YTD Q2 2018 vs. YTD Q2 2017</w:t>
      </w:r>
    </w:p>
    <w:p>
      <w:pPr>
        <w:sectPr>
          <w:pgSz w:w="11900" w:h="16838" w:orient="portrait"/>
          <w:cols w:equalWidth="0" w:num="1">
            <w:col w:w="11420"/>
          </w:cols>
          <w:pgMar w:left="240" w:top="341" w:right="239" w:bottom="0" w:gutter="0" w:footer="0" w:header="0"/>
        </w:sectPr>
      </w:pPr>
    </w:p>
    <w:bookmarkStart w:id="38" w:name="page39"/>
    <w:bookmarkEnd w:id="38"/>
    <w:p>
      <w:pPr>
        <w:spacing w:after="0" w:line="93" w:lineRule="exact"/>
        <w:rPr>
          <w:sz w:val="20"/>
          <w:szCs w:val="20"/>
          <w:color w:val="auto"/>
        </w:rPr>
      </w:pPr>
    </w:p>
    <w:p>
      <w:pPr>
        <w:ind w:right="40" w:firstLine="405"/>
        <w:spacing w:after="0" w:line="342" w:lineRule="auto"/>
        <w:rPr>
          <w:sz w:val="20"/>
          <w:szCs w:val="20"/>
          <w:color w:val="auto"/>
        </w:rPr>
      </w:pPr>
      <w:r>
        <w:rPr>
          <w:rFonts w:ascii="Arial" w:cs="Arial" w:eastAsia="Arial" w:hAnsi="Arial"/>
          <w:sz w:val="16"/>
          <w:szCs w:val="16"/>
          <w:color w:val="auto"/>
        </w:rPr>
        <w:t>The increase in game operations and distribution costs for the six months ended June 30, 2018, as compared to the six months ended June 30, 2017, was primarily due to higher personnel, facilities, and equipment costs of $33 million associated with our online games and broadcasting operations.</w:t>
      </w:r>
    </w:p>
    <w:p>
      <w:pPr>
        <w:spacing w:after="0" w:line="124" w:lineRule="exact"/>
        <w:rPr>
          <w:sz w:val="20"/>
          <w:szCs w:val="20"/>
          <w:color w:val="auto"/>
        </w:rPr>
      </w:pPr>
    </w:p>
    <w:p>
      <w:pPr>
        <w:ind w:right="480" w:firstLine="405"/>
        <w:spacing w:after="0" w:line="264" w:lineRule="auto"/>
        <w:rPr>
          <w:sz w:val="20"/>
          <w:szCs w:val="20"/>
          <w:color w:val="auto"/>
        </w:rPr>
      </w:pPr>
      <w:r>
        <w:rPr>
          <w:rFonts w:ascii="Arial" w:cs="Arial" w:eastAsia="Arial" w:hAnsi="Arial"/>
          <w:sz w:val="18"/>
          <w:szCs w:val="18"/>
          <w:color w:val="auto"/>
        </w:rPr>
        <w:t>The decrease in software royalties, amortization, and intellectual property licenses related to subscription, licensing, and other revenues for the six months ended June 30, 2018, as compared to the six months ended June 30, 2017, was primarily due to a decrease of $77 million in amortization of internally-developed franchise intangible assets acquired as part of our acquisition of King.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(amounts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 of</w:t>
            </w: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4"/>
                <w:szCs w:val="14"/>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44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June 30, 2018</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4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June 30, 2017</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net revenues</w:t>
            </w:r>
          </w:p>
        </w:tc>
        <w:tc>
          <w:tcPr>
            <w:tcW w:w="1420" w:type="dxa"/>
            <w:vAlign w:val="bottom"/>
            <w:gridSpan w:val="3"/>
            <w:vMerge w:val="continue"/>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net revenues</w:t>
            </w:r>
          </w:p>
        </w:tc>
        <w:tc>
          <w:tcPr>
            <w:tcW w:w="2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Three Months Ended</w:t>
            </w:r>
          </w:p>
        </w:tc>
        <w:tc>
          <w:tcPr>
            <w:tcW w:w="48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Six Months Ended</w:t>
            </w:r>
          </w:p>
        </w:tc>
        <w:tc>
          <w:tcPr>
            <w:tcW w:w="48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513</w:t>
            </w:r>
          </w:p>
        </w:tc>
        <w:tc>
          <w:tcPr>
            <w:tcW w:w="28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48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478</w:t>
            </w:r>
          </w:p>
        </w:tc>
        <w:tc>
          <w:tcPr>
            <w:tcW w:w="28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9"/>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Q2 2018 vs. Q2 2017</w:t>
      </w:r>
    </w:p>
    <w:p>
      <w:pPr>
        <w:spacing w:after="0" w:line="225"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Product development costs for the three months ended June 30, 2018, were comparable to the three months ended June 30, 2017, primarily due to a $30 million increase in personnel and external developer costs to support existing and upcoming title releases, offset by higher capitalization of software development costs of $23 million due the increased costs previously noted and timing of the game development cycle.</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YTD Q2 2018 vs. YTD Q2 2017</w:t>
      </w:r>
    </w:p>
    <w:p>
      <w:pPr>
        <w:spacing w:after="0" w:line="225" w:lineRule="exact"/>
        <w:rPr>
          <w:sz w:val="20"/>
          <w:szCs w:val="20"/>
          <w:color w:val="auto"/>
        </w:rPr>
      </w:pPr>
    </w:p>
    <w:p>
      <w:pPr>
        <w:jc w:val="both"/>
        <w:ind w:right="180" w:firstLine="405"/>
        <w:spacing w:after="0" w:line="312" w:lineRule="auto"/>
        <w:rPr>
          <w:sz w:val="20"/>
          <w:szCs w:val="20"/>
          <w:color w:val="auto"/>
        </w:rPr>
      </w:pPr>
      <w:r>
        <w:rPr>
          <w:rFonts w:ascii="Arial" w:cs="Arial" w:eastAsia="Arial" w:hAnsi="Arial"/>
          <w:sz w:val="16"/>
          <w:szCs w:val="16"/>
          <w:color w:val="auto"/>
        </w:rPr>
        <w:t>The increase in product development costs for the six months ended June 30, 2018, as compared to the six months ended June 30, 2017, was primarily due to a $87 million increase in personnel and external developer costs to support existing and upcoming title releases. The increase was partially offset by higher capitalization of software development costs of $48 million due to the increased costs previously noted and timing of the game development cycle.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(amounts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 of</w:t>
            </w: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4"/>
                <w:szCs w:val="14"/>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44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June 30, 2018</w:t>
            </w: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consolidated</w:t>
            </w:r>
          </w:p>
        </w:tc>
        <w:tc>
          <w:tcPr>
            <w:tcW w:w="14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June 30, 2017</w:t>
            </w: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consolidated</w:t>
            </w: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net revenues</w:t>
            </w:r>
          </w:p>
        </w:tc>
        <w:tc>
          <w:tcPr>
            <w:tcW w:w="1420" w:type="dxa"/>
            <w:vAlign w:val="bottom"/>
            <w:gridSpan w:val="3"/>
            <w:vMerge w:val="continue"/>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net revenues</w:t>
            </w:r>
          </w:p>
        </w:tc>
        <w:tc>
          <w:tcPr>
            <w:tcW w:w="2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Three Months Ended</w:t>
            </w:r>
          </w:p>
        </w:tc>
        <w:tc>
          <w:tcPr>
            <w:tcW w:w="48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c>
          <w:tcPr>
            <w:tcW w:w="3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308</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3"/>
              </w:rPr>
              <w:t>19%</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Six Months Ended</w:t>
            </w:r>
          </w:p>
        </w:tc>
        <w:tc>
          <w:tcPr>
            <w:tcW w:w="48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477</w:t>
            </w:r>
          </w:p>
        </w:tc>
        <w:tc>
          <w:tcPr>
            <w:tcW w:w="30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460" w:type="dxa"/>
            <w:vAlign w:val="bottom"/>
          </w:tcPr>
          <w:p>
            <w:pPr>
              <w:jc w:val="right"/>
              <w:ind w:right="196"/>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554</w:t>
            </w:r>
          </w:p>
        </w:tc>
        <w:tc>
          <w:tcPr>
            <w:tcW w:w="300" w:type="dxa"/>
            <w:vAlign w:val="bottom"/>
          </w:tcPr>
          <w:p>
            <w:pPr>
              <w:spacing w:after="0"/>
              <w:rPr>
                <w:sz w:val="20"/>
                <w:szCs w:val="20"/>
                <w:color w:val="auto"/>
              </w:rPr>
            </w:pPr>
          </w:p>
        </w:tc>
        <w:tc>
          <w:tcPr>
            <w:tcW w:w="1420" w:type="dxa"/>
            <w:vAlign w:val="bottom"/>
            <w:gridSpan w:val="2"/>
          </w:tcPr>
          <w:p>
            <w:pPr>
              <w:ind w:left="800"/>
              <w:spacing w:after="0"/>
              <w:rPr>
                <w:sz w:val="20"/>
                <w:szCs w:val="20"/>
                <w:color w:val="auto"/>
              </w:rPr>
            </w:pPr>
            <w:r>
              <w:rPr>
                <w:rFonts w:ascii="Arial" w:cs="Arial" w:eastAsia="Arial" w:hAnsi="Arial"/>
                <w:sz w:val="18"/>
                <w:szCs w:val="18"/>
                <w:color w:val="auto"/>
              </w:rPr>
              <w:t>17%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Q2 2018 vs. Q2 2017</w:t>
      </w:r>
    </w:p>
    <w:p>
      <w:pPr>
        <w:spacing w:after="0" w:line="225"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The decrease in sales and marketing expenses for the three months ended June 30, 2018, as compared to the three months ended June 30, 2017, was primarily due to a decrease of $77 million in amortization of the customer base intangible asset acquired as part of our acquisition of King, as the asset was fully amortized during the first quarter of 2018.</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YTD Q2 2018 vs. YTD Q2 2017</w:t>
      </w:r>
    </w:p>
    <w:p>
      <w:pPr>
        <w:spacing w:after="0" w:line="225" w:lineRule="exact"/>
        <w:rPr>
          <w:sz w:val="20"/>
          <w:szCs w:val="20"/>
          <w:color w:val="auto"/>
        </w:rPr>
      </w:pPr>
    </w:p>
    <w:p>
      <w:pPr>
        <w:ind w:right="160" w:firstLine="405"/>
        <w:spacing w:after="0" w:line="242" w:lineRule="auto"/>
        <w:rPr>
          <w:sz w:val="20"/>
          <w:szCs w:val="20"/>
          <w:color w:val="auto"/>
        </w:rPr>
      </w:pPr>
      <w:r>
        <w:rPr>
          <w:rFonts w:ascii="Arial" w:cs="Arial" w:eastAsia="Arial" w:hAnsi="Arial"/>
          <w:sz w:val="18"/>
          <w:szCs w:val="18"/>
          <w:color w:val="auto"/>
        </w:rPr>
        <w:t xml:space="preserve">The decrease in sales and marketing expenses for the six months ended June 30, 2018, as compared to the six months ended June 30, 2017, was primarily due to a decrease of $111 million in amortization of the customer base intangible asset acquired as part of our acquisition of King, as the asset was fully amortized during the first quarter of 2018. The decrease was partially offset by a $34 million increase in marketing spending and personnel costs, primarily associated with the Candy Crush franchise and the Overwatch League, the latter of which started its inaugural regular season in January 2018, partially offset by reduced marketing for the Bubble Witch franchise, as </w:t>
      </w:r>
      <w:r>
        <w:rPr>
          <w:rFonts w:ascii="Arial" w:cs="Arial" w:eastAsia="Arial" w:hAnsi="Arial"/>
          <w:sz w:val="18"/>
          <w:szCs w:val="18"/>
          <w:i w:val="1"/>
          <w:iCs w:val="1"/>
          <w:color w:val="auto"/>
        </w:rPr>
        <w:t>Bubble Witch 3 Saga</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was released during the first quarter of 2017, with no comparable release in 2018.</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(amounts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 of</w:t>
            </w: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4"/>
                <w:szCs w:val="14"/>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44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June 30, 2018</w:t>
            </w: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consolidated</w:t>
            </w:r>
          </w:p>
        </w:tc>
        <w:tc>
          <w:tcPr>
            <w:tcW w:w="14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June 30, 2017</w:t>
            </w: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consolidated</w:t>
            </w: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net revenues</w:t>
            </w:r>
          </w:p>
        </w:tc>
        <w:tc>
          <w:tcPr>
            <w:tcW w:w="1420" w:type="dxa"/>
            <w:vAlign w:val="bottom"/>
            <w:gridSpan w:val="3"/>
            <w:vMerge w:val="continue"/>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net revenues</w:t>
            </w:r>
          </w:p>
        </w:tc>
        <w:tc>
          <w:tcPr>
            <w:tcW w:w="2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Three Months Ended</w:t>
            </w:r>
          </w:p>
        </w:tc>
        <w:tc>
          <w:tcPr>
            <w:tcW w:w="48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c>
          <w:tcPr>
            <w:tcW w:w="3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3"/>
              </w:rPr>
              <w:t>10%</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Six Months Ended</w:t>
            </w:r>
          </w:p>
        </w:tc>
        <w:tc>
          <w:tcPr>
            <w:tcW w:w="48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415</w:t>
            </w:r>
          </w:p>
        </w:tc>
        <w:tc>
          <w:tcPr>
            <w:tcW w:w="30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48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347</w:t>
            </w:r>
          </w:p>
        </w:tc>
        <w:tc>
          <w:tcPr>
            <w:tcW w:w="300" w:type="dxa"/>
            <w:vAlign w:val="bottom"/>
          </w:tcPr>
          <w:p>
            <w:pPr>
              <w:spacing w:after="0"/>
              <w:rPr>
                <w:sz w:val="20"/>
                <w:szCs w:val="20"/>
                <w:color w:val="auto"/>
              </w:rPr>
            </w:pPr>
          </w:p>
        </w:tc>
        <w:tc>
          <w:tcPr>
            <w:tcW w:w="1420" w:type="dxa"/>
            <w:vAlign w:val="bottom"/>
            <w:gridSpan w:val="2"/>
          </w:tcPr>
          <w:p>
            <w:pPr>
              <w:ind w:left="800"/>
              <w:spacing w:after="0"/>
              <w:rPr>
                <w:sz w:val="20"/>
                <w:szCs w:val="20"/>
                <w:color w:val="auto"/>
              </w:rPr>
            </w:pPr>
            <w:r>
              <w:rPr>
                <w:rFonts w:ascii="Arial" w:cs="Arial" w:eastAsia="Arial" w:hAnsi="Arial"/>
                <w:sz w:val="18"/>
                <w:szCs w:val="18"/>
                <w:color w:val="auto"/>
              </w:rPr>
              <w:t>10%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9"/>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Q2 2018 vs. Q2 2017</w:t>
      </w:r>
    </w:p>
    <w:p>
      <w:pPr>
        <w:spacing w:after="0" w:line="225"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increase in general and administrative expenses for the three months ended June 30, 2018, as compared to the three months ended June 30, 2017, was primarily due to:</w:t>
      </w:r>
    </w:p>
    <w:p>
      <w:pPr>
        <w:spacing w:after="0" w:line="170" w:lineRule="exact"/>
        <w:rPr>
          <w:sz w:val="20"/>
          <w:szCs w:val="20"/>
          <w:color w:val="auto"/>
        </w:rPr>
      </w:pPr>
    </w:p>
    <w:p>
      <w:pPr>
        <w:ind w:left="980" w:right="360" w:hanging="324"/>
        <w:spacing w:after="0" w:line="277" w:lineRule="auto"/>
        <w:tabs>
          <w:tab w:leader="none" w:pos="944"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$39 million increase in personnel costs, including stock-based compensation expense, and facilities costs to support the growth of our core business and adjacent areas of opportunity; and</w:t>
      </w:r>
    </w:p>
    <w:p>
      <w:pPr>
        <w:spacing w:after="0" w:line="170" w:lineRule="exact"/>
        <w:rPr>
          <w:rFonts w:ascii="Arial" w:cs="Arial" w:eastAsia="Arial" w:hAnsi="Arial"/>
          <w:sz w:val="18"/>
          <w:szCs w:val="18"/>
          <w:color w:val="auto"/>
        </w:rPr>
      </w:pPr>
    </w:p>
    <w:p>
      <w:pPr>
        <w:ind w:left="980" w:right="380" w:hanging="324"/>
        <w:spacing w:after="0" w:line="277" w:lineRule="auto"/>
        <w:tabs>
          <w:tab w:leader="none" w:pos="944"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a $13 million increase in charitable contributions, primarily driven by the success of a charitable campaign in </w:t>
      </w:r>
      <w:r>
        <w:rPr>
          <w:rFonts w:ascii="Arial" w:cs="Arial" w:eastAsia="Arial" w:hAnsi="Arial"/>
          <w:sz w:val="18"/>
          <w:szCs w:val="18"/>
          <w:i w:val="1"/>
          <w:iCs w:val="1"/>
          <w:color w:val="auto"/>
        </w:rPr>
        <w:t>Overwatch</w:t>
      </w:r>
      <w:r>
        <w:rPr>
          <w:rFonts w:ascii="Arial" w:cs="Arial" w:eastAsia="Arial" w:hAnsi="Arial"/>
          <w:sz w:val="18"/>
          <w:szCs w:val="18"/>
          <w:color w:val="auto"/>
        </w:rPr>
        <w:t xml:space="preserve"> where all proceeds involving the sale of a special in-game item, were donated to charity.</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YTD Q2 2018 vs. YTD Q2 2017</w:t>
      </w:r>
    </w:p>
    <w:p>
      <w:pPr>
        <w:spacing w:after="0" w:line="225"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The increase in general and administrative expenses for the six months ended June 30, 2018, as compared to the six months ended June 30, 2017, was primarily due to a $67 million increase in personnel costs, including stock-based compensation expense, and facilities costs to support the growth of our core business and adjacent areas of opportunity.</w:t>
      </w:r>
    </w:p>
    <w:p>
      <w:pPr>
        <w:sectPr>
          <w:pgSz w:w="11900" w:h="16931" w:orient="portrait"/>
          <w:cols w:equalWidth="0" w:num="1">
            <w:col w:w="11420"/>
          </w:cols>
          <w:pgMar w:left="240" w:top="125" w:right="239" w:bottom="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 (Income), Net (amounts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 of</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4"/>
                <w:szCs w:val="14"/>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4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June 30, 2018</w:t>
            </w: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consolidated</w:t>
            </w:r>
          </w:p>
        </w:tc>
        <w:tc>
          <w:tcPr>
            <w:tcW w:w="14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June 30, 2017</w:t>
            </w: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consolidated</w:t>
            </w: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net revenues</w:t>
            </w:r>
          </w:p>
        </w:tc>
        <w:tc>
          <w:tcPr>
            <w:tcW w:w="1420" w:type="dxa"/>
            <w:vAlign w:val="bottom"/>
            <w:gridSpan w:val="3"/>
            <w:vMerge w:val="continue"/>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net revenues</w:t>
            </w:r>
          </w:p>
        </w:tc>
        <w:tc>
          <w:tcPr>
            <w:tcW w:w="2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Three Months Ended</w:t>
            </w:r>
          </w:p>
        </w:tc>
        <w:tc>
          <w:tcPr>
            <w:tcW w:w="520" w:type="dxa"/>
            <w:vAlign w:val="bottom"/>
            <w:tcBorders>
              <w:top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84"/>
              </w:rPr>
              <w:t>3%</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Six Months Ended</w:t>
            </w:r>
          </w:p>
        </w:tc>
        <w:tc>
          <w:tcPr>
            <w:tcW w:w="52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52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300" w:type="dxa"/>
            <w:vAlign w:val="bottom"/>
          </w:tcPr>
          <w:p>
            <w:pPr>
              <w:spacing w:after="0"/>
              <w:rPr>
                <w:sz w:val="20"/>
                <w:szCs w:val="20"/>
                <w:color w:val="auto"/>
              </w:rPr>
            </w:pPr>
          </w:p>
        </w:tc>
        <w:tc>
          <w:tcPr>
            <w:tcW w:w="1420" w:type="dxa"/>
            <w:vAlign w:val="bottom"/>
            <w:gridSpan w:val="2"/>
          </w:tcPr>
          <w:p>
            <w:pPr>
              <w:ind w:left="880"/>
              <w:spacing w:after="0"/>
              <w:rPr>
                <w:sz w:val="20"/>
                <w:szCs w:val="20"/>
                <w:color w:val="auto"/>
              </w:rPr>
            </w:pPr>
            <w:r>
              <w:rPr>
                <w:rFonts w:ascii="Arial" w:cs="Arial" w:eastAsia="Arial" w:hAnsi="Arial"/>
                <w:sz w:val="18"/>
                <w:szCs w:val="18"/>
                <w:color w:val="auto"/>
              </w:rPr>
              <w:t>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Q2 2018 vs. Q2 2017</w:t>
      </w:r>
    </w:p>
    <w:p>
      <w:pPr>
        <w:spacing w:after="0" w:line="225" w:lineRule="exact"/>
        <w:rPr>
          <w:sz w:val="20"/>
          <w:szCs w:val="20"/>
          <w:color w:val="auto"/>
        </w:rPr>
      </w:pPr>
    </w:p>
    <w:p>
      <w:pPr>
        <w:jc w:val="both"/>
        <w:ind w:right="300" w:firstLine="405"/>
        <w:spacing w:after="0" w:line="312" w:lineRule="auto"/>
        <w:rPr>
          <w:sz w:val="20"/>
          <w:szCs w:val="20"/>
          <w:color w:val="auto"/>
        </w:rPr>
      </w:pPr>
      <w:r>
        <w:rPr>
          <w:rFonts w:ascii="Arial" w:cs="Arial" w:eastAsia="Arial" w:hAnsi="Arial"/>
          <w:sz w:val="16"/>
          <w:szCs w:val="16"/>
          <w:color w:val="auto"/>
        </w:rPr>
        <w:t>The decrease in interest and other expense (income), net, for the three months ended June 30, 2018, as compared to the three months ended June 30, 2017, was primarily due to a $12 million increase in interest income from our cash and cash equivalents and as the prior-year quarter included $12 million from the write-offs of unamortized discount and deferred financing costs associated with debt paydown activities that are not present in 2018.</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YTD Q2 2018 vs. YTD Q2 2017</w:t>
      </w:r>
    </w:p>
    <w:p>
      <w:pPr>
        <w:spacing w:after="0" w:line="225" w:lineRule="exact"/>
        <w:rPr>
          <w:sz w:val="20"/>
          <w:szCs w:val="20"/>
          <w:color w:val="auto"/>
        </w:rPr>
      </w:pPr>
    </w:p>
    <w:p>
      <w:pPr>
        <w:jc w:val="both"/>
        <w:ind w:right="140" w:firstLine="405"/>
        <w:spacing w:after="0" w:line="286" w:lineRule="auto"/>
        <w:rPr>
          <w:sz w:val="20"/>
          <w:szCs w:val="20"/>
          <w:color w:val="auto"/>
        </w:rPr>
      </w:pPr>
      <w:r>
        <w:rPr>
          <w:rFonts w:ascii="Arial" w:cs="Arial" w:eastAsia="Arial" w:hAnsi="Arial"/>
          <w:sz w:val="17"/>
          <w:szCs w:val="17"/>
          <w:color w:val="auto"/>
        </w:rPr>
        <w:t>The decrease in interest and other expense (income), net, for the six months ended June 30, 2018, as compared to the six months ended June 30, 2017, was primarily due to a $23 million increase in interest income from our cash and cash equivalents and as the prior-year period included $12 million from the write-offs of unamortized discount and deferred financing costs associated with debt paydown activities that are not present in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(amounts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44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June 30, 2018</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 of pretax</w:t>
            </w:r>
          </w:p>
        </w:tc>
        <w:tc>
          <w:tcPr>
            <w:tcW w:w="14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June 30, 2017</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 of pretax</w:t>
            </w:r>
          </w:p>
        </w:tc>
        <w:tc>
          <w:tcPr>
            <w:tcW w:w="2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income</w:t>
            </w:r>
          </w:p>
        </w:tc>
        <w:tc>
          <w:tcPr>
            <w:tcW w:w="1420" w:type="dxa"/>
            <w:vAlign w:val="bottom"/>
            <w:gridSpan w:val="3"/>
            <w:vMerge w:val="continue"/>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income</w:t>
            </w:r>
          </w:p>
        </w:tc>
        <w:tc>
          <w:tcPr>
            <w:tcW w:w="2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Three Months Ended</w:t>
            </w:r>
          </w:p>
        </w:tc>
        <w:tc>
          <w:tcPr>
            <w:tcW w:w="520" w:type="dxa"/>
            <w:vAlign w:val="bottom"/>
            <w:tcBorders>
              <w:top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Six Months Ended</w:t>
            </w:r>
          </w:p>
        </w:tc>
        <w:tc>
          <w:tcPr>
            <w:tcW w:w="52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52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income tax expense of $6 million for the three months ended June 30, 2018, reflects an effective tax rate of 1%, which is lower than the effective tax rate of 17% for the three months ended June 30, 2017. The decrease is due to a $115 million discrete net tax benefit resulting from a closing agreement the Company entered into with the IRS to resolve certain intercompany transfer pricing arrangements for tax periods starting in 2009 (the “Closing Agreement”) and the benefit from the lower U.S. corporate income tax rate in the current year as a result of the U.S. Tax Reform Act, net of the impact of global intangible low-taxed income of foreign subsidiaries (“GILTI”). This decrease was partially offset by a $57 million valuation allowance recorded with regard to California research and development credit carryforwards (“CA R&amp;D Credits”) and the additional $34 million income tax expense related to the change in the provisional amount described below.</w:t>
      </w:r>
    </w:p>
    <w:p>
      <w:pPr>
        <w:spacing w:after="0" w:line="189"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income tax expense of $73 million for the six months ended June 30, 2018, reflects an effective tax rate of 7%, which is lower than the effective tax rate of 10% for the six months ended June 30, 2017. The decrease is due to a $115 million discrete net tax benefit resulting from the Closing Agreement and the benefit from the lower U.S. corporate income tax rate, net of the impact of GILTI. This decrease was partially offset by the $57 million valuation allowance recorded with regard to CA R&amp;D Credits, lower excess tax benefits from share-based payments, and the additional $34 million income tax expense related to the change in the provisional amount described below.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The effective tax rates of 1% and 7% for the three and six months ended June 30, 2018, respectively, are lower than the U.S. statutory rate of 21%, primarily due to a discrete net tax benefit resulting from the Closing Agreement, foreign earnings taxed at relatively lower statutory rates, the recognition of excess tax benefits from share-based payments, and recognition of federal research and development credits, partially offset by the valuation allowance recorded with regard to CA R&amp;D Credits and an additional income tax expense related to the change in the provisional amount described below.</w:t>
      </w:r>
    </w:p>
    <w:p>
      <w:pPr>
        <w:spacing w:after="0" w:line="154" w:lineRule="exact"/>
        <w:rPr>
          <w:sz w:val="20"/>
          <w:szCs w:val="20"/>
          <w:color w:val="auto"/>
        </w:rPr>
      </w:pPr>
    </w:p>
    <w:p>
      <w:pPr>
        <w:ind w:right="100" w:firstLine="396"/>
        <w:spacing w:after="0" w:line="257" w:lineRule="auto"/>
        <w:rPr>
          <w:sz w:val="20"/>
          <w:szCs w:val="20"/>
          <w:color w:val="auto"/>
        </w:rPr>
      </w:pPr>
      <w:r>
        <w:rPr>
          <w:rFonts w:ascii="Arial" w:cs="Arial" w:eastAsia="Arial" w:hAnsi="Arial"/>
          <w:sz w:val="18"/>
          <w:szCs w:val="18"/>
          <w:color w:val="auto"/>
        </w:rPr>
        <w:t>On June 27, 2018, the Company entered into the Closing Agreement. The primary adjustments recognized in the second quarter of 2018 related to the Closing Agreement were a tax expense of $70 million and a reduction in unrecognized tax benefits of $437 million. In addition, we recognized $185 million of tax benefits related to other tax adjustments resulting from the changes in U.S. tax attributes and taxable income caused by the primary adjustments. We expect the Closing Agreement to result in federal and state cash tax payments of approximately $345 million, which we expect to be made mostly before December 31, 2018.</w:t>
      </w:r>
    </w:p>
    <w:p>
      <w:pPr>
        <w:spacing w:after="0" w:line="188"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We evaluate deferred tax assets each period for recoverability. We record a valuation allowance for assets that do not meet the threshold of “more likely than not” to be realized in the future. To make that determination, the Company evaluates the likelihood of realization based on the weight of all positive and negative evidence available. As of December 31, 2017, the Company had a deferred tax asset for CA R&amp;D Credits, which can be carried forward indefinitely. The Closing Agreement impacts historical and prospective filings in certain states, including California, and after considering the impact of the Closing Agreement on its prospective California taxable income, the Company determined that its remaining CA R&amp;D Credits no longer met the threshold of more likely than not being realized in the future. Accordingly, during the three months ended June 30, 2018, we recorded a full valuation allowance of $57 million. Additionally, the Company has not recognized a tax benefit for current-year CA R&amp;D Credits in its year-to-date tax expense. We will reassess this determination quarterly and record a tax benefit if future evidence allows for a partial or full release of this valuation allowance.</w:t>
      </w:r>
    </w:p>
    <w:p>
      <w:pPr>
        <w:spacing w:after="0" w:line="166" w:lineRule="exact"/>
        <w:rPr>
          <w:sz w:val="20"/>
          <w:szCs w:val="20"/>
          <w:color w:val="auto"/>
        </w:rPr>
      </w:pPr>
    </w:p>
    <w:p>
      <w:pPr>
        <w:jc w:val="both"/>
        <w:ind w:right="240" w:firstLine="405"/>
        <w:spacing w:after="0" w:line="264" w:lineRule="auto"/>
        <w:rPr>
          <w:sz w:val="20"/>
          <w:szCs w:val="20"/>
          <w:color w:val="auto"/>
        </w:rPr>
      </w:pPr>
      <w:r>
        <w:rPr>
          <w:rFonts w:ascii="Arial" w:cs="Arial" w:eastAsia="Arial" w:hAnsi="Arial"/>
          <w:sz w:val="18"/>
          <w:szCs w:val="18"/>
          <w:color w:val="auto"/>
        </w:rPr>
        <w:t>On December 22, 2017, the U.S. Tax Reform Act was enacted. The U.S. Tax Reform Act, among other things, reduced the U.S. corporate income tax rate from 35% to 21% beginning in 2018 and implemented a modified territorial tax system that imposed a one-time tax on deemed repatriated earnings of foreign subsidiaries (the “Transition Tax”).</w:t>
      </w:r>
    </w:p>
    <w:p>
      <w:pPr>
        <w:sectPr>
          <w:pgSz w:w="11900" w:h="16838" w:orient="portrait"/>
          <w:cols w:equalWidth="0" w:num="1">
            <w:col w:w="11420"/>
          </w:cols>
          <w:pgMar w:left="240" w:top="341" w:right="239" w:bottom="83" w:gutter="0" w:footer="0" w:header="0"/>
        </w:sectPr>
      </w:pPr>
    </w:p>
    <w:bookmarkStart w:id="40" w:name="page41"/>
    <w:bookmarkEnd w:id="40"/>
    <w:p>
      <w:pPr>
        <w:spacing w:after="0" w:line="62"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On December 22, 2017, the Securities and Exchange Commission (“SEC”) staff issued Staff Accounting Bulletin No. 118 (“SAB 118”), which provides guidance on how to account for the effects of the U.S. Tax Reform Act under Accounting Standards Codification (“ASC”) 740. SAB 118 enabled companies to record a provisional amount for the effects of the U.S. Tax Reform Act based on a reasonable estimate, subject to adjustment during a measurement period of up to one year, until accounting is complete. During the fourth quarter of 2017, we recorded provisional amounts for the effects of the U.S. Tax Reform Act in accordance with SAB 118. In addition, as of December 31. 2017, we no longer considered the available cash balances related to undistributed earnings held outside of the U.S. by our foreign subsidiaries to be indefinitely reinvested. We continue to analyze the effects of the U.S. Tax Reform Act on our condensed consolidated financial statements. Accounting for the income tax effects of the U.S. Tax Reform Act requires complex new calculations and significant judgments in interpreting the legislation. Additional guidance may be issued on how the provisions of the U.S. Tax Reform Act will be applied or otherwise administered that is different from our interpretation. We may make adjustments to the provisional amounts as we collect and prepare the data necessary to finalize our calculations, interpret the U.S. Tax Reform Act and any additional guidance issued, and consider the effects of any additional actions we may take as a result of the U.S. Tax Reform Act.</w:t>
      </w:r>
    </w:p>
    <w:p>
      <w:pPr>
        <w:spacing w:after="0" w:line="183"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During the three months ended June 30, 2018, the Company obtained additional information, including adjustments related to the Closing Agreement, and the evaluation of the impact of changing our indefinite reinvestment assertion, which affected the provisional amount initially recorded for the U.S. Tax Reform Act in the fourth quarter of 2017. As a result, the Company recorded an additional tax expense of $34 million in the three months ended June 30, 2018 for the effects of the U.S. Tax Reform Act.</w:t>
      </w:r>
    </w:p>
    <w:p>
      <w:pPr>
        <w:spacing w:after="0" w:line="187" w:lineRule="exact"/>
        <w:rPr>
          <w:sz w:val="20"/>
          <w:szCs w:val="20"/>
          <w:color w:val="auto"/>
        </w:rPr>
      </w:pPr>
    </w:p>
    <w:p>
      <w:pPr>
        <w:ind w:right="60" w:firstLine="396"/>
        <w:spacing w:after="0" w:line="279" w:lineRule="auto"/>
        <w:rPr>
          <w:sz w:val="20"/>
          <w:szCs w:val="20"/>
          <w:color w:val="auto"/>
        </w:rPr>
      </w:pPr>
      <w:r>
        <w:rPr>
          <w:rFonts w:ascii="Arial" w:cs="Arial" w:eastAsia="Arial" w:hAnsi="Arial"/>
          <w:sz w:val="17"/>
          <w:szCs w:val="17"/>
          <w:color w:val="auto"/>
        </w:rPr>
        <w:t>We continue to evaluate the ongoing impacts of the U.S. Tax Reform Act, including provisions impacting certain foreign income, such as a tax on GILTI and a deduction for foreign derived intangible income. These provisions are complex and subject to continuing regulatory interpretation by the IRS. While we have included an estimate of GILTI in our estimated effective tax rate for 2018, we may make adjustments as we interpret the U.S. Tax Reform Act and any additional guidance issued, and consider the effects of any additional actions we may take as a result of the U.S. Tax Reform Act.</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405"/>
        <w:spacing w:after="0" w:line="254" w:lineRule="auto"/>
        <w:rPr>
          <w:sz w:val="20"/>
          <w:szCs w:val="20"/>
          <w:color w:val="auto"/>
        </w:rPr>
      </w:pPr>
      <w:r>
        <w:rPr>
          <w:rFonts w:ascii="Arial" w:cs="Arial" w:eastAsia="Arial" w:hAnsi="Arial"/>
          <w:sz w:val="18"/>
          <w:szCs w:val="18"/>
          <w:color w:val="auto"/>
        </w:rPr>
        <w:t>Our effective tax rate differs from the statutory U.S. income tax rate due to the effect of state and local income taxes, tax rates that apply to our foreign income (including U.S. tax on foreign income), research and development credits, and certain nondeductible expenses. Our effective tax rate could fluctuate significantly from quarter to quarter based on recurring and nonrecurring factors including, but not limited to: variations in the estimated and actual level of pre-tax income or loss by jurisdiction (including changes in the mix of income by tax jurisdiction); changes in enacted tax laws and regulations, and interpretations thereof, including with respect to tax credits and state and local income taxes; developments in tax audits and other matters; recognition of excess tax benefits and tax deficiencies from share-based payments; and certain nondeductible expenses. Changes in judgment from the evaluation of new information resulting in the recognition, derecognition, or remeasurement of a tax position taken in a prior annual period are recognized separately in the quarter of the change.</w:t>
      </w:r>
    </w:p>
    <w:p>
      <w:pPr>
        <w:spacing w:after="0" w:line="192"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Further information about our income taxes is provided in Note 13 of the notes to condensed consolidated financial statements included in Item 1 of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We believe our ability to generate cash flows from operating activities is one of our fundamental financial strengths. In the near term, we expect our business and financial condition to remain strong and to continue to generate significant operating cash flows, which, we believe, in combination with our existing balance of cash and cash equivalents and short-term investments of $5.0 billion, our access to capital, and the availability of our $250 million revolving credit facility, will be sufficient to finance our operational and financing requirements for the next 12 months. Our primary sources of liquidity, which are available to us to fund cash outflows such as our anticipated dividend payments, share repurchases, and scheduled debt maturities, include our cash and cash equivalents, short-term investments, and cash flows provided by operating activities.</w:t>
      </w:r>
    </w:p>
    <w:p>
      <w:pPr>
        <w:spacing w:after="0" w:line="178"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As of June 30, 2018, the amount of cash and cash equivalents held outside of the U.S. by our foreign subsidiaries was $0.9 billion, as compared to $3.0 billion as of December 31, 2017. Following the enactment of the U.S. Tax Reform Act and the current period expense on unrepatriated earnings, we no longer consider these available cash balances, which primarily relate to undistributed earnings of our most significant foreign subsidiaries, to be indefinitely reinvested.</w:t>
      </w:r>
    </w:p>
    <w:p>
      <w:pPr>
        <w:spacing w:after="0" w:line="187"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Our cash provided from operating activities is somewhat impacted by seasonality. Working capital needs are impacted by weekly sales, which are generally highest in the fourth quarter due to seasonal and holiday-related sales patterns. We consider, on a continuing basis, various transactions to increase shareholder value and enhance our business results, including acquisitions, divestitures, joint ventures, share repurchases, and other structural changes. These transactions may result in future cash proceeds or payments.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 (amounts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restart"/>
          </w:tcPr>
          <w:p>
            <w:pPr>
              <w:jc w:val="right"/>
              <w:ind w:right="310"/>
              <w:spacing w:after="0"/>
              <w:rPr>
                <w:sz w:val="20"/>
                <w:szCs w:val="20"/>
                <w:color w:val="auto"/>
              </w:rPr>
            </w:pPr>
            <w:r>
              <w:rPr>
                <w:rFonts w:ascii="Arial" w:cs="Arial" w:eastAsia="Arial" w:hAnsi="Arial"/>
                <w:sz w:val="14"/>
                <w:szCs w:val="14"/>
                <w:b w:val="1"/>
                <w:bCs w:val="1"/>
                <w:color w:val="auto"/>
              </w:rPr>
              <w:t>June 30, 2018</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December 31, 2017</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Increase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(Decrease)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4,857</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4,713</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144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Short-term investments</w:t>
            </w:r>
          </w:p>
        </w:tc>
        <w:tc>
          <w:tcPr>
            <w:tcW w:w="16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124</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62</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Borders>
              <w:bottom w:val="single" w:sz="8" w:color="CCEEFF"/>
            </w:tcBorders>
            <w:shd w:val="clear" w:color="auto" w:fill="CCEEFF"/>
          </w:tcPr>
          <w:p>
            <w:pPr>
              <w:spacing w:after="0"/>
              <w:rPr>
                <w:sz w:val="18"/>
                <w:szCs w:val="18"/>
                <w:color w:val="auto"/>
              </w:rPr>
            </w:pPr>
          </w:p>
        </w:tc>
        <w:tc>
          <w:tcPr>
            <w:tcW w:w="302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4,981</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4,775</w:t>
            </w:r>
          </w:p>
        </w:tc>
        <w:tc>
          <w:tcPr>
            <w:tcW w:w="2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Percentage of total assets</w:t>
            </w:r>
          </w:p>
        </w:tc>
        <w:tc>
          <w:tcPr>
            <w:tcW w:w="1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00" w:type="dxa"/>
            <w:vAlign w:val="bottom"/>
            <w:gridSpan w:val="2"/>
            <w:vMerge w:val="continue"/>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3020" w:type="dxa"/>
            <w:vAlign w:val="bottom"/>
            <w:tcBorders>
              <w:bottom w:val="single" w:sz="8" w:color="808080"/>
            </w:tcBorders>
          </w:tcPr>
          <w:p>
            <w:pPr>
              <w:spacing w:after="0"/>
              <w:rPr>
                <w:sz w:val="11"/>
                <w:szCs w:val="11"/>
                <w:color w:val="auto"/>
              </w:rPr>
            </w:pPr>
          </w:p>
        </w:tc>
        <w:tc>
          <w:tcPr>
            <w:tcW w:w="16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3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80" w:type="dxa"/>
            <w:vAlign w:val="bottom"/>
            <w:tcBorders>
              <w:top w:val="single" w:sz="8" w:color="0000EE"/>
            </w:tcBorders>
          </w:tcPr>
          <w:p>
            <w:pPr>
              <w:spacing w:after="0"/>
              <w:rPr>
                <w:sz w:val="24"/>
                <w:szCs w:val="24"/>
                <w:color w:val="auto"/>
              </w:rPr>
            </w:pPr>
          </w:p>
        </w:tc>
        <w:tc>
          <w:tcPr>
            <w:tcW w:w="30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8"/>
          </w:tcPr>
          <w:p>
            <w:pPr>
              <w:jc w:val="right"/>
              <w:ind w:right="10"/>
              <w:spacing w:after="0"/>
              <w:rPr>
                <w:sz w:val="20"/>
                <w:szCs w:val="20"/>
                <w:color w:val="auto"/>
              </w:rPr>
            </w:pPr>
            <w:r>
              <w:rPr>
                <w:rFonts w:ascii="Arial" w:cs="Arial" w:eastAsia="Arial" w:hAnsi="Arial"/>
                <w:sz w:val="14"/>
                <w:szCs w:val="14"/>
                <w:b w:val="1"/>
                <w:bCs w:val="1"/>
                <w:color w:val="auto"/>
                <w:w w:val="93"/>
              </w:rPr>
              <w:t>For the Six Months Ended June 30,</w:t>
            </w: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8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center"/>
              <w:ind w:right="139"/>
              <w:spacing w:after="0" w:line="119" w:lineRule="exact"/>
              <w:rPr>
                <w:sz w:val="20"/>
                <w:szCs w:val="20"/>
                <w:color w:val="auto"/>
              </w:rPr>
            </w:pPr>
            <w:r>
              <w:rPr>
                <w:rFonts w:ascii="Arial" w:cs="Arial" w:eastAsia="Arial" w:hAnsi="Arial"/>
                <w:sz w:val="13"/>
                <w:szCs w:val="13"/>
                <w:b w:val="1"/>
                <w:bCs w:val="1"/>
                <w:color w:val="auto"/>
                <w:w w:val="94"/>
              </w:rPr>
              <w:t>Increase</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(Decrease)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6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538</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gridSpan w:val="2"/>
            <w:shd w:val="clear" w:color="auto" w:fill="CCEEFF"/>
          </w:tcPr>
          <w:p>
            <w:pPr>
              <w:ind w:left="640"/>
              <w:spacing w:after="0"/>
              <w:rPr>
                <w:sz w:val="20"/>
                <w:szCs w:val="20"/>
                <w:color w:val="auto"/>
              </w:rPr>
            </w:pPr>
            <w:r>
              <w:rPr>
                <w:rFonts w:ascii="Arial" w:cs="Arial" w:eastAsia="Arial" w:hAnsi="Arial"/>
                <w:sz w:val="18"/>
                <w:szCs w:val="18"/>
                <w:color w:val="auto"/>
              </w:rPr>
              <w:t>676</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66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w w:val="90"/>
              </w:rPr>
              <w:t>(124)</w:t>
            </w:r>
          </w:p>
        </w:tc>
        <w:tc>
          <w:tcPr>
            <w:tcW w:w="2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w w:val="99"/>
              </w:rPr>
              <w:t>(48)</w:t>
            </w: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-1117600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-1117600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5" w:right="199" w:bottom="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foreign exchange rate changes</w:t>
            </w: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w:t>
            </w:r>
          </w:p>
        </w:tc>
        <w:tc>
          <w:tcPr>
            <w:tcW w:w="2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18"/>
                <w:szCs w:val="18"/>
                <w:color w:val="auto"/>
              </w:rPr>
            </w:pPr>
          </w:p>
        </w:tc>
      </w:tr>
      <w:tr>
        <w:trPr>
          <w:trHeight w:val="210"/>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cash and cash equivalents and restricted cash</w:t>
            </w:r>
          </w:p>
        </w:tc>
        <w:tc>
          <w:tcPr>
            <w:tcW w:w="5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145</w:t>
            </w:r>
          </w:p>
        </w:tc>
        <w:tc>
          <w:tcPr>
            <w:tcW w:w="2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2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ind w:right="360" w:firstLine="405"/>
        <w:spacing w:after="0" w:line="279" w:lineRule="auto"/>
        <w:rPr>
          <w:sz w:val="20"/>
          <w:szCs w:val="20"/>
          <w:color w:val="auto"/>
        </w:rPr>
      </w:pPr>
      <w:r>
        <w:rPr>
          <w:rFonts w:ascii="Arial" w:cs="Arial" w:eastAsia="Arial" w:hAnsi="Arial"/>
          <w:sz w:val="17"/>
          <w:szCs w:val="17"/>
          <w:color w:val="auto"/>
        </w:rPr>
        <w:t>The primary driver of net cash flows associated with our operating activities is the collection of customer receivables generated from the sale of our products and services. These collections are typically partially offset by: payments to vendors for the manufacturing, distribution, and marketing of our products; payments for customer service support for our consumers; payments to third-party developers and intellectual property holders; payments for interest on our debt; payments for software development; payments for tax liabilities; and payments to our workforce.</w:t>
      </w:r>
    </w:p>
    <w:p>
      <w:pPr>
        <w:spacing w:after="0" w:line="171"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Net cash provided by operating activities for the six months ended June 30, 2018, was $538 million, as compared to $676 million for the six months ended June 30, 2017. The decrease was primarily due to changes in our working capital resulting from timing of collections and payments. The decrease was partially offset by higher net income for the six months ended June 30, 2018, as compared to the six months ended June 30,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primary drivers of net cash flows associated with investing activities typically include capital expenditures, purchases and sales of investments, changes in restricted cash balances, and cash used for acquisitions.</w:t>
      </w:r>
    </w:p>
    <w:p>
      <w:pPr>
        <w:spacing w:after="0" w:line="170" w:lineRule="exact"/>
        <w:rPr>
          <w:sz w:val="20"/>
          <w:szCs w:val="20"/>
          <w:color w:val="auto"/>
        </w:rPr>
      </w:pPr>
    </w:p>
    <w:p>
      <w:pPr>
        <w:ind w:right="120" w:firstLine="405"/>
        <w:spacing w:after="0" w:line="286" w:lineRule="auto"/>
        <w:rPr>
          <w:sz w:val="20"/>
          <w:szCs w:val="20"/>
          <w:color w:val="auto"/>
        </w:rPr>
      </w:pPr>
      <w:r>
        <w:rPr>
          <w:rFonts w:ascii="Arial" w:cs="Arial" w:eastAsia="Arial" w:hAnsi="Arial"/>
          <w:sz w:val="17"/>
          <w:szCs w:val="17"/>
          <w:color w:val="auto"/>
        </w:rPr>
        <w:t>Net cash used in investing activities for the six months ended June 30, 2018, was $124 million, as compared net cash used in investing activities of $48 million for the six months ended June 30, 2017. The increase in the cash used in investing activities was primarily due to purchases of available-for-sale investments of $59 million for the six months ended June 30, 2018, with no comparable transaction in the prior-year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Provided by Financing Activities</w:t>
      </w:r>
    </w:p>
    <w:p>
      <w:pPr>
        <w:spacing w:after="0" w:line="225"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The primary drivers of net cash flows associated with financing activities typically include the proceeds from, and repayments of, our long-term debt and transactions involving our common stock, including the issuance of shares of common stock to employees upon the exercise of stock options, as well as the payment of dividends.</w:t>
      </w:r>
    </w:p>
    <w:p>
      <w:pPr>
        <w:spacing w:after="0" w:line="18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Net cash used in financing activities for the six months ended June 30, 2018, was $250 million, as compared to net cash used in financing activities of $652 million for the six months ended June 30, 2017. The change was primarily attributed to our debt financing activities in the prior year. For the six months ended June 30, 2017, we had net debt repayments of $500 million, with no comparable repayment activity for the six months ended June 30, 2018. This impact was partially offset by:</w:t>
      </w:r>
    </w:p>
    <w:p>
      <w:pPr>
        <w:spacing w:after="0" w:line="187" w:lineRule="exact"/>
        <w:rPr>
          <w:sz w:val="20"/>
          <w:szCs w:val="20"/>
          <w:color w:val="auto"/>
        </w:rPr>
      </w:pPr>
    </w:p>
    <w:p>
      <w:pPr>
        <w:ind w:left="980" w:right="480" w:hanging="324"/>
        <w:spacing w:after="0" w:line="277" w:lineRule="auto"/>
        <w:tabs>
          <w:tab w:leader="none" w:pos="944" w:val="left"/>
        </w:tabs>
        <w:numPr>
          <w:ilvl w:val="0"/>
          <w:numId w:val="69"/>
        </w:numPr>
        <w:rPr>
          <w:rFonts w:ascii="Arial" w:cs="Arial" w:eastAsia="Arial" w:hAnsi="Arial"/>
          <w:sz w:val="18"/>
          <w:szCs w:val="18"/>
          <w:color w:val="auto"/>
        </w:rPr>
      </w:pPr>
      <w:r>
        <w:rPr>
          <w:rFonts w:ascii="Arial" w:cs="Arial" w:eastAsia="Arial" w:hAnsi="Arial"/>
          <w:sz w:val="18"/>
          <w:szCs w:val="18"/>
          <w:color w:val="auto"/>
        </w:rPr>
        <w:t>lower proceeds from stock option exercises of $77 million for the six months ended June 30, 2018, as compared to $130 million for the six months ended June 30, 2017;</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44" w:val="left"/>
        </w:tabs>
        <w:numPr>
          <w:ilvl w:val="0"/>
          <w:numId w:val="69"/>
        </w:numPr>
        <w:rPr>
          <w:rFonts w:ascii="Arial" w:cs="Arial" w:eastAsia="Arial" w:hAnsi="Arial"/>
          <w:sz w:val="18"/>
          <w:szCs w:val="18"/>
          <w:color w:val="auto"/>
        </w:rPr>
      </w:pPr>
      <w:r>
        <w:rPr>
          <w:rFonts w:ascii="Arial" w:cs="Arial" w:eastAsia="Arial" w:hAnsi="Arial"/>
          <w:sz w:val="18"/>
          <w:szCs w:val="18"/>
          <w:color w:val="auto"/>
        </w:rPr>
        <w:t>higher tax payments made for net share settlements on restricted stock units of $68 million for the six months ended June 30, 2018, as compared to $36 million for the six months ended June 30, 2017; and</w:t>
      </w:r>
    </w:p>
    <w:p>
      <w:pPr>
        <w:spacing w:after="0" w:line="170" w:lineRule="exact"/>
        <w:rPr>
          <w:rFonts w:ascii="Arial" w:cs="Arial" w:eastAsia="Arial" w:hAnsi="Arial"/>
          <w:sz w:val="18"/>
          <w:szCs w:val="18"/>
          <w:color w:val="auto"/>
        </w:rPr>
      </w:pPr>
    </w:p>
    <w:p>
      <w:pPr>
        <w:ind w:left="980" w:right="260" w:hanging="324"/>
        <w:spacing w:after="0" w:line="277" w:lineRule="auto"/>
        <w:tabs>
          <w:tab w:leader="none" w:pos="944" w:val="left"/>
        </w:tabs>
        <w:numPr>
          <w:ilvl w:val="0"/>
          <w:numId w:val="69"/>
        </w:numPr>
        <w:rPr>
          <w:rFonts w:ascii="Arial" w:cs="Arial" w:eastAsia="Arial" w:hAnsi="Arial"/>
          <w:sz w:val="18"/>
          <w:szCs w:val="18"/>
          <w:color w:val="auto"/>
        </w:rPr>
      </w:pPr>
      <w:r>
        <w:rPr>
          <w:rFonts w:ascii="Arial" w:cs="Arial" w:eastAsia="Arial" w:hAnsi="Arial"/>
          <w:sz w:val="18"/>
          <w:szCs w:val="18"/>
          <w:color w:val="auto"/>
        </w:rPr>
        <w:t>higher dividends paid of $259 million for the six months ended June 30, 2018, as compared to $226 million for the six months ended June 30,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Foreign Exchange Rate Changes</w:t>
      </w:r>
    </w:p>
    <w:p>
      <w:pPr>
        <w:spacing w:after="0" w:line="225"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Changes in foreign exchange rates had a negative impact of $19 million and a positive impact of $50 million on our cash and cash equivalents for the six months ended June 30, 2018 and 2017, respectively. The change was primarily due to changes in the value of the U.S. dollar relative to the euro and the British pound.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225"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As of both June 30, 2018 and December 31, 2017, our total outstanding debt was $4.4 billion, bearing interest at a weighted average rate of 3.69% and 3.58%, respectively. During the six months ended June 30, 2018, there was no activity associated with our debt instruments except for normal recurring interest payments.</w:t>
      </w:r>
    </w:p>
    <w:p>
      <w:pPr>
        <w:spacing w:after="0" w:line="18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July 17, 2018, we issued an irrevocable notice of redemption to the holders of all of our outstanding 2023 Notes. Accordingly, the 2023 Notes will be redeemed pursuant to their terms on August 16, 2018 at a redemption price equal to 100% of the principal amount of the 2023 Notes plus a “make-whole” premium calculated as set forth in the indenture governing the 2023 Notes. Redemption of the 2023 Notes will result in a loss on extinguishment of approximately $35 million, comprised of premium payments of approximately $27 million and a write-off of unamortized discount and financing costs of approximately $8 million. As the irrevocable notice of redemption was issued subsequent to June 30, 2018, we presented the outstanding principal balance of the 2023 Notes and its related unamortized discount and deferred financing costs as “Long-term debt, net” on our condensed consolidated balance sheets as of June 30, 2018.</w:t>
      </w:r>
    </w:p>
    <w:p>
      <w:pPr>
        <w:spacing w:after="0" w:line="189" w:lineRule="exact"/>
        <w:rPr>
          <w:sz w:val="20"/>
          <w:szCs w:val="20"/>
          <w:color w:val="auto"/>
        </w:rPr>
      </w:pPr>
    </w:p>
    <w:p>
      <w:pPr>
        <w:ind w:right="120" w:firstLine="405"/>
        <w:spacing w:after="0" w:line="312" w:lineRule="auto"/>
        <w:rPr>
          <w:sz w:val="20"/>
          <w:szCs w:val="20"/>
          <w:color w:val="auto"/>
        </w:rPr>
      </w:pPr>
      <w:r>
        <w:rPr>
          <w:rFonts w:ascii="Arial" w:cs="Arial" w:eastAsia="Arial" w:hAnsi="Arial"/>
          <w:sz w:val="16"/>
          <w:szCs w:val="16"/>
          <w:color w:val="auto"/>
        </w:rPr>
        <w:t>On February 1, 2018, our Board of Directors authorized repayment of up to $1.8 billion of the company’s outstanding debt during 2018. As discussed above, on July 17, 2018, we issued an irrevocable notice to the holders of our 2023 Notes that all of our outstanding 2023 Notes will be redeemed on August 16, 2018. The determination as to if and when we make any such remaining repayments will be dependent on market conditions and other factors.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our outstanding debt is as follows (amounts in millions):</w:t>
      </w:r>
    </w:p>
    <w:p>
      <w:pPr>
        <w:sectPr>
          <w:pgSz w:w="11900" w:h="16838" w:orient="portrait"/>
          <w:cols w:equalWidth="0" w:num="1">
            <w:col w:w="11420"/>
          </w:cols>
          <w:pgMar w:left="240" w:top="140" w:right="239" w:bottom="0" w:gutter="0" w:footer="0" w:header="0"/>
        </w:sectPr>
      </w:pPr>
    </w:p>
    <w:p>
      <w:pPr>
        <w:spacing w:after="0" w:line="217" w:lineRule="exact"/>
        <w:rPr>
          <w:sz w:val="20"/>
          <w:szCs w:val="20"/>
          <w:color w:val="auto"/>
        </w:rPr>
      </w:pPr>
    </w:p>
    <w:p>
      <w:pPr>
        <w:ind w:left="8120"/>
        <w:spacing w:after="0"/>
        <w:rPr>
          <w:sz w:val="20"/>
          <w:szCs w:val="20"/>
          <w:color w:val="auto"/>
        </w:rPr>
      </w:pPr>
      <w:r>
        <w:rPr>
          <w:rFonts w:ascii="Arial" w:cs="Arial" w:eastAsia="Arial" w:hAnsi="Arial"/>
          <w:sz w:val="13"/>
          <w:szCs w:val="13"/>
          <w:b w:val="1"/>
          <w:bCs w:val="1"/>
          <w:color w:val="auto"/>
        </w:rPr>
        <w:t>At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13970</wp:posOffset>
            </wp:positionV>
            <wp:extent cx="3395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type w:val="continuous"/>
        </w:sectPr>
      </w:pPr>
    </w:p>
    <w:bookmarkStart w:id="42" w:name="page43"/>
    <w:bookmarkEnd w:id="42"/>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Gross Carrying</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Unamortized</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Net Carrying</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Discount and</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Deferred Financing</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Costs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2017 TLA</w:t>
            </w:r>
          </w:p>
        </w:tc>
        <w:tc>
          <w:tcPr>
            <w:tcW w:w="24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990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983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2021 Notes</w:t>
            </w: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650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 Notes</w:t>
            </w:r>
          </w:p>
        </w:tc>
        <w:tc>
          <w:tcPr>
            <w:tcW w:w="2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2023 Notes</w:t>
            </w: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750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2026 Notes</w:t>
            </w:r>
          </w:p>
        </w:tc>
        <w:tc>
          <w:tcPr>
            <w:tcW w:w="2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850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2027 Notes</w:t>
            </w: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400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2047 Notes</w:t>
            </w:r>
          </w:p>
        </w:tc>
        <w:tc>
          <w:tcPr>
            <w:tcW w:w="24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400</w:t>
            </w:r>
          </w:p>
        </w:tc>
        <w:tc>
          <w:tcPr>
            <w:tcW w:w="2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2400" w:type="dxa"/>
            <w:vAlign w:val="bottom"/>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4,440</w:t>
            </w:r>
          </w:p>
        </w:tc>
        <w:tc>
          <w:tcPr>
            <w:tcW w:w="280" w:type="dxa"/>
            <w:vAlign w:val="bottom"/>
          </w:tcPr>
          <w:p>
            <w:pPr>
              <w:spacing w:after="0"/>
              <w:rPr>
                <w:sz w:val="18"/>
                <w:szCs w:val="18"/>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8"/>
                <w:szCs w:val="18"/>
                <w:color w:val="auto"/>
              </w:rPr>
            </w:pPr>
          </w:p>
        </w:tc>
        <w:tc>
          <w:tcPr>
            <w:tcW w:w="2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4,394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00" w:type="dxa"/>
            <w:vAlign w:val="bottom"/>
            <w:vMerge w:val="restart"/>
          </w:tcPr>
          <w:p>
            <w:pPr>
              <w:jc w:val="right"/>
              <w:ind w:right="70"/>
              <w:spacing w:after="0"/>
              <w:rPr>
                <w:sz w:val="20"/>
                <w:szCs w:val="20"/>
                <w:color w:val="auto"/>
              </w:rPr>
            </w:pPr>
            <w:r>
              <w:rPr>
                <w:rFonts w:ascii="Arial" w:cs="Arial" w:eastAsia="Arial" w:hAnsi="Arial"/>
                <w:sz w:val="18"/>
                <w:szCs w:val="18"/>
                <w:color w:val="auto"/>
              </w:rPr>
              <w:t>66</w:t>
            </w: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2280" w:type="dxa"/>
            <w:vAlign w:val="bottom"/>
            <w:tcBorders>
              <w:bottom w:val="single" w:sz="8" w:color="808080"/>
            </w:tcBorders>
          </w:tcPr>
          <w:p>
            <w:pPr>
              <w:spacing w:after="0"/>
              <w:rPr>
                <w:sz w:val="11"/>
                <w:szCs w:val="11"/>
                <w:color w:val="auto"/>
              </w:rPr>
            </w:pPr>
          </w:p>
        </w:tc>
        <w:tc>
          <w:tcPr>
            <w:tcW w:w="24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5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80" w:type="dxa"/>
            <w:vAlign w:val="bottom"/>
            <w:tcBorders>
              <w:top w:val="single" w:sz="8" w:color="0000EE"/>
            </w:tcBorders>
          </w:tcPr>
          <w:p>
            <w:pPr>
              <w:spacing w:after="0"/>
              <w:rPr>
                <w:sz w:val="24"/>
                <w:szCs w:val="24"/>
                <w:color w:val="auto"/>
              </w:rPr>
            </w:pPr>
          </w:p>
        </w:tc>
        <w:tc>
          <w:tcPr>
            <w:tcW w:w="2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3"/>
              </w:rPr>
              <w:t>At December 31, 2017</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8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Unamortized</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4"/>
              </w:rPr>
              <w:t>Gross Carrying</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Discount and</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Net Carrying</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Deferred Financing</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2"/>
              </w:rPr>
              <w:t>Costs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2017 TLA</w:t>
            </w:r>
          </w:p>
        </w:tc>
        <w:tc>
          <w:tcPr>
            <w:tcW w:w="24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2021 Notes</w:t>
            </w: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 Notes</w:t>
            </w:r>
          </w:p>
        </w:tc>
        <w:tc>
          <w:tcPr>
            <w:tcW w:w="2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2023 Notes</w:t>
            </w: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2026 Notes</w:t>
            </w:r>
          </w:p>
        </w:tc>
        <w:tc>
          <w:tcPr>
            <w:tcW w:w="2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2027 Notes</w:t>
            </w: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2047 Notes</w:t>
            </w:r>
          </w:p>
        </w:tc>
        <w:tc>
          <w:tcPr>
            <w:tcW w:w="24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2400" w:type="dxa"/>
            <w:vAlign w:val="bottom"/>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-2145665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-2145665</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both"/>
        <w:ind w:right="540" w:firstLine="405"/>
        <w:spacing w:after="0" w:line="277" w:lineRule="auto"/>
        <w:rPr>
          <w:sz w:val="20"/>
          <w:szCs w:val="20"/>
          <w:color w:val="auto"/>
        </w:rPr>
      </w:pPr>
      <w:r>
        <w:rPr>
          <w:rFonts w:ascii="Arial" w:cs="Arial" w:eastAsia="Arial" w:hAnsi="Arial"/>
          <w:sz w:val="18"/>
          <w:szCs w:val="18"/>
          <w:color w:val="auto"/>
        </w:rPr>
        <w:t>Refer to Note 10 of the notes to condensed consolidated financial statements included in Item 1 of this Quarterly Report on Form 10-Q for further disclosures regarding our debt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On February 1, 2018, our Board of Directors approved a cash dividend of $0.34 per common share. On May 9, 2018, we made an aggregate cash dividend payment of $259 million to shareholders of record at the close of business on March 30,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ind w:right="180" w:firstLine="405"/>
        <w:spacing w:after="0" w:line="308" w:lineRule="auto"/>
        <w:rPr>
          <w:sz w:val="20"/>
          <w:szCs w:val="20"/>
          <w:color w:val="auto"/>
        </w:rPr>
      </w:pPr>
      <w:r>
        <w:rPr>
          <w:rFonts w:ascii="Arial" w:cs="Arial" w:eastAsia="Arial" w:hAnsi="Arial"/>
          <w:sz w:val="17"/>
          <w:szCs w:val="17"/>
          <w:color w:val="auto"/>
        </w:rPr>
        <w:t>For the year ending December 31, 2018, we anticipate total capital expenditures of approximately $140 million, primarily for leasehold improvements, computer hardware, and software purchases. During the six months ended June 30, 2018, capital expenditures were $61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60" w:firstLine="405"/>
        <w:spacing w:after="0" w:line="279" w:lineRule="auto"/>
        <w:rPr>
          <w:sz w:val="20"/>
          <w:szCs w:val="20"/>
          <w:color w:val="auto"/>
        </w:rPr>
      </w:pPr>
      <w:r>
        <w:rPr>
          <w:rFonts w:ascii="Arial" w:cs="Arial" w:eastAsia="Arial" w:hAnsi="Arial"/>
          <w:sz w:val="17"/>
          <w:szCs w:val="17"/>
          <w:color w:val="auto"/>
        </w:rPr>
        <w:t>At June 30, 2018 and December 31, 2017, Activision Blizzard had no significant relationships with unconsolidated entities or financial parties, often referred to as “structured finance” or “special purpose” entities, established for the purpose of facilitating off-balance sheet arrangements or other contractually narrow or limited purposes, that have or are reasonably likely to have a material current or future effect on our financial condition, changes in financial condition, revenues or expenses, results of operations, liquidity, capital expenditures, or capital resources.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60" w:firstLine="405"/>
        <w:spacing w:after="0" w:line="291" w:lineRule="auto"/>
        <w:rPr>
          <w:sz w:val="20"/>
          <w:szCs w:val="20"/>
          <w:color w:val="auto"/>
        </w:rPr>
      </w:pPr>
      <w:r>
        <w:rPr>
          <w:rFonts w:ascii="Arial" w:cs="Arial" w:eastAsia="Arial" w:hAnsi="Arial"/>
          <w:sz w:val="16"/>
          <w:szCs w:val="16"/>
          <w:color w:val="auto"/>
        </w:rPr>
        <w:t>Our condensed consolidated financial statements are prepared in accordance with accounting principles generally accepted in the United States of America (“U.S. GAAP”). These accounting principles require us to make certain estimates, judgments, and assumptions. We believe that the estimates, judgments, and assumptions upon which we rely are reasonable based upon information available to us at the time that they are made. These estimates, judgments, and assumptions can affect the reported amounts of assets and liabilities at the date of the financial statements, as well as the reported amounts of revenues and expenses during the periods presented. To the extent there are material differences between these estimates, judgments, or assumptions and actual results, our financial statements will be affected. The accounting policies that reflect our more significant estimates, judgments, and assumptions, and which we believe are the most critical to aid in fully understanding and evaluating our reported financial results, include the following:</w:t>
      </w:r>
    </w:p>
    <w:p>
      <w:pPr>
        <w:spacing w:after="0" w:line="167" w:lineRule="exact"/>
        <w:rPr>
          <w:sz w:val="20"/>
          <w:szCs w:val="20"/>
          <w:color w:val="auto"/>
        </w:rPr>
      </w:pPr>
    </w:p>
    <w:p>
      <w:pPr>
        <w:ind w:left="940" w:hanging="284"/>
        <w:spacing w:after="0"/>
        <w:tabs>
          <w:tab w:leader="none" w:pos="9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Allowances for Returns and Price Protection;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Software Development Costs;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Fair Value Estimates (including Business Combinations and Assessment of Impairment of Assets);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Share-Based Payments.</w:t>
      </w:r>
    </w:p>
    <w:p>
      <w:pPr>
        <w:sectPr>
          <w:pgSz w:w="11900" w:h="16847" w:orient="portrait"/>
          <w:cols w:equalWidth="0" w:num="1">
            <w:col w:w="11460"/>
          </w:cols>
          <w:pgMar w:left="240" w:top="104" w:right="199" w:bottom="0" w:gutter="0" w:footer="0" w:header="0"/>
        </w:sectPr>
      </w:pPr>
    </w:p>
    <w:bookmarkStart w:id="43" w:name="page44"/>
    <w:bookmarkEnd w:id="43"/>
    <w:p>
      <w:pPr>
        <w:spacing w:after="0" w:line="4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 xml:space="preserve">During the six months ended June 30, 2018, there were no significant changes to the above critical accounting policies and estimates, with the exception of our adoption of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Refer to Note 2 of the notes to condensed consolidated financial statements included in Item 1 of this Quarterly Report on Form 10-Q for disclosures regarding our updated revenue recognition accounting policies and see “Recently Issued Accounting Pronouncements” below for the financial statement impact as a result of our adoption of the new standard. Refer to Management’s Discussion and Analysis of Financial Condition and Results of Operations contained in Part II, Item 7 of our Annual Report on Form 10-K for the year ended December 31, 2017, for a more complete discussion of our other critical accounting policies and estimates.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Below are recently issued accounting pronouncements that were most significant to our accounting policy activities. For a detailed discussion of all relevant recently issued accounting pronouncements, see Note 3 of the notes to condensed consolidated financial statements included in Item 1 of this Quarterly Report on Form 10-Q.</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As discussed in Note 2 of the notes to condensed consolidated financial statements included in Item 1 of this Quarterly Report on Form 10-Q,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May 2014, the Financial Accounting Standards Board (“FASB”) issued new accounting guidance related to revenue recognition and on January 1, 2018,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adopted the new accounting standard and related amendments (collectively, the “new revenue accounting standard”), utilizing the modified retrospective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method. Additionally, we elected to apply the new revenue accounting standard only to contracts not completed as of the adoption date. For contracts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modified before the period of adoption, we elected to reflect the aggregate effect of all modifications when (1) identifying the satisfied and unsatisfied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performance obligations, (2) determining the transaction price, and (3) allocating the transaction price to the satisfied and unsatisfied performance obligations.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recognized the cumulative effect of initially applying the new revenue accounting standard as an adjustment to the opening balance of retained earnings.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comparative information has not been restated and continues to be reported under the accounting standards in effect for those periods. The cumulative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effect adjustment recorded to our retained earnings at January 1, 2018 was $88 million.</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most significant impacts of the new revenue accounting standard for us are:</w:t>
      </w:r>
    </w:p>
    <w:p>
      <w:pPr>
        <w:spacing w:after="0" w:line="225" w:lineRule="exact"/>
        <w:rPr>
          <w:sz w:val="20"/>
          <w:szCs w:val="20"/>
          <w:color w:val="auto"/>
        </w:rPr>
      </w:pPr>
    </w:p>
    <w:p>
      <w:pPr>
        <w:ind w:left="980" w:right="60" w:hanging="324"/>
        <w:spacing w:after="0" w:line="287" w:lineRule="auto"/>
        <w:tabs>
          <w:tab w:leader="none" w:pos="944"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 xml:space="preserve">The accounting for our sales of our games with significant online functionality for which we do not have vendor-specific objective evidence (“VSOE”) for unspecified future updates and ongoing online services provided. </w:t>
      </w:r>
      <w:r>
        <w:rPr>
          <w:rFonts w:ascii="Arial" w:cs="Arial" w:eastAsia="Arial" w:hAnsi="Arial"/>
          <w:sz w:val="16"/>
          <w:szCs w:val="16"/>
          <w:color w:val="auto"/>
        </w:rPr>
        <w:t>Under the prior accounting standards, VSOE for undelivered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elements was required. This requirement was eliminated under the new revenue accounting standard. Accordingly, we are required to recognize as revenue a portion of the sales price upon delivery of this software, as compared to recognizing the entire sales price ratably over an estimated service period, as previously required. This difference in accounting primarily impacted revenues from our Call of Duty franchise, where approximately 20% of the sales price is now recognized as revenue upon delivery of the games to our customers. The amount of revenue recognized upon delivery of games to our customers is analyzed on a title-by-title basis and may change in the future. For example, we expect the entire sales price from our upcoming </w:t>
      </w:r>
      <w:r>
        <w:rPr>
          <w:rFonts w:ascii="Arial" w:cs="Arial" w:eastAsia="Arial" w:hAnsi="Arial"/>
          <w:sz w:val="16"/>
          <w:szCs w:val="16"/>
          <w:i w:val="1"/>
          <w:iCs w:val="1"/>
          <w:color w:val="auto"/>
        </w:rPr>
        <w:t>Call of Duty: Black Ops 4</w:t>
      </w:r>
      <w:r>
        <w:rPr>
          <w:rFonts w:ascii="Arial" w:cs="Arial" w:eastAsia="Arial" w:hAnsi="Arial"/>
          <w:sz w:val="16"/>
          <w:szCs w:val="16"/>
          <w:color w:val="auto"/>
        </w:rPr>
        <w:t xml:space="preserve"> release to be recognized ratably over an estimated service period, as the gameplay will have an increased focus towards the online competitive and cooperative game modes with no single-player campaign mode. Many of our other franchises, such as Destiny, Overwatch, World of Warcraft, and Candy Crush, are online hosted arrangements, and the accounting for our sales of these games under the new standard is relatively unchanged; and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180" w:hanging="324"/>
        <w:spacing w:after="0" w:line="286" w:lineRule="auto"/>
        <w:tabs>
          <w:tab w:leader="none" w:pos="944"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 xml:space="preserve">The accounting for certain of our software licensing arrangements. </w:t>
      </w:r>
      <w:r>
        <w:rPr>
          <w:rFonts w:ascii="Arial" w:cs="Arial" w:eastAsia="Arial" w:hAnsi="Arial"/>
          <w:sz w:val="17"/>
          <w:szCs w:val="17"/>
          <w:color w:val="auto"/>
        </w:rPr>
        <w:t>While the impact of the new revenue accounting standard may differ on a</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contract-by-contract basis (as the actual revenue recognition treatment required under the standard will depend on contract-specific terms), the new revenue accounting standard generally results in earlier revenue recognition for these arrangements.</w:t>
      </w:r>
    </w:p>
    <w:p>
      <w:pPr>
        <w:spacing w:after="0" w:line="166" w:lineRule="exact"/>
        <w:rPr>
          <w:sz w:val="20"/>
          <w:szCs w:val="20"/>
          <w:color w:val="auto"/>
        </w:rPr>
      </w:pPr>
    </w:p>
    <w:p>
      <w:pPr>
        <w:ind w:right="440" w:firstLine="405"/>
        <w:spacing w:after="0" w:line="264" w:lineRule="auto"/>
        <w:rPr>
          <w:sz w:val="20"/>
          <w:szCs w:val="20"/>
          <w:color w:val="auto"/>
        </w:rPr>
      </w:pPr>
      <w:r>
        <w:rPr>
          <w:rFonts w:ascii="Arial" w:cs="Arial" w:eastAsia="Arial" w:hAnsi="Arial"/>
          <w:sz w:val="18"/>
          <w:szCs w:val="18"/>
          <w:color w:val="auto"/>
        </w:rPr>
        <w:t>For additional discussion regarding the impact of our adoption of the new revenue accounting standard, including the impacts to our condensed consolidated balance sheet and statement of operations, see Note 3 of the notes to condensed consolidated financial statements included in Item 1 of this Quarterly Report on Form 10-Q.</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of Cash Flows-Restricted Cash</w:t>
      </w:r>
    </w:p>
    <w:p>
      <w:pPr>
        <w:spacing w:after="0" w:line="225"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In November 2016, the FASB issued new guidance related to the classification of restricted cash in the statement of cash flows. The new standard requires that a statement of cash flows explain any change during the period in total cash, cash equivalents, and restricted cash. Therefore, restricted cash will be included with “Cash and cash equivalents” when reconciling the beginning-of-period and end-of-period total amounts shown on the statement of cash flows. The new standard is effective for fiscal years beginning after December 15, 2017, and should be applied retrospectively. Early adoption is permitted.</w:t>
      </w:r>
    </w:p>
    <w:p>
      <w:pPr>
        <w:spacing w:after="0" w:line="154" w:lineRule="exact"/>
        <w:rPr>
          <w:sz w:val="20"/>
          <w:szCs w:val="20"/>
          <w:color w:val="auto"/>
        </w:rPr>
      </w:pPr>
    </w:p>
    <w:p>
      <w:pPr>
        <w:ind w:right="200" w:firstLine="405"/>
        <w:spacing w:after="0" w:line="342" w:lineRule="auto"/>
        <w:rPr>
          <w:sz w:val="20"/>
          <w:szCs w:val="20"/>
          <w:color w:val="auto"/>
        </w:rPr>
      </w:pPr>
      <w:r>
        <w:rPr>
          <w:rFonts w:ascii="Arial" w:cs="Arial" w:eastAsia="Arial" w:hAnsi="Arial"/>
          <w:sz w:val="16"/>
          <w:szCs w:val="16"/>
          <w:color w:val="auto"/>
        </w:rPr>
        <w:t>We adopted the new standard during the first quarter of 2018 and applied the standard retrospectively for all periods presented. The application of this new standard did not have a material impact on our condensed consolidated statements of cash flows for the six months ended June 30, 2018 and 2017.</w:t>
      </w:r>
    </w:p>
    <w:p>
      <w:pPr>
        <w:spacing w:after="0" w:line="124"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In our Annual Report on Form 10-K for the year ending December 31, 2018, there will be a significant impact to the consolidated statements of cash flows for 2016, as this period includes, as an investing activity, the $3.6 billion movement in restricted cash resulting from the transfer of cash into escrow at December 31, 2015 to facilitate the acquisition of King, and the subsequent release of that cash in 2016 to complete the acquisition. Under this new standard, the restricted cash balance will be included in the beginning and ending total cash, cash equivalents, and restricted cash balances and, hence, will not be included as an investing activity in the statement of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and Hedging</w:t>
      </w:r>
    </w:p>
    <w:p>
      <w:pPr>
        <w:spacing w:after="0" w:line="225"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color w:val="auto"/>
        </w:rPr>
        <w:t>In August 2017, the FASB issued new guidance related to the accounting for derivatives and hedging. The new guidance expands and refines hedge accounting for both financial and non-financial risk components, aligns the recognition and presentation of the effects of hedging instruments and hedged items in the financial statements, and includes certain targeted improvements to ease the application of current guidance related to the assessment of a hedge’s</w:t>
      </w:r>
    </w:p>
    <w:p>
      <w:pPr>
        <w:sectPr>
          <w:pgSz w:w="11900" w:h="16885" w:orient="portrait"/>
          <w:cols w:equalWidth="0" w:num="1">
            <w:col w:w="11420"/>
          </w:cols>
          <w:pgMar w:left="240" w:top="341" w:right="239" w:bottom="0" w:gutter="0" w:footer="0" w:header="0"/>
        </w:sectPr>
      </w:pPr>
    </w:p>
    <w:bookmarkStart w:id="44" w:name="page45"/>
    <w:bookmarkEnd w:id="44"/>
    <w:p>
      <w:pPr>
        <w:spacing w:after="0" w:line="2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effectiveness. The new standard is effective for fiscal years beginning after December 15, 2018. Early adoption is permitted. We adopted the standard during the first quarter of 2018. The adoption of the standard did not have a material impact to our condensed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In February 2016, the FASB issued new guidance related to the accounting for leases. The new standard will replace all current U.S. GAAP guidance on this topic. The new standard, among other things, requires a lessee to classify a lease as either an operating or financing lease, and to recognize a lease liability and a right-of-use asset for its leases. Classification will be based on criteria that are largely similar to those applied in current lease accounting. The lease liability will be equal to the present value of lease payments. The asset will be based on the lease liability, subject to adjustment for initial direct costs, lease incentives received, and any prepaid lease payments. Operating leases will result in a straight-line expense pattern, while finance leases will result in a front-loaded expense pattern. The standard is effective for fiscal years, and interim periods within those fiscal years, beginning after December 15, 2018. Early adoption is permitted. The new standard must be adopted using 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modified retrospective transition and will require application of the new guidance at the beginning of the earliest comparative period presented, with certain transition practical expedients available to provide relief in adopting the new standard. We are evaluating the impact of this new accounting guidance on our financial statements, but expect it to have a significant impact to our consolidated balance sheet as a result of establishing lease liabilities and right-of-use assets for our operating leases. We do not plan to early adopt this new standard but do expect to elect and apply the available transition practical expedients upon adoption.</w:t>
      </w:r>
    </w:p>
    <w:p>
      <w:pPr>
        <w:spacing w:after="0" w:line="18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Market risk is the potential loss arising from fluctuations in market rates and prices. Our market risk exposures primarily include fluctuations in foreign currency exchange rates and interest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We transact business in many different foreign currencies and may be exposed to financial market risk resulting from fluctuations in foreign currency exchange rates. Revenues and related expenses generated from our international operations are generally denominated in their respective local currencies. Primary currencies include euros, British pounds, Australian dollars, South Korean won, Chinese yuan, and Swedish krona. To the extent the U.S. dollar strengthens against foreign currencies, the translation of these foreign currency-denominated transactions will result in reduced revenues, operating expenses, net income, and cash flows from our international operations. Similarly, our revenues, operating expenses, net income, and cash flows will increase for our international operations if the U.S. dollar weakens against foreign currencies. Since we have significant international sales, but incur the majority of our costs in the United States, the impact of foreign currency fluctuations, particularly the strengthening of the U.S. dollar, may have an asymmetric and disproportional impact on our business. We monitor currency volatility throughout the year.</w:t>
      </w:r>
    </w:p>
    <w:p>
      <w:pPr>
        <w:spacing w:after="0" w:line="17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To mitigate our foreign currency risk resulting from our foreign currency-denominated monetary assets, liabilities, and earnings and our foreign currency risk related to functional currency-equivalent cash flows resulting from our intercompany transactions, we periodically enter into currency derivative contracts, principally forward contracts. These forward contracts generally have a maturity of less than one year. The counterparties for our currency derivative contracts are large and reputable commercial or investment banks.</w:t>
      </w:r>
    </w:p>
    <w:p>
      <w:pPr>
        <w:spacing w:after="0" w:line="18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fair values of our foreign currency contracts are estimated based on the prevailing exchange rates of the various hedged currencies as of the end of the period.</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do not hold or purchase any foreign currency forward contracts for trading or speculative purposes.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Forward Contracts Designated as Hedges (“Cash Flow Hedges”)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total gross notional amounts and fair values of our Cash Flow Hedges are as follows (amounts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720" w:type="dxa"/>
            <w:vAlign w:val="bottom"/>
            <w:gridSpan w:val="5"/>
          </w:tcPr>
          <w:p>
            <w:pPr>
              <w:ind w:left="1000"/>
              <w:spacing w:after="0"/>
              <w:rPr>
                <w:sz w:val="20"/>
                <w:szCs w:val="20"/>
                <w:color w:val="auto"/>
              </w:rPr>
            </w:pPr>
            <w:r>
              <w:rPr>
                <w:rFonts w:ascii="Arial" w:cs="Arial" w:eastAsia="Arial" w:hAnsi="Arial"/>
                <w:sz w:val="14"/>
                <w:szCs w:val="14"/>
                <w:b w:val="1"/>
                <w:bCs w:val="1"/>
                <w:color w:val="auto"/>
              </w:rPr>
              <w:t>As of June 30, 2018</w:t>
            </w:r>
          </w:p>
        </w:tc>
        <w:tc>
          <w:tcPr>
            <w:tcW w:w="260" w:type="dxa"/>
            <w:vAlign w:val="bottom"/>
          </w:tcPr>
          <w:p>
            <w:pPr>
              <w:spacing w:after="0"/>
              <w:rPr>
                <w:sz w:val="14"/>
                <w:szCs w:val="14"/>
                <w:color w:val="auto"/>
              </w:rPr>
            </w:pPr>
          </w:p>
        </w:tc>
        <w:tc>
          <w:tcPr>
            <w:tcW w:w="3540" w:type="dxa"/>
            <w:vAlign w:val="bottom"/>
            <w:gridSpan w:val="5"/>
          </w:tcPr>
          <w:p>
            <w:pPr>
              <w:ind w:left="840"/>
              <w:spacing w:after="0"/>
              <w:rPr>
                <w:sz w:val="20"/>
                <w:szCs w:val="20"/>
                <w:color w:val="auto"/>
              </w:rPr>
            </w:pPr>
            <w:r>
              <w:rPr>
                <w:rFonts w:ascii="Arial" w:cs="Arial" w:eastAsia="Arial" w:hAnsi="Arial"/>
                <w:sz w:val="14"/>
                <w:szCs w:val="14"/>
                <w:b w:val="1"/>
                <w:bCs w:val="1"/>
                <w:color w:val="auto"/>
              </w:rPr>
              <w:t>As of December 31, 2017</w:t>
            </w:r>
          </w:p>
        </w:tc>
      </w:tr>
      <w:tr>
        <w:trPr>
          <w:trHeight w:val="142"/>
        </w:trPr>
        <w:tc>
          <w:tcPr>
            <w:tcW w:w="36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Notional amount</w:t>
            </w:r>
          </w:p>
        </w:tc>
        <w:tc>
          <w:tcPr>
            <w:tcW w:w="2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w w:val="91"/>
              </w:rPr>
              <w:t>Fair value gain (loss)</w:t>
            </w:r>
          </w:p>
        </w:tc>
        <w:tc>
          <w:tcPr>
            <w:tcW w:w="2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Notional amount</w:t>
            </w:r>
          </w:p>
        </w:tc>
        <w:tc>
          <w:tcPr>
            <w:tcW w:w="1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91"/>
              </w:rPr>
              <w:t>Fair value gain (loss)</w:t>
            </w:r>
          </w:p>
        </w:tc>
        <w:tc>
          <w:tcPr>
            <w:tcW w:w="100" w:type="dxa"/>
            <w:vAlign w:val="bottom"/>
          </w:tcPr>
          <w:p>
            <w:pPr>
              <w:spacing w:after="0"/>
              <w:rPr>
                <w:sz w:val="12"/>
                <w:szCs w:val="12"/>
                <w:color w:val="auto"/>
              </w:rPr>
            </w:pPr>
          </w:p>
        </w:tc>
      </w:tr>
      <w:tr>
        <w:trPr>
          <w:trHeight w:val="196"/>
        </w:trPr>
        <w:tc>
          <w:tcPr>
            <w:tcW w:w="3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Foreign Currency:</w:t>
            </w:r>
          </w:p>
        </w:tc>
        <w:tc>
          <w:tcPr>
            <w:tcW w:w="28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Buy USD, Sell Euro</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2"/>
              <w:spacing w:after="0"/>
              <w:rPr>
                <w:sz w:val="20"/>
                <w:szCs w:val="20"/>
                <w:color w:val="auto"/>
              </w:rPr>
            </w:pPr>
            <w:r>
              <w:rPr>
                <w:rFonts w:ascii="Arial" w:cs="Arial" w:eastAsia="Arial" w:hAnsi="Arial"/>
                <w:sz w:val="18"/>
                <w:szCs w:val="18"/>
                <w:color w:val="auto"/>
              </w:rPr>
              <w:t>639</w:t>
            </w:r>
          </w:p>
        </w:tc>
        <w:tc>
          <w:tcPr>
            <w:tcW w:w="2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9"/>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2"/>
              <w:spacing w:after="0"/>
              <w:rPr>
                <w:sz w:val="20"/>
                <w:szCs w:val="20"/>
                <w:color w:val="auto"/>
              </w:rPr>
            </w:pPr>
            <w:r>
              <w:rPr>
                <w:rFonts w:ascii="Arial" w:cs="Arial" w:eastAsia="Arial" w:hAnsi="Arial"/>
                <w:sz w:val="18"/>
                <w:szCs w:val="18"/>
                <w:color w:val="auto"/>
              </w:rPr>
              <w:t>521</w:t>
            </w:r>
          </w:p>
        </w:tc>
        <w:tc>
          <w:tcPr>
            <w:tcW w:w="3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At June 30, 2018, our Cash Flow Hedges have remaining maturities of 12 months or less. Additionally, less than $1 million of net realized but unrecognized losses are recorded within “Accumulated other comprehensive income (loss)” at June 30, 2018 for Cash Flow Hedges that had settled but were deferred and will be amortized into earnings, along with the associated hedged revenues. Such amounts will be reclassified into earnings within the next 12 months.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100" w:firstLine="405"/>
        <w:spacing w:after="0" w:line="277" w:lineRule="auto"/>
        <w:rPr>
          <w:sz w:val="20"/>
          <w:szCs w:val="20"/>
          <w:color w:val="auto"/>
        </w:rPr>
      </w:pPr>
      <w:r>
        <w:rPr>
          <w:rFonts w:ascii="Arial" w:cs="Arial" w:eastAsia="Arial" w:hAnsi="Arial"/>
          <w:sz w:val="18"/>
          <w:szCs w:val="18"/>
          <w:color w:val="auto"/>
        </w:rPr>
        <w:t>The amount of pre-tax net realized gains (losses) associated with our Cash Flow Hedges that were reclassified out of “Accumulated other comprehensive income (loss)” and into earnings was as follows (amounts in millions):</w:t>
      </w:r>
    </w:p>
    <w:p>
      <w:pPr>
        <w:spacing w:after="0" w:line="162" w:lineRule="exact"/>
        <w:rPr>
          <w:sz w:val="20"/>
          <w:szCs w:val="20"/>
          <w:color w:val="auto"/>
        </w:rPr>
      </w:pPr>
    </w:p>
    <w:tbl>
      <w:tblPr>
        <w:tblLayout w:type="fixed"/>
        <w:tblInd w:w="1960" w:type="dxa"/>
        <w:tblCellMar>
          <w:top w:w="0" w:type="dxa"/>
          <w:left w:w="0" w:type="dxa"/>
          <w:bottom w:w="0" w:type="dxa"/>
          <w:right w:w="0" w:type="dxa"/>
        </w:tblCellMar>
      </w:tblPr>
      <w:tr>
        <w:trPr>
          <w:trHeight w:val="171"/>
        </w:trPr>
        <w:tc>
          <w:tcPr>
            <w:tcW w:w="3120" w:type="dxa"/>
            <w:vAlign w:val="bottom"/>
            <w:gridSpan w:val="3"/>
          </w:tcPr>
          <w:p>
            <w:pPr>
              <w:ind w:left="300"/>
              <w:spacing w:after="0"/>
              <w:rPr>
                <w:sz w:val="20"/>
                <w:szCs w:val="20"/>
                <w:color w:val="auto"/>
              </w:rPr>
            </w:pPr>
            <w:r>
              <w:rPr>
                <w:rFonts w:ascii="Arial" w:cs="Arial" w:eastAsia="Arial" w:hAnsi="Arial"/>
                <w:sz w:val="14"/>
                <w:szCs w:val="14"/>
                <w:b w:val="1"/>
                <w:bCs w:val="1"/>
                <w:color w:val="auto"/>
              </w:rPr>
              <w:t>For the Three Months Ended June 30,</w:t>
            </w:r>
          </w:p>
        </w:tc>
        <w:tc>
          <w:tcPr>
            <w:tcW w:w="288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For the Six Months Ended June 30,</w:t>
            </w:r>
          </w:p>
        </w:tc>
        <w:tc>
          <w:tcPr>
            <w:tcW w:w="2940" w:type="dxa"/>
            <w:vAlign w:val="bottom"/>
            <w:vMerge w:val="restart"/>
          </w:tcPr>
          <w:p>
            <w:pPr>
              <w:ind w:left="580"/>
              <w:spacing w:after="0"/>
              <w:rPr>
                <w:sz w:val="20"/>
                <w:szCs w:val="20"/>
                <w:color w:val="auto"/>
              </w:rPr>
            </w:pPr>
            <w:r>
              <w:rPr>
                <w:rFonts w:ascii="Arial" w:cs="Arial" w:eastAsia="Arial" w:hAnsi="Arial"/>
                <w:sz w:val="14"/>
                <w:szCs w:val="14"/>
                <w:b w:val="1"/>
                <w:bCs w:val="1"/>
                <w:color w:val="auto"/>
                <w:w w:val="90"/>
              </w:rPr>
              <w:t>Statement of Operations Classification</w:t>
            </w:r>
          </w:p>
        </w:tc>
        <w:tc>
          <w:tcPr>
            <w:tcW w:w="0" w:type="dxa"/>
            <w:vAlign w:val="bottom"/>
          </w:tcPr>
          <w:p>
            <w:pPr>
              <w:spacing w:after="0"/>
              <w:rPr>
                <w:sz w:val="1"/>
                <w:szCs w:val="1"/>
                <w:color w:val="auto"/>
              </w:rPr>
            </w:pPr>
          </w:p>
        </w:tc>
      </w:tr>
      <w:tr>
        <w:trPr>
          <w:trHeight w:val="144"/>
        </w:trPr>
        <w:tc>
          <w:tcPr>
            <w:tcW w:w="1480" w:type="dxa"/>
            <w:vAlign w:val="bottom"/>
            <w:tcBorders>
              <w:top w:val="single" w:sz="8" w:color="auto"/>
            </w:tcBorders>
          </w:tcPr>
          <w:p>
            <w:pPr>
              <w:jc w:val="right"/>
              <w:ind w:right="568"/>
              <w:spacing w:after="0" w:line="144" w:lineRule="exact"/>
              <w:rPr>
                <w:sz w:val="20"/>
                <w:szCs w:val="20"/>
                <w:color w:val="auto"/>
              </w:rPr>
            </w:pPr>
            <w:r>
              <w:rPr>
                <w:rFonts w:ascii="Arial" w:cs="Arial" w:eastAsia="Arial" w:hAnsi="Arial"/>
                <w:sz w:val="14"/>
                <w:szCs w:val="14"/>
                <w:b w:val="1"/>
                <w:bCs w:val="1"/>
                <w:color w:val="auto"/>
              </w:rPr>
              <w:t>2018</w:t>
            </w:r>
          </w:p>
        </w:tc>
        <w:tc>
          <w:tcPr>
            <w:tcW w:w="1480" w:type="dxa"/>
            <w:vAlign w:val="bottom"/>
            <w:tcBorders>
              <w:top w:val="single" w:sz="8" w:color="auto"/>
            </w:tcBorders>
          </w:tcPr>
          <w:p>
            <w:pPr>
              <w:jc w:val="right"/>
              <w:ind w:right="488"/>
              <w:spacing w:after="0" w:line="144"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440" w:type="dxa"/>
            <w:vAlign w:val="bottom"/>
            <w:tcBorders>
              <w:top w:val="single" w:sz="8" w:color="auto"/>
            </w:tcBorders>
          </w:tcPr>
          <w:p>
            <w:pPr>
              <w:jc w:val="right"/>
              <w:ind w:right="548"/>
              <w:spacing w:after="0" w:line="144" w:lineRule="exact"/>
              <w:rPr>
                <w:sz w:val="20"/>
                <w:szCs w:val="20"/>
                <w:color w:val="auto"/>
              </w:rPr>
            </w:pPr>
            <w:r>
              <w:rPr>
                <w:rFonts w:ascii="Arial" w:cs="Arial" w:eastAsia="Arial" w:hAnsi="Arial"/>
                <w:sz w:val="14"/>
                <w:szCs w:val="14"/>
                <w:b w:val="1"/>
                <w:bCs w:val="1"/>
                <w:color w:val="auto"/>
              </w:rPr>
              <w:t>2018</w:t>
            </w:r>
          </w:p>
        </w:tc>
        <w:tc>
          <w:tcPr>
            <w:tcW w:w="1440" w:type="dxa"/>
            <w:vAlign w:val="bottom"/>
            <w:tcBorders>
              <w:top w:val="single" w:sz="8" w:color="auto"/>
            </w:tcBorders>
          </w:tcPr>
          <w:p>
            <w:pPr>
              <w:jc w:val="right"/>
              <w:ind w:right="468"/>
              <w:spacing w:after="0" w:line="144" w:lineRule="exact"/>
              <w:rPr>
                <w:sz w:val="20"/>
                <w:szCs w:val="20"/>
                <w:color w:val="auto"/>
              </w:rPr>
            </w:pPr>
            <w:r>
              <w:rPr>
                <w:rFonts w:ascii="Arial" w:cs="Arial" w:eastAsia="Arial" w:hAnsi="Arial"/>
                <w:sz w:val="14"/>
                <w:szCs w:val="14"/>
                <w:b w:val="1"/>
                <w:bCs w:val="1"/>
                <w:color w:val="auto"/>
              </w:rPr>
              <w:t>2017</w:t>
            </w:r>
          </w:p>
        </w:tc>
        <w:tc>
          <w:tcPr>
            <w:tcW w:w="2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63" w:orient="portrait"/>
          <w:cols w:equalWidth="0" w:num="1">
            <w:col w:w="11420"/>
          </w:cols>
          <w:pgMar w:left="240" w:top="125" w:right="239" w:bottom="0" w:gutter="0" w:footer="0" w:header="0"/>
        </w:sectPr>
      </w:pPr>
    </w:p>
    <w:p>
      <w:pPr>
        <w:spacing w:after="0"/>
        <w:tabs>
          <w:tab w:leader="none" w:pos="2040" w:val="left"/>
          <w:tab w:leader="none" w:pos="3080" w:val="left"/>
          <w:tab w:leader="none" w:pos="3600" w:val="left"/>
          <w:tab w:leader="none" w:pos="4700" w:val="left"/>
          <w:tab w:leader="none" w:pos="5160" w:val="left"/>
          <w:tab w:leader="none" w:pos="6060" w:val="left"/>
          <w:tab w:leader="none" w:pos="6660" w:val="left"/>
          <w:tab w:leader="none" w:pos="7740" w:val="left"/>
          <w:tab w:leader="none" w:pos="9220" w:val="left"/>
        </w:tabs>
        <w:rPr>
          <w:sz w:val="20"/>
          <w:szCs w:val="20"/>
          <w:color w:val="auto"/>
        </w:rPr>
      </w:pPr>
      <w:r>
        <w:rPr>
          <w:rFonts w:ascii="Arial" w:cs="Arial" w:eastAsia="Arial" w:hAnsi="Arial"/>
          <w:sz w:val="18"/>
          <w:szCs w:val="18"/>
          <w:color w:val="auto"/>
        </w:rPr>
        <w:t>Cash Flow Hedges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Net revenues</w:t>
      </w:r>
    </w:p>
    <w:p>
      <w:pPr>
        <w:sectPr>
          <w:pgSz w:w="11900" w:h="16863" w:orient="portrait"/>
          <w:cols w:equalWidth="0" w:num="1">
            <w:col w:w="11420"/>
          </w:cols>
          <w:pgMar w:left="240" w:top="125" w:right="239" w:bottom="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Foreign Currency Forward Contracts Not Designated as Hedges</w:t>
      </w:r>
    </w:p>
    <w:p>
      <w:pPr>
        <w:spacing w:after="0" w:line="225" w:lineRule="exact"/>
        <w:rPr>
          <w:sz w:val="20"/>
          <w:szCs w:val="20"/>
          <w:color w:val="auto"/>
        </w:rPr>
      </w:pPr>
    </w:p>
    <w:p>
      <w:pPr>
        <w:ind w:right="740" w:firstLine="405"/>
        <w:spacing w:after="0" w:line="277" w:lineRule="auto"/>
        <w:rPr>
          <w:sz w:val="20"/>
          <w:szCs w:val="20"/>
          <w:color w:val="auto"/>
        </w:rPr>
      </w:pPr>
      <w:r>
        <w:rPr>
          <w:rFonts w:ascii="Arial" w:cs="Arial" w:eastAsia="Arial" w:hAnsi="Arial"/>
          <w:sz w:val="18"/>
          <w:szCs w:val="18"/>
          <w:color w:val="auto"/>
        </w:rPr>
        <w:t>The total gross notional amounts and fair values of our foreign currency forward contracts not designated as hedges are as follows (amounts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720" w:type="dxa"/>
            <w:vAlign w:val="bottom"/>
            <w:gridSpan w:val="5"/>
          </w:tcPr>
          <w:p>
            <w:pPr>
              <w:ind w:left="1000"/>
              <w:spacing w:after="0"/>
              <w:rPr>
                <w:sz w:val="20"/>
                <w:szCs w:val="20"/>
                <w:color w:val="auto"/>
              </w:rPr>
            </w:pPr>
            <w:r>
              <w:rPr>
                <w:rFonts w:ascii="Arial" w:cs="Arial" w:eastAsia="Arial" w:hAnsi="Arial"/>
                <w:sz w:val="14"/>
                <w:szCs w:val="14"/>
                <w:b w:val="1"/>
                <w:bCs w:val="1"/>
                <w:color w:val="auto"/>
              </w:rPr>
              <w:t>As of June 30, 2018</w:t>
            </w:r>
          </w:p>
        </w:tc>
        <w:tc>
          <w:tcPr>
            <w:tcW w:w="260" w:type="dxa"/>
            <w:vAlign w:val="bottom"/>
          </w:tcPr>
          <w:p>
            <w:pPr>
              <w:spacing w:after="0"/>
              <w:rPr>
                <w:sz w:val="14"/>
                <w:szCs w:val="14"/>
                <w:color w:val="auto"/>
              </w:rPr>
            </w:pPr>
          </w:p>
        </w:tc>
        <w:tc>
          <w:tcPr>
            <w:tcW w:w="3540" w:type="dxa"/>
            <w:vAlign w:val="bottom"/>
            <w:gridSpan w:val="5"/>
          </w:tcPr>
          <w:p>
            <w:pPr>
              <w:ind w:left="840"/>
              <w:spacing w:after="0"/>
              <w:rPr>
                <w:sz w:val="20"/>
                <w:szCs w:val="20"/>
                <w:color w:val="auto"/>
              </w:rPr>
            </w:pPr>
            <w:r>
              <w:rPr>
                <w:rFonts w:ascii="Arial" w:cs="Arial" w:eastAsia="Arial" w:hAnsi="Arial"/>
                <w:sz w:val="14"/>
                <w:szCs w:val="14"/>
                <w:b w:val="1"/>
                <w:bCs w:val="1"/>
                <w:color w:val="auto"/>
              </w:rPr>
              <w:t>As of December 31, 2017</w:t>
            </w:r>
          </w:p>
        </w:tc>
      </w:tr>
      <w:tr>
        <w:trPr>
          <w:trHeight w:val="142"/>
        </w:trPr>
        <w:tc>
          <w:tcPr>
            <w:tcW w:w="36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Notional amount</w:t>
            </w:r>
          </w:p>
        </w:tc>
        <w:tc>
          <w:tcPr>
            <w:tcW w:w="2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w w:val="91"/>
              </w:rPr>
              <w:t>Fair value gain (loss)</w:t>
            </w:r>
          </w:p>
        </w:tc>
        <w:tc>
          <w:tcPr>
            <w:tcW w:w="2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Notional amount</w:t>
            </w:r>
          </w:p>
        </w:tc>
        <w:tc>
          <w:tcPr>
            <w:tcW w:w="1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Fair value gain (loss)</w:t>
            </w:r>
          </w:p>
        </w:tc>
        <w:tc>
          <w:tcPr>
            <w:tcW w:w="100" w:type="dxa"/>
            <w:vAlign w:val="bottom"/>
          </w:tcPr>
          <w:p>
            <w:pPr>
              <w:spacing w:after="0"/>
              <w:rPr>
                <w:sz w:val="12"/>
                <w:szCs w:val="12"/>
                <w:color w:val="auto"/>
              </w:rPr>
            </w:pPr>
          </w:p>
        </w:tc>
      </w:tr>
      <w:tr>
        <w:trPr>
          <w:trHeight w:val="196"/>
        </w:trPr>
        <w:tc>
          <w:tcPr>
            <w:tcW w:w="3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Foreign Currency:</w:t>
            </w:r>
          </w:p>
        </w:tc>
        <w:tc>
          <w:tcPr>
            <w:tcW w:w="28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Buy Euro, Sell USD</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2"/>
              <w:spacing w:after="0"/>
              <w:rPr>
                <w:sz w:val="20"/>
                <w:szCs w:val="20"/>
                <w:color w:val="auto"/>
              </w:rPr>
            </w:pPr>
            <w:r>
              <w:rPr>
                <w:rFonts w:ascii="Arial" w:cs="Arial" w:eastAsia="Arial" w:hAnsi="Arial"/>
                <w:sz w:val="18"/>
                <w:szCs w:val="18"/>
                <w:color w:val="auto"/>
              </w:rPr>
              <w:t>137</w:t>
            </w:r>
          </w:p>
        </w:tc>
        <w:tc>
          <w:tcPr>
            <w:tcW w:w="2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122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For the three and six months ended June 30, 2018 and 2017, pre-tax net gains associated with these forward contracts were recorded in “General and administrative expenses” and were not material.</w:t>
      </w:r>
    </w:p>
    <w:p>
      <w:pPr>
        <w:spacing w:after="0" w:line="170" w:lineRule="exact"/>
        <w:rPr>
          <w:sz w:val="20"/>
          <w:szCs w:val="20"/>
          <w:color w:val="auto"/>
        </w:rPr>
      </w:pPr>
    </w:p>
    <w:p>
      <w:pPr>
        <w:jc w:val="both"/>
        <w:ind w:right="240" w:firstLine="405"/>
        <w:spacing w:after="0" w:line="259" w:lineRule="auto"/>
        <w:rPr>
          <w:sz w:val="20"/>
          <w:szCs w:val="20"/>
          <w:color w:val="auto"/>
        </w:rPr>
      </w:pPr>
      <w:r>
        <w:rPr>
          <w:rFonts w:ascii="Arial" w:cs="Arial" w:eastAsia="Arial" w:hAnsi="Arial"/>
          <w:sz w:val="18"/>
          <w:szCs w:val="18"/>
          <w:color w:val="auto"/>
        </w:rPr>
        <w:t>In the absence of hedging activities for the six months ended June 30, 2018, a hypothetical adverse foreign currency exchange rate movement of 10% would have resulted in a theoretical decline of our net income of approximately $64 million. This sensitivity analysis assumes a parallel adverse shift of all foreign currency exchange rates against the U.S. dollar; however, all foreign currency exchange rates do not always move in this manner and actual results may differ materially.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Our exposure to market rate risk for changes in interest rates relates primarily to our investment portfolio and variable rate debt pursuant to the credit agreement we entered into on October 11, 2013, as amended thereafter and from time to time. We do not currently use derivative financial instruments to manage interest rate risk. As of both June 30, 2018 and December 31, 2017, a hypothetical interest rate change on our variable rate debt of one percent (100 basis points) would have changed interest expense on an annual basis by approximately $10 million. This estimate does not include a change in interest income from our investment portfolio that may result from such a hypothetical interest rate change, nor does it include the effects of other actions that we may take in the future to mitigate this risk, or any changes in our financial structure. Refer to Note 10 of the notes to condensed consolidated financial statements included in Item 1 of this Quarterly Report on Form 10-Q for disclosures regarding interest rates associated with our debt obligations.</w:t>
      </w:r>
    </w:p>
    <w:p>
      <w:pPr>
        <w:spacing w:after="0" w:line="167"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Our investment portfolio consists primarily of money market funds and government securities with high credit quality and short average maturities. Because short-term securities mature relatively quickly and must be reinvested at the then-current market rates, interest income on a portfolio consisting of cash, cash equivalents, or short-term securities is more subject to market fluctuations than a portfolio of longer-term securities. Conversely, the fair value of such a portfolio is less sensitive to market fluctuations than a portfolio of longer-term securities. At June 30, 2018, our $4.86 billion of cash and cash equivalents was comprised primarily of money market funds.</w:t>
      </w:r>
    </w:p>
    <w:p>
      <w:pPr>
        <w:spacing w:after="0" w:line="188"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Company has determined that, based on the composition of our investment portfolio as of June 30, 2018, there was no material interest rate risk exposure to the Company’s consolidated financial condition, results of operations, or liquidity as of that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Disclosure Controls and Procedures</w:t>
      </w:r>
    </w:p>
    <w:p>
      <w:pPr>
        <w:spacing w:after="0" w:line="229"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Our disclosure controls and procedures (as such term is defined in Rules 13a-15(e) and 15d-15(e) under the Securities Exchange Act of 1934 (the “Exchange Act”)) are designed to reasonably ensure that information required to be disclosed in our reports filed under the Exchange Act is: (1) recorded, processed, summarized, and reported within the time periods specified in the SEC’s rules and forms, and (2) accumulated and communicated to management, including our principal executive officer and principal financial officer, as appropriate, to allow timely decisions regarding required disclosures. A control system, no matter how well designed and operated, can provide only reasonable assurance that it will detect or uncover failures within the Company to disclose material information otherwise required to be set forth in our periodic reports. Inherent limitations to any system of disclosure controls and procedures include, but are not limited to, the possibility of human error and the circumvention or overriding of such controls by one or more persons. In addition, we have designed our system of controls based on certain assumptions, which we believe are reasonable, about the likelihood of future events, and our system of controls may therefore not achieve its desired objectives under all possible future events.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has evaluated the effectiveness of our disclosure controls and procedures at June 30, 2018, the end of the period covered by this report. Based on this evaluation, the principal executive officer and principal financial officer concluded that, at June 30, 2018, our disclosure controls and procedures were effective to provide reasonable assurance that information required to be disclosed by the Company in the reports that it files or submits under the Exchange Act is (i) recorded, processed, summarized, and reported on a timely basis, and (ii) accumulated and communicated to our management, including our principal executive officer and principal financial officer, as appropriate to allow timely decisions regarding required disclosures.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40" w:firstLine="405"/>
        <w:spacing w:after="0" w:line="302"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any changes in our internal control over financial reporting that occurred during the fiscal quarter ended June 30, 2018. Based on this evaluation, the principal executive officer and principal financial officer concluded that, at June 30, 2018, there have not been any changes in our internal control over financial reporting during the most recent fiscal quarter that have materially affected, or are reasonably likely to materially affect, our internal control over financial reporting.</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ectPr>
          <w:pgSz w:w="11900" w:h="16838" w:orient="portrait"/>
          <w:cols w:equalWidth="0" w:num="1">
            <w:col w:w="11420"/>
          </w:cols>
          <w:pgMar w:left="240" w:top="341" w:right="239" w:bottom="0" w:gutter="0" w:footer="0" w:header="0"/>
        </w:sectPr>
      </w:pPr>
    </w:p>
    <w:bookmarkStart w:id="46" w:name="page47"/>
    <w:bookmarkEnd w:id="46"/>
    <w:p>
      <w:pPr>
        <w:ind w:right="80" w:firstLine="405"/>
        <w:spacing w:after="0" w:line="279" w:lineRule="auto"/>
        <w:rPr>
          <w:sz w:val="20"/>
          <w:szCs w:val="20"/>
          <w:color w:val="auto"/>
        </w:rPr>
      </w:pPr>
      <w:r>
        <w:rPr>
          <w:rFonts w:ascii="Arial" w:cs="Arial" w:eastAsia="Arial" w:hAnsi="Arial"/>
          <w:sz w:val="17"/>
          <w:szCs w:val="17"/>
          <w:color w:val="auto"/>
        </w:rPr>
        <w:t>We are party to routine claims, suits, investigations, audits, and other proceedings arising from the ordinary course of business, including with respect to intellectual property rights, contractual claims, labor and employment matters, regulatory matters, tax matters, unclaimed property matters, compliance matters, and collection matters. In the opinion of management, after consultation with legal counsel, such routine claims and lawsuits are not significant and we do not expect them to have a material adverse effect on our business, financial condition, results of operations, or liquidity.</w:t>
      </w:r>
    </w:p>
    <w:p>
      <w:pPr>
        <w:spacing w:after="0" w:line="16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Various risks associated with our business are described in Part I, Item 1A, “Risk Factors,” of our Annual Report on Form 10-K for the year ended December 31, 2017.</w:t>
      </w:r>
    </w:p>
    <w:p>
      <w:pPr>
        <w:spacing w:after="0" w:line="1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exhibits listed on the accompanying Exhibit Index are hereby incorporated by reference into this Quarterly Report on Form 10-Q.</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60" w:type="dxa"/>
            <w:vAlign w:val="bottom"/>
            <w:gridSpan w:val="3"/>
          </w:tcPr>
          <w:p>
            <w:pPr>
              <w:jc w:val="right"/>
              <w:ind w:right="200"/>
              <w:spacing w:after="0"/>
              <w:rPr>
                <w:sz w:val="20"/>
                <w:szCs w:val="20"/>
                <w:color w:val="auto"/>
              </w:rPr>
            </w:pPr>
            <w:r>
              <w:rPr>
                <w:rFonts w:ascii="Arial" w:cs="Arial" w:eastAsia="Arial" w:hAnsi="Arial"/>
                <w:sz w:val="18"/>
                <w:szCs w:val="18"/>
                <w:color w:val="auto"/>
              </w:rPr>
              <w:t>72</w:t>
            </w:r>
          </w:p>
        </w:tc>
        <w:tc>
          <w:tcPr>
            <w:tcW w:w="4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46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9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2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1340" w:type="dxa"/>
            <w:vAlign w:val="bottom"/>
            <w:gridSpan w:val="2"/>
          </w:tcPr>
          <w:p>
            <w:pPr>
              <w:spacing w:after="0"/>
              <w:rPr>
                <w:rFonts w:ascii="Arial" w:cs="Arial" w:eastAsia="Arial" w:hAnsi="Arial"/>
                <w:sz w:val="18"/>
                <w:szCs w:val="18"/>
                <w:color w:val="0000EE"/>
                <w:w w:val="92"/>
              </w:rPr>
            </w:pPr>
            <w:hyperlink w:anchor="page2">
              <w:r>
                <w:rPr>
                  <w:rFonts w:ascii="Arial" w:cs="Arial" w:eastAsia="Arial" w:hAnsi="Arial"/>
                  <w:sz w:val="18"/>
                  <w:szCs w:val="18"/>
                  <w:color w:val="0000EE"/>
                  <w:w w:val="92"/>
                </w:rPr>
                <w:t>Table of Contents</w:t>
              </w:r>
            </w:hyperlink>
          </w:p>
        </w:tc>
        <w:tc>
          <w:tcPr>
            <w:tcW w:w="2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40" w:type="dxa"/>
            <w:vAlign w:val="bottom"/>
            <w:gridSpan w:val="12"/>
          </w:tcPr>
          <w:p>
            <w:pPr>
              <w:jc w:val="center"/>
              <w:ind w:right="164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Exhibit Number</w:t>
            </w:r>
          </w:p>
        </w:tc>
        <w:tc>
          <w:tcPr>
            <w:tcW w:w="280" w:type="dxa"/>
            <w:vAlign w:val="bottom"/>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gridSpan w:val="9"/>
          </w:tcPr>
          <w:p>
            <w:pPr>
              <w:ind w:left="30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24"/>
                <w:szCs w:val="24"/>
                <w:color w:val="auto"/>
              </w:rPr>
            </w:pPr>
          </w:p>
        </w:tc>
      </w:tr>
      <w:tr>
        <w:trPr>
          <w:trHeight w:val="385"/>
        </w:trPr>
        <w:tc>
          <w:tcPr>
            <w:tcW w:w="12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40" w:type="dxa"/>
            <w:vAlign w:val="bottom"/>
            <w:tcBorders>
              <w:bottom w:val="single" w:sz="8" w:color="0000EE"/>
            </w:tcBorders>
            <w:gridSpan w:val="10"/>
          </w:tcPr>
          <w:p>
            <w:pPr>
              <w:spacing w:after="0"/>
              <w:rPr>
                <w:rFonts w:ascii="Arial" w:cs="Arial" w:eastAsia="Arial" w:hAnsi="Arial"/>
                <w:sz w:val="18"/>
                <w:szCs w:val="18"/>
                <w:color w:val="0000EE"/>
                <w:w w:val="91"/>
              </w:rPr>
            </w:pPr>
            <w:hyperlink r:id="rId104">
              <w:r>
                <w:rPr>
                  <w:rFonts w:ascii="Arial" w:cs="Arial" w:eastAsia="Arial" w:hAnsi="Arial"/>
                  <w:sz w:val="18"/>
                  <w:szCs w:val="18"/>
                  <w:color w:val="0000EE"/>
                  <w:w w:val="91"/>
                </w:rPr>
                <w:t>Third Amended and Restated Certificate of Incorporation of Activision Blizzard, Inc., dated June 5, 2014 (incorporated by reference to</w:t>
              </w:r>
            </w:hyperlink>
          </w:p>
        </w:tc>
        <w:tc>
          <w:tcPr>
            <w:tcW w:w="100" w:type="dxa"/>
            <w:vAlign w:val="bottom"/>
            <w:gridSpan w:val="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38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104">
              <w:r>
                <w:rPr>
                  <w:rFonts w:ascii="Arial" w:cs="Arial" w:eastAsia="Arial" w:hAnsi="Arial"/>
                  <w:sz w:val="18"/>
                  <w:szCs w:val="18"/>
                  <w:color w:val="0000EE"/>
                  <w:w w:val="92"/>
                </w:rPr>
                <w:t>Exhibit 3.1 of the Company’s Form 8-K, filed June 6, 2014).</w:t>
              </w:r>
            </w:hyperlink>
          </w:p>
        </w:tc>
        <w:tc>
          <w:tcPr>
            <w:tcW w:w="5460" w:type="dxa"/>
            <w:vAlign w:val="bottom"/>
            <w:gridSpan w:val="10"/>
          </w:tcPr>
          <w:p>
            <w:pPr>
              <w:spacing w:after="0"/>
              <w:rPr>
                <w:sz w:val="17"/>
                <w:szCs w:val="17"/>
                <w:color w:val="auto"/>
              </w:rPr>
            </w:pPr>
          </w:p>
        </w:tc>
      </w:tr>
      <w:tr>
        <w:trPr>
          <w:trHeight w:val="412"/>
        </w:trPr>
        <w:tc>
          <w:tcPr>
            <w:tcW w:w="12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40" w:type="dxa"/>
            <w:vAlign w:val="bottom"/>
            <w:gridSpan w:val="12"/>
          </w:tcPr>
          <w:p>
            <w:pPr>
              <w:spacing w:after="0"/>
              <w:rPr>
                <w:rFonts w:ascii="Arial" w:cs="Arial" w:eastAsia="Arial" w:hAnsi="Arial"/>
                <w:sz w:val="18"/>
                <w:szCs w:val="18"/>
                <w:color w:val="0000EE"/>
                <w:w w:val="96"/>
              </w:rPr>
            </w:pPr>
            <w:hyperlink r:id="rId105">
              <w:r>
                <w:rPr>
                  <w:rFonts w:ascii="Arial" w:cs="Arial" w:eastAsia="Arial" w:hAnsi="Arial"/>
                  <w:sz w:val="18"/>
                  <w:szCs w:val="18"/>
                  <w:color w:val="0000EE"/>
                  <w:w w:val="96"/>
                </w:rPr>
                <w:t>Fourth Amended and Restated Bylaws of Activision Blizzard, Inc., adopted as of February 1, 2018 (incorporated by reference to</w:t>
              </w:r>
            </w:hyperlink>
          </w:p>
        </w:tc>
      </w:tr>
      <w:tr>
        <w:trPr>
          <w:trHeight w:val="196"/>
        </w:trPr>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Exhibit 3.1 of the Company’s Form 8-K/A, filed March 21, 2018).</w:t>
              </w:r>
            </w:hyperlink>
          </w:p>
        </w:tc>
        <w:tc>
          <w:tcPr>
            <w:tcW w:w="580" w:type="dxa"/>
            <w:vAlign w:val="bottom"/>
            <w:gridSpan w:val="5"/>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412"/>
        </w:trPr>
        <w:tc>
          <w:tcPr>
            <w:tcW w:w="1280" w:type="dxa"/>
            <w:vAlign w:val="bottom"/>
          </w:tcPr>
          <w:p>
            <w:pPr>
              <w:jc w:val="center"/>
              <w:spacing w:after="0"/>
              <w:rPr>
                <w:sz w:val="20"/>
                <w:szCs w:val="20"/>
                <w:color w:val="auto"/>
              </w:rPr>
            </w:pPr>
            <w:r>
              <w:rPr>
                <w:rFonts w:ascii="Arial" w:cs="Arial" w:eastAsia="Arial" w:hAnsi="Arial"/>
                <w:sz w:val="18"/>
                <w:szCs w:val="18"/>
                <w:color w:val="auto"/>
                <w:w w:val="95"/>
              </w:rPr>
              <w:t>*10.1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12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Non Affiliated Director Compensation Program and Stock Ownership Guidelines, as amended and restated as of May 1, 2018.</w:t>
              </w:r>
            </w:hyperlink>
          </w:p>
        </w:tc>
        <w:tc>
          <w:tcPr>
            <w:tcW w:w="720" w:type="dxa"/>
            <w:vAlign w:val="bottom"/>
            <w:gridSpan w:val="6"/>
          </w:tcPr>
          <w:p>
            <w:pPr>
              <w:spacing w:after="0"/>
              <w:rPr>
                <w:sz w:val="24"/>
                <w:szCs w:val="24"/>
                <w:color w:val="auto"/>
              </w:rPr>
            </w:pPr>
          </w:p>
        </w:tc>
      </w:tr>
      <w:tr>
        <w:trPr>
          <w:trHeight w:val="412"/>
        </w:trPr>
        <w:tc>
          <w:tcPr>
            <w:tcW w:w="128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40" w:type="dxa"/>
            <w:vAlign w:val="bottom"/>
            <w:gridSpan w:val="12"/>
          </w:tcPr>
          <w:p>
            <w:pPr>
              <w:spacing w:after="0"/>
              <w:rPr>
                <w:rFonts w:ascii="Arial" w:cs="Arial" w:eastAsia="Arial" w:hAnsi="Arial"/>
                <w:sz w:val="18"/>
                <w:szCs w:val="18"/>
                <w:color w:val="0000EE"/>
                <w:w w:val="93"/>
              </w:rPr>
            </w:pPr>
            <w:hyperlink w:anchor="page51">
              <w:r>
                <w:rPr>
                  <w:rFonts w:ascii="Arial" w:cs="Arial" w:eastAsia="Arial" w:hAnsi="Arial"/>
                  <w:sz w:val="18"/>
                  <w:szCs w:val="18"/>
                  <w:color w:val="0000EE"/>
                  <w:w w:val="93"/>
                </w:rPr>
                <w:t>Certification of Robert A. Kotick pursuant to Rule 13a-14(a) under the Securities and Exchange Act of 1934, as adopted pursuant to</w:t>
              </w:r>
            </w:hyperlink>
          </w:p>
        </w:tc>
      </w:tr>
      <w:tr>
        <w:trPr>
          <w:trHeight w:val="196"/>
        </w:trPr>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5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Section 302 of the Sarbanes-Oxley Act of 2002.</w:t>
              </w:r>
            </w:hyperlink>
          </w:p>
        </w:tc>
        <w:tc>
          <w:tcPr>
            <w:tcW w:w="320" w:type="dxa"/>
            <w:vAlign w:val="bottom"/>
            <w:gridSpan w:val="4"/>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412"/>
        </w:trPr>
        <w:tc>
          <w:tcPr>
            <w:tcW w:w="128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40" w:type="dxa"/>
            <w:vAlign w:val="bottom"/>
            <w:gridSpan w:val="12"/>
          </w:tcPr>
          <w:p>
            <w:pPr>
              <w:spacing w:after="0"/>
              <w:rPr>
                <w:rFonts w:ascii="Arial" w:cs="Arial" w:eastAsia="Arial" w:hAnsi="Arial"/>
                <w:sz w:val="18"/>
                <w:szCs w:val="18"/>
                <w:color w:val="0000EE"/>
                <w:w w:val="92"/>
              </w:rPr>
            </w:pPr>
            <w:hyperlink w:anchor="page52">
              <w:r>
                <w:rPr>
                  <w:rFonts w:ascii="Arial" w:cs="Arial" w:eastAsia="Arial" w:hAnsi="Arial"/>
                  <w:sz w:val="18"/>
                  <w:szCs w:val="18"/>
                  <w:color w:val="0000EE"/>
                  <w:w w:val="92"/>
                </w:rPr>
                <w:t>Certification of Spencer Neumann pursuant to Rule 13a-14(a) under the Securities and Exchange Act of 1934, as adopted pursuant to</w:t>
              </w:r>
            </w:hyperlink>
          </w:p>
        </w:tc>
      </w:tr>
      <w:tr>
        <w:trPr>
          <w:trHeight w:val="196"/>
        </w:trPr>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Section 302 of the Sarbanes-Oxley Act of 2002.</w:t>
              </w:r>
            </w:hyperlink>
          </w:p>
        </w:tc>
        <w:tc>
          <w:tcPr>
            <w:tcW w:w="240" w:type="dxa"/>
            <w:vAlign w:val="bottom"/>
            <w:gridSpan w:val="3"/>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r>
      <w:tr>
        <w:trPr>
          <w:trHeight w:val="412"/>
        </w:trPr>
        <w:tc>
          <w:tcPr>
            <w:tcW w:w="128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76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53">
              <w:r>
                <w:rPr>
                  <w:rFonts w:ascii="Arial" w:cs="Arial" w:eastAsia="Arial" w:hAnsi="Arial"/>
                  <w:sz w:val="18"/>
                  <w:szCs w:val="18"/>
                  <w:color w:val="0000EE"/>
                  <w:w w:val="92"/>
                </w:rPr>
                <w:t>Certification of Robert A. Kotick pursuant to Section 906 of the Sarbanes-Oxley Act of 2002.</w:t>
              </w:r>
            </w:hyperlink>
          </w:p>
        </w:tc>
        <w:tc>
          <w:tcPr>
            <w:tcW w:w="3080" w:type="dxa"/>
            <w:vAlign w:val="bottom"/>
            <w:gridSpan w:val="8"/>
          </w:tcPr>
          <w:p>
            <w:pPr>
              <w:spacing w:after="0"/>
              <w:rPr>
                <w:sz w:val="24"/>
                <w:szCs w:val="24"/>
                <w:color w:val="auto"/>
              </w:rPr>
            </w:pPr>
          </w:p>
        </w:tc>
      </w:tr>
      <w:tr>
        <w:trPr>
          <w:trHeight w:val="412"/>
        </w:trPr>
        <w:tc>
          <w:tcPr>
            <w:tcW w:w="128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4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Certification of Spencer Neumann pursuant to Section 906 of the Sarbanes-Oxley Act of 2002.</w:t>
              </w:r>
            </w:hyperlink>
          </w:p>
        </w:tc>
        <w:tc>
          <w:tcPr>
            <w:tcW w:w="3000" w:type="dxa"/>
            <w:vAlign w:val="bottom"/>
            <w:gridSpan w:val="7"/>
          </w:tcPr>
          <w:p>
            <w:pPr>
              <w:spacing w:after="0"/>
              <w:rPr>
                <w:sz w:val="24"/>
                <w:szCs w:val="24"/>
                <w:color w:val="auto"/>
              </w:rPr>
            </w:pPr>
          </w:p>
        </w:tc>
      </w:tr>
      <w:tr>
        <w:trPr>
          <w:trHeight w:val="453"/>
        </w:trPr>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2"/>
              </w:rPr>
              <w:t>101.INS</w:t>
            </w:r>
          </w:p>
        </w:tc>
        <w:tc>
          <w:tcPr>
            <w:tcW w:w="280" w:type="dxa"/>
            <w:vAlign w:val="bottom"/>
          </w:tcPr>
          <w:p>
            <w:pPr>
              <w:spacing w:after="0"/>
              <w:rPr>
                <w:sz w:val="24"/>
                <w:szCs w:val="24"/>
                <w:color w:val="auto"/>
              </w:rPr>
            </w:pPr>
          </w:p>
        </w:tc>
        <w:tc>
          <w:tcPr>
            <w:tcW w:w="9840" w:type="dxa"/>
            <w:vAlign w:val="bottom"/>
            <w:gridSpan w:val="12"/>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0"/>
              </w:rPr>
              <w:t>101.SCH</w:t>
            </w:r>
          </w:p>
        </w:tc>
        <w:tc>
          <w:tcPr>
            <w:tcW w:w="280" w:type="dxa"/>
            <w:vAlign w:val="bottom"/>
          </w:tcPr>
          <w:p>
            <w:pPr>
              <w:spacing w:after="0"/>
              <w:rPr>
                <w:sz w:val="24"/>
                <w:szCs w:val="24"/>
                <w:color w:val="auto"/>
              </w:rPr>
            </w:pPr>
          </w:p>
        </w:tc>
        <w:tc>
          <w:tcPr>
            <w:tcW w:w="984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7"/>
              </w:rPr>
              <w:t>101.CAL</w:t>
            </w:r>
          </w:p>
        </w:tc>
        <w:tc>
          <w:tcPr>
            <w:tcW w:w="280" w:type="dxa"/>
            <w:vAlign w:val="bottom"/>
          </w:tcPr>
          <w:p>
            <w:pPr>
              <w:spacing w:after="0"/>
              <w:rPr>
                <w:sz w:val="24"/>
                <w:szCs w:val="24"/>
                <w:color w:val="auto"/>
              </w:rPr>
            </w:pPr>
          </w:p>
        </w:tc>
        <w:tc>
          <w:tcPr>
            <w:tcW w:w="984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8"/>
              </w:rPr>
              <w:t>101.LAB</w:t>
            </w:r>
          </w:p>
        </w:tc>
        <w:tc>
          <w:tcPr>
            <w:tcW w:w="280" w:type="dxa"/>
            <w:vAlign w:val="bottom"/>
          </w:tcPr>
          <w:p>
            <w:pPr>
              <w:spacing w:after="0"/>
              <w:rPr>
                <w:sz w:val="24"/>
                <w:szCs w:val="24"/>
                <w:color w:val="auto"/>
              </w:rPr>
            </w:pPr>
          </w:p>
        </w:tc>
        <w:tc>
          <w:tcPr>
            <w:tcW w:w="9840" w:type="dxa"/>
            <w:vAlign w:val="bottom"/>
            <w:gridSpan w:val="12"/>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432"/>
        </w:trPr>
        <w:tc>
          <w:tcPr>
            <w:tcW w:w="1340" w:type="dxa"/>
            <w:vAlign w:val="bottom"/>
            <w:gridSpan w:val="2"/>
          </w:tcPr>
          <w:p>
            <w:pPr>
              <w:jc w:val="center"/>
              <w:spacing w:after="0"/>
              <w:rPr>
                <w:sz w:val="20"/>
                <w:szCs w:val="20"/>
                <w:color w:val="auto"/>
              </w:rPr>
            </w:pPr>
            <w:r>
              <w:rPr>
                <w:rFonts w:ascii="Arial" w:cs="Arial" w:eastAsia="Arial" w:hAnsi="Arial"/>
                <w:sz w:val="18"/>
                <w:szCs w:val="18"/>
                <w:color w:val="auto"/>
                <w:w w:val="88"/>
              </w:rPr>
              <w:t>101.PRE</w:t>
            </w:r>
          </w:p>
        </w:tc>
        <w:tc>
          <w:tcPr>
            <w:tcW w:w="280" w:type="dxa"/>
            <w:vAlign w:val="bottom"/>
          </w:tcPr>
          <w:p>
            <w:pPr>
              <w:spacing w:after="0"/>
              <w:rPr>
                <w:sz w:val="24"/>
                <w:szCs w:val="24"/>
                <w:color w:val="auto"/>
              </w:rPr>
            </w:pPr>
          </w:p>
        </w:tc>
        <w:tc>
          <w:tcPr>
            <w:tcW w:w="984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2"/>
              </w:rPr>
              <w:t>101.DEF</w:t>
            </w:r>
          </w:p>
        </w:tc>
        <w:tc>
          <w:tcPr>
            <w:tcW w:w="280" w:type="dxa"/>
            <w:vAlign w:val="bottom"/>
          </w:tcPr>
          <w:p>
            <w:pPr>
              <w:spacing w:after="0"/>
              <w:rPr>
                <w:sz w:val="24"/>
                <w:szCs w:val="24"/>
                <w:color w:val="auto"/>
              </w:rPr>
            </w:pPr>
          </w:p>
        </w:tc>
        <w:tc>
          <w:tcPr>
            <w:tcW w:w="984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-5018405</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-5018405</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*Indicates a management contract or compensatory plan, contract or arrangement in which a director or executive officer of the Company participates.</w:t>
      </w:r>
    </w:p>
    <w:p>
      <w:pPr>
        <w:spacing w:after="0" w:line="237"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Attached as Exhibit 101 to this report are the following formatted in XBRL (Extensible Business Reporting Language): (i) condensed consolidated balance sheets at June 30, 2018 and December 31, 2017, (ii) condensed consolidated statements of operations for the three and six months ended June 30, 2018 and June 30, 2017, (iii) condensed consolidated statements of comprehensive income (loss) for the three and six months ended June 30, 2018 and June 30, 2017, (iv) condensed consolidated statements of cash flows for the six months ended June 30, 2018 and June 30, 2017; (v) condensed consolidated statement of changes in shareholders’ equity for the six months ended June 30, 2018; and (vi) notes to condensed consolidated financial statements.</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ACTIVISION BLIZZARD, INC.</w:t>
      </w:r>
    </w:p>
    <w:p>
      <w:pPr>
        <w:sectPr>
          <w:pgSz w:w="11900" w:h="16838" w:orient="portrait"/>
          <w:cols w:equalWidth="0" w:num="1">
            <w:col w:w="11460"/>
          </w:cols>
          <w:pgMar w:left="240" w:top="341" w:right="199" w:bottom="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/s/ SPENCER NEUMANN</w:t>
            </w:r>
          </w:p>
        </w:tc>
        <w:tc>
          <w:tcPr>
            <w:tcW w:w="28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 STEPHEN WEREB</w:t>
            </w:r>
          </w:p>
        </w:tc>
        <w:tc>
          <w:tcPr>
            <w:tcW w:w="4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5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Spencer Neumann</w:t>
            </w:r>
          </w:p>
        </w:tc>
        <w:tc>
          <w:tcPr>
            <w:tcW w:w="280" w:type="dxa"/>
            <w:vAlign w:val="bottom"/>
          </w:tcPr>
          <w:p>
            <w:pPr>
              <w:spacing w:after="0"/>
              <w:rPr>
                <w:sz w:val="16"/>
                <w:szCs w:val="16"/>
                <w:color w:val="auto"/>
              </w:rPr>
            </w:pPr>
          </w:p>
        </w:tc>
        <w:tc>
          <w:tcPr>
            <w:tcW w:w="5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Stephen Wereb</w:t>
            </w:r>
          </w:p>
        </w:tc>
        <w:tc>
          <w:tcPr>
            <w:tcW w:w="40" w:type="dxa"/>
            <w:vAlign w:val="bottom"/>
          </w:tcPr>
          <w:p>
            <w:pPr>
              <w:spacing w:after="0"/>
              <w:rPr>
                <w:sz w:val="16"/>
                <w:szCs w:val="16"/>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i w:val="1"/>
                <w:iCs w:val="1"/>
                <w:color w:val="auto"/>
              </w:rPr>
              <w:t>Chief Financial Officer and</w:t>
            </w:r>
          </w:p>
        </w:tc>
        <w:tc>
          <w:tcPr>
            <w:tcW w:w="2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i w:val="1"/>
                <w:iCs w:val="1"/>
                <w:color w:val="auto"/>
              </w:rPr>
              <w:t>Deputy Chief Financial Officer, Chief Accounting Officer,</w:t>
            </w:r>
          </w:p>
        </w:tc>
        <w:tc>
          <w:tcPr>
            <w:tcW w:w="40" w:type="dxa"/>
            <w:vAlign w:val="bottom"/>
          </w:tcPr>
          <w:p>
            <w:pPr>
              <w:spacing w:after="0"/>
              <w:rPr>
                <w:sz w:val="18"/>
                <w:szCs w:val="18"/>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Officer of</w:t>
            </w:r>
          </w:p>
        </w:tc>
        <w:tc>
          <w:tcPr>
            <w:tcW w:w="2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i w:val="1"/>
                <w:iCs w:val="1"/>
                <w:color w:val="auto"/>
              </w:rPr>
              <w:t>and Principal Accounting Officer of</w:t>
            </w:r>
          </w:p>
        </w:tc>
        <w:tc>
          <w:tcPr>
            <w:tcW w:w="40" w:type="dxa"/>
            <w:vAlign w:val="bottom"/>
          </w:tcPr>
          <w:p>
            <w:pPr>
              <w:spacing w:after="0"/>
              <w:rPr>
                <w:sz w:val="18"/>
                <w:szCs w:val="18"/>
                <w:color w:val="auto"/>
              </w:rPr>
            </w:pP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i w:val="1"/>
                <w:iCs w:val="1"/>
                <w:color w:val="auto"/>
              </w:rPr>
              <w:t>Activision Blizzard, Inc.</w:t>
            </w:r>
          </w:p>
        </w:tc>
        <w:tc>
          <w:tcPr>
            <w:tcW w:w="28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i w:val="1"/>
                <w:iCs w:val="1"/>
                <w:color w:val="auto"/>
              </w:rPr>
              <w:t>Activision Blizzard, Inc.</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5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55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48" w:name="page49"/>
    <w:bookmarkEnd w:id="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FFFFFF"/>
        </w:rPr>
        <w:t>Non-Affiliated Director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FFFFFF"/>
        </w:rPr>
        <w:t>Cash Compensation</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10.1</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20"/>
          <w:szCs w:val="20"/>
          <w:i w:val="1"/>
          <w:iCs w:val="1"/>
          <w:color w:val="auto"/>
        </w:rPr>
        <w:t>As adopted by the Board on</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0"/>
          <w:szCs w:val="20"/>
          <w:i w:val="1"/>
          <w:iCs w:val="1"/>
          <w:color w:val="auto"/>
        </w:rPr>
        <w:t>May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420"/>
        <w:spacing w:after="0"/>
        <w:rPr>
          <w:sz w:val="20"/>
          <w:szCs w:val="20"/>
          <w:color w:val="auto"/>
        </w:rPr>
      </w:pPr>
      <w:r>
        <w:rPr>
          <w:rFonts w:ascii="Arial" w:cs="Arial" w:eastAsia="Arial" w:hAnsi="Arial"/>
          <w:sz w:val="20"/>
          <w:szCs w:val="20"/>
          <w:b w:val="1"/>
          <w:bCs w:val="1"/>
          <w:color w:val="auto"/>
        </w:rPr>
        <w:t>NON-AFFILIATED DIRECTOR COMPENSATION PROGRAM</w:t>
      </w:r>
    </w:p>
    <w:p>
      <w:pPr>
        <w:spacing w:after="0" w:line="21" w:lineRule="exact"/>
        <w:rPr>
          <w:sz w:val="20"/>
          <w:szCs w:val="20"/>
          <w:color w:val="auto"/>
        </w:rPr>
      </w:pPr>
    </w:p>
    <w:p>
      <w:pPr>
        <w:jc w:val="center"/>
        <w:ind w:right="2420"/>
        <w:spacing w:after="0"/>
        <w:rPr>
          <w:sz w:val="20"/>
          <w:szCs w:val="20"/>
          <w:color w:val="auto"/>
        </w:rPr>
      </w:pPr>
      <w:r>
        <w:rPr>
          <w:rFonts w:ascii="Arial" w:cs="Arial" w:eastAsia="Arial" w:hAnsi="Arial"/>
          <w:sz w:val="20"/>
          <w:szCs w:val="20"/>
          <w:b w:val="1"/>
          <w:bCs w:val="1"/>
          <w:color w:val="auto"/>
        </w:rPr>
        <w:t>AND</w:t>
      </w:r>
    </w:p>
    <w:p>
      <w:pPr>
        <w:jc w:val="center"/>
        <w:ind w:right="2420"/>
        <w:spacing w:after="0"/>
        <w:rPr>
          <w:sz w:val="20"/>
          <w:szCs w:val="20"/>
          <w:color w:val="auto"/>
        </w:rPr>
      </w:pPr>
      <w:r>
        <w:rPr>
          <w:rFonts w:ascii="Arial" w:cs="Arial" w:eastAsia="Arial" w:hAnsi="Arial"/>
          <w:sz w:val="20"/>
          <w:szCs w:val="20"/>
          <w:b w:val="1"/>
          <w:bCs w:val="1"/>
          <w:color w:val="auto"/>
        </w:rPr>
        <w:t>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146050</wp:posOffset>
            </wp:positionV>
            <wp:extent cx="7169150" cy="61487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69150" cy="614870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right="420"/>
        <w:spacing w:after="0" w:line="260" w:lineRule="auto"/>
        <w:rPr>
          <w:sz w:val="20"/>
          <w:szCs w:val="20"/>
          <w:color w:val="auto"/>
        </w:rPr>
      </w:pPr>
      <w:r>
        <w:rPr>
          <w:rFonts w:ascii="Arial" w:cs="Arial" w:eastAsia="Arial" w:hAnsi="Arial"/>
          <w:sz w:val="20"/>
          <w:szCs w:val="20"/>
          <w:color w:val="auto"/>
        </w:rPr>
        <w:t>For purposes of this program, a “</w:t>
      </w:r>
      <w:r>
        <w:rPr>
          <w:rFonts w:ascii="Arial" w:cs="Arial" w:eastAsia="Arial" w:hAnsi="Arial"/>
          <w:sz w:val="20"/>
          <w:szCs w:val="20"/>
          <w:b w:val="1"/>
          <w:bCs w:val="1"/>
          <w:i w:val="1"/>
          <w:iCs w:val="1"/>
          <w:color w:val="auto"/>
        </w:rPr>
        <w:t>Non-Affiliated Director</w:t>
      </w:r>
      <w:r>
        <w:rPr>
          <w:rFonts w:ascii="Arial" w:cs="Arial" w:eastAsia="Arial" w:hAnsi="Arial"/>
          <w:sz w:val="20"/>
          <w:szCs w:val="20"/>
          <w:color w:val="auto"/>
        </w:rPr>
        <w:t>” is any director of the Company that is not also an employee of the Company or any of its subsidiaries.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Annual Retainers</w:t>
      </w:r>
    </w:p>
    <w:p>
      <w:pPr>
        <w:spacing w:after="0" w:line="22" w:lineRule="exact"/>
        <w:rPr>
          <w:sz w:val="20"/>
          <w:szCs w:val="20"/>
          <w:color w:val="auto"/>
        </w:rPr>
      </w:pPr>
    </w:p>
    <w:p>
      <w:pPr>
        <w:ind w:left="660" w:right="7200" w:hanging="265"/>
        <w:spacing w:after="0" w:line="299" w:lineRule="auto"/>
        <w:tabs>
          <w:tab w:leader="none" w:pos="612" w:val="left"/>
        </w:tabs>
        <w:numPr>
          <w:ilvl w:val="0"/>
          <w:numId w:val="74"/>
        </w:numPr>
        <w:rPr>
          <w:rFonts w:ascii="Arial" w:cs="Arial" w:eastAsia="Arial" w:hAnsi="Arial"/>
          <w:sz w:val="16"/>
          <w:szCs w:val="16"/>
          <w:color w:val="auto"/>
        </w:rPr>
      </w:pPr>
      <w:r>
        <w:rPr>
          <w:rFonts w:ascii="Arial" w:cs="Arial" w:eastAsia="Arial" w:hAnsi="Arial"/>
          <w:sz w:val="16"/>
          <w:szCs w:val="16"/>
          <w:color w:val="auto"/>
        </w:rPr>
        <w:t>Board Member $90,000</w:t>
      </w:r>
    </w:p>
    <w:p>
      <w:pPr>
        <w:ind w:left="660" w:right="6920" w:hanging="265"/>
        <w:spacing w:after="0" w:line="252" w:lineRule="auto"/>
        <w:tabs>
          <w:tab w:leader="none" w:pos="612" w:val="left"/>
        </w:tabs>
        <w:numPr>
          <w:ilvl w:val="0"/>
          <w:numId w:val="74"/>
        </w:numPr>
        <w:rPr>
          <w:rFonts w:ascii="Arial" w:cs="Arial" w:eastAsia="Arial" w:hAnsi="Arial"/>
          <w:sz w:val="19"/>
          <w:szCs w:val="19"/>
          <w:color w:val="auto"/>
        </w:rPr>
      </w:pPr>
      <w:r>
        <w:rPr>
          <w:rFonts w:ascii="Arial" w:cs="Arial" w:eastAsia="Arial" w:hAnsi="Arial"/>
          <w:sz w:val="19"/>
          <w:szCs w:val="19"/>
          <w:color w:val="auto"/>
        </w:rPr>
        <w:t>Chair of the Board $150,000</w:t>
      </w:r>
    </w:p>
    <w:p>
      <w:pPr>
        <w:ind w:left="660" w:right="6260" w:hanging="265"/>
        <w:spacing w:after="0" w:line="239" w:lineRule="auto"/>
        <w:tabs>
          <w:tab w:leader="none" w:pos="612" w:val="left"/>
        </w:tabs>
        <w:numPr>
          <w:ilvl w:val="0"/>
          <w:numId w:val="74"/>
        </w:numPr>
        <w:rPr>
          <w:rFonts w:ascii="Arial" w:cs="Arial" w:eastAsia="Arial" w:hAnsi="Arial"/>
          <w:sz w:val="20"/>
          <w:szCs w:val="20"/>
          <w:color w:val="auto"/>
        </w:rPr>
      </w:pPr>
      <w:r>
        <w:rPr>
          <w:rFonts w:ascii="Arial" w:cs="Arial" w:eastAsia="Arial" w:hAnsi="Arial"/>
          <w:sz w:val="20"/>
          <w:szCs w:val="20"/>
          <w:color w:val="auto"/>
        </w:rPr>
        <w:t>Lead Independent Director $50,000</w:t>
      </w:r>
    </w:p>
    <w:p>
      <w:pPr>
        <w:spacing w:after="0" w:line="1" w:lineRule="exact"/>
        <w:rPr>
          <w:rFonts w:ascii="Arial" w:cs="Arial" w:eastAsia="Arial" w:hAnsi="Arial"/>
          <w:sz w:val="20"/>
          <w:szCs w:val="20"/>
          <w:color w:val="auto"/>
        </w:rPr>
      </w:pPr>
    </w:p>
    <w:p>
      <w:pPr>
        <w:ind w:left="660" w:right="6020" w:hanging="265"/>
        <w:spacing w:after="0" w:line="239" w:lineRule="auto"/>
        <w:tabs>
          <w:tab w:leader="none" w:pos="612" w:val="left"/>
        </w:tabs>
        <w:numPr>
          <w:ilvl w:val="0"/>
          <w:numId w:val="74"/>
        </w:numPr>
        <w:rPr>
          <w:rFonts w:ascii="Arial" w:cs="Arial" w:eastAsia="Arial" w:hAnsi="Arial"/>
          <w:sz w:val="20"/>
          <w:szCs w:val="20"/>
          <w:color w:val="auto"/>
        </w:rPr>
      </w:pPr>
      <w:r>
        <w:rPr>
          <w:rFonts w:ascii="Arial" w:cs="Arial" w:eastAsia="Arial" w:hAnsi="Arial"/>
          <w:sz w:val="20"/>
          <w:szCs w:val="20"/>
          <w:color w:val="auto"/>
        </w:rPr>
        <w:t>Chair of the Audit Committee $40,000</w:t>
      </w:r>
    </w:p>
    <w:p>
      <w:pPr>
        <w:spacing w:after="0" w:line="1" w:lineRule="exact"/>
        <w:rPr>
          <w:rFonts w:ascii="Arial" w:cs="Arial" w:eastAsia="Arial" w:hAnsi="Arial"/>
          <w:sz w:val="20"/>
          <w:szCs w:val="20"/>
          <w:color w:val="auto"/>
        </w:rPr>
      </w:pPr>
    </w:p>
    <w:p>
      <w:pPr>
        <w:ind w:left="660" w:right="5320" w:hanging="265"/>
        <w:spacing w:after="0" w:line="239" w:lineRule="auto"/>
        <w:tabs>
          <w:tab w:leader="none" w:pos="612" w:val="left"/>
        </w:tabs>
        <w:numPr>
          <w:ilvl w:val="0"/>
          <w:numId w:val="74"/>
        </w:numPr>
        <w:rPr>
          <w:rFonts w:ascii="Arial" w:cs="Arial" w:eastAsia="Arial" w:hAnsi="Arial"/>
          <w:sz w:val="20"/>
          <w:szCs w:val="20"/>
          <w:color w:val="auto"/>
        </w:rPr>
      </w:pPr>
      <w:r>
        <w:rPr>
          <w:rFonts w:ascii="Arial" w:cs="Arial" w:eastAsia="Arial" w:hAnsi="Arial"/>
          <w:sz w:val="20"/>
          <w:szCs w:val="20"/>
          <w:color w:val="auto"/>
        </w:rPr>
        <w:t>Chair of the Compensation Committee $40,000</w:t>
      </w:r>
    </w:p>
    <w:p>
      <w:pPr>
        <w:spacing w:after="0" w:line="1" w:lineRule="exact"/>
        <w:rPr>
          <w:rFonts w:ascii="Arial" w:cs="Arial" w:eastAsia="Arial" w:hAnsi="Arial"/>
          <w:sz w:val="20"/>
          <w:szCs w:val="20"/>
          <w:color w:val="auto"/>
        </w:rPr>
      </w:pPr>
    </w:p>
    <w:p>
      <w:pPr>
        <w:ind w:left="660" w:right="3340" w:hanging="265"/>
        <w:spacing w:after="0" w:line="239" w:lineRule="auto"/>
        <w:tabs>
          <w:tab w:leader="none" w:pos="612" w:val="left"/>
        </w:tabs>
        <w:numPr>
          <w:ilvl w:val="0"/>
          <w:numId w:val="74"/>
        </w:numPr>
        <w:rPr>
          <w:rFonts w:ascii="Arial" w:cs="Arial" w:eastAsia="Arial" w:hAnsi="Arial"/>
          <w:sz w:val="20"/>
          <w:szCs w:val="20"/>
          <w:color w:val="auto"/>
        </w:rPr>
      </w:pPr>
      <w:r>
        <w:rPr>
          <w:rFonts w:ascii="Arial" w:cs="Arial" w:eastAsia="Arial" w:hAnsi="Arial"/>
          <w:sz w:val="20"/>
          <w:szCs w:val="20"/>
          <w:color w:val="auto"/>
        </w:rPr>
        <w:t>Chair of the Nominating and Corporate Governance Committee $30,000</w:t>
      </w:r>
    </w:p>
    <w:p>
      <w:pPr>
        <w:spacing w:after="0" w:line="1" w:lineRule="exact"/>
        <w:rPr>
          <w:rFonts w:ascii="Arial" w:cs="Arial" w:eastAsia="Arial" w:hAnsi="Arial"/>
          <w:sz w:val="20"/>
          <w:szCs w:val="20"/>
          <w:color w:val="auto"/>
        </w:rPr>
      </w:pPr>
    </w:p>
    <w:p>
      <w:pPr>
        <w:ind w:left="600" w:hanging="205"/>
        <w:spacing w:after="0"/>
        <w:tabs>
          <w:tab w:leader="none" w:pos="600" w:val="left"/>
        </w:tabs>
        <w:numPr>
          <w:ilvl w:val="0"/>
          <w:numId w:val="74"/>
        </w:numPr>
        <w:rPr>
          <w:rFonts w:ascii="Arial" w:cs="Arial" w:eastAsia="Arial" w:hAnsi="Arial"/>
          <w:sz w:val="20"/>
          <w:szCs w:val="20"/>
          <w:color w:val="auto"/>
        </w:rPr>
      </w:pPr>
      <w:r>
        <w:rPr>
          <w:rFonts w:ascii="Arial" w:cs="Arial" w:eastAsia="Arial" w:hAnsi="Arial"/>
          <w:sz w:val="20"/>
          <w:szCs w:val="20"/>
          <w:color w:val="auto"/>
        </w:rPr>
        <w:t>Audit Committee Member (other than the Chair)</w:t>
      </w:r>
    </w:p>
    <w:p>
      <w:pPr>
        <w:ind w:left="660"/>
        <w:spacing w:after="0"/>
        <w:rPr>
          <w:sz w:val="20"/>
          <w:szCs w:val="20"/>
          <w:color w:val="auto"/>
        </w:rPr>
      </w:pPr>
      <w:r>
        <w:rPr>
          <w:rFonts w:ascii="Arial" w:cs="Arial" w:eastAsia="Arial" w:hAnsi="Arial"/>
          <w:sz w:val="20"/>
          <w:szCs w:val="20"/>
          <w:color w:val="auto"/>
        </w:rPr>
        <w:t>$11,000</w:t>
      </w:r>
    </w:p>
    <w:p>
      <w:pPr>
        <w:ind w:left="660" w:right="3840" w:hanging="265"/>
        <w:spacing w:after="0" w:line="239" w:lineRule="auto"/>
        <w:tabs>
          <w:tab w:leader="none" w:pos="612" w:val="left"/>
        </w:tabs>
        <w:numPr>
          <w:ilvl w:val="0"/>
          <w:numId w:val="75"/>
        </w:numPr>
        <w:rPr>
          <w:rFonts w:ascii="Arial" w:cs="Arial" w:eastAsia="Arial" w:hAnsi="Arial"/>
          <w:sz w:val="20"/>
          <w:szCs w:val="20"/>
          <w:color w:val="auto"/>
        </w:rPr>
      </w:pPr>
      <w:r>
        <w:rPr>
          <w:rFonts w:ascii="Arial" w:cs="Arial" w:eastAsia="Arial" w:hAnsi="Arial"/>
          <w:sz w:val="20"/>
          <w:szCs w:val="20"/>
          <w:color w:val="auto"/>
        </w:rPr>
        <w:t>Compensation Committee Member (other than the Chair) $5,500</w:t>
      </w:r>
    </w:p>
    <w:p>
      <w:pPr>
        <w:spacing w:after="0" w:line="1" w:lineRule="exact"/>
        <w:rPr>
          <w:rFonts w:ascii="Arial" w:cs="Arial" w:eastAsia="Arial" w:hAnsi="Arial"/>
          <w:sz w:val="20"/>
          <w:szCs w:val="20"/>
          <w:color w:val="auto"/>
        </w:rPr>
      </w:pPr>
    </w:p>
    <w:p>
      <w:pPr>
        <w:ind w:left="660" w:right="1860" w:hanging="265"/>
        <w:spacing w:after="0" w:line="244" w:lineRule="auto"/>
        <w:tabs>
          <w:tab w:leader="none" w:pos="612" w:val="left"/>
        </w:tabs>
        <w:numPr>
          <w:ilvl w:val="0"/>
          <w:numId w:val="75"/>
        </w:numPr>
        <w:rPr>
          <w:rFonts w:ascii="Arial" w:cs="Arial" w:eastAsia="Arial" w:hAnsi="Arial"/>
          <w:sz w:val="20"/>
          <w:szCs w:val="20"/>
          <w:color w:val="auto"/>
        </w:rPr>
      </w:pPr>
      <w:r>
        <w:rPr>
          <w:rFonts w:ascii="Arial" w:cs="Arial" w:eastAsia="Arial" w:hAnsi="Arial"/>
          <w:sz w:val="20"/>
          <w:szCs w:val="20"/>
          <w:color w:val="auto"/>
        </w:rPr>
        <w:t>Nominating and Corporate Governance Committee Member (other than the Chair) $5,500</w:t>
      </w:r>
    </w:p>
    <w:p>
      <w:pPr>
        <w:spacing w:after="0" w:line="199" w:lineRule="exact"/>
        <w:rPr>
          <w:sz w:val="20"/>
          <w:szCs w:val="20"/>
          <w:color w:val="auto"/>
        </w:rPr>
      </w:pPr>
    </w:p>
    <w:p>
      <w:pPr>
        <w:ind w:left="80"/>
        <w:spacing w:after="0"/>
        <w:rPr>
          <w:sz w:val="20"/>
          <w:szCs w:val="20"/>
          <w:color w:val="auto"/>
        </w:rPr>
      </w:pPr>
      <w:r>
        <w:rPr>
          <w:rFonts w:ascii="Arial" w:cs="Arial" w:eastAsia="Arial" w:hAnsi="Arial"/>
          <w:sz w:val="20"/>
          <w:szCs w:val="20"/>
          <w:b w:val="1"/>
          <w:bCs w:val="1"/>
          <w:u w:val="single" w:color="auto"/>
          <w:color w:val="auto"/>
        </w:rPr>
        <w:t>Special Assignment Fees</w:t>
      </w:r>
    </w:p>
    <w:p>
      <w:pPr>
        <w:spacing w:after="0" w:line="22" w:lineRule="exact"/>
        <w:rPr>
          <w:sz w:val="20"/>
          <w:szCs w:val="20"/>
          <w:color w:val="auto"/>
        </w:rPr>
      </w:pPr>
    </w:p>
    <w:p>
      <w:pPr>
        <w:ind w:left="720" w:right="140" w:hanging="326"/>
        <w:spacing w:after="0" w:line="239" w:lineRule="auto"/>
        <w:tabs>
          <w:tab w:leader="none" w:pos="675" w:val="left"/>
        </w:tabs>
        <w:numPr>
          <w:ilvl w:val="0"/>
          <w:numId w:val="76"/>
        </w:numPr>
        <w:rPr>
          <w:rFonts w:ascii="Arial" w:cs="Arial" w:eastAsia="Arial" w:hAnsi="Arial"/>
          <w:sz w:val="20"/>
          <w:szCs w:val="20"/>
          <w:color w:val="auto"/>
        </w:rPr>
      </w:pPr>
      <w:r>
        <w:rPr>
          <w:rFonts w:ascii="Arial" w:cs="Arial" w:eastAsia="Arial" w:hAnsi="Arial"/>
          <w:sz w:val="20"/>
          <w:szCs w:val="20"/>
          <w:color w:val="auto"/>
        </w:rPr>
        <w:t>Per day for special assignments required in connection with board duties (including, without limitation, litigation-related matters, but excluding days on which a director is required to travel to attend meetings)</w:t>
      </w:r>
    </w:p>
    <w:p>
      <w:pPr>
        <w:spacing w:after="0" w:line="1" w:lineRule="exact"/>
        <w:rPr>
          <w:rFonts w:ascii="Arial" w:cs="Arial" w:eastAsia="Arial" w:hAnsi="Arial"/>
          <w:sz w:val="20"/>
          <w:szCs w:val="20"/>
          <w:color w:val="auto"/>
        </w:rPr>
      </w:pPr>
    </w:p>
    <w:p>
      <w:pPr>
        <w:ind w:left="720"/>
        <w:spacing w:after="0"/>
        <w:rPr>
          <w:rFonts w:ascii="Arial" w:cs="Arial" w:eastAsia="Arial" w:hAnsi="Arial"/>
          <w:sz w:val="20"/>
          <w:szCs w:val="20"/>
          <w:color w:val="auto"/>
        </w:rPr>
      </w:pPr>
      <w:r>
        <w:rPr>
          <w:rFonts w:ascii="Arial" w:cs="Arial" w:eastAsia="Arial" w:hAnsi="Arial"/>
          <w:sz w:val="20"/>
          <w:szCs w:val="20"/>
          <w:color w:val="auto"/>
        </w:rPr>
        <w:t>$5,500</w:t>
      </w:r>
    </w:p>
    <w:p>
      <w:pPr>
        <w:spacing w:after="0" w:line="207" w:lineRule="exact"/>
        <w:rPr>
          <w:sz w:val="20"/>
          <w:szCs w:val="20"/>
          <w:color w:val="auto"/>
        </w:rPr>
      </w:pPr>
    </w:p>
    <w:p>
      <w:pPr>
        <w:ind w:left="80"/>
        <w:spacing w:after="0"/>
        <w:rPr>
          <w:sz w:val="20"/>
          <w:szCs w:val="20"/>
          <w:color w:val="auto"/>
        </w:rPr>
      </w:pPr>
      <w:r>
        <w:rPr>
          <w:rFonts w:ascii="Arial" w:cs="Arial" w:eastAsia="Arial" w:hAnsi="Arial"/>
          <w:sz w:val="20"/>
          <w:szCs w:val="20"/>
          <w:b w:val="1"/>
          <w:bCs w:val="1"/>
          <w:u w:val="single" w:color="auto"/>
          <w:color w:val="auto"/>
        </w:rPr>
        <w:t>Payment Terms</w:t>
      </w:r>
    </w:p>
    <w:p>
      <w:pPr>
        <w:spacing w:after="0" w:line="21" w:lineRule="exact"/>
        <w:rPr>
          <w:sz w:val="20"/>
          <w:szCs w:val="20"/>
          <w:color w:val="auto"/>
        </w:rPr>
      </w:pPr>
    </w:p>
    <w:p>
      <w:pPr>
        <w:ind w:left="400"/>
        <w:spacing w:after="0"/>
        <w:tabs>
          <w:tab w:leader="none" w:pos="58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All cash retainers will generally be paid in arrears in equal quarterly installments no later than the</w:t>
      </w:r>
    </w:p>
    <w:p>
      <w:pPr>
        <w:ind w:left="660"/>
        <w:spacing w:after="0"/>
        <w:rPr>
          <w:sz w:val="20"/>
          <w:szCs w:val="20"/>
          <w:color w:val="auto"/>
        </w:rPr>
      </w:pPr>
      <w:r>
        <w:rPr>
          <w:rFonts w:ascii="Arial" w:cs="Arial" w:eastAsia="Arial" w:hAnsi="Arial"/>
          <w:sz w:val="18"/>
          <w:szCs w:val="18"/>
          <w:color w:val="auto"/>
        </w:rPr>
        <w:t>60</w:t>
      </w:r>
      <w:r>
        <w:rPr>
          <w:rFonts w:ascii="Arial" w:cs="Arial" w:eastAsia="Arial" w:hAnsi="Arial"/>
          <w:sz w:val="11"/>
          <w:szCs w:val="11"/>
          <w:color w:val="auto"/>
        </w:rPr>
        <w:t>th</w:t>
      </w:r>
      <w:r>
        <w:rPr>
          <w:rFonts w:ascii="Arial" w:cs="Arial" w:eastAsia="Arial" w:hAnsi="Arial"/>
          <w:sz w:val="18"/>
          <w:szCs w:val="18"/>
          <w:color w:val="auto"/>
        </w:rPr>
        <w:t xml:space="preserve"> day following the last date of the applicable quarter;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no event shall fees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 paid later than the date that is 2½ months following the last date of the Company’s fiscal year for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which the retainer relates.</w:t>
      </w:r>
    </w:p>
    <w:p>
      <w:pPr>
        <w:spacing w:after="0" w:line="213" w:lineRule="exact"/>
        <w:rPr>
          <w:sz w:val="20"/>
          <w:szCs w:val="20"/>
          <w:color w:val="auto"/>
        </w:rPr>
      </w:pPr>
    </w:p>
    <w:p>
      <w:pPr>
        <w:jc w:val="both"/>
        <w:ind w:left="660" w:right="320" w:hanging="265"/>
        <w:spacing w:after="0" w:line="246" w:lineRule="auto"/>
        <w:tabs>
          <w:tab w:leader="none" w:pos="612" w:val="left"/>
        </w:tabs>
        <w:numPr>
          <w:ilvl w:val="0"/>
          <w:numId w:val="77"/>
        </w:numPr>
        <w:rPr>
          <w:rFonts w:ascii="Arial" w:cs="Arial" w:eastAsia="Arial" w:hAnsi="Arial"/>
          <w:sz w:val="20"/>
          <w:szCs w:val="20"/>
          <w:color w:val="auto"/>
        </w:rPr>
      </w:pPr>
      <w:r>
        <w:rPr>
          <w:rFonts w:ascii="Arial" w:cs="Arial" w:eastAsia="Arial" w:hAnsi="Arial"/>
          <w:sz w:val="20"/>
          <w:szCs w:val="20"/>
          <w:color w:val="auto"/>
        </w:rPr>
        <w:t>Special Assignment Fees will generally be paid in arrears in equal quarterly installments no later than the 60</w:t>
      </w:r>
      <w:r>
        <w:rPr>
          <w:rFonts w:ascii="Arial" w:cs="Arial" w:eastAsia="Arial" w:hAnsi="Arial"/>
          <w:sz w:val="12"/>
          <w:szCs w:val="12"/>
          <w:color w:val="auto"/>
        </w:rPr>
        <w:t>th</w:t>
      </w:r>
      <w:r>
        <w:rPr>
          <w:rFonts w:ascii="Arial" w:cs="Arial" w:eastAsia="Arial" w:hAnsi="Arial"/>
          <w:sz w:val="20"/>
          <w:szCs w:val="20"/>
          <w:color w:val="auto"/>
        </w:rPr>
        <w:t xml:space="preserve"> day following the last date of the applicable quarter;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in no event shall fees be paid later than the date that is 2½ months following the last date of the Company’s fiscal year for which the retainer relates.</w:t>
      </w:r>
    </w:p>
    <w:p>
      <w:pPr>
        <w:spacing w:after="0" w:line="200" w:lineRule="exact"/>
        <w:rPr>
          <w:sz w:val="20"/>
          <w:szCs w:val="20"/>
          <w:color w:val="auto"/>
        </w:rPr>
      </w:pPr>
    </w:p>
    <w:p>
      <w:pPr>
        <w:sectPr>
          <w:pgSz w:w="11900" w:h="16899" w:orient="portrait"/>
          <w:cols w:equalWidth="0" w:num="2">
            <w:col w:w="2000" w:space="340"/>
            <w:col w:w="9000"/>
          </w:cols>
          <w:pgMar w:left="320" w:top="118" w:right="239" w:bottom="0" w:gutter="0" w:footer="0" w:header="0"/>
        </w:sectPr>
      </w:pPr>
    </w:p>
    <w:p>
      <w:pPr>
        <w:spacing w:after="0" w:line="230"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73660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740"/>
        <w:spacing w:after="0"/>
        <w:tabs>
          <w:tab w:leader="none" w:pos="292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Fees will be prorated for partial years of service, with partial months of service credited for full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-143510</wp:posOffset>
            </wp:positionV>
            <wp:extent cx="7169150" cy="16395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69150" cy="163957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tabs>
          <w:tab w:leader="none" w:pos="2400" w:val="left"/>
        </w:tabs>
        <w:rPr>
          <w:sz w:val="20"/>
          <w:szCs w:val="20"/>
          <w:color w:val="auto"/>
        </w:rPr>
      </w:pPr>
      <w:r>
        <w:rPr>
          <w:rFonts w:ascii="Arial" w:cs="Arial" w:eastAsia="Arial" w:hAnsi="Arial"/>
          <w:sz w:val="20"/>
          <w:szCs w:val="20"/>
          <w:b w:val="1"/>
          <w:bCs w:val="1"/>
          <w:color w:val="FFFFFF"/>
        </w:rPr>
        <w:t>Restricted Stock Units</w:t>
      </w:r>
      <w:r>
        <w:rPr>
          <w:sz w:val="20"/>
          <w:szCs w:val="20"/>
          <w:color w:val="auto"/>
        </w:rPr>
        <w:tab/>
      </w:r>
      <w:r>
        <w:rPr>
          <w:rFonts w:ascii="Arial" w:cs="Arial" w:eastAsia="Arial" w:hAnsi="Arial"/>
          <w:sz w:val="18"/>
          <w:szCs w:val="18"/>
          <w:b w:val="1"/>
          <w:bCs w:val="1"/>
          <w:u w:val="single" w:color="auto"/>
          <w:color w:val="auto"/>
        </w:rPr>
        <w:t>New Appointment/Election RSU Grant</w:t>
      </w:r>
    </w:p>
    <w:p>
      <w:pPr>
        <w:spacing w:after="0" w:line="22" w:lineRule="exact"/>
        <w:rPr>
          <w:sz w:val="20"/>
          <w:szCs w:val="20"/>
          <w:color w:val="auto"/>
        </w:rPr>
      </w:pPr>
    </w:p>
    <w:p>
      <w:pPr>
        <w:ind w:left="3000" w:right="140" w:hanging="655"/>
        <w:spacing w:after="0" w:line="271" w:lineRule="auto"/>
        <w:tabs>
          <w:tab w:leader="none" w:pos="29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newly elected or appointed Non-Affiliated Director will receive a grant of RSUs with a grant date value of $250,000 (the exact number of RSUs to be determined by dividing $250,000 by the NASDAQ Official Closing Price of the Company’s stock on the date of grant) upon initial election or appointment to the Board. If a Non-Affiliated Director is newly elected or appointed at any time other than at the Board meeting immediately following the annual meeting of shareholders, then the $250,000 grant date value will be pro-rated by reference to the expected amount of time from the date of such appointment or election until the Company’s next annual meeting of stockholders.</w:t>
      </w:r>
    </w:p>
    <w:p>
      <w:pPr>
        <w:sectPr>
          <w:pgSz w:w="11900" w:h="16899" w:orient="portrait"/>
          <w:cols w:equalWidth="0" w:num="1">
            <w:col w:w="11340"/>
          </w:cols>
          <w:pgMar w:left="320" w:top="118" w:right="239" w:bottom="0" w:gutter="0" w:footer="0" w:header="0"/>
          <w:type w:val="continuous"/>
        </w:sectPr>
      </w:pPr>
    </w:p>
    <w:bookmarkStart w:id="49" w:name="page50"/>
    <w:bookmarkEnd w:id="49"/>
    <w:p>
      <w:pPr>
        <w:ind w:left="2420"/>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166370</wp:posOffset>
            </wp:positionH>
            <wp:positionV relativeFrom="page">
              <wp:posOffset>88900</wp:posOffset>
            </wp:positionV>
            <wp:extent cx="7169150" cy="45281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69150" cy="4528185"/>
                    </a:xfrm>
                    <a:prstGeom prst="rect">
                      <a:avLst/>
                    </a:prstGeom>
                    <a:noFill/>
                  </pic:spPr>
                </pic:pic>
              </a:graphicData>
            </a:graphic>
          </wp:anchor>
        </w:drawing>
        <w:t>Annual RSU Grant</w:t>
      </w:r>
    </w:p>
    <w:p>
      <w:pPr>
        <w:spacing w:after="0" w:line="22" w:lineRule="exact"/>
        <w:rPr>
          <w:sz w:val="20"/>
          <w:szCs w:val="20"/>
          <w:color w:val="auto"/>
        </w:rPr>
      </w:pPr>
    </w:p>
    <w:p>
      <w:pPr>
        <w:ind w:left="3000" w:right="120" w:hanging="265"/>
        <w:spacing w:after="0" w:line="282" w:lineRule="auto"/>
        <w:tabs>
          <w:tab w:leader="none" w:pos="2952"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Non-Affiliated Director will receive an annual grant of RSUs with a grant date value of $250,000 (the exact number of RSUs to be determined by dividing $250,000 by the NASDAQ Official Closing Price of the Company’s stock on the date of grant) upon re-election to the Board.</w:t>
      </w:r>
    </w:p>
    <w:p>
      <w:pPr>
        <w:spacing w:after="0" w:line="167" w:lineRule="exact"/>
        <w:rPr>
          <w:sz w:val="20"/>
          <w:szCs w:val="20"/>
          <w:color w:val="auto"/>
        </w:rPr>
      </w:pPr>
    </w:p>
    <w:p>
      <w:pPr>
        <w:ind w:left="2420"/>
        <w:spacing w:after="0"/>
        <w:rPr>
          <w:sz w:val="20"/>
          <w:szCs w:val="20"/>
          <w:color w:val="auto"/>
        </w:rPr>
      </w:pPr>
      <w:r>
        <w:rPr>
          <w:rFonts w:ascii="Arial" w:cs="Arial" w:eastAsia="Arial" w:hAnsi="Arial"/>
          <w:sz w:val="20"/>
          <w:szCs w:val="20"/>
          <w:b w:val="1"/>
          <w:bCs w:val="1"/>
          <w:u w:val="single" w:color="auto"/>
          <w:color w:val="auto"/>
        </w:rPr>
        <w:t>Grant Date</w:t>
      </w:r>
    </w:p>
    <w:p>
      <w:pPr>
        <w:spacing w:after="0" w:line="22" w:lineRule="exact"/>
        <w:rPr>
          <w:sz w:val="20"/>
          <w:szCs w:val="20"/>
          <w:color w:val="auto"/>
        </w:rPr>
      </w:pPr>
    </w:p>
    <w:p>
      <w:pPr>
        <w:ind w:left="3000" w:right="240" w:hanging="265"/>
        <w:spacing w:after="0" w:line="241" w:lineRule="auto"/>
        <w:tabs>
          <w:tab w:leader="none" w:pos="2952" w:val="left"/>
        </w:tabs>
        <w:numPr>
          <w:ilvl w:val="0"/>
          <w:numId w:val="80"/>
        </w:numPr>
        <w:rPr>
          <w:rFonts w:ascii="Arial" w:cs="Arial" w:eastAsia="Arial" w:hAnsi="Arial"/>
          <w:sz w:val="20"/>
          <w:szCs w:val="20"/>
          <w:color w:val="auto"/>
        </w:rPr>
      </w:pPr>
      <w:r>
        <w:rPr>
          <w:rFonts w:ascii="Arial" w:cs="Arial" w:eastAsia="Arial" w:hAnsi="Arial"/>
          <w:sz w:val="20"/>
          <w:szCs w:val="20"/>
          <w:color w:val="auto"/>
        </w:rPr>
        <w:t>RSU grants will be approved by the Board promptly following election, appointment or re-election to the Board and will be made three business days following the date of the Board’s approval of such grant.</w:t>
      </w:r>
    </w:p>
    <w:p>
      <w:pPr>
        <w:spacing w:after="0" w:line="204" w:lineRule="exact"/>
        <w:rPr>
          <w:sz w:val="20"/>
          <w:szCs w:val="20"/>
          <w:color w:val="auto"/>
        </w:rPr>
      </w:pPr>
    </w:p>
    <w:p>
      <w:pPr>
        <w:ind w:left="2420"/>
        <w:spacing w:after="0"/>
        <w:rPr>
          <w:sz w:val="20"/>
          <w:szCs w:val="20"/>
          <w:color w:val="auto"/>
        </w:rPr>
      </w:pPr>
      <w:r>
        <w:rPr>
          <w:rFonts w:ascii="Arial" w:cs="Arial" w:eastAsia="Arial" w:hAnsi="Arial"/>
          <w:sz w:val="20"/>
          <w:szCs w:val="20"/>
          <w:b w:val="1"/>
          <w:bCs w:val="1"/>
          <w:u w:val="single" w:color="auto"/>
          <w:color w:val="auto"/>
        </w:rPr>
        <w:t>Vesting</w:t>
      </w:r>
    </w:p>
    <w:p>
      <w:pPr>
        <w:spacing w:after="0" w:line="22" w:lineRule="exact"/>
        <w:rPr>
          <w:sz w:val="20"/>
          <w:szCs w:val="20"/>
          <w:color w:val="auto"/>
        </w:rPr>
      </w:pPr>
    </w:p>
    <w:p>
      <w:pPr>
        <w:ind w:left="2940" w:hanging="205"/>
        <w:spacing w:after="0"/>
        <w:tabs>
          <w:tab w:leader="none" w:pos="2940" w:val="left"/>
        </w:tabs>
        <w:numPr>
          <w:ilvl w:val="0"/>
          <w:numId w:val="81"/>
        </w:numPr>
        <w:rPr>
          <w:rFonts w:ascii="Arial" w:cs="Arial" w:eastAsia="Arial" w:hAnsi="Arial"/>
          <w:sz w:val="20"/>
          <w:szCs w:val="20"/>
          <w:color w:val="auto"/>
        </w:rPr>
      </w:pPr>
      <w:r>
        <w:rPr>
          <w:rFonts w:ascii="Arial" w:cs="Arial" w:eastAsia="Arial" w:hAnsi="Arial"/>
          <w:sz w:val="20"/>
          <w:szCs w:val="20"/>
          <w:color w:val="auto"/>
        </w:rPr>
        <w:t>All RSUs will vest ratably on a quarterly basis over the one-year period from the date of grant.</w:t>
      </w:r>
    </w:p>
    <w:p>
      <w:pPr>
        <w:spacing w:after="0" w:line="213" w:lineRule="exact"/>
        <w:rPr>
          <w:rFonts w:ascii="Arial" w:cs="Arial" w:eastAsia="Arial" w:hAnsi="Arial"/>
          <w:sz w:val="20"/>
          <w:szCs w:val="20"/>
          <w:color w:val="auto"/>
        </w:rPr>
      </w:pPr>
    </w:p>
    <w:p>
      <w:pPr>
        <w:ind w:left="2940" w:hanging="205"/>
        <w:spacing w:after="0"/>
        <w:tabs>
          <w:tab w:leader="none" w:pos="2940" w:val="left"/>
        </w:tabs>
        <w:numPr>
          <w:ilvl w:val="0"/>
          <w:numId w:val="81"/>
        </w:numPr>
        <w:rPr>
          <w:rFonts w:ascii="Arial" w:cs="Arial" w:eastAsia="Arial" w:hAnsi="Arial"/>
          <w:sz w:val="20"/>
          <w:szCs w:val="20"/>
          <w:color w:val="auto"/>
        </w:rPr>
      </w:pPr>
      <w:r>
        <w:rPr>
          <w:rFonts w:ascii="Arial" w:cs="Arial" w:eastAsia="Arial" w:hAnsi="Arial"/>
          <w:sz w:val="20"/>
          <w:szCs w:val="20"/>
          <w:color w:val="auto"/>
        </w:rPr>
        <w:t>A director must be in continuous active service on each applicable vesting date.</w:t>
      </w:r>
    </w:p>
    <w:p>
      <w:pPr>
        <w:spacing w:after="0" w:line="229" w:lineRule="exact"/>
        <w:rPr>
          <w:rFonts w:ascii="Arial" w:cs="Arial" w:eastAsia="Arial" w:hAnsi="Arial"/>
          <w:sz w:val="20"/>
          <w:szCs w:val="20"/>
          <w:color w:val="auto"/>
        </w:rPr>
      </w:pPr>
    </w:p>
    <w:p>
      <w:pPr>
        <w:ind w:left="2940" w:hanging="205"/>
        <w:spacing w:after="0"/>
        <w:tabs>
          <w:tab w:leader="none" w:pos="2940" w:val="left"/>
        </w:tabs>
        <w:numPr>
          <w:ilvl w:val="0"/>
          <w:numId w:val="81"/>
        </w:numPr>
        <w:rPr>
          <w:rFonts w:ascii="Arial" w:cs="Arial" w:eastAsia="Arial" w:hAnsi="Arial"/>
          <w:sz w:val="19"/>
          <w:szCs w:val="19"/>
          <w:color w:val="auto"/>
        </w:rPr>
      </w:pPr>
      <w:r>
        <w:rPr>
          <w:rFonts w:ascii="Arial" w:cs="Arial" w:eastAsia="Arial" w:hAnsi="Arial"/>
          <w:sz w:val="19"/>
          <w:szCs w:val="19"/>
          <w:color w:val="auto"/>
        </w:rPr>
        <w:t>Vesting will accelerate on the date of a director’s cessation of service due to death or Disability.</w:t>
      </w:r>
    </w:p>
    <w:p>
      <w:pPr>
        <w:spacing w:after="0" w:line="235" w:lineRule="exact"/>
        <w:rPr>
          <w:sz w:val="20"/>
          <w:szCs w:val="20"/>
          <w:color w:val="auto"/>
        </w:rPr>
      </w:pPr>
    </w:p>
    <w:p>
      <w:pPr>
        <w:ind w:left="2420"/>
        <w:spacing w:after="0"/>
        <w:rPr>
          <w:sz w:val="20"/>
          <w:szCs w:val="20"/>
          <w:color w:val="auto"/>
        </w:rPr>
      </w:pPr>
      <w:r>
        <w:rPr>
          <w:rFonts w:ascii="Arial" w:cs="Arial" w:eastAsia="Arial" w:hAnsi="Arial"/>
          <w:sz w:val="20"/>
          <w:szCs w:val="20"/>
          <w:b w:val="1"/>
          <w:bCs w:val="1"/>
          <w:u w:val="single" w:color="auto"/>
          <w:color w:val="auto"/>
        </w:rPr>
        <w:t>Change of Control</w:t>
      </w:r>
    </w:p>
    <w:p>
      <w:pPr>
        <w:spacing w:after="0" w:line="22" w:lineRule="exact"/>
        <w:rPr>
          <w:sz w:val="20"/>
          <w:szCs w:val="20"/>
          <w:color w:val="auto"/>
        </w:rPr>
      </w:pPr>
    </w:p>
    <w:p>
      <w:pPr>
        <w:ind w:left="3000" w:hanging="265"/>
        <w:spacing w:after="0" w:line="332" w:lineRule="auto"/>
        <w:tabs>
          <w:tab w:leader="none" w:pos="2952" w:val="left"/>
        </w:tabs>
        <w:numPr>
          <w:ilvl w:val="0"/>
          <w:numId w:val="82"/>
        </w:numPr>
        <w:rPr>
          <w:rFonts w:ascii="Arial" w:cs="Arial" w:eastAsia="Arial" w:hAnsi="Arial"/>
          <w:sz w:val="16"/>
          <w:szCs w:val="16"/>
          <w:color w:val="auto"/>
        </w:rPr>
      </w:pPr>
      <w:r>
        <w:rPr>
          <w:rFonts w:ascii="Arial" w:cs="Arial" w:eastAsia="Arial" w:hAnsi="Arial"/>
          <w:sz w:val="16"/>
          <w:szCs w:val="16"/>
          <w:color w:val="auto"/>
        </w:rPr>
        <w:t>In the event that the director ceases to serve as a member of the Board of Directors pursuant to the terms of any business combination or similar transaction involving the Company, the RSUs will immediately vest as of the date on which the business combination or similar transaction is consummated.</w:t>
      </w:r>
    </w:p>
    <w:p>
      <w:pPr>
        <w:spacing w:after="0" w:line="133" w:lineRule="exact"/>
        <w:rPr>
          <w:sz w:val="20"/>
          <w:szCs w:val="20"/>
          <w:color w:val="auto"/>
        </w:rPr>
      </w:pPr>
    </w:p>
    <w:p>
      <w:pPr>
        <w:ind w:left="2420"/>
        <w:spacing w:after="0"/>
        <w:rPr>
          <w:sz w:val="20"/>
          <w:szCs w:val="20"/>
          <w:color w:val="auto"/>
        </w:rPr>
      </w:pPr>
      <w:r>
        <w:rPr>
          <w:rFonts w:ascii="Arial" w:cs="Arial" w:eastAsia="Arial" w:hAnsi="Arial"/>
          <w:sz w:val="20"/>
          <w:szCs w:val="20"/>
          <w:b w:val="1"/>
          <w:bCs w:val="1"/>
          <w:u w:val="single" w:color="auto"/>
          <w:color w:val="auto"/>
        </w:rPr>
        <w:t>Dividend Equivalents</w:t>
      </w:r>
    </w:p>
    <w:p>
      <w:pPr>
        <w:spacing w:after="0" w:line="22" w:lineRule="exact"/>
        <w:rPr>
          <w:sz w:val="20"/>
          <w:szCs w:val="20"/>
          <w:color w:val="auto"/>
        </w:rPr>
      </w:pPr>
    </w:p>
    <w:p>
      <w:pPr>
        <w:ind w:left="3000" w:right="20" w:hanging="265"/>
        <w:spacing w:after="0" w:line="298" w:lineRule="auto"/>
        <w:tabs>
          <w:tab w:leader="none" w:pos="29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RSUs will not be entitled to receive any payment, payment-in-kind or any equivalent with regard to any cash or other dividends that are declared and paid on the Company’s common stock.</w:t>
      </w:r>
    </w:p>
    <w:p>
      <w:pPr>
        <w:spacing w:after="0" w:line="153" w:lineRule="exact"/>
        <w:rPr>
          <w:sz w:val="20"/>
          <w:szCs w:val="20"/>
          <w:color w:val="auto"/>
        </w:rPr>
      </w:pPr>
    </w:p>
    <w:p>
      <w:pPr>
        <w:ind w:left="2420"/>
        <w:spacing w:after="0"/>
        <w:rPr>
          <w:sz w:val="20"/>
          <w:szCs w:val="20"/>
          <w:color w:val="auto"/>
        </w:rPr>
      </w:pPr>
      <w:r>
        <w:rPr>
          <w:rFonts w:ascii="Arial" w:cs="Arial" w:eastAsia="Arial" w:hAnsi="Arial"/>
          <w:sz w:val="20"/>
          <w:szCs w:val="20"/>
          <w:b w:val="1"/>
          <w:bCs w:val="1"/>
          <w:u w:val="single" w:color="auto"/>
          <w:color w:val="auto"/>
        </w:rPr>
        <w:t>Award Agreement</w:t>
      </w:r>
    </w:p>
    <w:p>
      <w:pPr>
        <w:spacing w:after="0" w:line="22" w:lineRule="exact"/>
        <w:rPr>
          <w:sz w:val="20"/>
          <w:szCs w:val="20"/>
          <w:color w:val="auto"/>
        </w:rPr>
      </w:pPr>
    </w:p>
    <w:p>
      <w:pPr>
        <w:ind w:left="3000" w:right="40" w:hanging="265"/>
        <w:spacing w:after="0" w:line="298" w:lineRule="auto"/>
        <w:tabs>
          <w:tab w:leader="none" w:pos="2939" w:val="left"/>
        </w:tabs>
        <w:numPr>
          <w:ilvl w:val="0"/>
          <w:numId w:val="84"/>
        </w:numPr>
        <w:rPr>
          <w:rFonts w:ascii="Arial" w:cs="Arial" w:eastAsia="Arial" w:hAnsi="Arial"/>
          <w:sz w:val="18"/>
          <w:szCs w:val="18"/>
          <w:color w:val="auto"/>
        </w:rPr>
      </w:pPr>
      <w:r>
        <w:rPr>
          <w:rFonts w:ascii="Arial" w:cs="Arial" w:eastAsia="Arial" w:hAnsi="Arial"/>
          <w:sz w:val="18"/>
          <w:szCs w:val="18"/>
          <w:color w:val="auto"/>
        </w:rPr>
        <w:t>RSUs will be granted pursuant to the Company’s 2014 Incentive Plan and will be subject to the terms of the applicable Non-Affiliated Director stock RSU agreement as in effect at the time of grant.</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73660</wp:posOffset>
            </wp:positionV>
            <wp:extent cx="7267575" cy="56292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267575" cy="5629275"/>
                    </a:xfrm>
                    <a:prstGeom prst="rect">
                      <a:avLst/>
                    </a:prstGeom>
                    <a:noFill/>
                  </pic:spPr>
                </pic:pic>
              </a:graphicData>
            </a:graphic>
          </wp:anchor>
        </w:drawing>
      </w:r>
    </w:p>
    <w:p>
      <w:pPr>
        <w:sectPr>
          <w:pgSz w:w="11900" w:h="16838" w:orient="portrait"/>
          <w:cols w:equalWidth="0" w:num="1">
            <w:col w:w="11220"/>
          </w:cols>
          <w:pgMar w:left="320" w:top="346" w:right="359" w:bottom="1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FFFFFF"/>
        </w:rPr>
        <w:t>Expenses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FFFFFF"/>
        </w:rPr>
        <w:t>Other Benefits</w:t>
      </w: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FFFFFF"/>
        </w:rPr>
        <w:t>Affiliated Directors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FFFFFF"/>
        </w:rPr>
        <w:t>Plan Administration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color w:val="FFFFFF"/>
        </w:rPr>
        <w:t>Non-Affiliated Director Stock Ownership Guidelines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0" w:right="700"/>
        <w:spacing w:after="0" w:line="260" w:lineRule="auto"/>
        <w:rPr>
          <w:sz w:val="20"/>
          <w:szCs w:val="20"/>
          <w:color w:val="auto"/>
        </w:rPr>
      </w:pPr>
      <w:r>
        <w:rPr>
          <w:rFonts w:ascii="Arial" w:cs="Arial" w:eastAsia="Arial" w:hAnsi="Arial"/>
          <w:sz w:val="20"/>
          <w:szCs w:val="20"/>
          <w:color w:val="auto"/>
        </w:rPr>
        <w:t>Directors receive reimbursement of business and travel expenses from time to time in accordance with Company policy.</w:t>
      </w:r>
    </w:p>
    <w:p>
      <w:pPr>
        <w:spacing w:after="0" w:line="200" w:lineRule="exact"/>
        <w:rPr>
          <w:sz w:val="20"/>
          <w:szCs w:val="20"/>
          <w:color w:val="auto"/>
        </w:rPr>
      </w:pPr>
    </w:p>
    <w:p>
      <w:pPr>
        <w:spacing w:after="0" w:line="234" w:lineRule="exact"/>
        <w:rPr>
          <w:sz w:val="20"/>
          <w:szCs w:val="20"/>
          <w:color w:val="auto"/>
        </w:rPr>
      </w:pPr>
    </w:p>
    <w:p>
      <w:pPr>
        <w:ind w:left="10"/>
        <w:spacing w:after="0"/>
        <w:rPr>
          <w:sz w:val="20"/>
          <w:szCs w:val="20"/>
          <w:color w:val="auto"/>
        </w:rPr>
      </w:pPr>
      <w:r>
        <w:rPr>
          <w:rFonts w:ascii="Arial" w:cs="Arial" w:eastAsia="Arial" w:hAnsi="Arial"/>
          <w:sz w:val="20"/>
          <w:szCs w:val="20"/>
          <w:color w:val="auto"/>
        </w:rPr>
        <w:t>As determined by the Board from time-to-time.</w:t>
      </w:r>
    </w:p>
    <w:p>
      <w:pPr>
        <w:spacing w:after="0" w:line="200" w:lineRule="exact"/>
        <w:rPr>
          <w:sz w:val="20"/>
          <w:szCs w:val="20"/>
          <w:color w:val="auto"/>
        </w:rPr>
      </w:pPr>
    </w:p>
    <w:p>
      <w:pPr>
        <w:spacing w:after="0" w:line="272" w:lineRule="exact"/>
        <w:rPr>
          <w:sz w:val="20"/>
          <w:szCs w:val="20"/>
          <w:color w:val="auto"/>
        </w:rPr>
      </w:pPr>
    </w:p>
    <w:p>
      <w:pPr>
        <w:ind w:left="10" w:right="80"/>
        <w:spacing w:after="0" w:line="260" w:lineRule="auto"/>
        <w:rPr>
          <w:sz w:val="20"/>
          <w:szCs w:val="20"/>
          <w:color w:val="auto"/>
        </w:rPr>
      </w:pPr>
      <w:r>
        <w:rPr>
          <w:rFonts w:ascii="Arial" w:cs="Arial" w:eastAsia="Arial" w:hAnsi="Arial"/>
          <w:sz w:val="20"/>
          <w:szCs w:val="20"/>
          <w:color w:val="auto"/>
        </w:rPr>
        <w:t>Directors who are employees of the Company or any of its subsidiaries will not be entitled to compensation as a director.</w:t>
      </w:r>
    </w:p>
    <w:p>
      <w:pPr>
        <w:spacing w:after="0" w:line="200" w:lineRule="exact"/>
        <w:rPr>
          <w:sz w:val="20"/>
          <w:szCs w:val="20"/>
          <w:color w:val="auto"/>
        </w:rPr>
      </w:pPr>
    </w:p>
    <w:p>
      <w:pPr>
        <w:spacing w:after="0" w:line="234" w:lineRule="exact"/>
        <w:rPr>
          <w:sz w:val="20"/>
          <w:szCs w:val="20"/>
          <w:color w:val="auto"/>
        </w:rPr>
      </w:pPr>
    </w:p>
    <w:p>
      <w:pPr>
        <w:ind w:left="10" w:right="280"/>
        <w:spacing w:after="0" w:line="260" w:lineRule="auto"/>
        <w:rPr>
          <w:sz w:val="20"/>
          <w:szCs w:val="20"/>
          <w:color w:val="auto"/>
        </w:rPr>
      </w:pPr>
      <w:r>
        <w:rPr>
          <w:rFonts w:ascii="Arial" w:cs="Arial" w:eastAsia="Arial" w:hAnsi="Arial"/>
          <w:sz w:val="20"/>
          <w:szCs w:val="20"/>
          <w:color w:val="auto"/>
        </w:rPr>
        <w:t>The human resources and the legal departments will administer the Non-Affiliated Directors’ compensation program.</w:t>
      </w:r>
    </w:p>
    <w:p>
      <w:pPr>
        <w:spacing w:after="0" w:line="200" w:lineRule="exact"/>
        <w:rPr>
          <w:sz w:val="20"/>
          <w:szCs w:val="20"/>
          <w:color w:val="auto"/>
        </w:rPr>
      </w:pPr>
    </w:p>
    <w:p>
      <w:pPr>
        <w:spacing w:after="0" w:line="234" w:lineRule="exact"/>
        <w:rPr>
          <w:sz w:val="20"/>
          <w:szCs w:val="20"/>
          <w:color w:val="auto"/>
        </w:rPr>
      </w:pPr>
    </w:p>
    <w:p>
      <w:pPr>
        <w:ind w:left="570" w:right="100" w:hanging="570"/>
        <w:spacing w:after="0" w:line="259" w:lineRule="auto"/>
        <w:tabs>
          <w:tab w:leader="none" w:pos="521" w:val="left"/>
        </w:tabs>
        <w:numPr>
          <w:ilvl w:val="0"/>
          <w:numId w:val="85"/>
        </w:numPr>
        <w:rPr>
          <w:rFonts w:ascii="Arial" w:cs="Arial" w:eastAsia="Arial" w:hAnsi="Arial"/>
          <w:sz w:val="19"/>
          <w:szCs w:val="19"/>
          <w:color w:val="auto"/>
        </w:rPr>
      </w:pPr>
      <w:r>
        <w:rPr>
          <w:rFonts w:ascii="Arial" w:cs="Arial" w:eastAsia="Arial" w:hAnsi="Arial"/>
          <w:sz w:val="19"/>
          <w:szCs w:val="19"/>
          <w:color w:val="auto"/>
        </w:rPr>
        <w:t>Each Non-Affiliated Director is required, within four years following his or her first election to the Board, to beneficially own (within the meaning of Rule 13d-3 promulgated under the Securities Exchange Act of 1934, as amended) shares of the Company’s common stock (including any restricted shares of common stock or restricted share units payable in shares of the Company’s common stock) having an aggregate value at least equal to five times the amount of the annual cash Board retainer that we then pay such director for regular service on the Board.</w:t>
      </w:r>
    </w:p>
    <w:p>
      <w:pPr>
        <w:spacing w:after="0" w:line="192" w:lineRule="exact"/>
        <w:rPr>
          <w:rFonts w:ascii="Arial" w:cs="Arial" w:eastAsia="Arial" w:hAnsi="Arial"/>
          <w:sz w:val="19"/>
          <w:szCs w:val="19"/>
          <w:color w:val="auto"/>
        </w:rPr>
      </w:pPr>
    </w:p>
    <w:p>
      <w:pPr>
        <w:ind w:left="570" w:right="40" w:hanging="570"/>
        <w:spacing w:after="0" w:line="250" w:lineRule="auto"/>
        <w:tabs>
          <w:tab w:leader="none" w:pos="521" w:val="left"/>
        </w:tabs>
        <w:numPr>
          <w:ilvl w:val="0"/>
          <w:numId w:val="85"/>
        </w:numPr>
        <w:rPr>
          <w:rFonts w:ascii="Arial" w:cs="Arial" w:eastAsia="Arial" w:hAnsi="Arial"/>
          <w:sz w:val="20"/>
          <w:szCs w:val="20"/>
          <w:color w:val="auto"/>
        </w:rPr>
      </w:pPr>
      <w:r>
        <w:rPr>
          <w:rFonts w:ascii="Arial" w:cs="Arial" w:eastAsia="Arial" w:hAnsi="Arial"/>
          <w:sz w:val="20"/>
          <w:szCs w:val="20"/>
          <w:color w:val="auto"/>
        </w:rPr>
        <w:t>For purposes of determining compliance with the share ownership guidelines, the aggregate value of the shares owned by the director is calculated as of January 2nd of each applicable year (or if such date is not a trading date, the next trading date) based on the higher of:</w:t>
      </w:r>
    </w:p>
    <w:p>
      <w:pPr>
        <w:spacing w:after="0" w:line="200" w:lineRule="exact"/>
        <w:rPr>
          <w:sz w:val="20"/>
          <w:szCs w:val="20"/>
          <w:color w:val="auto"/>
        </w:rPr>
      </w:pPr>
    </w:p>
    <w:p>
      <w:pPr>
        <w:ind w:left="1230" w:hanging="322"/>
        <w:spacing w:after="0"/>
        <w:tabs>
          <w:tab w:leader="none" w:pos="1230" w:val="left"/>
        </w:tabs>
        <w:numPr>
          <w:ilvl w:val="0"/>
          <w:numId w:val="86"/>
        </w:numPr>
        <w:rPr>
          <w:rFonts w:ascii="Courier New" w:cs="Courier New" w:eastAsia="Courier New" w:hAnsi="Courier New"/>
          <w:sz w:val="20"/>
          <w:szCs w:val="20"/>
          <w:color w:val="auto"/>
        </w:rPr>
      </w:pPr>
      <w:r>
        <w:rPr>
          <w:rFonts w:ascii="Arial" w:cs="Arial" w:eastAsia="Arial" w:hAnsi="Arial"/>
          <w:sz w:val="20"/>
          <w:szCs w:val="20"/>
          <w:color w:val="auto"/>
        </w:rPr>
        <w:t>the NASDAQ Official Closing Price of the Company’s common stock on that day; and</w:t>
      </w:r>
    </w:p>
    <w:p>
      <w:pPr>
        <w:spacing w:after="0" w:line="211" w:lineRule="exact"/>
        <w:rPr>
          <w:rFonts w:ascii="Courier New" w:cs="Courier New" w:eastAsia="Courier New" w:hAnsi="Courier New"/>
          <w:sz w:val="20"/>
          <w:szCs w:val="20"/>
          <w:color w:val="auto"/>
        </w:rPr>
      </w:pPr>
    </w:p>
    <w:p>
      <w:pPr>
        <w:jc w:val="both"/>
        <w:ind w:left="1230" w:right="140" w:hanging="322"/>
        <w:spacing w:after="0" w:line="275" w:lineRule="auto"/>
        <w:tabs>
          <w:tab w:leader="none" w:pos="1227" w:val="left"/>
        </w:tabs>
        <w:numPr>
          <w:ilvl w:val="0"/>
          <w:numId w:val="86"/>
        </w:numPr>
        <w:rPr>
          <w:rFonts w:ascii="Courier New" w:cs="Courier New" w:eastAsia="Courier New" w:hAnsi="Courier New"/>
          <w:sz w:val="18"/>
          <w:szCs w:val="18"/>
          <w:color w:val="auto"/>
        </w:rPr>
      </w:pPr>
      <w:r>
        <w:rPr>
          <w:rFonts w:ascii="Arial" w:cs="Arial" w:eastAsia="Arial" w:hAnsi="Arial"/>
          <w:sz w:val="18"/>
          <w:szCs w:val="18"/>
          <w:color w:val="auto"/>
        </w:rPr>
        <w:t>the NASDAQ Official Closing Price of the Company’s common stock on the date of grant (or if such date is not a trading date, the next trading date), for any shares awarded to the director by the Company, and the actual cost to the director, for any other shares (e.g., with respect to shares acquired through the exercise of stock options, the exercise price).</w:t>
      </w:r>
    </w:p>
    <w:p>
      <w:pPr>
        <w:sectPr>
          <w:pgSz w:w="11900" w:h="16838" w:orient="portrait"/>
          <w:cols w:equalWidth="0" w:num="2">
            <w:col w:w="1980" w:space="430"/>
            <w:col w:w="8810"/>
          </w:cols>
          <w:pgMar w:left="320" w:top="346" w:right="359" w:bottom="153" w:gutter="0" w:footer="0" w:header="0"/>
          <w:type w:val="continuous"/>
        </w:sectPr>
      </w:pPr>
    </w:p>
    <w:bookmarkStart w:id="50" w:name="page51"/>
    <w:bookmarkEnd w:id="50"/>
    <w:p>
      <w:pPr>
        <w:ind w:left="1860" w:hanging="570"/>
        <w:spacing w:after="0" w:line="262" w:lineRule="auto"/>
        <w:tabs>
          <w:tab w:leader="none" w:pos="1811" w:val="left"/>
        </w:tabs>
        <w:numPr>
          <w:ilvl w:val="0"/>
          <w:numId w:val="87"/>
        </w:numPr>
        <w:rPr>
          <w:rFonts w:ascii="Arial" w:cs="Arial" w:eastAsia="Arial" w:hAnsi="Arial"/>
          <w:sz w:val="20"/>
          <w:szCs w:val="20"/>
          <w:color w:val="auto"/>
        </w:rPr>
      </w:pPr>
      <w:r>
        <w:rPr>
          <w:rFonts w:ascii="Arial" w:cs="Arial" w:eastAsia="Arial" w:hAnsi="Arial"/>
          <w:sz w:val="20"/>
          <w:szCs w:val="20"/>
          <w:color w:val="auto"/>
        </w:rPr>
        <w:t>Non-Affiliated Directors are subject to these guidelines for as long as they continue to serve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-747395</wp:posOffset>
            </wp:positionH>
            <wp:positionV relativeFrom="paragraph">
              <wp:posOffset>-306705</wp:posOffset>
            </wp:positionV>
            <wp:extent cx="7169150" cy="4457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69150" cy="44577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73660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640"/>
          </w:cols>
          <w:pgMar w:left="1440" w:top="122" w:right="81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A. Kotick, certify that:</w:t>
      </w:r>
    </w:p>
    <w:p>
      <w:pPr>
        <w:spacing w:after="0" w:line="225" w:lineRule="exact"/>
        <w:rPr>
          <w:sz w:val="20"/>
          <w:szCs w:val="20"/>
          <w:color w:val="auto"/>
        </w:rPr>
      </w:pPr>
    </w:p>
    <w:p>
      <w:pPr>
        <w:ind w:left="180" w:hanging="172"/>
        <w:spacing w:after="0"/>
        <w:tabs>
          <w:tab w:leader="none" w:pos="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Activision Blizzard,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00" w:firstLine="656"/>
        <w:spacing w:after="0" w:line="264" w:lineRule="auto"/>
        <w:tabs>
          <w:tab w:leader="none" w:pos="1294"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04"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0" w:firstLine="656"/>
        <w:spacing w:after="0" w:line="308" w:lineRule="auto"/>
        <w:tabs>
          <w:tab w:leader="none" w:pos="1307" w:val="left"/>
        </w:tabs>
        <w:numPr>
          <w:ilvl w:val="1"/>
          <w:numId w:val="8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right="320" w:firstLine="656"/>
        <w:spacing w:after="0" w:line="264" w:lineRule="auto"/>
        <w:tabs>
          <w:tab w:leader="none" w:pos="1304" w:val="left"/>
        </w:tabs>
        <w:numPr>
          <w:ilvl w:val="1"/>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640" w:firstLine="656"/>
        <w:spacing w:after="0" w:line="308" w:lineRule="auto"/>
        <w:tabs>
          <w:tab w:leader="none" w:pos="1294" w:val="left"/>
        </w:tabs>
        <w:numPr>
          <w:ilvl w:val="1"/>
          <w:numId w:val="8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20" w:firstLine="656"/>
        <w:spacing w:after="0" w:line="277" w:lineRule="auto"/>
        <w:tabs>
          <w:tab w:leader="none" w:pos="1304"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ROBERT A. KOTICK</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 of</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Activision Blizzard,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Spencer Neumann, certify that:</w:t>
      </w:r>
    </w:p>
    <w:p>
      <w:pPr>
        <w:spacing w:after="0" w:line="225" w:lineRule="exact"/>
        <w:rPr>
          <w:sz w:val="20"/>
          <w:szCs w:val="20"/>
          <w:color w:val="auto"/>
        </w:rPr>
      </w:pPr>
    </w:p>
    <w:p>
      <w:pPr>
        <w:ind w:left="180" w:hanging="172"/>
        <w:spacing w:after="0"/>
        <w:tabs>
          <w:tab w:leader="none" w:pos="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Activision Blizzard,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300" w:firstLine="656"/>
        <w:spacing w:after="0" w:line="264" w:lineRule="auto"/>
        <w:tabs>
          <w:tab w:leader="none" w:pos="893"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903"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820" w:firstLine="656"/>
        <w:spacing w:after="0" w:line="342" w:lineRule="auto"/>
        <w:tabs>
          <w:tab w:leader="none" w:pos="893" w:val="left"/>
        </w:tabs>
        <w:numPr>
          <w:ilvl w:val="1"/>
          <w:numId w:val="8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40" w:firstLine="656"/>
        <w:spacing w:after="0" w:line="264" w:lineRule="auto"/>
        <w:tabs>
          <w:tab w:leader="none" w:pos="903" w:val="left"/>
        </w:tabs>
        <w:numPr>
          <w:ilvl w:val="1"/>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20" w:firstLine="656"/>
        <w:spacing w:after="0" w:line="277" w:lineRule="auto"/>
        <w:tabs>
          <w:tab w:leader="none" w:pos="883" w:val="left"/>
        </w:tabs>
        <w:numPr>
          <w:ilvl w:val="1"/>
          <w:numId w:val="8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160" w:firstLine="656"/>
        <w:spacing w:after="0" w:line="277" w:lineRule="auto"/>
        <w:tabs>
          <w:tab w:leader="none" w:pos="893"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SPENCER NEUMANN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Spencer Neumann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Officer of</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Activision Blizzard,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80" w:firstLine="324"/>
        <w:spacing w:after="0" w:line="312" w:lineRule="auto"/>
        <w:rPr>
          <w:sz w:val="20"/>
          <w:szCs w:val="20"/>
          <w:color w:val="auto"/>
        </w:rPr>
      </w:pPr>
      <w:r>
        <w:rPr>
          <w:rFonts w:ascii="Arial" w:cs="Arial" w:eastAsia="Arial" w:hAnsi="Arial"/>
          <w:sz w:val="16"/>
          <w:szCs w:val="16"/>
          <w:color w:val="auto"/>
        </w:rPr>
        <w:t>In connection with the quarterly report of Activision Blizzard, Inc. (the “Company”) on Form 10-Q for the period ended June 30, 2018 as filed with the Securities and Exchange Commission on the date hereof (the “Report”), I, Robert A. Kotick, Chief Executive Officer and Principal Executive Officer of the Company, certify, to my knowledge, pursuant to 18 U.S.C. § 1350, as adopted pursuant to § 906 of the Sarbanes-Oxley Act of 2002, that:</w:t>
      </w:r>
    </w:p>
    <w:p>
      <w:pPr>
        <w:spacing w:after="0" w:line="147" w:lineRule="exact"/>
        <w:rPr>
          <w:sz w:val="20"/>
          <w:szCs w:val="20"/>
          <w:color w:val="auto"/>
        </w:rPr>
      </w:pPr>
    </w:p>
    <w:p>
      <w:pPr>
        <w:ind w:left="1220" w:hanging="564"/>
        <w:spacing w:after="0"/>
        <w:tabs>
          <w:tab w:leader="none" w:pos="12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220" w:hanging="564"/>
        <w:spacing w:after="0"/>
        <w:tabs>
          <w:tab w:leader="none" w:pos="12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2018</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/s/ ROBERT A. KOTICK</w:t>
      </w:r>
    </w:p>
    <w:p>
      <w:pPr>
        <w:spacing w:after="0" w:line="2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-130810</wp:posOffset>
            </wp:positionV>
            <wp:extent cx="46824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4682490" cy="8890"/>
                    </a:xfrm>
                    <a:prstGeom prst="rect">
                      <a:avLst/>
                    </a:prstGeom>
                    <a:noFill/>
                  </pic:spPr>
                </pic:pic>
              </a:graphicData>
            </a:graphic>
          </wp:anchor>
        </w:drawing>
      </w:r>
    </w:p>
    <w:p>
      <w:pPr>
        <w:spacing w:after="0" w:line="3" w:lineRule="exact"/>
        <w:rPr>
          <w:sz w:val="20"/>
          <w:szCs w:val="20"/>
          <w:color w:val="auto"/>
        </w:rPr>
      </w:pPr>
    </w:p>
    <w:p>
      <w:pPr>
        <w:ind w:left="4040"/>
        <w:spacing w:after="0"/>
        <w:rPr>
          <w:sz w:val="20"/>
          <w:szCs w:val="20"/>
          <w:color w:val="auto"/>
        </w:rPr>
      </w:pPr>
      <w:r>
        <w:rPr>
          <w:rFonts w:ascii="Arial" w:cs="Arial" w:eastAsia="Arial" w:hAnsi="Arial"/>
          <w:sz w:val="18"/>
          <w:szCs w:val="18"/>
          <w:i w:val="1"/>
          <w:iCs w:val="1"/>
          <w:color w:val="auto"/>
        </w:rPr>
        <w:t>Chief Executive Officer and</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i w:val="1"/>
          <w:iCs w:val="1"/>
          <w:color w:val="auto"/>
        </w:rPr>
        <w:t>Principal Executive Officer of</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i w:val="1"/>
          <w:iCs w:val="1"/>
          <w:color w:val="auto"/>
        </w:rPr>
        <w:t>Activision Blizzard, Inc.</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80" w:firstLine="324"/>
        <w:spacing w:after="0" w:line="312" w:lineRule="auto"/>
        <w:rPr>
          <w:sz w:val="20"/>
          <w:szCs w:val="20"/>
          <w:color w:val="auto"/>
        </w:rPr>
      </w:pPr>
      <w:r>
        <w:rPr>
          <w:rFonts w:ascii="Arial" w:cs="Arial" w:eastAsia="Arial" w:hAnsi="Arial"/>
          <w:sz w:val="16"/>
          <w:szCs w:val="16"/>
          <w:color w:val="auto"/>
        </w:rPr>
        <w:t>In connection with the quarterly report of Activision Blizzard, Inc. (the “Company”) on Form 10-Q for the period ended June 30, 2018 as filed with the Securities and Exchange Commission on the date hereof (the “Report”), I, Spencer Neumann, Chief Financial Officer and Principal Financial Officer of the Company, certify, to my knowledge, pursuant to 18 U.S.C. § 1350, as adopted pursuant to § 906 of the Sarbanes-Oxley Act of 2002, that:</w:t>
      </w:r>
    </w:p>
    <w:p>
      <w:pPr>
        <w:spacing w:after="0" w:line="147" w:lineRule="exact"/>
        <w:rPr>
          <w:sz w:val="20"/>
          <w:szCs w:val="20"/>
          <w:color w:val="auto"/>
        </w:rPr>
      </w:pPr>
    </w:p>
    <w:p>
      <w:pPr>
        <w:ind w:left="1220" w:hanging="564"/>
        <w:spacing w:after="0"/>
        <w:tabs>
          <w:tab w:leader="none" w:pos="12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220" w:hanging="564"/>
        <w:spacing w:after="0"/>
        <w:tabs>
          <w:tab w:leader="none" w:pos="12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2018</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SPENCER NEUMANN</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Spencer Neumann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-130810</wp:posOffset>
            </wp:positionV>
            <wp:extent cx="350774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3"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Chief Financial Officer and</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Principal Financial Officer of</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Activision Blizzard, Inc.</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B588F54"/>
    <w:multiLevelType w:val="hybridMultilevel"/>
    <w:lvl w:ilvl="0">
      <w:lvlJc w:val="left"/>
      <w:lvlText w:val="x"/>
      <w:numFmt w:val="bullet"/>
      <w:start w:val="1"/>
    </w:lvl>
  </w:abstractNum>
  <w:abstractNum w:abstractNumId="1">
    <w:nsid w:val="542289EC"/>
    <w:multiLevelType w:val="hybridMultilevel"/>
    <w:lvl w:ilvl="0">
      <w:lvlJc w:val="left"/>
      <w:lvlText w:val="o"/>
      <w:numFmt w:val="bullet"/>
      <w:start w:val="1"/>
    </w:lvl>
  </w:abstractNum>
  <w:abstractNum w:abstractNumId="2">
    <w:nsid w:val="6DE91B18"/>
    <w:multiLevelType w:val="hybridMultilevel"/>
    <w:lvl w:ilvl="0">
      <w:lvlJc w:val="left"/>
      <w:lvlText w:val="(%1)"/>
      <w:numFmt w:val="decimal"/>
      <w:start w:val="1"/>
    </w:lvl>
  </w:abstractNum>
  <w:abstractNum w:abstractNumId="3">
    <w:nsid w:val="38437FDB"/>
    <w:multiLevelType w:val="hybridMultilevel"/>
    <w:lvl w:ilvl="0">
      <w:lvlJc w:val="left"/>
      <w:lvlText w:val="%1."/>
      <w:numFmt w:val="decimal"/>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1."/>
      <w:numFmt w:val="decimal"/>
      <w:start w:val="2"/>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1."/>
      <w:numFmt w:val="decimal"/>
      <w:start w:val="3"/>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1."/>
      <w:numFmt w:val="decimal"/>
      <w:start w:val="5"/>
    </w:lvl>
  </w:abstractNum>
  <w:abstractNum w:abstractNumId="12">
    <w:nsid w:val="75C6C33A"/>
    <w:multiLevelType w:val="hybridMultilevel"/>
    <w:lvl w:ilvl="0">
      <w:lvlJc w:val="left"/>
      <w:lvlText w:val="%1."/>
      <w:numFmt w:val="decimal"/>
      <w:start w:val="6"/>
    </w:lvl>
  </w:abstractNum>
  <w:abstractNum w:abstractNumId="13">
    <w:nsid w:val="12E685FB"/>
    <w:multiLevelType w:val="hybridMultilevel"/>
    <w:lvl w:ilvl="0">
      <w:lvlJc w:val="left"/>
      <w:lvlText w:val="%1."/>
      <w:numFmt w:val="decimal"/>
      <w:start w:val="7"/>
    </w:lvl>
  </w:abstractNum>
  <w:abstractNum w:abstractNumId="14">
    <w:nsid w:val="70C6A529"/>
    <w:multiLevelType w:val="hybridMultilevel"/>
    <w:lvl w:ilvl="0">
      <w:lvlJc w:val="left"/>
      <w:lvlText w:val="%1."/>
      <w:numFmt w:val="decimal"/>
      <w:start w:val="8"/>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1."/>
      <w:numFmt w:val="decimal"/>
      <w:start w:val="9"/>
    </w:lvl>
  </w:abstractNum>
  <w:abstractNum w:abstractNumId="17">
    <w:nsid w:val="4F4EF005"/>
    <w:multiLevelType w:val="hybridMultilevel"/>
    <w:lvl w:ilvl="0">
      <w:lvlJc w:val="left"/>
      <w:lvlText w:val="%1."/>
      <w:numFmt w:val="decimal"/>
      <w:start w:val="10"/>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1)"/>
      <w:numFmt w:val="decimal"/>
      <w:start w:val="1"/>
    </w:lvl>
  </w:abstractNum>
  <w:abstractNum w:abstractNumId="20">
    <w:nsid w:val="275AC794"/>
    <w:multiLevelType w:val="hybridMultilevel"/>
    <w:lvl w:ilvl="0">
      <w:lvlJc w:val="left"/>
      <w:lvlText w:val="%1."/>
      <w:numFmt w:val="decimal"/>
      <w:start w:val="11"/>
    </w:lvl>
  </w:abstractNum>
  <w:abstractNum w:abstractNumId="21">
    <w:nsid w:val="39386575"/>
    <w:multiLevelType w:val="hybridMultilevel"/>
    <w:lvl w:ilvl="0">
      <w:lvlJc w:val="left"/>
      <w:lvlText w:val="%1."/>
      <w:numFmt w:val="decimal"/>
      <w:start w:val="12"/>
    </w:lvl>
  </w:abstractNum>
  <w:abstractNum w:abstractNumId="22">
    <w:nsid w:val="1CF10FD8"/>
    <w:multiLevelType w:val="hybridMultilevel"/>
    <w:lvl w:ilvl="0">
      <w:lvlJc w:val="left"/>
      <w:lvlText w:val="(%1)"/>
      <w:numFmt w:val="decimal"/>
      <w:start w:val="1"/>
    </w:lvl>
  </w:abstractNum>
  <w:abstractNum w:abstractNumId="23">
    <w:nsid w:val="180115BE"/>
    <w:multiLevelType w:val="hybridMultilevel"/>
    <w:lvl w:ilvl="0">
      <w:lvlJc w:val="left"/>
      <w:lvlText w:val="(%1)"/>
      <w:numFmt w:val="decimal"/>
      <w:start w:val="1"/>
    </w:lvl>
  </w:abstractNum>
  <w:abstractNum w:abstractNumId="24">
    <w:nsid w:val="235BA861"/>
    <w:multiLevelType w:val="hybridMultilevel"/>
    <w:lvl w:ilvl="0">
      <w:lvlJc w:val="left"/>
      <w:lvlText w:val="(%1)"/>
      <w:numFmt w:val="decimal"/>
      <w:start w:val="1"/>
    </w:lvl>
  </w:abstractNum>
  <w:abstractNum w:abstractNumId="25">
    <w:nsid w:val="47398C89"/>
    <w:multiLevelType w:val="hybridMultilevel"/>
    <w:lvl w:ilvl="0">
      <w:lvlJc w:val="left"/>
      <w:lvlText w:val="(%1)"/>
      <w:numFmt w:val="decimal"/>
      <w:start w:val="1"/>
    </w:lvl>
  </w:abstractNum>
  <w:abstractNum w:abstractNumId="26">
    <w:nsid w:val="354FE9F9"/>
    <w:multiLevelType w:val="hybridMultilevel"/>
    <w:lvl w:ilvl="0">
      <w:lvlJc w:val="left"/>
      <w:lvlText w:val="(%1)"/>
      <w:numFmt w:val="decimal"/>
      <w:start w:val="1"/>
    </w:lvl>
  </w:abstractNum>
  <w:abstractNum w:abstractNumId="27">
    <w:nsid w:val="15B5AF5C"/>
    <w:multiLevelType w:val="hybridMultilevel"/>
    <w:lvl w:ilvl="0">
      <w:lvlJc w:val="left"/>
      <w:lvlText w:val="(%1)"/>
      <w:numFmt w:val="decimal"/>
      <w:start w:val="1"/>
    </w:lvl>
  </w:abstractNum>
  <w:abstractNum w:abstractNumId="28">
    <w:nsid w:val="741226BB"/>
    <w:multiLevelType w:val="hybridMultilevel"/>
    <w:lvl w:ilvl="0">
      <w:lvlJc w:val="left"/>
      <w:lvlText w:val="%1."/>
      <w:numFmt w:val="decimal"/>
      <w:start w:val="13"/>
    </w:lvl>
  </w:abstractNum>
  <w:abstractNum w:abstractNumId="29">
    <w:nsid w:val="D34B6A8"/>
    <w:multiLevelType w:val="hybridMultilevel"/>
    <w:lvl w:ilvl="0">
      <w:lvlJc w:val="left"/>
      <w:lvlText w:val="%1."/>
      <w:numFmt w:val="decimal"/>
      <w:start w:val="14"/>
    </w:lvl>
  </w:abstractNum>
  <w:abstractNum w:abstractNumId="30">
    <w:nsid w:val="10233C99"/>
    <w:multiLevelType w:val="hybridMultilevel"/>
    <w:lvl w:ilvl="0">
      <w:lvlJc w:val="left"/>
      <w:lvlText w:val="%1."/>
      <w:numFmt w:val="decimal"/>
      <w:start w:val="15"/>
    </w:lvl>
  </w:abstractNum>
  <w:abstractNum w:abstractNumId="31">
    <w:nsid w:val="3F6AB60F"/>
    <w:multiLevelType w:val="hybridMultilevel"/>
    <w:lvl w:ilvl="0">
      <w:lvlJc w:val="left"/>
      <w:lvlText w:val="%1."/>
      <w:numFmt w:val="decimal"/>
      <w:start w:val="16"/>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
      <w:numFmt w:val="bullet"/>
      <w:start w:val="1"/>
    </w:lvl>
  </w:abstractNum>
  <w:abstractNum w:abstractNumId="35">
    <w:nsid w:val="579BE4F1"/>
    <w:multiLevelType w:val="hybridMultilevel"/>
    <w:lvl w:ilvl="0">
      <w:lvlJc w:val="left"/>
      <w:lvlText w:val="·"/>
      <w:numFmt w:val="bullet"/>
      <w:start w:val="1"/>
    </w:lvl>
  </w:abstractNum>
  <w:abstractNum w:abstractNumId="36">
    <w:nsid w:val="310C50B3"/>
    <w:multiLevelType w:val="hybridMultilevel"/>
    <w:lvl w:ilvl="0">
      <w:lvlJc w:val="left"/>
      <w:lvlText w:val="·"/>
      <w:numFmt w:val="bullet"/>
      <w:start w:val="1"/>
    </w:lvl>
  </w:abstractNum>
  <w:abstractNum w:abstractNumId="37">
    <w:nsid w:val="5FF87E05"/>
    <w:multiLevelType w:val="hybridMultilevel"/>
    <w:lvl w:ilvl="0">
      <w:lvlJc w:val="left"/>
      <w:lvlText w:val="·"/>
      <w:numFmt w:val="bullet"/>
      <w:start w:val="1"/>
    </w:lvl>
  </w:abstractNum>
  <w:abstractNum w:abstractNumId="38">
    <w:nsid w:val="2F305DEF"/>
    <w:multiLevelType w:val="hybridMultilevel"/>
    <w:lvl w:ilvl="0">
      <w:lvlJc w:val="left"/>
      <w:lvlText w:val="·"/>
      <w:numFmt w:val="bullet"/>
      <w:start w:val="1"/>
    </w:lvl>
  </w:abstractNum>
  <w:abstractNum w:abstractNumId="39">
    <w:nsid w:val="25A70BF7"/>
    <w:multiLevelType w:val="hybridMultilevel"/>
    <w:lvl w:ilvl="0">
      <w:lvlJc w:val="left"/>
      <w:lvlText w:val="·"/>
      <w:numFmt w:val="bullet"/>
      <w:start w:val="1"/>
    </w:lvl>
  </w:abstractNum>
  <w:abstractNum w:abstractNumId="40">
    <w:nsid w:val="1DBABF00"/>
    <w:multiLevelType w:val="hybridMultilevel"/>
    <w:lvl w:ilvl="0">
      <w:lvlJc w:val="left"/>
      <w:lvlText w:val="·"/>
      <w:numFmt w:val="bullet"/>
      <w:start w:val="1"/>
    </w:lvl>
  </w:abstractNum>
  <w:abstractNum w:abstractNumId="41">
    <w:nsid w:val="4AD084E9"/>
    <w:multiLevelType w:val="hybridMultilevel"/>
    <w:lvl w:ilvl="0">
      <w:lvlJc w:val="left"/>
      <w:lvlText w:val="·"/>
      <w:numFmt w:val="bullet"/>
      <w:start w:val="1"/>
    </w:lvl>
  </w:abstractNum>
  <w:abstractNum w:abstractNumId="42">
    <w:nsid w:val="1F48EAA1"/>
    <w:multiLevelType w:val="hybridMultilevel"/>
    <w:lvl w:ilvl="0">
      <w:lvlJc w:val="left"/>
      <w:lvlText w:val="(%1)"/>
      <w:numFmt w:val="decimal"/>
      <w:start w:val="1"/>
    </w:lvl>
  </w:abstractNum>
  <w:abstractNum w:abstractNumId="43">
    <w:nsid w:val="1381823A"/>
    <w:multiLevelType w:val="hybridMultilevel"/>
    <w:lvl w:ilvl="0">
      <w:lvlJc w:val="left"/>
      <w:lvlText w:val="(%1)"/>
      <w:numFmt w:val="decimal"/>
      <w:start w:val="1"/>
    </w:lvl>
  </w:abstractNum>
  <w:abstractNum w:abstractNumId="44">
    <w:nsid w:val="5DB70AE5"/>
    <w:multiLevelType w:val="hybridMultilevel"/>
    <w:lvl w:ilvl="0">
      <w:lvlJc w:val="left"/>
      <w:lvlText w:val="·"/>
      <w:numFmt w:val="bullet"/>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
      <w:numFmt w:val="bullet"/>
      <w:start w:val="1"/>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
      <w:numFmt w:val="bullet"/>
      <w:start w:val="1"/>
    </w:lvl>
  </w:abstractNum>
  <w:abstractNum w:abstractNumId="49">
    <w:nsid w:val="98A3148"/>
    <w:multiLevelType w:val="hybridMultilevel"/>
    <w:lvl w:ilvl="0">
      <w:lvlJc w:val="left"/>
      <w:lvlText w:val="·"/>
      <w:numFmt w:val="bullet"/>
      <w:start w:val="1"/>
    </w:lvl>
  </w:abstractNum>
  <w:abstractNum w:abstractNumId="50">
    <w:nsid w:val="799D0247"/>
    <w:multiLevelType w:val="hybridMultilevel"/>
    <w:lvl w:ilvl="0">
      <w:lvlJc w:val="left"/>
      <w:lvlText w:val="·"/>
      <w:numFmt w:val="bullet"/>
      <w:start w:val="1"/>
    </w:lvl>
  </w:abstractNum>
  <w:abstractNum w:abstractNumId="51">
    <w:nsid w:val="6B94764"/>
    <w:multiLevelType w:val="hybridMultilevel"/>
    <w:lvl w:ilvl="0">
      <w:lvlJc w:val="left"/>
      <w:lvlText w:val="·"/>
      <w:numFmt w:val="bullet"/>
      <w:start w:val="1"/>
    </w:lvl>
  </w:abstractNum>
  <w:abstractNum w:abstractNumId="52">
    <w:nsid w:val="42C296BD"/>
    <w:multiLevelType w:val="hybridMultilevel"/>
    <w:lvl w:ilvl="0">
      <w:lvlJc w:val="left"/>
      <w:lvlText w:val="(%1)"/>
      <w:numFmt w:val="decimal"/>
      <w:start w:val="1"/>
    </w:lvl>
  </w:abstractNum>
  <w:abstractNum w:abstractNumId="53">
    <w:nsid w:val="168E121F"/>
    <w:multiLevelType w:val="hybridMultilevel"/>
    <w:lvl w:ilvl="0">
      <w:lvlJc w:val="left"/>
      <w:lvlText w:val="·"/>
      <w:numFmt w:val="bullet"/>
      <w:start w:val="1"/>
    </w:lvl>
  </w:abstractNum>
  <w:abstractNum w:abstractNumId="54">
    <w:nsid w:val="1EBA5D23"/>
    <w:multiLevelType w:val="hybridMultilevel"/>
    <w:lvl w:ilvl="0">
      <w:lvlJc w:val="left"/>
      <w:lvlText w:val="·"/>
      <w:numFmt w:val="bullet"/>
      <w:start w:val="1"/>
    </w:lvl>
  </w:abstractNum>
  <w:abstractNum w:abstractNumId="55">
    <w:nsid w:val="661E3F1E"/>
    <w:multiLevelType w:val="hybridMultilevel"/>
    <w:lvl w:ilvl="0">
      <w:lvlJc w:val="left"/>
      <w:lvlText w:val="·"/>
      <w:numFmt w:val="bullet"/>
      <w:start w:val="1"/>
    </w:lvl>
  </w:abstractNum>
  <w:abstractNum w:abstractNumId="56">
    <w:nsid w:val="5DC79EA8"/>
    <w:multiLevelType w:val="hybridMultilevel"/>
    <w:lvl w:ilvl="0">
      <w:lvlJc w:val="left"/>
      <w:lvlText w:val="·"/>
      <w:numFmt w:val="bullet"/>
      <w:start w:val="1"/>
    </w:lvl>
  </w:abstractNum>
  <w:abstractNum w:abstractNumId="57">
    <w:nsid w:val="540A471C"/>
    <w:multiLevelType w:val="hybridMultilevel"/>
    <w:lvl w:ilvl="0">
      <w:lvlJc w:val="left"/>
      <w:lvlText w:val="(%1)"/>
      <w:numFmt w:val="decimal"/>
      <w:start w:val="1"/>
    </w:lvl>
  </w:abstractNum>
  <w:abstractNum w:abstractNumId="58">
    <w:nsid w:val="7BD3EE7B"/>
    <w:multiLevelType w:val="hybridMultilevel"/>
    <w:lvl w:ilvl="0">
      <w:lvlJc w:val="left"/>
      <w:lvlText w:val="·"/>
      <w:numFmt w:val="bullet"/>
      <w:start w:val="1"/>
    </w:lvl>
  </w:abstractNum>
  <w:abstractNum w:abstractNumId="59">
    <w:nsid w:val="51D9C564"/>
    <w:multiLevelType w:val="hybridMultilevel"/>
    <w:lvl w:ilvl="0">
      <w:lvlJc w:val="left"/>
      <w:lvlText w:val="·"/>
      <w:numFmt w:val="bullet"/>
      <w:start w:val="1"/>
    </w:lvl>
  </w:abstractNum>
  <w:abstractNum w:abstractNumId="60">
    <w:nsid w:val="613EFDC5"/>
    <w:multiLevelType w:val="hybridMultilevel"/>
    <w:lvl w:ilvl="0">
      <w:lvlJc w:val="left"/>
      <w:lvlText w:val="(%1)"/>
      <w:numFmt w:val="decimal"/>
      <w:start w:val="1"/>
    </w:lvl>
  </w:abstractNum>
  <w:abstractNum w:abstractNumId="61">
    <w:nsid w:val="BF72B14"/>
    <w:multiLevelType w:val="hybridMultilevel"/>
    <w:lvl w:ilvl="0">
      <w:lvlJc w:val="left"/>
      <w:lvlText w:val="·"/>
      <w:numFmt w:val="bullet"/>
      <w:start w:val="1"/>
    </w:lvl>
  </w:abstractNum>
  <w:abstractNum w:abstractNumId="62">
    <w:nsid w:val="11447B73"/>
    <w:multiLevelType w:val="hybridMultilevel"/>
    <w:lvl w:ilvl="0">
      <w:lvlJc w:val="left"/>
      <w:lvlText w:val="·"/>
      <w:numFmt w:val="bullet"/>
      <w:start w:val="1"/>
    </w:lvl>
  </w:abstractNum>
  <w:abstractNum w:abstractNumId="63">
    <w:nsid w:val="42963E5A"/>
    <w:multiLevelType w:val="hybridMultilevel"/>
    <w:lvl w:ilvl="0">
      <w:lvlJc w:val="left"/>
      <w:lvlText w:val="·"/>
      <w:numFmt w:val="bullet"/>
      <w:start w:val="1"/>
    </w:lvl>
  </w:abstractNum>
  <w:abstractNum w:abstractNumId="64">
    <w:nsid w:val="A0382C5"/>
    <w:multiLevelType w:val="hybridMultilevel"/>
    <w:lvl w:ilvl="0">
      <w:lvlJc w:val="left"/>
      <w:lvlText w:val="·"/>
      <w:numFmt w:val="bullet"/>
      <w:start w:val="1"/>
    </w:lvl>
  </w:abstractNum>
  <w:abstractNum w:abstractNumId="65">
    <w:nsid w:val="8F2B15E"/>
    <w:multiLevelType w:val="hybridMultilevel"/>
    <w:lvl w:ilvl="0">
      <w:lvlJc w:val="left"/>
      <w:lvlText w:val="·"/>
      <w:numFmt w:val="bullet"/>
      <w:start w:val="1"/>
    </w:lvl>
  </w:abstractNum>
  <w:abstractNum w:abstractNumId="66">
    <w:nsid w:val="1A32234B"/>
    <w:multiLevelType w:val="hybridMultilevel"/>
    <w:lvl w:ilvl="0">
      <w:lvlJc w:val="left"/>
      <w:lvlText w:val="·"/>
      <w:numFmt w:val="bullet"/>
      <w:start w:val="1"/>
    </w:lvl>
  </w:abstractNum>
  <w:abstractNum w:abstractNumId="67">
    <w:nsid w:val="3B0FD379"/>
    <w:multiLevelType w:val="hybridMultilevel"/>
    <w:lvl w:ilvl="0">
      <w:lvlJc w:val="left"/>
      <w:lvlText w:val="·"/>
      <w:numFmt w:val="bullet"/>
      <w:start w:val="1"/>
    </w:lvl>
  </w:abstractNum>
  <w:abstractNum w:abstractNumId="68">
    <w:nsid w:val="68EB2F63"/>
    <w:multiLevelType w:val="hybridMultilevel"/>
    <w:lvl w:ilvl="0">
      <w:lvlJc w:val="left"/>
      <w:lvlText w:val="·"/>
      <w:numFmt w:val="bullet"/>
      <w:start w:val="1"/>
    </w:lvl>
  </w:abstractNum>
  <w:abstractNum w:abstractNumId="69">
    <w:nsid w:val="4962813B"/>
    <w:multiLevelType w:val="hybridMultilevel"/>
    <w:lvl w:ilvl="0">
      <w:lvlJc w:val="left"/>
      <w:lvlText w:val="·"/>
      <w:numFmt w:val="bullet"/>
      <w:start w:val="1"/>
    </w:lvl>
  </w:abstractNum>
  <w:abstractNum w:abstractNumId="70">
    <w:nsid w:val="60B6DF70"/>
    <w:multiLevelType w:val="hybridMultilevel"/>
    <w:lvl w:ilvl="0">
      <w:lvlJc w:val="left"/>
      <w:lvlText w:val="·"/>
      <w:numFmt w:val="bullet"/>
      <w:start w:val="1"/>
    </w:lvl>
  </w:abstractNum>
  <w:abstractNum w:abstractNumId="71">
    <w:nsid w:val="6A5EE64"/>
    <w:multiLevelType w:val="hybridMultilevel"/>
    <w:lvl w:ilvl="0">
      <w:lvlJc w:val="left"/>
      <w:lvlText w:val="·"/>
      <w:numFmt w:val="bullet"/>
      <w:start w:val="1"/>
    </w:lvl>
  </w:abstractNum>
  <w:abstractNum w:abstractNumId="72">
    <w:nsid w:val="14330624"/>
    <w:multiLevelType w:val="hybridMultilevel"/>
    <w:lvl w:ilvl="0">
      <w:lvlJc w:val="left"/>
      <w:lvlText w:val="·"/>
      <w:numFmt w:val="bullet"/>
      <w:start w:val="1"/>
    </w:lvl>
  </w:abstractNum>
  <w:abstractNum w:abstractNumId="73">
    <w:nsid w:val="7FFFCA11"/>
    <w:multiLevelType w:val="hybridMultilevel"/>
    <w:lvl w:ilvl="0">
      <w:lvlJc w:val="left"/>
      <w:lvlText w:val="·"/>
      <w:numFmt w:val="bullet"/>
      <w:start w:val="1"/>
    </w:lvl>
  </w:abstractNum>
  <w:abstractNum w:abstractNumId="74">
    <w:nsid w:val="1A27709E"/>
    <w:multiLevelType w:val="hybridMultilevel"/>
    <w:lvl w:ilvl="0">
      <w:lvlJc w:val="left"/>
      <w:lvlText w:val="·"/>
      <w:numFmt w:val="bullet"/>
      <w:start w:val="1"/>
    </w:lvl>
  </w:abstractNum>
  <w:abstractNum w:abstractNumId="75">
    <w:nsid w:val="71EA1109"/>
    <w:multiLevelType w:val="hybridMultilevel"/>
    <w:lvl w:ilvl="0">
      <w:lvlJc w:val="left"/>
      <w:lvlText w:val="·"/>
      <w:numFmt w:val="bullet"/>
      <w:start w:val="1"/>
    </w:lvl>
  </w:abstractNum>
  <w:abstractNum w:abstractNumId="76">
    <w:nsid w:val="100F59DC"/>
    <w:multiLevelType w:val="hybridMultilevel"/>
    <w:lvl w:ilvl="0">
      <w:lvlJc w:val="left"/>
      <w:lvlText w:val="·"/>
      <w:numFmt w:val="bullet"/>
      <w:start w:val="1"/>
    </w:lvl>
  </w:abstractNum>
  <w:abstractNum w:abstractNumId="77">
    <w:nsid w:val="7FB7E0AA"/>
    <w:multiLevelType w:val="hybridMultilevel"/>
    <w:lvl w:ilvl="0">
      <w:lvlJc w:val="left"/>
      <w:lvlText w:val="·"/>
      <w:numFmt w:val="bullet"/>
      <w:start w:val="1"/>
    </w:lvl>
  </w:abstractNum>
  <w:abstractNum w:abstractNumId="78">
    <w:nsid w:val="6EB5BD4"/>
    <w:multiLevelType w:val="hybridMultilevel"/>
    <w:lvl w:ilvl="0">
      <w:lvlJc w:val="left"/>
      <w:lvlText w:val="·"/>
      <w:numFmt w:val="bullet"/>
      <w:start w:val="1"/>
    </w:lvl>
  </w:abstractNum>
  <w:abstractNum w:abstractNumId="79">
    <w:nsid w:val="6F6DD9AC"/>
    <w:multiLevelType w:val="hybridMultilevel"/>
    <w:lvl w:ilvl="0">
      <w:lvlJc w:val="left"/>
      <w:lvlText w:val="·"/>
      <w:numFmt w:val="bullet"/>
      <w:start w:val="1"/>
    </w:lvl>
  </w:abstractNum>
  <w:abstractNum w:abstractNumId="80">
    <w:nsid w:val="94211F2"/>
    <w:multiLevelType w:val="hybridMultilevel"/>
    <w:lvl w:ilvl="0">
      <w:lvlJc w:val="left"/>
      <w:lvlText w:val="·"/>
      <w:numFmt w:val="bullet"/>
      <w:start w:val="1"/>
    </w:lvl>
  </w:abstractNum>
  <w:abstractNum w:abstractNumId="81">
    <w:nsid w:val="885E1B"/>
    <w:multiLevelType w:val="hybridMultilevel"/>
    <w:lvl w:ilvl="0">
      <w:lvlJc w:val="left"/>
      <w:lvlText w:val="·"/>
      <w:numFmt w:val="bullet"/>
      <w:start w:val="1"/>
    </w:lvl>
  </w:abstractNum>
  <w:abstractNum w:abstractNumId="82">
    <w:nsid w:val="76272110"/>
    <w:multiLevelType w:val="hybridMultilevel"/>
    <w:lvl w:ilvl="0">
      <w:lvlJc w:val="left"/>
      <w:lvlText w:val="·"/>
      <w:numFmt w:val="bullet"/>
      <w:start w:val="1"/>
    </w:lvl>
  </w:abstractNum>
  <w:abstractNum w:abstractNumId="83">
    <w:nsid w:val="4C04A8AF"/>
    <w:multiLevelType w:val="hybridMultilevel"/>
    <w:lvl w:ilvl="0">
      <w:lvlJc w:val="left"/>
      <w:lvlText w:val="·"/>
      <w:numFmt w:val="bullet"/>
      <w:start w:val="1"/>
    </w:lvl>
  </w:abstractNum>
  <w:abstractNum w:abstractNumId="84">
    <w:nsid w:val="1716703B"/>
    <w:multiLevelType w:val="hybridMultilevel"/>
    <w:lvl w:ilvl="0">
      <w:lvlJc w:val="left"/>
      <w:lvlText w:val="·"/>
      <w:numFmt w:val="bullet"/>
      <w:start w:val="1"/>
    </w:lvl>
  </w:abstractNum>
  <w:abstractNum w:abstractNumId="85">
    <w:nsid w:val="14E17E33"/>
    <w:multiLevelType w:val="hybridMultilevel"/>
    <w:lvl w:ilvl="0">
      <w:lvlJc w:val="left"/>
      <w:lvlText w:val="o"/>
      <w:numFmt w:val="bullet"/>
      <w:start w:val="1"/>
    </w:lvl>
  </w:abstractNum>
  <w:abstractNum w:abstractNumId="86">
    <w:nsid w:val="3222E7CD"/>
    <w:multiLevelType w:val="hybridMultilevel"/>
    <w:lvl w:ilvl="0">
      <w:lvlJc w:val="left"/>
      <w:lvlText w:val="·"/>
      <w:numFmt w:val="bullet"/>
      <w:start w:val="1"/>
    </w:lvl>
  </w:abstractNum>
  <w:abstractNum w:abstractNumId="87">
    <w:nsid w:val="74DE0EE3"/>
    <w:multiLevelType w:val="hybridMultilevel"/>
    <w:lvl w:ilvl="0">
      <w:lvlJc w:val="left"/>
      <w:lvlText w:val="%1."/>
      <w:numFmt w:val="decimal"/>
      <w:start w:val="1"/>
    </w:lvl>
    <w:lvl w:ilvl="1">
      <w:lvlJc w:val="left"/>
      <w:lvlText w:val="(%2)"/>
      <w:numFmt w:val="lowerLetter"/>
      <w:start w:val="1"/>
    </w:lvl>
  </w:abstractNum>
  <w:abstractNum w:abstractNumId="88">
    <w:nsid w:val="68EBC550"/>
    <w:multiLevelType w:val="hybridMultilevel"/>
    <w:lvl w:ilvl="0">
      <w:lvlJc w:val="left"/>
      <w:lvlText w:val="%1."/>
      <w:numFmt w:val="decimal"/>
      <w:start w:val="1"/>
    </w:lvl>
    <w:lvl w:ilvl="1">
      <w:lvlJc w:val="left"/>
      <w:lvlText w:val="(%2)"/>
      <w:numFmt w:val="lowerLetter"/>
      <w:start w:val="1"/>
    </w:lvl>
  </w:abstractNum>
  <w:abstractNum w:abstractNumId="89">
    <w:nsid w:val="2DF6D648"/>
    <w:multiLevelType w:val="hybridMultilevel"/>
    <w:lvl w:ilvl="0">
      <w:lvlJc w:val="left"/>
      <w:lvlText w:val="(%1)"/>
      <w:numFmt w:val="decimal"/>
      <w:start w:val="1"/>
    </w:lvl>
  </w:abstractNum>
  <w:abstractNum w:abstractNumId="90">
    <w:nsid w:val="46B7D4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04" Type="http://schemas.openxmlformats.org/officeDocument/2006/relationships/hyperlink" Target="http://www.sec.gov/Archives/edgar/data/718877/000110465914044513/a14-14950_1ex3d1.htm" TargetMode="External"/><Relationship Id="rId105" Type="http://schemas.openxmlformats.org/officeDocument/2006/relationships/hyperlink" Target="http://www.sec.gov/Archives/edgar/data/718877/000110465918019359/a18-8728_1ex3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2019-12-28T20:31:14Z</dcterms:created>
  <dcterms:modified xsi:type="dcterms:W3CDTF">2019-12-28T20:31:14Z</dcterms:modified>
</cp:coreProperties>
</file>