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21, 2022</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56"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001-15839</w:t>
            </w:r>
          </w:p>
        </w:tc>
        <w:tc>
          <w:tcPr>
            <w:tcW w:w="3540" w:type="dxa"/>
            <w:vAlign w:val="bottom"/>
          </w:tcPr>
          <w:p>
            <w:pPr>
              <w:jc w:val="right"/>
              <w:ind w:right="950"/>
              <w:spacing w:after="0"/>
              <w:rPr>
                <w:sz w:val="20"/>
                <w:szCs w:val="20"/>
                <w:color w:val="auto"/>
              </w:rPr>
            </w:pPr>
            <w:r>
              <w:rPr>
                <w:rFonts w:ascii="Arial" w:cs="Arial" w:eastAsia="Arial" w:hAnsi="Arial"/>
                <w:sz w:val="18"/>
                <w:szCs w:val="18"/>
                <w:b w:val="1"/>
                <w:bCs w:val="1"/>
                <w:color w:val="auto"/>
              </w:rPr>
              <w:t>95-4803544</w:t>
            </w:r>
          </w:p>
        </w:tc>
      </w:tr>
      <w:tr>
        <w:trPr>
          <w:trHeight w:val="256"/>
        </w:trPr>
        <w:tc>
          <w:tcPr>
            <w:tcW w:w="3580" w:type="dxa"/>
            <w:vAlign w:val="bottom"/>
          </w:tcPr>
          <w:p>
            <w:pPr>
              <w:jc w:val="center"/>
              <w:ind w:right="570"/>
              <w:spacing w:after="0"/>
              <w:rPr>
                <w:sz w:val="20"/>
                <w:szCs w:val="20"/>
                <w:color w:val="auto"/>
              </w:rPr>
            </w:pPr>
            <w:r>
              <w:rPr>
                <w:rFonts w:ascii="Arial" w:cs="Arial" w:eastAsia="Arial" w:hAnsi="Arial"/>
                <w:sz w:val="18"/>
                <w:szCs w:val="18"/>
                <w:color w:val="auto"/>
                <w:w w:val="92"/>
              </w:rPr>
              <w:t>(State or other jurisdiction of</w:t>
            </w: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ind w:left="510"/>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2"/>
              </w:rPr>
              <w:t>incorporation)</w:t>
            </w:r>
          </w:p>
        </w:tc>
        <w:tc>
          <w:tcPr>
            <w:tcW w:w="3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0"/>
        </w:trPr>
        <w:tc>
          <w:tcPr>
            <w:tcW w:w="35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2701 Olympic Boulevard, Building B</w:t>
            </w:r>
          </w:p>
        </w:tc>
        <w:tc>
          <w:tcPr>
            <w:tcW w:w="322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70"/>
        </w:trPr>
        <w:tc>
          <w:tcPr>
            <w:tcW w:w="3580" w:type="dxa"/>
            <w:vAlign w:val="bottom"/>
          </w:tcPr>
          <w:p>
            <w:pPr>
              <w:ind w:left="360"/>
              <w:spacing w:after="0"/>
              <w:rPr>
                <w:sz w:val="20"/>
                <w:szCs w:val="20"/>
                <w:color w:val="auto"/>
              </w:rPr>
            </w:pPr>
            <w:r>
              <w:rPr>
                <w:rFonts w:ascii="Arial" w:cs="Arial" w:eastAsia="Arial" w:hAnsi="Arial"/>
                <w:sz w:val="18"/>
                <w:szCs w:val="18"/>
                <w:b w:val="1"/>
                <w:bCs w:val="1"/>
                <w:color w:val="auto"/>
              </w:rPr>
              <w:t>Santa Monica,  CA</w:t>
            </w:r>
          </w:p>
        </w:tc>
        <w:tc>
          <w:tcPr>
            <w:tcW w:w="3220" w:type="dxa"/>
            <w:vAlign w:val="bottom"/>
          </w:tcPr>
          <w:p>
            <w:pPr>
              <w:spacing w:after="0"/>
              <w:rPr>
                <w:sz w:val="23"/>
                <w:szCs w:val="23"/>
                <w:color w:val="auto"/>
              </w:rPr>
            </w:pPr>
          </w:p>
        </w:tc>
        <w:tc>
          <w:tcPr>
            <w:tcW w:w="3540" w:type="dxa"/>
            <w:vAlign w:val="bottom"/>
          </w:tcPr>
          <w:p>
            <w:pPr>
              <w:jc w:val="right"/>
              <w:ind w:right="1170"/>
              <w:spacing w:after="0"/>
              <w:rPr>
                <w:sz w:val="20"/>
                <w:szCs w:val="20"/>
                <w:color w:val="auto"/>
              </w:rPr>
            </w:pPr>
            <w:r>
              <w:rPr>
                <w:rFonts w:ascii="Arial" w:cs="Arial" w:eastAsia="Arial" w:hAnsi="Arial"/>
                <w:sz w:val="18"/>
                <w:szCs w:val="18"/>
                <w:b w:val="1"/>
                <w:bCs w:val="1"/>
                <w:color w:val="auto"/>
              </w:rPr>
              <w:t>90404</w:t>
            </w:r>
          </w:p>
        </w:tc>
      </w:tr>
      <w:tr>
        <w:trPr>
          <w:trHeight w:val="270"/>
        </w:trPr>
        <w:tc>
          <w:tcPr>
            <w:tcW w:w="3580" w:type="dxa"/>
            <w:vAlign w:val="bottom"/>
          </w:tcPr>
          <w:p>
            <w:pPr>
              <w:jc w:val="center"/>
              <w:ind w:right="550"/>
              <w:spacing w:after="0"/>
              <w:rPr>
                <w:sz w:val="20"/>
                <w:szCs w:val="20"/>
                <w:color w:val="auto"/>
              </w:rPr>
            </w:pPr>
            <w:r>
              <w:rPr>
                <w:rFonts w:ascii="Arial" w:cs="Arial" w:eastAsia="Arial" w:hAnsi="Arial"/>
                <w:sz w:val="18"/>
                <w:szCs w:val="18"/>
                <w:color w:val="auto"/>
                <w:w w:val="92"/>
              </w:rPr>
              <w:t>(Address of Principal Executive Offices)</w:t>
            </w:r>
          </w:p>
        </w:tc>
        <w:tc>
          <w:tcPr>
            <w:tcW w:w="3220" w:type="dxa"/>
            <w:vAlign w:val="bottom"/>
          </w:tcPr>
          <w:p>
            <w:pPr>
              <w:spacing w:after="0"/>
              <w:rPr>
                <w:sz w:val="23"/>
                <w:szCs w:val="23"/>
                <w:color w:val="auto"/>
              </w:rPr>
            </w:pPr>
          </w:p>
        </w:tc>
        <w:tc>
          <w:tcPr>
            <w:tcW w:w="3540" w:type="dxa"/>
            <w:vAlign w:val="bottom"/>
          </w:tcPr>
          <w:p>
            <w:pPr>
              <w:jc w:val="center"/>
              <w:ind w:left="4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right="680"/>
        <w:spacing w:after="0" w:line="233" w:lineRule="exact"/>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 </w:t>
      </w:r>
      <w:r>
        <w:rPr>
          <w:rFonts w:ascii="MS PGothic" w:cs="MS PGothic" w:eastAsia="MS PGothic" w:hAnsi="MS PGothic"/>
          <w:sz w:val="18"/>
          <w:szCs w:val="18"/>
          <w:color w:val="auto"/>
        </w:rPr>
        <w:t>☐</w:t>
      </w:r>
    </w:p>
    <w:p>
      <w:pPr>
        <w:spacing w:after="0" w:line="263" w:lineRule="exact"/>
        <w:rPr>
          <w:sz w:val="24"/>
          <w:szCs w:val="24"/>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344"/>
        </w:trPr>
        <w:tc>
          <w:tcPr>
            <w:tcW w:w="16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9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90"/>
        </w:trPr>
        <w:tc>
          <w:tcPr>
            <w:tcW w:w="50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Common Stock, par value $.000001 per share</w:t>
            </w: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rPr>
              <w:t>ATVI</w:t>
            </w:r>
          </w:p>
        </w:tc>
        <w:tc>
          <w:tcPr>
            <w:tcW w:w="4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0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On June 21, 2022, Activision Blizzard, Inc. (the “</w:t>
      </w:r>
      <w:r>
        <w:rPr>
          <w:rFonts w:ascii="Arial" w:cs="Arial" w:eastAsia="Arial" w:hAnsi="Arial"/>
          <w:sz w:val="16"/>
          <w:szCs w:val="16"/>
          <w:u w:val="single" w:color="auto"/>
          <w:color w:val="auto"/>
        </w:rPr>
        <w:t>Company</w:t>
      </w:r>
      <w:r>
        <w:rPr>
          <w:rFonts w:ascii="Arial" w:cs="Arial" w:eastAsia="Arial" w:hAnsi="Arial"/>
          <w:sz w:val="16"/>
          <w:szCs w:val="16"/>
          <w:color w:val="auto"/>
        </w:rPr>
        <w:t>”) held its annual meeting of stockholders (the “</w:t>
      </w:r>
      <w:r>
        <w:rPr>
          <w:rFonts w:ascii="Arial" w:cs="Arial" w:eastAsia="Arial" w:hAnsi="Arial"/>
          <w:sz w:val="16"/>
          <w:szCs w:val="16"/>
          <w:u w:val="single" w:color="auto"/>
          <w:color w:val="auto"/>
        </w:rPr>
        <w:t>Annual Meeting</w:t>
      </w:r>
      <w:r>
        <w:rPr>
          <w:rFonts w:ascii="Arial" w:cs="Arial" w:eastAsia="Arial" w:hAnsi="Arial"/>
          <w:sz w:val="16"/>
          <w:szCs w:val="16"/>
          <w:color w:val="auto"/>
        </w:rPr>
        <w:t>”) to vote on the five proposals described in the Company’s definitive proxy statement filed with the U.S. Securities and Exchange Commission on April 29, 2022 (the “</w:t>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15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Each of the proposals upon which the Company’s stockholders voted at the Annual Meeting, and the final, certified results reported by the Company’s independent inspector of elections, American Election Services, LLC, are set forth below.</w:t>
      </w:r>
    </w:p>
    <w:p>
      <w:pPr>
        <w:spacing w:after="0" w:line="210"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i w:val="1"/>
          <w:iCs w:val="1"/>
          <w:color w:val="auto"/>
        </w:rPr>
        <w:t>Proposal 1</w:t>
      </w:r>
      <w:r>
        <w:rPr>
          <w:rFonts w:ascii="Arial" w:cs="Arial" w:eastAsia="Arial" w:hAnsi="Arial"/>
          <w:sz w:val="17"/>
          <w:szCs w:val="17"/>
          <w:color w:val="auto"/>
        </w:rPr>
        <w:t>: The following ten directors were elected to serve one-year terms expiring at the Company’s 2023 Annual Meeting of Stockholders, and until</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respective successors are duly elected or appointed and qualified or until the earlier of their death, resignation or removal.</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2260" w:type="dxa"/>
            <w:vAlign w:val="bottom"/>
            <w:gridSpan w:val="2"/>
          </w:tcPr>
          <w:p>
            <w:pPr>
              <w:ind w:left="940"/>
              <w:spacing w:after="0"/>
              <w:rPr>
                <w:sz w:val="20"/>
                <w:szCs w:val="20"/>
                <w:color w:val="auto"/>
              </w:rPr>
            </w:pPr>
            <w:r>
              <w:rPr>
                <w:rFonts w:ascii="Arial" w:cs="Arial" w:eastAsia="Arial" w:hAnsi="Arial"/>
                <w:sz w:val="18"/>
                <w:szCs w:val="18"/>
                <w:b w:val="1"/>
                <w:bCs w:val="1"/>
                <w:color w:val="auto"/>
              </w:rPr>
              <w:t>For</w:t>
            </w:r>
          </w:p>
        </w:tc>
        <w:tc>
          <w:tcPr>
            <w:tcW w:w="2280" w:type="dxa"/>
            <w:vAlign w:val="bottom"/>
            <w:gridSpan w:val="2"/>
          </w:tcPr>
          <w:p>
            <w:pPr>
              <w:ind w:left="800"/>
              <w:spacing w:after="0"/>
              <w:rPr>
                <w:sz w:val="20"/>
                <w:szCs w:val="20"/>
                <w:color w:val="auto"/>
              </w:rPr>
            </w:pPr>
            <w:r>
              <w:rPr>
                <w:rFonts w:ascii="Arial" w:cs="Arial" w:eastAsia="Arial" w:hAnsi="Arial"/>
                <w:sz w:val="18"/>
                <w:szCs w:val="18"/>
                <w:b w:val="1"/>
                <w:bCs w:val="1"/>
                <w:color w:val="auto"/>
              </w:rPr>
              <w:t>Against</w:t>
            </w:r>
          </w:p>
        </w:tc>
        <w:tc>
          <w:tcPr>
            <w:tcW w:w="2260" w:type="dxa"/>
            <w:vAlign w:val="bottom"/>
            <w:gridSpan w:val="2"/>
          </w:tcPr>
          <w:p>
            <w:pPr>
              <w:ind w:left="780"/>
              <w:spacing w:after="0"/>
              <w:rPr>
                <w:sz w:val="20"/>
                <w:szCs w:val="20"/>
                <w:color w:val="auto"/>
              </w:rPr>
            </w:pPr>
            <w:r>
              <w:rPr>
                <w:rFonts w:ascii="Arial" w:cs="Arial" w:eastAsia="Arial" w:hAnsi="Arial"/>
                <w:sz w:val="18"/>
                <w:szCs w:val="18"/>
                <w:b w:val="1"/>
                <w:bCs w:val="1"/>
                <w:color w:val="auto"/>
              </w:rPr>
              <w:t>Abstain</w:t>
            </w:r>
          </w:p>
        </w:tc>
        <w:tc>
          <w:tcPr>
            <w:tcW w:w="2180" w:type="dxa"/>
            <w:vAlign w:val="bottom"/>
          </w:tcPr>
          <w:p>
            <w:pPr>
              <w:jc w:val="right"/>
              <w:ind w:right="350"/>
              <w:spacing w:after="0"/>
              <w:rPr>
                <w:sz w:val="20"/>
                <w:szCs w:val="20"/>
                <w:color w:val="auto"/>
              </w:rPr>
            </w:pPr>
            <w:r>
              <w:rPr>
                <w:rFonts w:ascii="Arial" w:cs="Arial" w:eastAsia="Arial" w:hAnsi="Arial"/>
                <w:sz w:val="18"/>
                <w:szCs w:val="18"/>
                <w:b w:val="1"/>
                <w:bCs w:val="1"/>
                <w:color w:val="auto"/>
              </w:rPr>
              <w:t>Broker Non-Vote</w:t>
            </w:r>
          </w:p>
        </w:tc>
      </w:tr>
      <w:tr>
        <w:trPr>
          <w:trHeight w:val="27"/>
        </w:trPr>
        <w:tc>
          <w:tcPr>
            <w:tcW w:w="2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r>
              <w:rPr>
                <w:rFonts w:ascii="Arial" w:cs="Arial" w:eastAsia="Arial" w:hAnsi="Arial"/>
                <w:sz w:val="18"/>
                <w:szCs w:val="18"/>
                <w:color w:val="auto"/>
              </w:rPr>
              <w:t>Reveta Bowers</w:t>
            </w:r>
          </w:p>
        </w:tc>
        <w:tc>
          <w:tcPr>
            <w:tcW w:w="2160" w:type="dxa"/>
            <w:vAlign w:val="bottom"/>
          </w:tcPr>
          <w:p>
            <w:pPr>
              <w:jc w:val="right"/>
              <w:spacing w:after="0"/>
              <w:rPr>
                <w:sz w:val="20"/>
                <w:szCs w:val="20"/>
                <w:color w:val="auto"/>
              </w:rPr>
            </w:pPr>
            <w:r>
              <w:rPr>
                <w:rFonts w:ascii="Arial" w:cs="Arial" w:eastAsia="Arial" w:hAnsi="Arial"/>
                <w:sz w:val="18"/>
                <w:szCs w:val="18"/>
                <w:color w:val="auto"/>
              </w:rPr>
              <w:t>570,069,460</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20,069,854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8,323,643</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Kerry Carr</w:t>
            </w:r>
          </w:p>
        </w:tc>
        <w:tc>
          <w:tcPr>
            <w:tcW w:w="2160" w:type="dxa"/>
            <w:vAlign w:val="bottom"/>
          </w:tcPr>
          <w:p>
            <w:pPr>
              <w:jc w:val="right"/>
              <w:spacing w:after="0"/>
              <w:rPr>
                <w:sz w:val="20"/>
                <w:szCs w:val="20"/>
                <w:color w:val="auto"/>
              </w:rPr>
            </w:pPr>
            <w:r>
              <w:rPr>
                <w:rFonts w:ascii="Arial" w:cs="Arial" w:eastAsia="Arial" w:hAnsi="Arial"/>
                <w:sz w:val="18"/>
                <w:szCs w:val="18"/>
                <w:color w:val="auto"/>
              </w:rPr>
              <w:t>594,269,935</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2,253,529</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1,939,493</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Robert Corti</w:t>
            </w:r>
          </w:p>
        </w:tc>
        <w:tc>
          <w:tcPr>
            <w:tcW w:w="2160" w:type="dxa"/>
            <w:vAlign w:val="bottom"/>
          </w:tcPr>
          <w:p>
            <w:pPr>
              <w:jc w:val="right"/>
              <w:spacing w:after="0"/>
              <w:rPr>
                <w:sz w:val="20"/>
                <w:szCs w:val="20"/>
                <w:color w:val="auto"/>
              </w:rPr>
            </w:pPr>
            <w:r>
              <w:rPr>
                <w:rFonts w:ascii="Arial" w:cs="Arial" w:eastAsia="Arial" w:hAnsi="Arial"/>
                <w:sz w:val="18"/>
                <w:szCs w:val="18"/>
                <w:color w:val="auto"/>
              </w:rPr>
              <w:t>501,431,883</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95,076,047</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1,955,027</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Brian Kelly</w:t>
            </w:r>
          </w:p>
        </w:tc>
        <w:tc>
          <w:tcPr>
            <w:tcW w:w="2160" w:type="dxa"/>
            <w:vAlign w:val="bottom"/>
          </w:tcPr>
          <w:p>
            <w:pPr>
              <w:jc w:val="right"/>
              <w:spacing w:after="0"/>
              <w:rPr>
                <w:sz w:val="20"/>
                <w:szCs w:val="20"/>
                <w:color w:val="auto"/>
              </w:rPr>
            </w:pPr>
            <w:r>
              <w:rPr>
                <w:rFonts w:ascii="Arial" w:cs="Arial" w:eastAsia="Arial" w:hAnsi="Arial"/>
                <w:sz w:val="18"/>
                <w:szCs w:val="18"/>
                <w:color w:val="auto"/>
              </w:rPr>
              <w:t>527,602,184</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68,415,423</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2,445,350</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Robert Kotick</w:t>
            </w:r>
          </w:p>
        </w:tc>
        <w:tc>
          <w:tcPr>
            <w:tcW w:w="2160" w:type="dxa"/>
            <w:vAlign w:val="bottom"/>
          </w:tcPr>
          <w:p>
            <w:pPr>
              <w:jc w:val="right"/>
              <w:spacing w:after="0"/>
              <w:rPr>
                <w:sz w:val="20"/>
                <w:szCs w:val="20"/>
                <w:color w:val="auto"/>
              </w:rPr>
            </w:pPr>
            <w:r>
              <w:rPr>
                <w:rFonts w:ascii="Arial" w:cs="Arial" w:eastAsia="Arial" w:hAnsi="Arial"/>
                <w:sz w:val="18"/>
                <w:szCs w:val="18"/>
                <w:color w:val="auto"/>
              </w:rPr>
              <w:t>533,703,580</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62,597,199</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2,162,178</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Lulu Meservey</w:t>
            </w:r>
          </w:p>
        </w:tc>
        <w:tc>
          <w:tcPr>
            <w:tcW w:w="2160" w:type="dxa"/>
            <w:vAlign w:val="bottom"/>
          </w:tcPr>
          <w:p>
            <w:pPr>
              <w:jc w:val="right"/>
              <w:spacing w:after="0"/>
              <w:rPr>
                <w:sz w:val="20"/>
                <w:szCs w:val="20"/>
                <w:color w:val="auto"/>
              </w:rPr>
            </w:pPr>
            <w:r>
              <w:rPr>
                <w:rFonts w:ascii="Arial" w:cs="Arial" w:eastAsia="Arial" w:hAnsi="Arial"/>
                <w:sz w:val="18"/>
                <w:szCs w:val="18"/>
                <w:color w:val="auto"/>
              </w:rPr>
              <w:t>594,225,355</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2,302,158</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1,935,444</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Barry Meyer</w:t>
            </w:r>
          </w:p>
        </w:tc>
        <w:tc>
          <w:tcPr>
            <w:tcW w:w="2160" w:type="dxa"/>
            <w:vAlign w:val="bottom"/>
          </w:tcPr>
          <w:p>
            <w:pPr>
              <w:jc w:val="right"/>
              <w:spacing w:after="0"/>
              <w:rPr>
                <w:sz w:val="20"/>
                <w:szCs w:val="20"/>
                <w:color w:val="auto"/>
              </w:rPr>
            </w:pPr>
            <w:r>
              <w:rPr>
                <w:rFonts w:ascii="Arial" w:cs="Arial" w:eastAsia="Arial" w:hAnsi="Arial"/>
                <w:sz w:val="18"/>
                <w:szCs w:val="18"/>
                <w:color w:val="auto"/>
              </w:rPr>
              <w:t>521,987,017</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74,530,701</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1,945,239</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Robert Morgado</w:t>
            </w:r>
          </w:p>
        </w:tc>
        <w:tc>
          <w:tcPr>
            <w:tcW w:w="2160" w:type="dxa"/>
            <w:vAlign w:val="bottom"/>
          </w:tcPr>
          <w:p>
            <w:pPr>
              <w:jc w:val="right"/>
              <w:spacing w:after="0"/>
              <w:rPr>
                <w:sz w:val="20"/>
                <w:szCs w:val="20"/>
                <w:color w:val="auto"/>
              </w:rPr>
            </w:pPr>
            <w:r>
              <w:rPr>
                <w:rFonts w:ascii="Arial" w:cs="Arial" w:eastAsia="Arial" w:hAnsi="Arial"/>
                <w:sz w:val="18"/>
                <w:szCs w:val="18"/>
                <w:color w:val="auto"/>
              </w:rPr>
              <w:t>431,416,165</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164,932,068</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2,114,724</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Peter Nolan</w:t>
            </w:r>
          </w:p>
        </w:tc>
        <w:tc>
          <w:tcPr>
            <w:tcW w:w="2160" w:type="dxa"/>
            <w:vAlign w:val="bottom"/>
          </w:tcPr>
          <w:p>
            <w:pPr>
              <w:jc w:val="right"/>
              <w:spacing w:after="0"/>
              <w:rPr>
                <w:sz w:val="20"/>
                <w:szCs w:val="20"/>
                <w:color w:val="auto"/>
              </w:rPr>
            </w:pPr>
            <w:r>
              <w:rPr>
                <w:rFonts w:ascii="Arial" w:cs="Arial" w:eastAsia="Arial" w:hAnsi="Arial"/>
                <w:sz w:val="18"/>
                <w:szCs w:val="18"/>
                <w:color w:val="auto"/>
              </w:rPr>
              <w:t>546,056,263</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50,459,532</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1,947,162</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Dawn Ostroff</w:t>
            </w:r>
          </w:p>
        </w:tc>
        <w:tc>
          <w:tcPr>
            <w:tcW w:w="2160" w:type="dxa"/>
            <w:vAlign w:val="bottom"/>
          </w:tcPr>
          <w:p>
            <w:pPr>
              <w:jc w:val="right"/>
              <w:spacing w:after="0"/>
              <w:rPr>
                <w:sz w:val="20"/>
                <w:szCs w:val="20"/>
                <w:color w:val="auto"/>
              </w:rPr>
            </w:pPr>
            <w:r>
              <w:rPr>
                <w:rFonts w:ascii="Arial" w:cs="Arial" w:eastAsia="Arial" w:hAnsi="Arial"/>
                <w:sz w:val="18"/>
                <w:szCs w:val="18"/>
                <w:color w:val="auto"/>
              </w:rPr>
              <w:t>570,649,200</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25,909,272</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1,904,485</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49,424,806</w:t>
            </w:r>
          </w:p>
        </w:tc>
      </w:tr>
    </w:tbl>
    <w:p>
      <w:pPr>
        <w:spacing w:after="0" w:line="337"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A non-binding, advisory proposal on the compensation of the Company’s executive officers, as disclosed in the Compensation Discussion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section of the Proxy Statement, was approved.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For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Against</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Abstain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jc w:val="right"/>
              <w:ind w:right="830"/>
              <w:spacing w:after="0"/>
              <w:rPr>
                <w:sz w:val="20"/>
                <w:szCs w:val="20"/>
                <w:color w:val="auto"/>
              </w:rPr>
            </w:pPr>
            <w:r>
              <w:rPr>
                <w:rFonts w:ascii="Arial" w:cs="Arial" w:eastAsia="Arial" w:hAnsi="Arial"/>
                <w:sz w:val="18"/>
                <w:szCs w:val="18"/>
                <w:color w:val="auto"/>
              </w:rPr>
              <w:t>524,115,176</w:t>
            </w:r>
          </w:p>
        </w:tc>
        <w:tc>
          <w:tcPr>
            <w:tcW w:w="80" w:type="dxa"/>
            <w:vAlign w:val="bottom"/>
          </w:tcPr>
          <w:p>
            <w:pPr>
              <w:spacing w:after="0"/>
              <w:rPr>
                <w:sz w:val="20"/>
                <w:szCs w:val="20"/>
                <w:color w:val="auto"/>
              </w:rPr>
            </w:pPr>
          </w:p>
        </w:tc>
        <w:tc>
          <w:tcPr>
            <w:tcW w:w="2740" w:type="dxa"/>
            <w:vAlign w:val="bottom"/>
          </w:tcPr>
          <w:p>
            <w:pPr>
              <w:jc w:val="right"/>
              <w:ind w:right="870"/>
              <w:spacing w:after="0"/>
              <w:rPr>
                <w:sz w:val="20"/>
                <w:szCs w:val="20"/>
                <w:color w:val="auto"/>
              </w:rPr>
            </w:pPr>
            <w:r>
              <w:rPr>
                <w:rFonts w:ascii="Arial" w:cs="Arial" w:eastAsia="Arial" w:hAnsi="Arial"/>
                <w:sz w:val="18"/>
                <w:szCs w:val="18"/>
                <w:color w:val="auto"/>
              </w:rPr>
              <w:t>69,072,128</w:t>
            </w:r>
          </w:p>
        </w:tc>
        <w:tc>
          <w:tcPr>
            <w:tcW w:w="100" w:type="dxa"/>
            <w:vAlign w:val="bottom"/>
          </w:tcPr>
          <w:p>
            <w:pPr>
              <w:spacing w:after="0"/>
              <w:rPr>
                <w:sz w:val="20"/>
                <w:szCs w:val="20"/>
                <w:color w:val="auto"/>
              </w:rPr>
            </w:pPr>
          </w:p>
        </w:tc>
        <w:tc>
          <w:tcPr>
            <w:tcW w:w="2740" w:type="dxa"/>
            <w:vAlign w:val="bottom"/>
          </w:tcPr>
          <w:p>
            <w:pPr>
              <w:jc w:val="right"/>
              <w:ind w:right="910"/>
              <w:spacing w:after="0"/>
              <w:rPr>
                <w:sz w:val="20"/>
                <w:szCs w:val="20"/>
                <w:color w:val="auto"/>
              </w:rPr>
            </w:pPr>
            <w:r>
              <w:rPr>
                <w:rFonts w:ascii="Arial" w:cs="Arial" w:eastAsia="Arial" w:hAnsi="Arial"/>
                <w:sz w:val="18"/>
                <w:szCs w:val="18"/>
                <w:color w:val="auto"/>
              </w:rPr>
              <w:t>5,275,653</w:t>
            </w:r>
          </w:p>
        </w:tc>
        <w:tc>
          <w:tcPr>
            <w:tcW w:w="100" w:type="dxa"/>
            <w:vAlign w:val="bottom"/>
          </w:tcPr>
          <w:p>
            <w:pPr>
              <w:spacing w:after="0"/>
              <w:rPr>
                <w:sz w:val="20"/>
                <w:szCs w:val="20"/>
                <w:color w:val="auto"/>
              </w:rPr>
            </w:pPr>
          </w:p>
        </w:tc>
        <w:tc>
          <w:tcPr>
            <w:tcW w:w="2740" w:type="dxa"/>
            <w:vAlign w:val="bottom"/>
          </w:tcPr>
          <w:p>
            <w:pPr>
              <w:jc w:val="right"/>
              <w:ind w:right="870"/>
              <w:spacing w:after="0"/>
              <w:rPr>
                <w:sz w:val="20"/>
                <w:szCs w:val="20"/>
                <w:color w:val="auto"/>
              </w:rPr>
            </w:pPr>
            <w:r>
              <w:rPr>
                <w:rFonts w:ascii="Arial" w:cs="Arial" w:eastAsia="Arial" w:hAnsi="Arial"/>
                <w:sz w:val="18"/>
                <w:szCs w:val="18"/>
                <w:color w:val="auto"/>
              </w:rPr>
              <w:t>49,424,806</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3</w:t>
      </w:r>
      <w:r>
        <w:rPr>
          <w:rFonts w:ascii="Arial" w:cs="Arial" w:eastAsia="Arial" w:hAnsi="Arial"/>
          <w:sz w:val="17"/>
          <w:szCs w:val="17"/>
          <w:color w:val="auto"/>
        </w:rPr>
        <w:t>: The appointment of PricewaterhouseCoopers LLP as the Company’s independent registered public accounting firm for 2022 was ratified.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For</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Against</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right"/>
              <w:ind w:right="1290"/>
              <w:spacing w:after="0"/>
              <w:rPr>
                <w:sz w:val="20"/>
                <w:szCs w:val="20"/>
                <w:color w:val="auto"/>
              </w:rPr>
            </w:pPr>
            <w:r>
              <w:rPr>
                <w:rFonts w:ascii="Arial" w:cs="Arial" w:eastAsia="Arial" w:hAnsi="Arial"/>
                <w:sz w:val="18"/>
                <w:szCs w:val="18"/>
                <w:color w:val="auto"/>
              </w:rPr>
              <w:t>624,981,205</w:t>
            </w:r>
          </w:p>
        </w:tc>
        <w:tc>
          <w:tcPr>
            <w:tcW w:w="100" w:type="dxa"/>
            <w:vAlign w:val="bottom"/>
          </w:tcPr>
          <w:p>
            <w:pPr>
              <w:spacing w:after="0"/>
              <w:rPr>
                <w:sz w:val="20"/>
                <w:szCs w:val="20"/>
                <w:color w:val="auto"/>
              </w:rPr>
            </w:pPr>
          </w:p>
        </w:tc>
        <w:tc>
          <w:tcPr>
            <w:tcW w:w="3680" w:type="dxa"/>
            <w:vAlign w:val="bottom"/>
          </w:tcPr>
          <w:p>
            <w:pPr>
              <w:jc w:val="right"/>
              <w:ind w:right="1350"/>
              <w:spacing w:after="0"/>
              <w:rPr>
                <w:sz w:val="20"/>
                <w:szCs w:val="20"/>
                <w:color w:val="auto"/>
              </w:rPr>
            </w:pPr>
            <w:r>
              <w:rPr>
                <w:rFonts w:ascii="Arial" w:cs="Arial" w:eastAsia="Arial" w:hAnsi="Arial"/>
                <w:sz w:val="18"/>
                <w:szCs w:val="18"/>
                <w:color w:val="auto"/>
              </w:rPr>
              <w:t>21,247,950</w:t>
            </w:r>
          </w:p>
        </w:tc>
        <w:tc>
          <w:tcPr>
            <w:tcW w:w="80" w:type="dxa"/>
            <w:vAlign w:val="bottom"/>
          </w:tcPr>
          <w:p>
            <w:pPr>
              <w:spacing w:after="0"/>
              <w:rPr>
                <w:sz w:val="20"/>
                <w:szCs w:val="20"/>
                <w:color w:val="auto"/>
              </w:rPr>
            </w:pPr>
          </w:p>
        </w:tc>
        <w:tc>
          <w:tcPr>
            <w:tcW w:w="3700" w:type="dxa"/>
            <w:vAlign w:val="bottom"/>
          </w:tcPr>
          <w:p>
            <w:pPr>
              <w:jc w:val="right"/>
              <w:ind w:right="1390"/>
              <w:spacing w:after="0"/>
              <w:rPr>
                <w:sz w:val="20"/>
                <w:szCs w:val="20"/>
                <w:color w:val="auto"/>
              </w:rPr>
            </w:pPr>
            <w:r>
              <w:rPr>
                <w:rFonts w:ascii="Arial" w:cs="Arial" w:eastAsia="Arial" w:hAnsi="Arial"/>
                <w:sz w:val="18"/>
                <w:szCs w:val="18"/>
                <w:color w:val="auto"/>
              </w:rPr>
              <w:t>1,658,608</w:t>
            </w: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A stockholder proposal regarding the nomination of an employee representative director was not approved.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For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Against</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Abstain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jc w:val="right"/>
              <w:ind w:right="870"/>
              <w:spacing w:after="0"/>
              <w:rPr>
                <w:sz w:val="20"/>
                <w:szCs w:val="20"/>
                <w:color w:val="auto"/>
              </w:rPr>
            </w:pPr>
            <w:r>
              <w:rPr>
                <w:rFonts w:ascii="Arial" w:cs="Arial" w:eastAsia="Arial" w:hAnsi="Arial"/>
                <w:sz w:val="18"/>
                <w:szCs w:val="18"/>
                <w:color w:val="auto"/>
              </w:rPr>
              <w:t>30,425,554</w:t>
            </w:r>
          </w:p>
        </w:tc>
        <w:tc>
          <w:tcPr>
            <w:tcW w:w="80" w:type="dxa"/>
            <w:vAlign w:val="bottom"/>
          </w:tcPr>
          <w:p>
            <w:pPr>
              <w:spacing w:after="0"/>
              <w:rPr>
                <w:sz w:val="20"/>
                <w:szCs w:val="20"/>
                <w:color w:val="auto"/>
              </w:rPr>
            </w:pPr>
          </w:p>
        </w:tc>
        <w:tc>
          <w:tcPr>
            <w:tcW w:w="2740" w:type="dxa"/>
            <w:vAlign w:val="bottom"/>
          </w:tcPr>
          <w:p>
            <w:pPr>
              <w:jc w:val="right"/>
              <w:ind w:right="830"/>
              <w:spacing w:after="0"/>
              <w:rPr>
                <w:sz w:val="20"/>
                <w:szCs w:val="20"/>
                <w:color w:val="auto"/>
              </w:rPr>
            </w:pPr>
            <w:r>
              <w:rPr>
                <w:rFonts w:ascii="Arial" w:cs="Arial" w:eastAsia="Arial" w:hAnsi="Arial"/>
                <w:sz w:val="18"/>
                <w:szCs w:val="18"/>
                <w:color w:val="auto"/>
              </w:rPr>
              <w:t>555,091,091</w:t>
            </w:r>
          </w:p>
        </w:tc>
        <w:tc>
          <w:tcPr>
            <w:tcW w:w="100" w:type="dxa"/>
            <w:vAlign w:val="bottom"/>
          </w:tcPr>
          <w:p>
            <w:pPr>
              <w:spacing w:after="0"/>
              <w:rPr>
                <w:sz w:val="20"/>
                <w:szCs w:val="20"/>
                <w:color w:val="auto"/>
              </w:rPr>
            </w:pPr>
          </w:p>
        </w:tc>
        <w:tc>
          <w:tcPr>
            <w:tcW w:w="2740" w:type="dxa"/>
            <w:vAlign w:val="bottom"/>
          </w:tcPr>
          <w:p>
            <w:pPr>
              <w:jc w:val="right"/>
              <w:ind w:right="870"/>
              <w:spacing w:after="0"/>
              <w:rPr>
                <w:sz w:val="20"/>
                <w:szCs w:val="20"/>
                <w:color w:val="auto"/>
              </w:rPr>
            </w:pPr>
            <w:r>
              <w:rPr>
                <w:rFonts w:ascii="Arial" w:cs="Arial" w:eastAsia="Arial" w:hAnsi="Arial"/>
                <w:sz w:val="18"/>
                <w:szCs w:val="18"/>
                <w:color w:val="auto"/>
              </w:rPr>
              <w:t>12,946,312</w:t>
            </w:r>
          </w:p>
        </w:tc>
        <w:tc>
          <w:tcPr>
            <w:tcW w:w="100" w:type="dxa"/>
            <w:vAlign w:val="bottom"/>
          </w:tcPr>
          <w:p>
            <w:pPr>
              <w:spacing w:after="0"/>
              <w:rPr>
                <w:sz w:val="20"/>
                <w:szCs w:val="20"/>
                <w:color w:val="auto"/>
              </w:rPr>
            </w:pPr>
          </w:p>
        </w:tc>
        <w:tc>
          <w:tcPr>
            <w:tcW w:w="2740" w:type="dxa"/>
            <w:vAlign w:val="bottom"/>
          </w:tcPr>
          <w:p>
            <w:pPr>
              <w:jc w:val="right"/>
              <w:ind w:right="870"/>
              <w:spacing w:after="0"/>
              <w:rPr>
                <w:sz w:val="20"/>
                <w:szCs w:val="20"/>
                <w:color w:val="auto"/>
              </w:rPr>
            </w:pPr>
            <w:r>
              <w:rPr>
                <w:rFonts w:ascii="Arial" w:cs="Arial" w:eastAsia="Arial" w:hAnsi="Arial"/>
                <w:sz w:val="18"/>
                <w:szCs w:val="18"/>
                <w:color w:val="auto"/>
              </w:rPr>
              <w:t>49,424,806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i w:val="1"/>
          <w:iCs w:val="1"/>
          <w:color w:val="auto"/>
        </w:rPr>
        <w:t xml:space="preserve">Proposal 5: </w:t>
      </w:r>
      <w:r>
        <w:rPr>
          <w:rFonts w:ascii="Arial" w:cs="Arial" w:eastAsia="Arial" w:hAnsi="Arial"/>
          <w:sz w:val="18"/>
          <w:szCs w:val="18"/>
          <w:color w:val="auto"/>
        </w:rPr>
        <w:t>A stockholder proposal regarding the preparation of a report about the Company’s efforts to prevent abuse, harassment and discrimination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For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Against</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Abstain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36"/>
        </w:trPr>
        <w:tc>
          <w:tcPr>
            <w:tcW w:w="2740" w:type="dxa"/>
            <w:vAlign w:val="bottom"/>
          </w:tcPr>
          <w:p>
            <w:pPr>
              <w:jc w:val="right"/>
              <w:ind w:right="830"/>
              <w:spacing w:after="0"/>
              <w:rPr>
                <w:sz w:val="20"/>
                <w:szCs w:val="20"/>
                <w:color w:val="auto"/>
              </w:rPr>
            </w:pPr>
            <w:r>
              <w:rPr>
                <w:rFonts w:ascii="Arial" w:cs="Arial" w:eastAsia="Arial" w:hAnsi="Arial"/>
                <w:sz w:val="18"/>
                <w:szCs w:val="18"/>
                <w:color w:val="auto"/>
              </w:rPr>
              <w:t>379,308,934</w:t>
            </w:r>
          </w:p>
        </w:tc>
        <w:tc>
          <w:tcPr>
            <w:tcW w:w="80" w:type="dxa"/>
            <w:vAlign w:val="bottom"/>
          </w:tcPr>
          <w:p>
            <w:pPr>
              <w:spacing w:after="0"/>
              <w:rPr>
                <w:sz w:val="20"/>
                <w:szCs w:val="20"/>
                <w:color w:val="auto"/>
              </w:rPr>
            </w:pPr>
          </w:p>
        </w:tc>
        <w:tc>
          <w:tcPr>
            <w:tcW w:w="2740" w:type="dxa"/>
            <w:vAlign w:val="bottom"/>
          </w:tcPr>
          <w:p>
            <w:pPr>
              <w:jc w:val="right"/>
              <w:ind w:right="830"/>
              <w:spacing w:after="0"/>
              <w:rPr>
                <w:sz w:val="20"/>
                <w:szCs w:val="20"/>
                <w:color w:val="auto"/>
              </w:rPr>
            </w:pPr>
            <w:r>
              <w:rPr>
                <w:rFonts w:ascii="Arial" w:cs="Arial" w:eastAsia="Arial" w:hAnsi="Arial"/>
                <w:sz w:val="18"/>
                <w:szCs w:val="18"/>
                <w:color w:val="auto"/>
              </w:rPr>
              <w:t>183,876,515</w:t>
            </w:r>
          </w:p>
        </w:tc>
        <w:tc>
          <w:tcPr>
            <w:tcW w:w="100" w:type="dxa"/>
            <w:vAlign w:val="bottom"/>
          </w:tcPr>
          <w:p>
            <w:pPr>
              <w:spacing w:after="0"/>
              <w:rPr>
                <w:sz w:val="20"/>
                <w:szCs w:val="20"/>
                <w:color w:val="auto"/>
              </w:rPr>
            </w:pPr>
          </w:p>
        </w:tc>
        <w:tc>
          <w:tcPr>
            <w:tcW w:w="2740" w:type="dxa"/>
            <w:vAlign w:val="bottom"/>
          </w:tcPr>
          <w:p>
            <w:pPr>
              <w:jc w:val="right"/>
              <w:ind w:right="870"/>
              <w:spacing w:after="0"/>
              <w:rPr>
                <w:sz w:val="20"/>
                <w:szCs w:val="20"/>
                <w:color w:val="auto"/>
              </w:rPr>
            </w:pPr>
            <w:r>
              <w:rPr>
                <w:rFonts w:ascii="Arial" w:cs="Arial" w:eastAsia="Arial" w:hAnsi="Arial"/>
                <w:sz w:val="18"/>
                <w:szCs w:val="18"/>
                <w:color w:val="auto"/>
              </w:rPr>
              <w:t>35,277,508</w:t>
            </w:r>
          </w:p>
        </w:tc>
        <w:tc>
          <w:tcPr>
            <w:tcW w:w="100" w:type="dxa"/>
            <w:vAlign w:val="bottom"/>
          </w:tcPr>
          <w:p>
            <w:pPr>
              <w:spacing w:after="0"/>
              <w:rPr>
                <w:sz w:val="20"/>
                <w:szCs w:val="20"/>
                <w:color w:val="auto"/>
              </w:rPr>
            </w:pPr>
          </w:p>
        </w:tc>
        <w:tc>
          <w:tcPr>
            <w:tcW w:w="2740" w:type="dxa"/>
            <w:vAlign w:val="bottom"/>
          </w:tcPr>
          <w:p>
            <w:pPr>
              <w:jc w:val="right"/>
              <w:ind w:right="870"/>
              <w:spacing w:after="0"/>
              <w:rPr>
                <w:sz w:val="20"/>
                <w:szCs w:val="20"/>
                <w:color w:val="auto"/>
              </w:rPr>
            </w:pPr>
            <w:r>
              <w:rPr>
                <w:rFonts w:ascii="Arial" w:cs="Arial" w:eastAsia="Arial" w:hAnsi="Arial"/>
                <w:sz w:val="18"/>
                <w:szCs w:val="18"/>
                <w:color w:val="auto"/>
              </w:rPr>
              <w:t>49,424,806</w:t>
            </w:r>
          </w:p>
        </w:tc>
      </w:tr>
      <w:tr>
        <w:trPr>
          <w:trHeight w:val="1438"/>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2022</w:t>
      </w:r>
    </w:p>
    <w:p>
      <w:pPr>
        <w:spacing w:after="0" w:line="311" w:lineRule="exact"/>
        <w:rPr>
          <w:sz w:val="20"/>
          <w:szCs w:val="20"/>
          <w:color w:val="auto"/>
        </w:rPr>
      </w:pPr>
    </w:p>
    <w:p>
      <w:pPr>
        <w:ind w:left="7600"/>
        <w:spacing w:after="0"/>
        <w:rPr>
          <w:sz w:val="20"/>
          <w:szCs w:val="20"/>
          <w:color w:val="auto"/>
        </w:rPr>
      </w:pPr>
      <w:r>
        <w:rPr>
          <w:rFonts w:ascii="Arial" w:cs="Arial" w:eastAsia="Arial" w:hAnsi="Arial"/>
          <w:sz w:val="20"/>
          <w:szCs w:val="20"/>
          <w:b w:val="1"/>
          <w:bCs w:val="1"/>
          <w:color w:val="auto"/>
        </w:rPr>
        <w:t>ACTIVISION BLIZZARD, INC.</w:t>
      </w:r>
    </w:p>
    <w:p>
      <w:pPr>
        <w:spacing w:after="0" w:line="33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By: /s/ Frances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31750</wp:posOffset>
            </wp:positionV>
            <wp:extent cx="1877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Name: Frances Townsend</w:t>
      </w:r>
    </w:p>
    <w:p>
      <w:pPr>
        <w:spacing w:after="0" w:line="7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Title: Executive Vice President for</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Corporate Affairs, Corporate</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Secretary, and Chief</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Compliance Officer</w:t>
      </w:r>
    </w:p>
    <w:sectPr>
      <w:pgSz w:w="11900" w:h="16838" w:orient="portrait"/>
      <w:cols w:equalWidth="0" w:num="1">
        <w:col w:w="10660"/>
      </w:cols>
      <w:pgMar w:left="320" w:top="1093"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2022-06-21T16:26:18Z</dcterms:created>
  <dcterms:modified xsi:type="dcterms:W3CDTF">2022-06-21T16:26:18Z</dcterms:modified>
</cp:coreProperties>
</file>