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3080" w:right="3239" w:hanging="3070"/>
        <w:spacing w:after="0" w:line="234" w:lineRule="auto"/>
        <w:tabs>
          <w:tab w:leader="none" w:pos="45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QUARTERLY PERIOD ENDED DECEMBER 31,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2640" w:right="3939" w:hanging="2630"/>
        <w:spacing w:after="0" w:line="234"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For the transition period from __________ to __________</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0-12699</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ACTIVISION,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729"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95-4803544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3" w:lineRule="exact"/>
        <w:rPr>
          <w:sz w:val="24"/>
          <w:szCs w:val="24"/>
          <w:color w:val="auto"/>
        </w:rPr>
      </w:pPr>
    </w:p>
    <w:p>
      <w:pPr>
        <w:sectPr>
          <w:pgSz w:w="11900" w:h="16838" w:orient="portrait"/>
          <w:cols w:equalWidth="0" w:num="2">
            <w:col w:w="3140" w:space="720"/>
            <w:col w:w="6379"/>
          </w:cols>
          <w:pgMar w:left="220" w:top="729" w:right="1440" w:bottom="1440" w:gutter="0" w:footer="0" w:header="0"/>
          <w:type w:val="continuous"/>
        </w:sectPr>
      </w:pPr>
    </w:p>
    <w:p>
      <w:pPr>
        <w:spacing w:after="0" w:line="141" w:lineRule="exact"/>
        <w:rPr>
          <w:sz w:val="24"/>
          <w:szCs w:val="24"/>
          <w:color w:val="auto"/>
        </w:rPr>
      </w:pPr>
    </w:p>
    <w:p>
      <w:pPr>
        <w:ind w:left="100" w:right="400" w:hanging="86"/>
        <w:spacing w:after="0" w:line="261" w:lineRule="auto"/>
        <w:rPr>
          <w:sz w:val="20"/>
          <w:szCs w:val="20"/>
          <w:color w:val="auto"/>
        </w:rPr>
      </w:pPr>
      <w:r>
        <w:rPr>
          <w:rFonts w:ascii="Courier New" w:cs="Courier New" w:eastAsia="Courier New" w:hAnsi="Courier New"/>
          <w:sz w:val="14"/>
          <w:szCs w:val="14"/>
          <w:color w:val="auto"/>
        </w:rPr>
        <w:t>3100 OCEAN PARK BOULEVARD, SANTA MONICA, CA (Address of principal executive offices)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90405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180" w:space="720"/>
            <w:col w:w="5339"/>
          </w:cols>
          <w:pgMar w:left="220" w:top="729" w:right="1440" w:bottom="1440" w:gutter="0" w:footer="0" w:header="0"/>
          <w:type w:val="continuous"/>
        </w:sectPr>
      </w:pPr>
    </w:p>
    <w:p>
      <w:pPr>
        <w:spacing w:after="0" w:line="12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(310) 255-2000</w:t>
      </w:r>
    </w:p>
    <w:p>
      <w:pPr>
        <w:spacing w:after="0" w:line="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729" w:right="1440" w:bottom="1440" w:gutter="0" w:footer="0" w:header="0"/>
          <w:type w:val="continuous"/>
        </w:sectPr>
      </w:pPr>
    </w:p>
    <w:p>
      <w:pPr>
        <w:spacing w:after="0" w:line="178"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[X] No [ ]</w:t>
      </w:r>
    </w:p>
    <w:p>
      <w:pPr>
        <w:spacing w:after="0" w:line="342"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number of shares of the registrant's Common Stock outstanding as of February 9, 2001 was $26,282,864 .</w:t>
      </w:r>
    </w:p>
    <w:p>
      <w:pPr>
        <w:sectPr>
          <w:pgSz w:w="11900" w:h="16838" w:orient="portrait"/>
          <w:cols w:equalWidth="0" w:num="1">
            <w:col w:w="10239"/>
          </w:cols>
          <w:pgMar w:left="220" w:top="729" w:right="1440" w:bottom="1440"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ACTIVISION, INC. AND SUBSIDIARIES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08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26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8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260" w:type="dxa"/>
            <w:vAlign w:val="bottom"/>
          </w:tcPr>
          <w:p>
            <w:pPr>
              <w:spacing w:after="0"/>
              <w:rPr>
                <w:sz w:val="24"/>
                <w:szCs w:val="24"/>
                <w:color w:val="auto"/>
              </w:rPr>
            </w:pPr>
          </w:p>
        </w:tc>
      </w:tr>
      <w:tr>
        <w:trPr>
          <w:trHeight w:val="336"/>
        </w:trPr>
        <w:tc>
          <w:tcPr>
            <w:tcW w:w="76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Courier New" w:cs="Courier New" w:eastAsia="Courier New" w:hAnsi="Courier New"/>
                <w:sz w:val="15"/>
                <w:szCs w:val="15"/>
                <w:color w:val="auto"/>
              </w:rPr>
              <w:t>Consolidated Balance Sheets as of December 31, 2000 (Unaudited) and</w:t>
            </w:r>
          </w:p>
        </w:tc>
        <w:tc>
          <w:tcPr>
            <w:tcW w:w="12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March 31, 2000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76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Operations for the three and nine months</w:t>
            </w:r>
          </w:p>
        </w:tc>
        <w:tc>
          <w:tcPr>
            <w:tcW w:w="12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ended December 31, 2000 and 1999 (Unaudited)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76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Statements of Cash Flows for the nine months</w:t>
            </w:r>
          </w:p>
        </w:tc>
        <w:tc>
          <w:tcPr>
            <w:tcW w:w="12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ended December 31, 2000 and 1999 (Unaudited)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76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Courier New" w:cs="Courier New" w:eastAsia="Courier New" w:hAnsi="Courier New"/>
                <w:sz w:val="15"/>
                <w:szCs w:val="15"/>
                <w:color w:val="auto"/>
              </w:rPr>
              <w:t>Consolidated Statement of Changes in Shareholders' Equity</w:t>
            </w:r>
          </w:p>
        </w:tc>
        <w:tc>
          <w:tcPr>
            <w:tcW w:w="12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8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for the nine months ended December 31, 2000 (Unaudited)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76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Courier New" w:cs="Courier New" w:eastAsia="Courier New" w:hAnsi="Courier New"/>
                <w:sz w:val="15"/>
                <w:szCs w:val="15"/>
                <w:color w:val="auto"/>
              </w:rPr>
              <w:t>Notes to Consolidated Financial Statements for the three and nine months</w:t>
            </w:r>
          </w:p>
        </w:tc>
        <w:tc>
          <w:tcPr>
            <w:tcW w:w="12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ended December 31, 2000 (Unaudited)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505"/>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w:t>
            </w:r>
          </w:p>
        </w:tc>
        <w:tc>
          <w:tcPr>
            <w:tcW w:w="12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0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and Results of Operations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080" w:type="dxa"/>
            <w:vAlign w:val="bottom"/>
          </w:tcPr>
          <w:p>
            <w:pPr>
              <w:ind w:left="4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r>
      <w:tr>
        <w:trPr>
          <w:trHeight w:val="505"/>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080" w:type="dxa"/>
            <w:vAlign w:val="bottom"/>
          </w:tcPr>
          <w:p>
            <w:pPr>
              <w:ind w:left="220"/>
              <w:spacing w:after="0"/>
              <w:rPr>
                <w:sz w:val="20"/>
                <w:szCs w:val="20"/>
                <w:color w:val="auto"/>
              </w:rPr>
            </w:pPr>
            <w:r>
              <w:rPr>
                <w:rFonts w:ascii="Courier New" w:cs="Courier New" w:eastAsia="Courier New" w:hAnsi="Courier New"/>
                <w:sz w:val="15"/>
                <w:szCs w:val="15"/>
                <w:color w:val="auto"/>
              </w:rPr>
              <w:t>OTHER INFORMATION</w:t>
            </w:r>
          </w:p>
        </w:tc>
        <w:tc>
          <w:tcPr>
            <w:tcW w:w="126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80" w:type="dxa"/>
            <w:vAlign w:val="bottom"/>
          </w:tcPr>
          <w:p>
            <w:pPr>
              <w:ind w:left="40"/>
              <w:spacing w:after="0"/>
              <w:rPr>
                <w:sz w:val="20"/>
                <w:szCs w:val="20"/>
                <w:color w:val="auto"/>
              </w:rPr>
            </w:pPr>
            <w:r>
              <w:rPr>
                <w:rFonts w:ascii="Courier New" w:cs="Courier New" w:eastAsia="Courier New" w:hAnsi="Courier New"/>
                <w:sz w:val="15"/>
                <w:szCs w:val="15"/>
                <w:color w:val="auto"/>
              </w:rPr>
              <w:t>Legal Proceedings</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08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r>
      <w:tr>
        <w:trPr>
          <w:trHeight w:val="505"/>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r>
      <w:tr>
        <w:trPr>
          <w:trHeight w:val="673"/>
        </w:trPr>
        <w:tc>
          <w:tcPr>
            <w:tcW w:w="760" w:type="dxa"/>
            <w:vAlign w:val="bottom"/>
          </w:tcPr>
          <w:p>
            <w:pPr>
              <w:spacing w:after="0"/>
              <w:rPr>
                <w:sz w:val="24"/>
                <w:szCs w:val="24"/>
                <w:color w:val="auto"/>
              </w:rPr>
            </w:pPr>
          </w:p>
        </w:tc>
        <w:tc>
          <w:tcPr>
            <w:tcW w:w="7080" w:type="dxa"/>
            <w:vAlign w:val="bottom"/>
          </w:tcPr>
          <w:p>
            <w:pPr>
              <w:ind w:left="2660"/>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237" w:lineRule="auto"/>
        <w:rPr>
          <w:sz w:val="20"/>
          <w:szCs w:val="20"/>
          <w:color w:val="auto"/>
        </w:rPr>
      </w:pPr>
      <w:r>
        <w:rPr>
          <w:rFonts w:ascii="Courier New" w:cs="Courier New" w:eastAsia="Courier New" w:hAnsi="Courier New"/>
          <w:sz w:val="15"/>
          <w:szCs w:val="15"/>
          <w:color w:val="auto"/>
        </w:rPr>
        <w:t>Item 1. Financial Statements.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ACTIVISION, INC.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BALANCE SHEETS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ind w:left="2100"/>
        <w:spacing w:after="0" w:line="237" w:lineRule="auto"/>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March 31,</w:t>
            </w:r>
          </w:p>
        </w:tc>
      </w:tr>
      <w:tr>
        <w:trPr>
          <w:trHeight w:val="168"/>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360" w:type="dxa"/>
            <w:vAlign w:val="bottom"/>
          </w:tcPr>
          <w:p>
            <w:pPr>
              <w:spacing w:after="0"/>
              <w:rPr>
                <w:sz w:val="14"/>
                <w:szCs w:val="14"/>
                <w:color w:val="auto"/>
              </w:rPr>
            </w:pP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52,348</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49,985</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Accounts receivable, net of allowances of  $44,751 and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7"/>
              </w:rPr>
              <w:t>$31,521 at December 31, 2000 and March 31, 2000, respectively</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166,871</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108,108</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49,772</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40,453</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Prepaid royalties and capitalized software costs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21,224</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31,655</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21,870</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14,159</w:t>
            </w:r>
          </w:p>
        </w:tc>
      </w:tr>
      <w:tr>
        <w:trPr>
          <w:trHeight w:val="168"/>
        </w:trPr>
        <w:tc>
          <w:tcPr>
            <w:tcW w:w="6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16,309</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17,815</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328,394</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262,175</w:t>
            </w: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Prepaid royalties and capitalized software costs</w:t>
            </w:r>
          </w:p>
        </w:tc>
        <w:tc>
          <w:tcPr>
            <w:tcW w:w="260" w:type="dxa"/>
            <w:vAlign w:val="bottom"/>
          </w:tcPr>
          <w:p>
            <w:pPr>
              <w:spacing w:after="0"/>
              <w:rPr>
                <w:sz w:val="24"/>
                <w:szCs w:val="24"/>
                <w:color w:val="auto"/>
              </w:rPr>
            </w:pPr>
          </w:p>
        </w:tc>
        <w:tc>
          <w:tcPr>
            <w:tcW w:w="11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11,060</w:t>
            </w:r>
          </w:p>
        </w:tc>
        <w:tc>
          <w:tcPr>
            <w:tcW w:w="3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9,153</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15,053</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10,815</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3,748</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6,055</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 net</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10,892</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12,347</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8,268</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9,192</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1240"/>
              <w:spacing w:after="0"/>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$ 377,415</w:t>
            </w:r>
          </w:p>
        </w:tc>
        <w:tc>
          <w:tcPr>
            <w:tcW w:w="11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$ 309,737</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11,390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16,260</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80,560</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38,284</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73,929</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49,404</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124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24"/>
                <w:szCs w:val="24"/>
                <w:color w:val="auto"/>
              </w:rPr>
            </w:pPr>
          </w:p>
        </w:tc>
        <w:tc>
          <w:tcPr>
            <w:tcW w:w="11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8"/>
              </w:rPr>
              <w:t>165,879</w:t>
            </w:r>
          </w:p>
        </w:tc>
        <w:tc>
          <w:tcPr>
            <w:tcW w:w="3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103,948</w:t>
            </w: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Long-term debt, less current portion</w:t>
            </w:r>
          </w:p>
        </w:tc>
        <w:tc>
          <w:tcPr>
            <w:tcW w:w="260" w:type="dxa"/>
            <w:vAlign w:val="bottom"/>
          </w:tcPr>
          <w:p>
            <w:pPr>
              <w:spacing w:after="0"/>
              <w:rPr>
                <w:sz w:val="24"/>
                <w:szCs w:val="24"/>
                <w:color w:val="auto"/>
              </w:rPr>
            </w:pPr>
          </w:p>
        </w:tc>
        <w:tc>
          <w:tcPr>
            <w:tcW w:w="11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5,722</w:t>
            </w:r>
          </w:p>
        </w:tc>
        <w:tc>
          <w:tcPr>
            <w:tcW w:w="3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13,778</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Convertible subordinated notes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60,000</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124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24"/>
                <w:szCs w:val="24"/>
                <w:color w:val="auto"/>
              </w:rPr>
            </w:pPr>
          </w:p>
        </w:tc>
        <w:tc>
          <w:tcPr>
            <w:tcW w:w="114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8"/>
              </w:rPr>
              <w:t>231,603</w:t>
            </w:r>
          </w:p>
        </w:tc>
        <w:tc>
          <w:tcPr>
            <w:tcW w:w="38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177,728</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Preferred stock, $.000001 par value, 5,000,000 shares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authorized, no shares issued at December 31, 2000</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March 31, 2000</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Common stock, $.000001 par value, 50,000,000 shares authorized,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27,555,492 and 26,488,260 shares issued and 24,671,513 and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25,988,260 shares outstanding at December 31, 2000 and</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March 31, 2000, respectively</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163,017</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151,714</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11,271</w:t>
            </w:r>
          </w:p>
        </w:tc>
        <w:tc>
          <w:tcPr>
            <w:tcW w:w="3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(8,361)</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(8,227)</w:t>
            </w:r>
          </w:p>
        </w:tc>
        <w:tc>
          <w:tcPr>
            <w:tcW w:w="3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(6,066)</w:t>
            </w:r>
          </w:p>
        </w:tc>
      </w:tr>
      <w:tr>
        <w:trPr>
          <w:trHeight w:val="168"/>
        </w:trPr>
        <w:tc>
          <w:tcPr>
            <w:tcW w:w="6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Less:  Treasury stock, at cost, 2,883,979 shares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500,000 shares at December 31, 2000 and March 31,</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2000, respectively</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(20,249)</w:t>
            </w:r>
          </w:p>
        </w:tc>
        <w:tc>
          <w:tcPr>
            <w:tcW w:w="3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(5,278)</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8"/>
              </w:rPr>
              <w:t>145,812</w:t>
            </w:r>
          </w:p>
        </w:tc>
        <w:tc>
          <w:tcPr>
            <w:tcW w:w="3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132,009</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$ 377,415</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$ 309,737</w:t>
            </w:r>
          </w:p>
        </w:tc>
      </w:tr>
      <w:tr>
        <w:trPr>
          <w:trHeight w:val="168"/>
        </w:trPr>
        <w:tc>
          <w:tcPr>
            <w:tcW w:w="6360" w:type="dxa"/>
            <w:vAlign w:val="bottom"/>
          </w:tcPr>
          <w:p>
            <w:pPr>
              <w:spacing w:after="0"/>
              <w:rPr>
                <w:sz w:val="14"/>
                <w:szCs w:val="14"/>
                <w:color w:val="auto"/>
              </w:rPr>
            </w:pPr>
          </w:p>
        </w:tc>
        <w:tc>
          <w:tcPr>
            <w:tcW w:w="14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3" w:name="page4"/>
    <w:bookmarkEnd w:id="3"/>
    <w:p>
      <w:pPr>
        <w:jc w:val="center"/>
        <w:ind w:right="3140"/>
        <w:spacing w:after="0"/>
        <w:rPr>
          <w:sz w:val="20"/>
          <w:szCs w:val="20"/>
          <w:color w:val="auto"/>
        </w:rPr>
      </w:pPr>
      <w:r>
        <w:rPr>
          <w:rFonts w:ascii="Courier New" w:cs="Courier New" w:eastAsia="Courier New" w:hAnsi="Courier New"/>
          <w:sz w:val="15"/>
          <w:szCs w:val="15"/>
          <w:color w:val="auto"/>
        </w:rPr>
        <w:t>ACTIVISION, INC. AND SUBSIDIARIES</w:t>
      </w:r>
    </w:p>
    <w:p>
      <w:pPr>
        <w:jc w:val="center"/>
        <w:ind w:right="314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3140"/>
        <w:spacing w:after="0" w:line="238" w:lineRule="auto"/>
        <w:rPr>
          <w:sz w:val="20"/>
          <w:szCs w:val="20"/>
          <w:color w:val="auto"/>
        </w:rPr>
      </w:pPr>
      <w:r>
        <w:rPr>
          <w:rFonts w:ascii="Courier New" w:cs="Courier New" w:eastAsia="Courier New" w:hAnsi="Courier New"/>
          <w:sz w:val="15"/>
          <w:szCs w:val="15"/>
          <w:color w:val="auto"/>
        </w:rPr>
        <w:t>(Unaudited)</w:t>
      </w:r>
    </w:p>
    <w:p>
      <w:pPr>
        <w:jc w:val="center"/>
        <w:ind w:right="314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324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For the three months ended</w:t>
            </w:r>
          </w:p>
        </w:tc>
        <w:tc>
          <w:tcPr>
            <w:tcW w:w="302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For the nine months ended</w:t>
            </w:r>
          </w:p>
        </w:tc>
      </w:tr>
      <w:tr>
        <w:trPr>
          <w:trHeight w:val="168"/>
        </w:trPr>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324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2000</w:t>
            </w:r>
          </w:p>
        </w:tc>
        <w:tc>
          <w:tcPr>
            <w:tcW w:w="56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1999</w:t>
            </w:r>
          </w:p>
        </w:tc>
        <w:tc>
          <w:tcPr>
            <w:tcW w:w="48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264,473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268,862</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$ 493,393</w:t>
            </w:r>
          </w:p>
        </w:tc>
        <w:tc>
          <w:tcPr>
            <w:tcW w:w="14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$ 468,367</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sales - product costs</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139,430</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139,357</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247,414</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259,180</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sales - royalties and software</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39,364</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39,733</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77,829</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61,213</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11,779</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6,235</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30,311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16,576</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26,725</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33,947</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68,505</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67,392</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12,421</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11,349</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31,542</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28,340</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229,719</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230,621</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455,601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432,701</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34,754</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38,241</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37,792</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35,666</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(2,225)</w:t>
            </w:r>
          </w:p>
        </w:tc>
        <w:tc>
          <w:tcPr>
            <w:tcW w:w="56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(2,835)</w:t>
            </w:r>
          </w:p>
        </w:tc>
        <w:tc>
          <w:tcPr>
            <w:tcW w:w="48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(6,631)</w:t>
            </w:r>
          </w:p>
        </w:tc>
        <w:tc>
          <w:tcPr>
            <w:tcW w:w="5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(5,833)</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 provision</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32,529</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35,406</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31,161</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29,833</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66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12,024</w:t>
            </w:r>
          </w:p>
        </w:tc>
        <w:tc>
          <w:tcPr>
            <w:tcW w:w="5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13,105</w:t>
            </w:r>
          </w:p>
        </w:tc>
        <w:tc>
          <w:tcPr>
            <w:tcW w:w="48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11,529</w:t>
            </w:r>
          </w:p>
        </w:tc>
        <w:tc>
          <w:tcPr>
            <w:tcW w:w="52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11,043</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20,505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22,301</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$ 19,632</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$ 18,790</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0.77</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24,443</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25,075</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24,407</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24,367</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outstanding - assuming dilution</w:t>
            </w:r>
          </w:p>
        </w:tc>
        <w:tc>
          <w:tcPr>
            <w:tcW w:w="6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30,372</w:t>
            </w:r>
          </w:p>
        </w:tc>
        <w:tc>
          <w:tcPr>
            <w:tcW w:w="5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30,483</w:t>
            </w:r>
          </w:p>
        </w:tc>
        <w:tc>
          <w:tcPr>
            <w:tcW w:w="4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28,883</w:t>
            </w:r>
          </w:p>
        </w:tc>
        <w:tc>
          <w:tcPr>
            <w:tcW w:w="5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29,431</w:t>
            </w:r>
          </w:p>
        </w:tc>
      </w:tr>
      <w:tr>
        <w:trPr>
          <w:trHeight w:val="168"/>
        </w:trPr>
        <w:tc>
          <w:tcPr>
            <w:tcW w:w="3980" w:type="dxa"/>
            <w:vAlign w:val="bottom"/>
          </w:tcPr>
          <w:p>
            <w:pPr>
              <w:spacing w:after="0"/>
              <w:rPr>
                <w:sz w:val="14"/>
                <w:szCs w:val="14"/>
                <w:color w:val="auto"/>
              </w:rPr>
            </w:pPr>
          </w:p>
        </w:tc>
        <w:tc>
          <w:tcPr>
            <w:tcW w:w="16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40" w:firstLine="437"/>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40"/>
          </w:cols>
          <w:pgMar w:left="220" w:top="617" w:right="1439"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ACTIVISION, INC.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586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5860" w:type="dxa"/>
            <w:vAlign w:val="bottom"/>
          </w:tcPr>
          <w:p>
            <w:pPr>
              <w:spacing w:after="0"/>
              <w:rPr>
                <w:sz w:val="24"/>
                <w:szCs w:val="24"/>
                <w:color w:val="auto"/>
              </w:rPr>
            </w:pPr>
          </w:p>
        </w:tc>
        <w:tc>
          <w:tcPr>
            <w:tcW w:w="34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For the nine months ended December 31,</w:t>
            </w:r>
          </w:p>
        </w:tc>
      </w:tr>
      <w:tr>
        <w:trPr>
          <w:trHeight w:val="168"/>
        </w:trPr>
        <w:tc>
          <w:tcPr>
            <w:tcW w:w="5860" w:type="dxa"/>
            <w:vAlign w:val="bottom"/>
          </w:tcPr>
          <w:p>
            <w:pPr>
              <w:spacing w:after="0"/>
              <w:rPr>
                <w:sz w:val="14"/>
                <w:szCs w:val="14"/>
                <w:color w:val="auto"/>
              </w:rPr>
            </w:pPr>
          </w:p>
        </w:tc>
        <w:tc>
          <w:tcPr>
            <w:tcW w:w="34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19,632</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18,790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(5,190)</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12,130</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4,502</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6,400</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Amortization of prepaid royalties and capitalized</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software costs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63,397</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49,546</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Expense related to common stock warrants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1,055</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966</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Tax benefit from exercise of stock options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2,295</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2,686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assets and liabilities (net of effects of</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purchases and acquisitions):</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(58,763)</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(97,299)</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(9,319)</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(8,761)</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1,506</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(8,207)</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(131)</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(1,013)</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38,363</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39,790</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Accrued expenses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24,799</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19,793</w:t>
            </w:r>
          </w:p>
        </w:tc>
      </w:tr>
      <w:tr>
        <w:trPr>
          <w:trHeight w:val="168"/>
        </w:trPr>
        <w:tc>
          <w:tcPr>
            <w:tcW w:w="5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82,145</w:t>
            </w:r>
          </w:p>
        </w:tc>
        <w:tc>
          <w:tcPr>
            <w:tcW w:w="38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34,817</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used in purchase acquisitions (net of cash acquired)</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(20,523)</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Investment in prepaid royalties and capitalized software costs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(50,960)</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(54,931)</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(8,835)</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(2,520)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disposal of property and equipment</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1,394</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(58,401)</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(77,974)</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 pursuant to</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 stock option plans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8,148</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14,916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common stock pursuant to</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327</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Borrowing under line-of-credit agreements</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361,282</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202,956</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under line-of-credit agreements</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(364,340)</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(171,463)</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term loan</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Payment on term loan</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(9,300)</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notes payable, net</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(368)</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(5,449)</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paid to acquire line of credit and term loan</w:t>
            </w:r>
          </w:p>
        </w:tc>
        <w:tc>
          <w:tcPr>
            <w:tcW w:w="4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(3,355)</w:t>
            </w: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440" w:type="dxa"/>
            <w:vAlign w:val="bottom"/>
          </w:tcPr>
          <w:p>
            <w:pPr>
              <w:spacing w:after="0"/>
              <w:rPr>
                <w:sz w:val="14"/>
                <w:szCs w:val="14"/>
                <w:color w:val="auto"/>
              </w:rPr>
            </w:pP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(14,971)</w:t>
            </w:r>
          </w:p>
        </w:tc>
        <w:tc>
          <w:tcPr>
            <w:tcW w:w="380" w:type="dxa"/>
            <w:vAlign w:val="bottom"/>
          </w:tcPr>
          <w:p>
            <w:pPr>
              <w:spacing w:after="0"/>
              <w:rPr>
                <w:sz w:val="14"/>
                <w:szCs w:val="14"/>
                <w:color w:val="auto"/>
              </w:rPr>
            </w:pP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44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(19,222)</w:t>
            </w:r>
          </w:p>
        </w:tc>
        <w:tc>
          <w:tcPr>
            <w:tcW w:w="38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63,024</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44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(2,159)</w:t>
            </w:r>
          </w:p>
        </w:tc>
        <w:tc>
          <w:tcPr>
            <w:tcW w:w="38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(1,170)</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4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2,363</w:t>
            </w:r>
          </w:p>
        </w:tc>
        <w:tc>
          <w:tcPr>
            <w:tcW w:w="38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18,697</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4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49,985</w:t>
            </w:r>
          </w:p>
        </w:tc>
        <w:tc>
          <w:tcPr>
            <w:tcW w:w="380" w:type="dxa"/>
            <w:vAlign w:val="bottom"/>
          </w:tcPr>
          <w:p>
            <w:pPr>
              <w:spacing w:after="0"/>
              <w:rPr>
                <w:sz w:val="24"/>
                <w:szCs w:val="2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33,037</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52,348</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51,734</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5" w:name="page6"/>
    <w:bookmarkEnd w:id="5"/>
    <w:p>
      <w:pPr>
        <w:ind w:left="2100"/>
        <w:spacing w:after="0"/>
        <w:rPr>
          <w:sz w:val="20"/>
          <w:szCs w:val="20"/>
          <w:color w:val="auto"/>
        </w:rPr>
      </w:pPr>
      <w:r>
        <w:rPr>
          <w:rFonts w:ascii="Courier New" w:cs="Courier New" w:eastAsia="Courier New" w:hAnsi="Courier New"/>
          <w:sz w:val="15"/>
          <w:szCs w:val="15"/>
          <w:color w:val="auto"/>
        </w:rPr>
        <w:t>ACTIVISION, INC. AND SUBSIDIARIES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CONSOLIDATED STATEMENT OF CHANGES IN SHAREHOLDERS' EQUITY</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nine months ended December 31, 2000</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500"/>
          </w:cols>
          <w:pgMar w:left="220" w:top="617" w:right="117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5700"/>
        <w:spacing w:after="0"/>
        <w:tabs>
          <w:tab w:leader="none" w:pos="68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Paid-In</w:t>
      </w:r>
    </w:p>
    <w:p>
      <w:pPr>
        <w:ind w:left="180"/>
        <w:spacing w:after="0" w:line="237" w:lineRule="auto"/>
        <w:rPr>
          <w:sz w:val="20"/>
          <w:szCs w:val="20"/>
          <w:color w:val="auto"/>
        </w:rPr>
      </w:pPr>
      <w:r>
        <w:rPr>
          <w:rFonts w:ascii="Courier New" w:cs="Courier New" w:eastAsia="Courier New" w:hAnsi="Courier New"/>
          <w:sz w:val="15"/>
          <w:szCs w:val="15"/>
          <w:color w:val="auto"/>
        </w:rPr>
        <w:t>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Retained</w:t>
      </w:r>
    </w:p>
    <w:p>
      <w:pPr>
        <w:spacing w:after="0" w:line="237" w:lineRule="auto"/>
        <w:rPr>
          <w:sz w:val="20"/>
          <w:szCs w:val="20"/>
          <w:color w:val="auto"/>
        </w:rPr>
      </w:pPr>
      <w:r>
        <w:rPr>
          <w:rFonts w:ascii="Courier New" w:cs="Courier New" w:eastAsia="Courier New" w:hAnsi="Courier New"/>
          <w:sz w:val="15"/>
          <w:szCs w:val="15"/>
          <w:color w:val="auto"/>
        </w:rPr>
        <w:t>Earnings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(Deficit)</w:t>
      </w:r>
    </w:p>
    <w:p>
      <w:pPr>
        <w:spacing w:after="0" w:line="171" w:lineRule="exact"/>
        <w:rPr>
          <w:sz w:val="20"/>
          <w:szCs w:val="20"/>
          <w:color w:val="auto"/>
        </w:rPr>
      </w:pPr>
    </w:p>
    <w:p>
      <w:pPr>
        <w:sectPr>
          <w:pgSz w:w="11900" w:h="16838" w:orient="portrait"/>
          <w:cols w:equalWidth="0" w:num="3">
            <w:col w:w="7360" w:space="340"/>
            <w:col w:w="880" w:space="520"/>
            <w:col w:w="1400"/>
          </w:cols>
          <w:pgMar w:left="220" w:top="617" w:right="11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BALANCE, MARCH 31, 2000</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26,488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151,714</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(8,361)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Components of comprehensive income: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19,632</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tcPr>
          <w:p>
            <w:pPr>
              <w:ind w:left="440"/>
              <w:spacing w:after="0"/>
              <w:rPr>
                <w:sz w:val="20"/>
                <w:szCs w:val="20"/>
                <w:color w:val="auto"/>
              </w:rPr>
            </w:pPr>
            <w:r>
              <w:rPr>
                <w:rFonts w:ascii="Courier New" w:cs="Courier New" w:eastAsia="Courier New" w:hAnsi="Courier New"/>
                <w:sz w:val="15"/>
                <w:szCs w:val="15"/>
                <w:color w:val="auto"/>
              </w:rPr>
              <w:t>Total comprehensive income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5"/>
        </w:trPr>
        <w:tc>
          <w:tcPr>
            <w:tcW w:w="5040" w:type="dxa"/>
            <w:vAlign w:val="bottom"/>
          </w:tcPr>
          <w:p>
            <w:pPr>
              <w:spacing w:after="0"/>
              <w:rPr>
                <w:sz w:val="20"/>
                <w:szCs w:val="20"/>
                <w:color w:val="auto"/>
              </w:rPr>
            </w:pPr>
            <w:r>
              <w:rPr>
                <w:rFonts w:ascii="Courier New" w:cs="Courier New" w:eastAsia="Courier New" w:hAnsi="Courier New"/>
                <w:sz w:val="15"/>
                <w:szCs w:val="15"/>
                <w:color w:val="auto"/>
              </w:rPr>
              <w:t>Acquisition of treasury stock</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pursuant to employee stock</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327</w:t>
            </w:r>
          </w:p>
        </w:tc>
        <w:tc>
          <w:tcPr>
            <w:tcW w:w="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pursuant to employee stock</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 plans</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1,032</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8,148</w:t>
            </w:r>
          </w:p>
        </w:tc>
        <w:tc>
          <w:tcPr>
            <w:tcW w:w="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attributable to employee stock option plans</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2,295</w:t>
            </w:r>
          </w:p>
        </w:tc>
        <w:tc>
          <w:tcPr>
            <w:tcW w:w="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Tax benefit derived from net operating loss carryforward</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utilization</w:t>
            </w: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533</w:t>
            </w:r>
          </w:p>
        </w:tc>
        <w:tc>
          <w:tcPr>
            <w:tcW w:w="160" w:type="dxa"/>
            <w:vAlign w:val="bottom"/>
          </w:tcPr>
          <w:p>
            <w:pPr>
              <w:spacing w:after="0"/>
              <w:rPr>
                <w:sz w:val="14"/>
                <w:szCs w:val="14"/>
                <w:color w:val="auto"/>
              </w:rPr>
            </w:pP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5380" w:type="dxa"/>
            <w:vAlign w:val="bottom"/>
            <w:gridSpan w:val="7"/>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27,555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163,017</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11,271</w:t>
            </w:r>
          </w:p>
        </w:tc>
      </w:tr>
      <w:tr>
        <w:trPr>
          <w:trHeight w:val="168"/>
        </w:trPr>
        <w:tc>
          <w:tcPr>
            <w:tcW w:w="5040" w:type="dxa"/>
            <w:vAlign w:val="bottom"/>
          </w:tcPr>
          <w:p>
            <w:pPr>
              <w:spacing w:after="0"/>
              <w:rPr>
                <w:sz w:val="14"/>
                <w:szCs w:val="14"/>
                <w:color w:val="auto"/>
              </w:rPr>
            </w:pPr>
          </w:p>
        </w:tc>
        <w:tc>
          <w:tcPr>
            <w:tcW w:w="5380" w:type="dxa"/>
            <w:vAlign w:val="bottom"/>
            <w:gridSpan w:val="7"/>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673"/>
        </w:trPr>
        <w:tc>
          <w:tcPr>
            <w:tcW w:w="5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40" w:type="dxa"/>
            <w:vAlign w:val="bottom"/>
          </w:tcPr>
          <w:p>
            <w:pPr>
              <w:spacing w:after="0"/>
              <w:rPr>
                <w:sz w:val="14"/>
                <w:szCs w:val="14"/>
                <w:color w:val="auto"/>
              </w:rPr>
            </w:pPr>
          </w:p>
        </w:tc>
        <w:tc>
          <w:tcPr>
            <w:tcW w:w="244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rPr>
              <w:t>Treasury Stock</w:t>
            </w:r>
          </w:p>
        </w:tc>
        <w:tc>
          <w:tcPr>
            <w:tcW w:w="28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1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5040" w:type="dxa"/>
            <w:vAlign w:val="bottom"/>
          </w:tcPr>
          <w:p>
            <w:pPr>
              <w:spacing w:after="0"/>
              <w:rPr>
                <w:sz w:val="14"/>
                <w:szCs w:val="14"/>
                <w:color w:val="auto"/>
              </w:rPr>
            </w:pP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28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Income</w:t>
            </w:r>
          </w:p>
        </w:tc>
        <w:tc>
          <w:tcPr>
            <w:tcW w:w="1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5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BALANCE, MARCH 31, 2000</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(5,278)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(6,066)</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132,009</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Components of comprehensive income:</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19,632</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(2,161)</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(2,161)</w:t>
            </w:r>
          </w:p>
        </w:tc>
      </w:tr>
      <w:tr>
        <w:trPr>
          <w:trHeight w:val="168"/>
        </w:trPr>
        <w:tc>
          <w:tcPr>
            <w:tcW w:w="5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17,471</w:t>
            </w:r>
          </w:p>
        </w:tc>
      </w:tr>
      <w:tr>
        <w:trPr>
          <w:trHeight w:val="168"/>
        </w:trPr>
        <w:tc>
          <w:tcPr>
            <w:tcW w:w="5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 of treasury stock</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(14,971)</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(14,971)</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pursuant to employee stock</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 plan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pursuant to employee stock</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option plans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8,148</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attributable to employee stock option plans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derived from net operating loss carryforward</w:t>
            </w: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utilization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w:t>
            </w:r>
          </w:p>
        </w:tc>
      </w:tr>
      <w:tr>
        <w:trPr>
          <w:trHeight w:val="168"/>
        </w:trPr>
        <w:tc>
          <w:tcPr>
            <w:tcW w:w="5220" w:type="dxa"/>
            <w:vAlign w:val="bottom"/>
          </w:tcPr>
          <w:p>
            <w:pPr>
              <w:spacing w:after="0"/>
              <w:rPr>
                <w:sz w:val="14"/>
                <w:szCs w:val="14"/>
                <w:color w:val="auto"/>
              </w:rPr>
            </w:pPr>
          </w:p>
        </w:tc>
        <w:tc>
          <w:tcPr>
            <w:tcW w:w="52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BALANCE, DECEMBER 31, 2000</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(2,884)</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(20,249)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(8,227)</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145,812</w:t>
            </w:r>
          </w:p>
        </w:tc>
      </w:tr>
      <w:tr>
        <w:trPr>
          <w:trHeight w:val="168"/>
        </w:trPr>
        <w:tc>
          <w:tcPr>
            <w:tcW w:w="5220" w:type="dxa"/>
            <w:vAlign w:val="bottom"/>
          </w:tcPr>
          <w:p>
            <w:pPr>
              <w:spacing w:after="0"/>
              <w:rPr>
                <w:sz w:val="14"/>
                <w:szCs w:val="14"/>
                <w:color w:val="auto"/>
              </w:rPr>
            </w:pPr>
          </w:p>
        </w:tc>
        <w:tc>
          <w:tcPr>
            <w:tcW w:w="52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00" w:firstLine="437"/>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500"/>
          </w:cols>
          <w:pgMar w:left="220" w:top="617" w:right="1179" w:bottom="1440" w:gutter="0" w:footer="0" w:header="0"/>
          <w:type w:val="continuous"/>
        </w:sectPr>
      </w:pPr>
    </w:p>
    <w:bookmarkStart w:id="6" w:name="page7"/>
    <w:bookmarkEnd w:id="6"/>
    <w:p>
      <w:pPr>
        <w:ind w:left="2090"/>
        <w:spacing w:after="0"/>
        <w:rPr>
          <w:sz w:val="20"/>
          <w:szCs w:val="20"/>
          <w:color w:val="auto"/>
        </w:rPr>
      </w:pPr>
      <w:r>
        <w:rPr>
          <w:rFonts w:ascii="Courier New" w:cs="Courier New" w:eastAsia="Courier New" w:hAnsi="Courier New"/>
          <w:sz w:val="15"/>
          <w:szCs w:val="15"/>
          <w:color w:val="auto"/>
        </w:rPr>
        <w:t>ACTIVISION, INC. AND SUBSIDIARIES</w:t>
      </w:r>
    </w:p>
    <w:p>
      <w:pPr>
        <w:ind w:left="1490"/>
        <w:spacing w:after="0" w:line="237" w:lineRule="auto"/>
        <w:rPr>
          <w:sz w:val="20"/>
          <w:szCs w:val="20"/>
          <w:color w:val="auto"/>
        </w:rPr>
      </w:pPr>
      <w:r>
        <w:rPr>
          <w:rFonts w:ascii="Courier New" w:cs="Courier New" w:eastAsia="Courier New" w:hAnsi="Courier New"/>
          <w:sz w:val="15"/>
          <w:szCs w:val="15"/>
          <w:color w:val="auto"/>
        </w:rPr>
        <w:t>Notes to the Consolidated Financial Statements</w:t>
      </w:r>
    </w:p>
    <w:p>
      <w:pPr>
        <w:ind w:left="870"/>
        <w:spacing w:after="0" w:line="238" w:lineRule="auto"/>
        <w:rPr>
          <w:sz w:val="20"/>
          <w:szCs w:val="20"/>
          <w:color w:val="auto"/>
        </w:rPr>
      </w:pPr>
      <w:r>
        <w:rPr>
          <w:rFonts w:ascii="Courier New" w:cs="Courier New" w:eastAsia="Courier New" w:hAnsi="Courier New"/>
          <w:sz w:val="15"/>
          <w:szCs w:val="15"/>
          <w:color w:val="auto"/>
        </w:rPr>
        <w:t>For the three months and nine months ended December 31, 2000</w:t>
      </w:r>
    </w:p>
    <w:p>
      <w:pPr>
        <w:spacing w:after="0" w:line="167" w:lineRule="exact"/>
        <w:rPr>
          <w:sz w:val="20"/>
          <w:szCs w:val="20"/>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2"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consolidated financial statements include the accounts of Activision, Inc. (together with its subsidiaries, "Activision" or the "Company"). The information furnished is unaudited and reflects all adjustments that, in the opinion of management, are necessary to provide a fair statement of the results for the interim periods presented. The financial statements should be read in conjunction with the financial statements included in the Company's Annual Report on Form 10-K for the year ended March 31, 2000 as filed with the Securities and Exchange Commission (the "SEC").</w:t>
      </w:r>
    </w:p>
    <w:p>
      <w:pPr>
        <w:spacing w:after="0" w:line="178" w:lineRule="exact"/>
        <w:rPr>
          <w:rFonts w:ascii="Courier New" w:cs="Courier New" w:eastAsia="Courier New" w:hAnsi="Courier New"/>
          <w:sz w:val="15"/>
          <w:szCs w:val="15"/>
          <w:color w:val="auto"/>
        </w:rPr>
      </w:pPr>
    </w:p>
    <w:p>
      <w:pPr>
        <w:ind w:left="430" w:right="39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consolidated financial statements have been reclassified to conform to the current period's presentation. These reclassifications had no impact on previously reported net income, shareholders' equity or cash flows.</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STRUCTURE</w:t>
      </w:r>
    </w:p>
    <w:p>
      <w:pPr>
        <w:spacing w:after="0" w:line="172"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June 9, 2000, Activision reorganized into a holding company form of organizational structure, whereby Activision Holdings, Inc., a Delaware corporation ("Activision Holdings"), became the holding company for Activision and its subsidiaries. The new holding company organizational structure will allow Activision to manage its entire organization more effectively and broadens the alternatives for future financings.</w:t>
      </w:r>
    </w:p>
    <w:p>
      <w:pPr>
        <w:spacing w:after="0" w:line="166"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holding company organizational structure was effected by a merger conducted pursuant to Section 251(g) of the General Corporation Law of the State of Delaware, which provides for the formation of a holding company structure without a vote of the stockholders of the constituent corporations. In the merger, ATVI Merger Sub, Inc., a Delaware corporation, organized for the purpose of implementing the holding company organizational structure (the "Merger Sub"), merged with and into Activision with Activision as the surviving corporation (the "Surviving Corporation"). Prior to the merger, Activision Holdings was a direct, wholly-owned subsidiary of Activision and Merger Sub was a direct, wholly owned subsidiary of Activision Holdings. Pursuant to the merger, (i) each issued and outstanding share of common stock of Activision (including treasury shares) was converted into one share of common stock of Activision Holdings, (ii) each issued and outstanding share of Merger Sub was converted into one share of the Surviving Corporation's common stock, and Merger Sub's corporate existence ceased, and (iii) all of the issued and outstanding shares of Activision Holdings owned by Activision were automatically canceled and retired. As a result of the merger, Activision became a direct, wholly owned subsidiary of Activision Holdings.</w:t>
      </w:r>
    </w:p>
    <w:p>
      <w:pPr>
        <w:spacing w:after="0" w:line="342" w:lineRule="exact"/>
        <w:rPr>
          <w:rFonts w:ascii="Courier New" w:cs="Courier New" w:eastAsia="Courier New" w:hAnsi="Courier New"/>
          <w:sz w:val="15"/>
          <w:szCs w:val="15"/>
          <w:color w:val="auto"/>
        </w:rPr>
      </w:pPr>
    </w:p>
    <w:p>
      <w:pPr>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merger, Activision changed its name to "Activision Publishing, Inc." and Activision Holdings changed its name to "Activision, Inc." The holding company's common stock will continue to trade on The Nasdaq National Market under the symbol ATVI.</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shares of Activision's common stock in the merger occurred without an exchange of certificates. Accordingly, certificates formerly representing shares of outstanding common stock of Activision are deemed to represent the same number of shares of common stock of Activision Holdings. The change to the holding company structure was tax free for federal income tax purposes for stockholders.</w:t>
      </w:r>
    </w:p>
    <w:p>
      <w:pPr>
        <w:spacing w:after="0" w:line="174" w:lineRule="exact"/>
        <w:rPr>
          <w:rFonts w:ascii="Courier New" w:cs="Courier New" w:eastAsia="Courier New" w:hAnsi="Courier New"/>
          <w:sz w:val="15"/>
          <w:szCs w:val="15"/>
          <w:color w:val="auto"/>
        </w:rPr>
      </w:pPr>
    </w:p>
    <w:p>
      <w:pPr>
        <w:ind w:left="43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transactions had no impact on the Company's consolidated financial statements.</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PREPAID ROYALTIES AND CAPITALIZED SOFTWARE COSTS</w:t>
      </w:r>
    </w:p>
    <w:p>
      <w:pPr>
        <w:spacing w:after="0" w:line="172"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Prepaid royalties include payments made to independent software developers under development agreements and license fees paid to intellectual property rights holders for use of their trademarks or copyrights. Intellectual property rights, which have alternative future uses, are capitalized. Capitalized software costs represent costs incurred for development that are not recoupable against future royalties.</w:t>
      </w:r>
    </w:p>
    <w:p>
      <w:pPr>
        <w:spacing w:after="0" w:line="166"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prepaid royalties relating to development agreements and capitalized software costs in accordance with Statement of Financial Accounting Standards ("SFAS") No. 86, "Accounting for the Costs of Computer Software to be Sold, Leased, or Otherwise Marketed." Software development costs and prepaid royalties are capitalized once technological feasibility is established. Technological feasibility is evaluated on a product-by-product basis. Software development costs are expensed if and when they are deemed</w:t>
      </w:r>
    </w:p>
    <w:p>
      <w:pPr>
        <w:spacing w:after="0" w:line="17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17" w:right="1440" w:bottom="1440" w:gutter="0" w:footer="0" w:header="0"/>
        </w:sectPr>
      </w:pPr>
    </w:p>
    <w:bookmarkStart w:id="7" w:name="page8"/>
    <w:bookmarkEnd w:id="7"/>
    <w:p>
      <w:pPr>
        <w:ind w:left="430" w:right="3759"/>
        <w:spacing w:after="0" w:line="261" w:lineRule="auto"/>
        <w:rPr>
          <w:sz w:val="20"/>
          <w:szCs w:val="20"/>
          <w:color w:val="auto"/>
        </w:rPr>
      </w:pPr>
      <w:r>
        <w:rPr>
          <w:rFonts w:ascii="Courier New" w:cs="Courier New" w:eastAsia="Courier New" w:hAnsi="Courier New"/>
          <w:sz w:val="14"/>
          <w:szCs w:val="14"/>
          <w:color w:val="auto"/>
        </w:rPr>
        <w:t>unrecoverable. Amounts related to software development, which are not capitalized, are charged immediately to product development expense.</w:t>
      </w:r>
    </w:p>
    <w:p>
      <w:pPr>
        <w:spacing w:after="0" w:line="160"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The following criteria are used to evaluate recoverability of software development costs: historical performance of comparable products; the commercial acceptance of prior products released on a given game engine; orders for the product prior to its release; estimated performance of a sequel product based on the performance of the product on which the sequel is based; and actual development costs of a product as compared to the Company's budgeted amount.</w:t>
      </w:r>
    </w:p>
    <w:p>
      <w:pPr>
        <w:spacing w:after="0" w:line="176"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Commencing upon product release, capitalized software development costs are amortized to cost of sales - royalties and software amortization on a straight-line basis over the estimated product life (generally one year or less) or on the ratio of current revenues to total projected revenues, whichever amortization amount is greater. Prepaid royalties are amortized to cost of sales - royalties and software amortization commencing upon the product release at the contractual royalty rate based on actual net product sales or on the ratio of current revenues to total projected revenues, whichever amortization amount is greater. For products that have been released, management evaluates the future recoverability of capitalized amounts on a quarterly basis.</w:t>
      </w:r>
    </w:p>
    <w:p>
      <w:pPr>
        <w:spacing w:after="0" w:line="180"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As of December 31, 2000, prepaid royalties and unamortized capitalized software costs totaled $30.7 million (including $11.1 million classified as non-current) and $1.6 million, respectively. As of March 31, 2000, prepaid royalties and unamortized capitalized software costs totaled $29.2 million (including $9.2 million classified as non-current) and $11.6 million, respectively.</w:t>
      </w:r>
    </w:p>
    <w:p>
      <w:pPr>
        <w:spacing w:after="0" w:line="168" w:lineRule="exact"/>
        <w:rPr>
          <w:sz w:val="20"/>
          <w:szCs w:val="20"/>
          <w:color w:val="auto"/>
        </w:rPr>
      </w:pPr>
    </w:p>
    <w:p>
      <w:pPr>
        <w:ind w:left="430" w:hanging="430"/>
        <w:spacing w:after="0"/>
        <w:tabs>
          <w:tab w:leader="none" w:pos="4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Product Sales: The Company recognizes revenue from the sale of its products upon shipment. Subject to certain limitations, the Company permits customers to obtain exchanges or return products within certain specified periods and provides price protection on certain unsold merchandise. Management of the Company estimates the amount of future returns and price protections based upon historical results and current known circumstances. Revenue from product sales is reflected net of the allowance for returns and price protection.</w:t>
      </w:r>
    </w:p>
    <w:p>
      <w:pPr>
        <w:spacing w:after="0" w:line="177"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Licenses: For those license agreements that provide the customers the right to multiple copies in exchange for guaranteed amounts, revenue is recognized at delivery. Per copy royalties on sales which exceed the guarantee are recognized as earned.</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NET</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net is comprised of the following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410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rPr>
              <w:t>Three months ended December 31,</w:t>
            </w:r>
          </w:p>
        </w:tc>
        <w:tc>
          <w:tcPr>
            <w:tcW w:w="580" w:type="dxa"/>
            <w:vAlign w:val="bottom"/>
          </w:tcPr>
          <w:p>
            <w:pPr>
              <w:spacing w:after="0"/>
              <w:rPr>
                <w:sz w:val="14"/>
                <w:szCs w:val="14"/>
                <w:color w:val="auto"/>
              </w:rPr>
            </w:pPr>
          </w:p>
        </w:tc>
        <w:tc>
          <w:tcPr>
            <w:tcW w:w="29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w w:val="96"/>
              </w:rPr>
              <w:t>Nine months ended December 31,</w:t>
            </w:r>
          </w:p>
        </w:tc>
      </w:tr>
      <w:tr>
        <w:trPr>
          <w:trHeight w:val="168"/>
        </w:trPr>
        <w:tc>
          <w:tcPr>
            <w:tcW w:w="2060" w:type="dxa"/>
            <w:vAlign w:val="bottom"/>
          </w:tcPr>
          <w:p>
            <w:pPr>
              <w:spacing w:after="0"/>
              <w:rPr>
                <w:sz w:val="14"/>
                <w:szCs w:val="14"/>
                <w:color w:val="auto"/>
              </w:rPr>
            </w:pPr>
          </w:p>
        </w:tc>
        <w:tc>
          <w:tcPr>
            <w:tcW w:w="764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2000</w:t>
            </w:r>
          </w:p>
        </w:tc>
        <w:tc>
          <w:tcPr>
            <w:tcW w:w="84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1999</w:t>
            </w:r>
          </w:p>
        </w:tc>
        <w:tc>
          <w:tcPr>
            <w:tcW w:w="58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6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60" w:type="dxa"/>
            <w:vAlign w:val="bottom"/>
          </w:tcPr>
          <w:p>
            <w:pPr>
              <w:spacing w:after="0"/>
              <w:rPr>
                <w:sz w:val="14"/>
                <w:szCs w:val="14"/>
                <w:color w:val="auto"/>
              </w:rPr>
            </w:pPr>
          </w:p>
        </w:tc>
        <w:tc>
          <w:tcPr>
            <w:tcW w:w="2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(7,703)</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(6,465)</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375</w:t>
            </w:r>
          </w:p>
        </w:tc>
        <w:tc>
          <w:tcPr>
            <w:tcW w:w="8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w:t>
            </w:r>
          </w:p>
        </w:tc>
        <w:tc>
          <w:tcPr>
            <w:tcW w:w="58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1,072</w:t>
            </w:r>
          </w:p>
        </w:tc>
        <w:tc>
          <w:tcPr>
            <w:tcW w:w="6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w:t>
            </w:r>
          </w:p>
        </w:tc>
      </w:tr>
      <w:tr>
        <w:trPr>
          <w:trHeight w:val="168"/>
        </w:trPr>
        <w:tc>
          <w:tcPr>
            <w:tcW w:w="2060" w:type="dxa"/>
            <w:vAlign w:val="bottom"/>
          </w:tcPr>
          <w:p>
            <w:pPr>
              <w:spacing w:after="0"/>
              <w:rPr>
                <w:sz w:val="14"/>
                <w:szCs w:val="14"/>
                <w:color w:val="auto"/>
              </w:rPr>
            </w:pPr>
          </w:p>
        </w:tc>
        <w:tc>
          <w:tcPr>
            <w:tcW w:w="2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0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(6,631)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(5,833)</w:t>
            </w:r>
          </w:p>
        </w:tc>
      </w:tr>
      <w:tr>
        <w:trPr>
          <w:trHeight w:val="168"/>
        </w:trPr>
        <w:tc>
          <w:tcPr>
            <w:tcW w:w="2060" w:type="dxa"/>
            <w:vAlign w:val="bottom"/>
          </w:tcPr>
          <w:p>
            <w:pPr>
              <w:spacing w:after="0"/>
              <w:rPr>
                <w:sz w:val="14"/>
                <w:szCs w:val="14"/>
                <w:color w:val="auto"/>
              </w:rPr>
            </w:pPr>
          </w:p>
        </w:tc>
        <w:tc>
          <w:tcPr>
            <w:tcW w:w="594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rPr>
              <w:t>====================== ==================== ==================</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060" w:type="dxa"/>
            <w:vAlign w:val="bottom"/>
          </w:tcPr>
          <w:p>
            <w:pPr>
              <w:spacing w:after="0"/>
              <w:rPr>
                <w:sz w:val="24"/>
                <w:szCs w:val="24"/>
                <w:color w:val="auto"/>
              </w:rPr>
            </w:pP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9"/>
          </w:cols>
          <w:pgMar w:left="230" w:top="624" w:right="1440" w:bottom="1440" w:gutter="0" w:footer="0" w:header="0"/>
        </w:sectPr>
      </w:pPr>
    </w:p>
    <w:bookmarkStart w:id="8" w:name="page9"/>
    <w:bookmarkEnd w:id="8"/>
    <w:p>
      <w:pPr>
        <w:ind w:left="430" w:hanging="430"/>
        <w:spacing w:after="0"/>
        <w:tabs>
          <w:tab w:leader="none" w:pos="4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INFORMATION</w:t>
      </w:r>
    </w:p>
    <w:p>
      <w:pPr>
        <w:spacing w:after="0" w:line="172" w:lineRule="exact"/>
        <w:rPr>
          <w:rFonts w:ascii="Courier New" w:cs="Courier New" w:eastAsia="Courier New" w:hAnsi="Courier New"/>
          <w:sz w:val="15"/>
          <w:szCs w:val="15"/>
          <w:color w:val="auto"/>
        </w:rPr>
      </w:pPr>
    </w:p>
    <w:p>
      <w:pPr>
        <w:ind w:left="43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investing and financing activities and supplemental cash flow information is as follows (amounts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3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December 31,</w:t>
            </w:r>
          </w:p>
        </w:tc>
      </w:tr>
      <w:tr>
        <w:trPr>
          <w:trHeight w:val="168"/>
        </w:trPr>
        <w:tc>
          <w:tcPr>
            <w:tcW w:w="4860" w:type="dxa"/>
            <w:vAlign w:val="bottom"/>
          </w:tcPr>
          <w:p>
            <w:pPr>
              <w:spacing w:after="0"/>
              <w:rPr>
                <w:sz w:val="14"/>
                <w:szCs w:val="14"/>
                <w:color w:val="auto"/>
              </w:rPr>
            </w:pPr>
          </w:p>
        </w:tc>
        <w:tc>
          <w:tcPr>
            <w:tcW w:w="32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2000</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and warrants to acquire common stock</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8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issued in exchange for licensing rights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6,482</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benefit derived from net operating loss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8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carryforward utilization</w:t>
            </w:r>
          </w:p>
        </w:tc>
        <w:tc>
          <w:tcPr>
            <w:tcW w:w="9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533</w:t>
            </w:r>
          </w:p>
        </w:tc>
        <w:tc>
          <w:tcPr>
            <w:tcW w:w="8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and options issued to effect business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8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combination</w:t>
            </w:r>
          </w:p>
        </w:tc>
        <w:tc>
          <w:tcPr>
            <w:tcW w:w="9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5,971</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paid for income taxes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5,500</w:t>
            </w:r>
          </w:p>
        </w:tc>
        <w:tc>
          <w:tcPr>
            <w:tcW w:w="8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4,775</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Cash paid for interest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5,803</w:t>
            </w:r>
          </w:p>
        </w:tc>
        <w:tc>
          <w:tcPr>
            <w:tcW w:w="8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9,133</w:t>
            </w:r>
          </w:p>
        </w:tc>
      </w:tr>
      <w:tr>
        <w:trPr>
          <w:trHeight w:val="168"/>
        </w:trPr>
        <w:tc>
          <w:tcPr>
            <w:tcW w:w="4860" w:type="dxa"/>
            <w:vAlign w:val="bottom"/>
          </w:tcPr>
          <w:p>
            <w:pPr>
              <w:spacing w:after="0"/>
              <w:rPr>
                <w:sz w:val="14"/>
                <w:szCs w:val="14"/>
                <w:color w:val="auto"/>
              </w:rPr>
            </w:pPr>
          </w:p>
        </w:tc>
        <w:tc>
          <w:tcPr>
            <w:tcW w:w="1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430" w:hanging="430"/>
        <w:spacing w:after="0"/>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BY REPORTABLE SEGMENTS AND GEOGRAPHIC AREA</w:t>
      </w:r>
    </w:p>
    <w:p>
      <w:pPr>
        <w:spacing w:after="0" w:line="172"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publishes, develops and distributes interactive entertainment and leisure products for a variety of game platforms, including PCs, the Sony PlayStation and PlayStation 2 console systems, the Nintendo 64 console system, the Nintendo Game Boy and the Sega Dreamcast console system. The Company has also begun product development for next-generation console systems and hand held devices, including Microsoft's Xbox and Nintendo's GameCube and Game Boy Advance. Based on its organizational structure, the Company operates in two reportable segments: publishing and distribution.</w:t>
      </w:r>
    </w:p>
    <w:p>
      <w:pPr>
        <w:spacing w:after="0" w:line="165"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publishing segment publishes titles that are developed both internally through the studios owned by the Company and externally through third party developers. In the United States, the Company's products are sold primarily on a direct basis to major computer and software retailing organizations, mass market retailers, consumer electronic stores, discount warehouses and mail order companies. The Company conducts its international publishing activities through offices in the United Kingdom, Germany, France, Australia and Japan. The Company's products are sold internationally on a direct to retail basis and through third party distribution and licensing arrangements and through the Company's wholly-owned distribution subsidiaries located in the United Kingdom, the Netherlands and Germany.</w:t>
      </w:r>
    </w:p>
    <w:p>
      <w:pPr>
        <w:spacing w:after="0" w:line="173" w:lineRule="exact"/>
        <w:rPr>
          <w:rFonts w:ascii="Courier New" w:cs="Courier New" w:eastAsia="Courier New" w:hAnsi="Courier New"/>
          <w:sz w:val="15"/>
          <w:szCs w:val="15"/>
          <w:color w:val="auto"/>
        </w:rPr>
      </w:pPr>
    </w:p>
    <w:p>
      <w:pPr>
        <w:ind w:left="43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distribution segment, located in the United Kingdom, the Netherlands and Germany, distributes interactive entertainment software and hardware and provides logistical services for a variety of publishers and manufacturers.</w:t>
      </w:r>
    </w:p>
    <w:p>
      <w:pPr>
        <w:spacing w:after="0" w:line="175"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and Chief Operating Officer allocates resources to each of these segments using information on their respective revenues and operating profits before interest and taxes. The President and Chief Operating Officer has been identified as the Chief Operating Decision Maker as defined by SFAS No. 131, "Disclosure about Segments of an Enterprise and Related Information," ("SFAS No. 131").</w:t>
      </w:r>
    </w:p>
    <w:p>
      <w:pPr>
        <w:spacing w:after="0" w:line="174" w:lineRule="exact"/>
        <w:rPr>
          <w:rFonts w:ascii="Courier New" w:cs="Courier New" w:eastAsia="Courier New" w:hAnsi="Courier New"/>
          <w:sz w:val="15"/>
          <w:szCs w:val="15"/>
          <w:color w:val="auto"/>
        </w:rPr>
      </w:pPr>
    </w:p>
    <w:p>
      <w:pPr>
        <w:ind w:left="43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and Chief Operating Officer does not evaluate individual segments based on assets or depreciation.</w:t>
      </w:r>
    </w:p>
    <w:p>
      <w:pPr>
        <w:spacing w:after="0" w:line="173" w:lineRule="exact"/>
        <w:rPr>
          <w:rFonts w:ascii="Courier New" w:cs="Courier New" w:eastAsia="Courier New" w:hAnsi="Courier New"/>
          <w:sz w:val="15"/>
          <w:szCs w:val="15"/>
          <w:color w:val="auto"/>
        </w:rPr>
      </w:pPr>
    </w:p>
    <w:p>
      <w:pPr>
        <w:ind w:left="4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accounting policies of these segments are the same as those described in the Summary of Significant Accounting Policies in the Company's Annual Report on Form 10-K for the year ended March 31, 2000. Revenue derived from sales between segments is eliminated in consolidation.</w:t>
      </w:r>
    </w:p>
    <w:p>
      <w:pPr>
        <w:spacing w:after="0" w:line="15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78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Information on the reportable segments for the three and nine months ended</w:t>
      </w:r>
    </w:p>
    <w:p>
      <w:pPr>
        <w:spacing w:after="0" w:line="237" w:lineRule="auto"/>
        <w:rPr>
          <w:sz w:val="20"/>
          <w:szCs w:val="20"/>
          <w:color w:val="auto"/>
        </w:rPr>
      </w:pPr>
      <w:r>
        <w:rPr>
          <w:rFonts w:ascii="Courier New" w:cs="Courier New" w:eastAsia="Courier New" w:hAnsi="Courier New"/>
          <w:sz w:val="15"/>
          <w:szCs w:val="15"/>
          <w:color w:val="auto"/>
        </w:rPr>
        <w:t>December 31, 2000 and 1999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20" w:type="dxa"/>
            <w:vAlign w:val="bottom"/>
            <w:gridSpan w:val="5"/>
          </w:tcPr>
          <w:p>
            <w:pPr>
              <w:jc w:val="center"/>
              <w:ind w:right="367"/>
              <w:spacing w:after="0"/>
              <w:rPr>
                <w:sz w:val="20"/>
                <w:szCs w:val="20"/>
                <w:color w:val="auto"/>
              </w:rPr>
            </w:pPr>
            <w:r>
              <w:rPr>
                <w:rFonts w:ascii="Courier New" w:cs="Courier New" w:eastAsia="Courier New" w:hAnsi="Courier New"/>
                <w:sz w:val="15"/>
                <w:szCs w:val="15"/>
                <w:color w:val="auto"/>
                <w:w w:val="97"/>
              </w:rPr>
              <w:t>Three months ended December 31, 2000</w:t>
            </w:r>
          </w:p>
        </w:tc>
      </w:tr>
      <w:tr>
        <w:trPr>
          <w:trHeight w:val="168"/>
        </w:trPr>
        <w:tc>
          <w:tcPr>
            <w:tcW w:w="3980" w:type="dxa"/>
            <w:vAlign w:val="bottom"/>
          </w:tcPr>
          <w:p>
            <w:pPr>
              <w:spacing w:after="0"/>
              <w:rPr>
                <w:sz w:val="14"/>
                <w:szCs w:val="14"/>
                <w:color w:val="auto"/>
              </w:rPr>
            </w:pPr>
          </w:p>
        </w:tc>
        <w:tc>
          <w:tcPr>
            <w:tcW w:w="5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Distribution</w:t>
            </w:r>
          </w:p>
        </w:tc>
        <w:tc>
          <w:tcPr>
            <w:tcW w:w="7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$ 201,009</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63,464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264,473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6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(15,230)</w:t>
            </w:r>
          </w:p>
        </w:tc>
        <w:tc>
          <w:tcPr>
            <w:tcW w:w="8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15,230</w:t>
            </w:r>
          </w:p>
        </w:tc>
        <w:tc>
          <w:tcPr>
            <w:tcW w:w="7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$ 185,779</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78,694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264,473</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30,708</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34,754</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Nine months ended December 31, 2000</w:t>
            </w:r>
          </w:p>
        </w:tc>
      </w:tr>
      <w:tr>
        <w:trPr>
          <w:trHeight w:val="168"/>
        </w:trPr>
        <w:tc>
          <w:tcPr>
            <w:tcW w:w="3980" w:type="dxa"/>
            <w:vAlign w:val="bottom"/>
          </w:tcPr>
          <w:p>
            <w:pPr>
              <w:spacing w:after="0"/>
              <w:rPr>
                <w:sz w:val="14"/>
                <w:szCs w:val="14"/>
                <w:color w:val="auto"/>
              </w:rPr>
            </w:pPr>
          </w:p>
        </w:tc>
        <w:tc>
          <w:tcPr>
            <w:tcW w:w="5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Distribution</w:t>
            </w:r>
          </w:p>
        </w:tc>
        <w:tc>
          <w:tcPr>
            <w:tcW w:w="7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$ 383,638</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109,755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493,393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6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(31,806)</w:t>
            </w:r>
          </w:p>
        </w:tc>
        <w:tc>
          <w:tcPr>
            <w:tcW w:w="8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31,806</w:t>
            </w:r>
          </w:p>
        </w:tc>
        <w:tc>
          <w:tcPr>
            <w:tcW w:w="7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$ 351,832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141,561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493,393</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35,262</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37,792</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5"/>
          </w:tcPr>
          <w:p>
            <w:pPr>
              <w:jc w:val="center"/>
              <w:ind w:right="367"/>
              <w:spacing w:after="0"/>
              <w:rPr>
                <w:sz w:val="20"/>
                <w:szCs w:val="20"/>
                <w:color w:val="auto"/>
              </w:rPr>
            </w:pPr>
            <w:r>
              <w:rPr>
                <w:rFonts w:ascii="Courier New" w:cs="Courier New" w:eastAsia="Courier New" w:hAnsi="Courier New"/>
                <w:sz w:val="15"/>
                <w:szCs w:val="15"/>
                <w:color w:val="auto"/>
                <w:w w:val="97"/>
              </w:rPr>
              <w:t>Three months ended December 31, 1999</w:t>
            </w:r>
          </w:p>
        </w:tc>
      </w:tr>
      <w:tr>
        <w:trPr>
          <w:trHeight w:val="168"/>
        </w:trPr>
        <w:tc>
          <w:tcPr>
            <w:tcW w:w="3980" w:type="dxa"/>
            <w:vAlign w:val="bottom"/>
          </w:tcPr>
          <w:p>
            <w:pPr>
              <w:spacing w:after="0"/>
              <w:rPr>
                <w:sz w:val="14"/>
                <w:szCs w:val="14"/>
                <w:color w:val="auto"/>
              </w:rPr>
            </w:pPr>
          </w:p>
        </w:tc>
        <w:tc>
          <w:tcPr>
            <w:tcW w:w="5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Distribution</w:t>
            </w:r>
          </w:p>
        </w:tc>
        <w:tc>
          <w:tcPr>
            <w:tcW w:w="7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$ 183,504</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85,358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268,862</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6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(14,950)</w:t>
            </w:r>
          </w:p>
        </w:tc>
        <w:tc>
          <w:tcPr>
            <w:tcW w:w="8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14,950</w:t>
            </w:r>
          </w:p>
        </w:tc>
        <w:tc>
          <w:tcPr>
            <w:tcW w:w="7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$ 168,554</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268,862</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31,201</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38,241</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12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Nine months ended December 31, 1999</w:t>
            </w:r>
          </w:p>
        </w:tc>
      </w:tr>
      <w:tr>
        <w:trPr>
          <w:trHeight w:val="168"/>
        </w:trPr>
        <w:tc>
          <w:tcPr>
            <w:tcW w:w="3980" w:type="dxa"/>
            <w:vAlign w:val="bottom"/>
          </w:tcPr>
          <w:p>
            <w:pPr>
              <w:spacing w:after="0"/>
              <w:rPr>
                <w:sz w:val="14"/>
                <w:szCs w:val="14"/>
                <w:color w:val="auto"/>
              </w:rPr>
            </w:pPr>
          </w:p>
        </w:tc>
        <w:tc>
          <w:tcPr>
            <w:tcW w:w="57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Publishing</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Distribution</w:t>
            </w:r>
          </w:p>
        </w:tc>
        <w:tc>
          <w:tcPr>
            <w:tcW w:w="7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spacing w:after="0"/>
              <w:rPr>
                <w:sz w:val="20"/>
                <w:szCs w:val="20"/>
                <w:color w:val="auto"/>
              </w:rPr>
            </w:pPr>
            <w:r>
              <w:rPr>
                <w:rFonts w:ascii="Courier New" w:cs="Courier New" w:eastAsia="Courier New" w:hAnsi="Courier New"/>
                <w:sz w:val="15"/>
                <w:szCs w:val="15"/>
                <w:color w:val="auto"/>
              </w:rPr>
              <w:t>Total segment revenues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$ 323,976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144,391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468,367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from sales between segments</w:t>
            </w:r>
          </w:p>
        </w:tc>
        <w:tc>
          <w:tcPr>
            <w:tcW w:w="16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(28,620)</w:t>
            </w:r>
          </w:p>
        </w:tc>
        <w:tc>
          <w:tcPr>
            <w:tcW w:w="8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28,620</w:t>
            </w:r>
          </w:p>
        </w:tc>
        <w:tc>
          <w:tcPr>
            <w:tcW w:w="7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$ 295,356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173,011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468,367</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28,663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35,666</w:t>
            </w:r>
          </w:p>
        </w:tc>
      </w:tr>
      <w:tr>
        <w:trPr>
          <w:trHeight w:val="168"/>
        </w:trPr>
        <w:tc>
          <w:tcPr>
            <w:tcW w:w="3980" w:type="dxa"/>
            <w:vAlign w:val="bottom"/>
          </w:tcPr>
          <w:p>
            <w:pPr>
              <w:spacing w:after="0"/>
              <w:rPr>
                <w:sz w:val="14"/>
                <w:szCs w:val="14"/>
                <w:color w:val="auto"/>
              </w:rPr>
            </w:pPr>
          </w:p>
        </w:tc>
        <w:tc>
          <w:tcPr>
            <w:tcW w:w="24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80" w:type="dxa"/>
            <w:vAlign w:val="bottom"/>
          </w:tcPr>
          <w:p>
            <w:pPr>
              <w:ind w:left="2980"/>
              <w:spacing w:after="0"/>
              <w:rPr>
                <w:sz w:val="20"/>
                <w:szCs w:val="20"/>
                <w:color w:val="auto"/>
              </w:rPr>
            </w:pPr>
            <w:r>
              <w:rPr>
                <w:rFonts w:ascii="Courier New" w:cs="Courier New" w:eastAsia="Courier New" w:hAnsi="Courier New"/>
                <w:sz w:val="15"/>
                <w:szCs w:val="15"/>
                <w:color w:val="auto"/>
              </w:rPr>
              <w:t>10</w:t>
            </w: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 w:name="page11"/>
    <w:bookmarkEnd w:id="10"/>
    <w:p>
      <w:pPr>
        <w:jc w:val="both"/>
        <w:ind w:right="3680"/>
        <w:spacing w:after="0" w:line="258" w:lineRule="auto"/>
        <w:rPr>
          <w:sz w:val="20"/>
          <w:szCs w:val="20"/>
          <w:color w:val="auto"/>
        </w:rPr>
      </w:pPr>
      <w:r>
        <w:rPr>
          <w:rFonts w:ascii="Courier New" w:cs="Courier New" w:eastAsia="Courier New" w:hAnsi="Courier New"/>
          <w:sz w:val="14"/>
          <w:szCs w:val="14"/>
          <w:color w:val="auto"/>
        </w:rPr>
        <w:t>Geographic information for the three months and nine months ended December 31, 2000 and 1999 is based on the location of the selling entity. Revenues from external customers by geographic region were as follows: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4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 December 31,</w:t>
            </w:r>
          </w:p>
        </w:tc>
        <w:tc>
          <w:tcPr>
            <w:tcW w:w="38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Nine months ended December 31,</w:t>
            </w:r>
          </w:p>
        </w:tc>
      </w:tr>
      <w:tr>
        <w:trPr>
          <w:trHeight w:val="168"/>
        </w:trPr>
        <w:tc>
          <w:tcPr>
            <w:tcW w:w="1840" w:type="dxa"/>
            <w:vAlign w:val="bottom"/>
          </w:tcPr>
          <w:p>
            <w:pPr>
              <w:spacing w:after="0"/>
              <w:rPr>
                <w:sz w:val="14"/>
                <w:szCs w:val="14"/>
                <w:color w:val="auto"/>
              </w:rPr>
            </w:pPr>
          </w:p>
        </w:tc>
        <w:tc>
          <w:tcPr>
            <w:tcW w:w="4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1999</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2000</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2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$161,383</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$145,241</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$299,686</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$239,842</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100,032</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119,372</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185,441</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220,137</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3,058</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4,249</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8,266</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8,388</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$264,473</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$268,862</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$493,393</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$468,367</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Revenues by platform were as follows:</w:t>
            </w: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673"/>
        </w:trPr>
        <w:tc>
          <w:tcPr>
            <w:tcW w:w="1840" w:type="dxa"/>
            <w:vAlign w:val="bottom"/>
          </w:tcPr>
          <w:p>
            <w:pPr>
              <w:spacing w:after="0"/>
              <w:rPr>
                <w:sz w:val="24"/>
                <w:szCs w:val="24"/>
                <w:color w:val="auto"/>
              </w:rPr>
            </w:pPr>
          </w:p>
        </w:tc>
        <w:tc>
          <w:tcPr>
            <w:tcW w:w="45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 December 31,</w:t>
            </w:r>
          </w:p>
        </w:tc>
        <w:tc>
          <w:tcPr>
            <w:tcW w:w="38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Nine months ended December 31,</w:t>
            </w:r>
          </w:p>
        </w:tc>
      </w:tr>
      <w:tr>
        <w:trPr>
          <w:trHeight w:val="168"/>
        </w:trPr>
        <w:tc>
          <w:tcPr>
            <w:tcW w:w="1840" w:type="dxa"/>
            <w:vAlign w:val="bottom"/>
          </w:tcPr>
          <w:p>
            <w:pPr>
              <w:spacing w:after="0"/>
              <w:rPr>
                <w:sz w:val="14"/>
                <w:szCs w:val="14"/>
                <w:color w:val="auto"/>
              </w:rPr>
            </w:pPr>
          </w:p>
        </w:tc>
        <w:tc>
          <w:tcPr>
            <w:tcW w:w="4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1999</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2000</w:t>
            </w:r>
          </w:p>
        </w:tc>
        <w:tc>
          <w:tcPr>
            <w:tcW w:w="17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Console</w:t>
            </w:r>
          </w:p>
        </w:tc>
        <w:tc>
          <w:tcPr>
            <w:tcW w:w="2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$203,855</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$193,921</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$365,552</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$328,854</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PC</w:t>
            </w:r>
          </w:p>
        </w:tc>
        <w:tc>
          <w:tcPr>
            <w:tcW w:w="2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60,618</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74,941</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127,841</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139,513</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$264,473</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$268,862</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$493,393</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$468,367</w:t>
            </w:r>
          </w:p>
        </w:tc>
      </w:tr>
      <w:tr>
        <w:trPr>
          <w:trHeight w:val="168"/>
        </w:trPr>
        <w:tc>
          <w:tcPr>
            <w:tcW w:w="1840" w:type="dxa"/>
            <w:vAlign w:val="bottom"/>
          </w:tcPr>
          <w:p>
            <w:pPr>
              <w:spacing w:after="0"/>
              <w:rPr>
                <w:sz w:val="14"/>
                <w:szCs w:val="14"/>
                <w:color w:val="auto"/>
              </w:rPr>
            </w:pPr>
          </w:p>
        </w:tc>
        <w:tc>
          <w:tcPr>
            <w:tcW w:w="2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0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840" w:type="dxa"/>
            <w:vAlign w:val="bottom"/>
          </w:tcPr>
          <w:p>
            <w:pPr>
              <w:spacing w:after="0"/>
              <w:rPr>
                <w:sz w:val="24"/>
                <w:szCs w:val="24"/>
                <w:color w:val="auto"/>
              </w:rPr>
            </w:pPr>
          </w:p>
        </w:tc>
        <w:tc>
          <w:tcPr>
            <w:tcW w:w="262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11</w:t>
            </w:r>
          </w:p>
        </w:tc>
        <w:tc>
          <w:tcPr>
            <w:tcW w:w="1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160"/>
          </w:cols>
          <w:pgMar w:left="660" w:top="792" w:right="1079" w:bottom="1440" w:gutter="0" w:footer="0" w:header="0"/>
        </w:sectPr>
      </w:pPr>
    </w:p>
    <w:bookmarkStart w:id="11" w:name="page12"/>
    <w:bookmarkEnd w:id="11"/>
    <w:p>
      <w:pPr>
        <w:ind w:left="440" w:hanging="430"/>
        <w:spacing w:after="0"/>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w:t>
      </w:r>
    </w:p>
    <w:p>
      <w:pPr>
        <w:spacing w:after="0" w:line="172" w:lineRule="exact"/>
        <w:rPr>
          <w:rFonts w:ascii="Courier New" w:cs="Courier New" w:eastAsia="Courier New" w:hAnsi="Courier New"/>
          <w:sz w:val="15"/>
          <w:szCs w:val="15"/>
          <w:color w:val="auto"/>
        </w:rPr>
      </w:pPr>
    </w:p>
    <w:p>
      <w:pPr>
        <w:ind w:left="440" w:right="514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sets forth the computations of basic and diluted earnings per share (amounts in thousands, except per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5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c>
          <w:tcPr>
            <w:tcW w:w="700" w:type="dxa"/>
            <w:vAlign w:val="bottom"/>
          </w:tcPr>
          <w:p>
            <w:pPr>
              <w:spacing w:after="0"/>
              <w:rPr>
                <w:sz w:val="14"/>
                <w:szCs w:val="14"/>
                <w:color w:val="auto"/>
              </w:rPr>
            </w:pPr>
          </w:p>
        </w:tc>
        <w:tc>
          <w:tcPr>
            <w:tcW w:w="2000" w:type="dxa"/>
            <w:vAlign w:val="bottom"/>
            <w:gridSpan w:val="3"/>
          </w:tcPr>
          <w:p>
            <w:pPr>
              <w:jc w:val="right"/>
              <w:ind w:right="427"/>
              <w:spacing w:after="0"/>
              <w:rPr>
                <w:sz w:val="20"/>
                <w:szCs w:val="20"/>
                <w:color w:val="auto"/>
              </w:rPr>
            </w:pPr>
            <w:r>
              <w:rPr>
                <w:rFonts w:ascii="Courier New" w:cs="Courier New" w:eastAsia="Courier New" w:hAnsi="Courier New"/>
                <w:sz w:val="15"/>
                <w:szCs w:val="15"/>
                <w:color w:val="auto"/>
                <w:w w:val="96"/>
              </w:rPr>
              <w:t>Nine months ended</w:t>
            </w:r>
          </w:p>
        </w:tc>
      </w:tr>
      <w:tr>
        <w:trPr>
          <w:trHeight w:val="168"/>
        </w:trPr>
        <w:tc>
          <w:tcPr>
            <w:tcW w:w="5340" w:type="dxa"/>
            <w:vAlign w:val="bottom"/>
          </w:tcPr>
          <w:p>
            <w:pPr>
              <w:spacing w:after="0"/>
              <w:rPr>
                <w:sz w:val="14"/>
                <w:szCs w:val="14"/>
                <w:color w:val="auto"/>
              </w:rPr>
            </w:pPr>
          </w:p>
        </w:tc>
        <w:tc>
          <w:tcPr>
            <w:tcW w:w="35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c>
          <w:tcPr>
            <w:tcW w:w="2000" w:type="dxa"/>
            <w:vAlign w:val="bottom"/>
            <w:gridSpan w:val="3"/>
          </w:tcPr>
          <w:p>
            <w:pPr>
              <w:jc w:val="right"/>
              <w:ind w:right="60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340" w:type="dxa"/>
            <w:vAlign w:val="bottom"/>
          </w:tcPr>
          <w:p>
            <w:pPr>
              <w:spacing w:after="0"/>
              <w:rPr>
                <w:sz w:val="14"/>
                <w:szCs w:val="14"/>
                <w:color w:val="auto"/>
              </w:rPr>
            </w:pPr>
          </w:p>
        </w:tc>
        <w:tc>
          <w:tcPr>
            <w:tcW w:w="35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2000</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1999</w:t>
            </w: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Numerator for basic earnings per</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 - income available to common</w:t>
            </w: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shareholders</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$20,505</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$22,301</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$19,632</w:t>
            </w:r>
          </w:p>
        </w:tc>
        <w:tc>
          <w:tcPr>
            <w:tcW w:w="12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$18,790</w:t>
            </w: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Interest relating to dilutive convertible</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subordinated notes, net of tax</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683</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w:t>
            </w:r>
          </w:p>
        </w:tc>
        <w:tc>
          <w:tcPr>
            <w:tcW w:w="7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2,048</w:t>
            </w:r>
          </w:p>
        </w:tc>
        <w:tc>
          <w:tcPr>
            <w:tcW w:w="4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Numerator for diluted earnings per share</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$21,188</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$22,967</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$21,680</w:t>
            </w:r>
          </w:p>
        </w:tc>
        <w:tc>
          <w:tcPr>
            <w:tcW w:w="12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$20,787</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Denominator for basic earnings per share-</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outstanding</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24,443</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25,075</w:t>
            </w:r>
          </w:p>
        </w:tc>
        <w:tc>
          <w:tcPr>
            <w:tcW w:w="7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24,407</w:t>
            </w:r>
          </w:p>
        </w:tc>
        <w:tc>
          <w:tcPr>
            <w:tcW w:w="4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24,367</w:t>
            </w: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Effect of dilutive securities:</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2,532</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1,958</w:t>
            </w:r>
          </w:p>
        </w:tc>
        <w:tc>
          <w:tcPr>
            <w:tcW w:w="7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1,295</w:t>
            </w:r>
          </w:p>
        </w:tc>
        <w:tc>
          <w:tcPr>
            <w:tcW w:w="4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1,614</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Warrants</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218</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7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Conversion of convertible subordinated notes</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3,179</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3,179</w:t>
            </w:r>
          </w:p>
        </w:tc>
        <w:tc>
          <w:tcPr>
            <w:tcW w:w="7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3,179</w:t>
            </w:r>
          </w:p>
        </w:tc>
        <w:tc>
          <w:tcPr>
            <w:tcW w:w="4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3,179</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340" w:type="dxa"/>
            <w:vAlign w:val="bottom"/>
          </w:tcPr>
          <w:p>
            <w:pPr>
              <w:ind w:left="280"/>
              <w:spacing w:after="0"/>
              <w:rPr>
                <w:sz w:val="20"/>
                <w:szCs w:val="20"/>
                <w:color w:val="auto"/>
              </w:rPr>
            </w:pPr>
            <w:r>
              <w:rPr>
                <w:rFonts w:ascii="Courier New" w:cs="Courier New" w:eastAsia="Courier New" w:hAnsi="Courier New"/>
                <w:sz w:val="15"/>
                <w:szCs w:val="15"/>
                <w:color w:val="auto"/>
              </w:rPr>
              <w:t>Denominator for diluted earnings per</w:t>
            </w:r>
          </w:p>
        </w:tc>
        <w:tc>
          <w:tcPr>
            <w:tcW w:w="2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 - weighted average common shares</w:t>
            </w: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outstanding plus assumed conversions</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30,372</w:t>
            </w:r>
          </w:p>
        </w:tc>
        <w:tc>
          <w:tcPr>
            <w:tcW w:w="5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30,483</w:t>
            </w:r>
          </w:p>
        </w:tc>
        <w:tc>
          <w:tcPr>
            <w:tcW w:w="70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28,883</w:t>
            </w:r>
          </w:p>
        </w:tc>
        <w:tc>
          <w:tcPr>
            <w:tcW w:w="4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6"/>
              </w:rPr>
              <w:t>29,431</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$ 0.84</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0.77</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2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$ 0.70</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5340" w:type="dxa"/>
            <w:vAlign w:val="bottom"/>
          </w:tcPr>
          <w:p>
            <w:pPr>
              <w:spacing w:after="0"/>
              <w:rPr>
                <w:sz w:val="14"/>
                <w:szCs w:val="14"/>
                <w:color w:val="auto"/>
              </w:rPr>
            </w:pPr>
          </w:p>
        </w:tc>
        <w:tc>
          <w:tcPr>
            <w:tcW w:w="2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4620"/>
        <w:spacing w:after="0" w:line="255" w:lineRule="auto"/>
        <w:rPr>
          <w:sz w:val="20"/>
          <w:szCs w:val="20"/>
          <w:color w:val="auto"/>
        </w:rPr>
      </w:pPr>
      <w:r>
        <w:rPr>
          <w:rFonts w:ascii="Courier New" w:cs="Courier New" w:eastAsia="Courier New" w:hAnsi="Courier New"/>
          <w:sz w:val="14"/>
          <w:szCs w:val="14"/>
          <w:color w:val="auto"/>
        </w:rPr>
        <w:t>Options to purchase 2.2 million and 7.4 million shares of common stock at exercise prices ranging from $12.69 to $23.04 and from $10.06 to $23.04, respectively, were outstanding for the three months and nine months ended December 31, 2000, respectively, but were not included in the calculations of diluted earnings per share because their effect would be antidilutive. Options to purchase 719,000 and 948,000 shares of common stock at exercise prices ranging from $14.76 to $23.04 and from $13.81 to $23.04, respectively, were outstanding for the three months and nine months ended December 31, 1999, respectively, but were not included in the calculations of diluted earnings per share because their effect would be antidilutive.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40"/>
          </w:cols>
          <w:pgMar w:left="220" w:top="785" w:right="139" w:bottom="1440" w:gutter="0" w:footer="0" w:header="0"/>
        </w:sectPr>
      </w:pPr>
    </w:p>
    <w:bookmarkStart w:id="12" w:name="page13"/>
    <w:bookmarkEnd w:id="12"/>
    <w:p>
      <w:pPr>
        <w:ind w:left="430" w:hanging="430"/>
        <w:spacing w:after="0"/>
        <w:tabs>
          <w:tab w:leader="none" w:pos="4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BANK LINES OF CREDIT AND OTHER DEBT</w:t>
      </w:r>
    </w:p>
    <w:p>
      <w:pPr>
        <w:spacing w:after="0" w:line="172" w:lineRule="exact"/>
        <w:rPr>
          <w:rFonts w:ascii="Courier New" w:cs="Courier New" w:eastAsia="Courier New" w:hAnsi="Courier New"/>
          <w:sz w:val="15"/>
          <w:szCs w:val="15"/>
          <w:color w:val="auto"/>
        </w:rPr>
      </w:pPr>
    </w:p>
    <w:p>
      <w:pPr>
        <w:ind w:left="4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1999, the Company obtained a $100.0 million revolving credit facility and a $25.0 million term loan (the "U.S. Facility") with a syndicate of banks ("the lender"). The U.S. Facility provides the Company with the ability to borrow up to $100.0 million and issue letters of credit up to $80.0 million on a revolving basis against eligible accounts receivable and inventory. The term loan portion of the U.S. Facility has a three year term with principal amortization on a straight-line quarterly basis which began December 31, 1999 and a borrowing rate based on the banks' base rate (which is generally equivalent to the published prime rate) plus 2% or LIBOR plus 3%. The revolving portion of the U.S Facility has a borrowing rate based on the banks' base rate plus 1.75% or LIBOR plus 2.75% and matures June 2002. The U.S. Facility had a weighted average interest rate on outstanding borrowings of approximately 9.85% and 9.79% for the three months and nine months ended December 31, 2000, respectively. The Company pays a commitment fee of 1/2% on the unused portion of the revolving line. The U.S. Facility is collateralized by substantially all of the assets of the Company and its U.S. subsidiaries. The U.S. Facility contains various covenants that limit the ability of the Company to incur additional indebtedness, pay dividends or make other distributions, create certain liens, sell assets, or enter into certain mergers or acquisitions. The Company is also required to maintain specified financial ratios related to net worth and fixed charges. The Company was in compliance with these covenants as of December 31, 2000. As of December 31, 2000, $10.7 million was outstanding under the term loan portion of the U.S. Facility. As of December 31, 2000, there were no borrowings outstanding and $ 28.3 million of letters of credit outstanding against the revolving portion of the U.S. Facility.</w:t>
      </w:r>
    </w:p>
    <w:p>
      <w:pPr>
        <w:spacing w:after="0" w:line="345"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June 8, 2000, the Company amended certain of the covenants of its U.S. Facility. The amended U.S. Facility permits the Company to purchase up to $15.0 million in shares of its common stock as well as its convertible subordinated notes in accordance with the Company's stock repurchase program (described in Note 10), to distribute "Rights" under the Company's shareholders' rights plan (described in Note 11), and to reorganize the Company's organizational structure into a holding company form.</w:t>
      </w:r>
    </w:p>
    <w:p>
      <w:pPr>
        <w:spacing w:after="0" w:line="166" w:lineRule="exact"/>
        <w:rPr>
          <w:rFonts w:ascii="Courier New" w:cs="Courier New" w:eastAsia="Courier New" w:hAnsi="Courier New"/>
          <w:sz w:val="15"/>
          <w:szCs w:val="15"/>
          <w:color w:val="auto"/>
        </w:rPr>
      </w:pPr>
    </w:p>
    <w:p>
      <w:pPr>
        <w:ind w:left="4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has a revolving credit facility through its CD Contact subsidiary in the Netherlands (the "Netherlands Facility"). The Netherlands Facility permits revolving credit loans and letters of credit up to Netherlands Guilders ("NLG") 26 million ($11.1 million), based upon eligible accounts receivable and inventory balances. The Netherlands Facility is due on demand, bears interest at a Eurocurrency rate plus 1.25% (weighted average interest rate of 5.5% as of December 31, 2000), is collateralized by British Pounds ("GBP") 3.0 million ($4.5 million) letters of credit issued by the Company's CentreSoft subsidiary and matures August 2003. As of December 31, 2000, letters of credit outstanding under the Netherlands Facility were approximately NLG 134,000 ($57,000) and borrowings outstanding were NLG 6.2 million ($2.7 million).</w:t>
      </w:r>
    </w:p>
    <w:p>
      <w:pPr>
        <w:spacing w:after="0" w:line="164" w:lineRule="exact"/>
        <w:rPr>
          <w:rFonts w:ascii="Courier New" w:cs="Courier New" w:eastAsia="Courier New" w:hAnsi="Courier New"/>
          <w:sz w:val="15"/>
          <w:szCs w:val="15"/>
          <w:color w:val="auto"/>
        </w:rPr>
      </w:pPr>
    </w:p>
    <w:p>
      <w:pPr>
        <w:ind w:left="4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also has revolving credit facilities through its CentreSoft subsidiary located in the United Kingdom (the "UK Facility") and its NBG subsidiary located in Germany (the "German Facility"). The UK Facility provides for GBP 7.0 million ($10.5 million) of revolving loans and GBP 3.0 million ($4.5 million) of letters of credit, bears interest at LIBOR plus 2%, is collateralized by substantially all of the assets of the subsidiary and matures July 2001. The UK Facility also contains various covenants that require the subsidiary to maintain specified financial ratios related to, among others, fixed charges. The Company was in compliance with these covenants as of December 31, 2000. No borrowings were outstanding against the UK facility as of December 31, 2000. Letters of credit of GBP 3.0 million ($4.5 million) were outstanding against the UK Facility as of December 31, 2000, issued on behalf of the Company's CD Contact subsidiary as described above. The German Facility provides for revolving loans up to Deutsche Mark ("DM") 4 million ($1.9 million), bears interest at 5.9%, is collateralized by a cash deposit of approximately GBP 650,000 ($971,000) made by the Company's CentreSoft subsidiary and has no expiration date. No borrowings were outstanding against the German Facility as of December 31, 2000.</w:t>
      </w:r>
    </w:p>
    <w:p>
      <w:pPr>
        <w:spacing w:after="0" w:line="176" w:lineRule="exact"/>
        <w:rPr>
          <w:sz w:val="20"/>
          <w:szCs w:val="20"/>
          <w:color w:val="auto"/>
        </w:rPr>
      </w:pPr>
    </w:p>
    <w:p>
      <w:pPr>
        <w:ind w:left="430" w:right="3499"/>
        <w:spacing w:after="0" w:line="235" w:lineRule="auto"/>
        <w:rPr>
          <w:sz w:val="20"/>
          <w:szCs w:val="20"/>
          <w:color w:val="auto"/>
        </w:rPr>
      </w:pPr>
      <w:r>
        <w:rPr>
          <w:rFonts w:ascii="Courier New" w:cs="Courier New" w:eastAsia="Courier New" w:hAnsi="Courier New"/>
          <w:sz w:val="15"/>
          <w:szCs w:val="15"/>
          <w:color w:val="auto"/>
        </w:rPr>
        <w:t>As of December 31, 2000, the Company had $3.7 million of mortgage loans relating to the land, office and warehouse facilities of it's German and Netherlands subsidiaries.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17" w:right="1440" w:bottom="1440" w:gutter="0" w:footer="0" w:header="0"/>
        </w:sectPr>
      </w:pPr>
    </w:p>
    <w:bookmarkStart w:id="13" w:name="page14"/>
    <w:bookmarkEnd w:id="13"/>
    <w:p>
      <w:pPr>
        <w:ind w:left="430"/>
        <w:spacing w:after="0"/>
        <w:rPr>
          <w:sz w:val="20"/>
          <w:szCs w:val="20"/>
          <w:color w:val="auto"/>
        </w:rPr>
      </w:pPr>
      <w:r>
        <w:rPr>
          <w:rFonts w:ascii="Courier New" w:cs="Courier New" w:eastAsia="Courier New" w:hAnsi="Courier New"/>
          <w:sz w:val="15"/>
          <w:szCs w:val="15"/>
          <w:color w:val="auto"/>
        </w:rPr>
        <w:t>DEVELOPER CONTRACTS</w:t>
      </w:r>
    </w:p>
    <w:p>
      <w:pPr>
        <w:spacing w:after="0" w:line="173" w:lineRule="exact"/>
        <w:rPr>
          <w:sz w:val="20"/>
          <w:szCs w:val="20"/>
          <w:color w:val="auto"/>
        </w:rPr>
      </w:pPr>
    </w:p>
    <w:p>
      <w:pPr>
        <w:ind w:left="430" w:right="3399"/>
        <w:spacing w:after="0" w:line="255" w:lineRule="auto"/>
        <w:rPr>
          <w:sz w:val="20"/>
          <w:szCs w:val="20"/>
          <w:color w:val="auto"/>
        </w:rPr>
      </w:pPr>
      <w:r>
        <w:rPr>
          <w:rFonts w:ascii="Courier New" w:cs="Courier New" w:eastAsia="Courier New" w:hAnsi="Courier New"/>
          <w:sz w:val="14"/>
          <w:szCs w:val="14"/>
          <w:color w:val="auto"/>
        </w:rPr>
        <w:t>In the normal course of business, the Company enters into contractual arrangements with third parties for the development of products. Under these agreements, the Company commits to provide specified payments to a developer, contingent upon the developer's achievement of contractually specified milestones. Assuming all contractually specified milestones are achieved, the total future minimum contract commitment for contracts in place as of December 31, 2000 is approximately $55.1 million and is scheduled to be distributed as follows (amounts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93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1220" w:type="dxa"/>
            <w:vAlign w:val="bottom"/>
          </w:tcPr>
          <w:p>
            <w:pPr>
              <w:spacing w:after="0"/>
              <w:rPr>
                <w:sz w:val="14"/>
                <w:szCs w:val="14"/>
                <w:color w:val="auto"/>
              </w:rPr>
            </w:pPr>
          </w:p>
        </w:tc>
      </w:tr>
      <w:tr>
        <w:trPr>
          <w:trHeight w:val="505"/>
        </w:trPr>
        <w:tc>
          <w:tcPr>
            <w:tcW w:w="1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$ 11,632</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23,743</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10,477</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w:t>
            </w:r>
          </w:p>
        </w:tc>
      </w:tr>
      <w:tr>
        <w:trPr>
          <w:trHeight w:val="168"/>
        </w:trPr>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$ 55,102</w:t>
            </w:r>
          </w:p>
        </w:tc>
      </w:tr>
      <w:tr>
        <w:trPr>
          <w:trHeight w:val="168"/>
        </w:trPr>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Additionally, under the terms of a production financing arrangement, the Company has a commitment to purchase two future PlayStation 2 titles from independent third party developers upon their completion for an estimated $8.0 million in the aggregate. Failure by the developers to complete the project within the contractual time frame or specifications alleviates the Company's commitment.</w:t>
      </w:r>
    </w:p>
    <w:p>
      <w:pPr>
        <w:spacing w:after="0" w:line="168"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left="430" w:right="3319"/>
        <w:spacing w:after="0" w:line="236" w:lineRule="auto"/>
        <w:rPr>
          <w:sz w:val="20"/>
          <w:szCs w:val="20"/>
          <w:color w:val="auto"/>
        </w:rPr>
      </w:pPr>
      <w:r>
        <w:rPr>
          <w:rFonts w:ascii="Courier New" w:cs="Courier New" w:eastAsia="Courier New" w:hAnsi="Courier New"/>
          <w:sz w:val="15"/>
          <w:szCs w:val="15"/>
          <w:color w:val="auto"/>
        </w:rPr>
        <w:t>The Company is party to routine claims and suits brought against it in the ordinary course of business, including disputes arising over the ownership of intellectual property rights and collection matters. In the opinion of management, the outcome of such routine claims will not have a material adverse effect on the Company's business, financial condition, results of operations or liquidity.</w:t>
      </w:r>
    </w:p>
    <w:p>
      <w:pPr>
        <w:spacing w:after="0" w:line="175" w:lineRule="exact"/>
        <w:rPr>
          <w:sz w:val="20"/>
          <w:szCs w:val="20"/>
          <w:color w:val="auto"/>
        </w:rPr>
      </w:pPr>
    </w:p>
    <w:p>
      <w:pPr>
        <w:ind w:left="430" w:right="3579"/>
        <w:spacing w:after="0" w:line="236" w:lineRule="auto"/>
        <w:rPr>
          <w:sz w:val="20"/>
          <w:szCs w:val="20"/>
          <w:color w:val="auto"/>
        </w:rPr>
      </w:pPr>
      <w:r>
        <w:rPr>
          <w:rFonts w:ascii="Courier New" w:cs="Courier New" w:eastAsia="Courier New" w:hAnsi="Courier New"/>
          <w:sz w:val="15"/>
          <w:szCs w:val="15"/>
          <w:color w:val="auto"/>
        </w:rPr>
        <w:t>The federal income tax return for fiscal 1997 is currently under examination. While the ultimate results of such examination cannot be predicted with certainty, the Company's management believes that the examination will not have a material adverse effect on its consolidated financial condition or results of operations.</w:t>
      </w:r>
    </w:p>
    <w:p>
      <w:pPr>
        <w:spacing w:after="0" w:line="167" w:lineRule="exact"/>
        <w:rPr>
          <w:sz w:val="20"/>
          <w:szCs w:val="20"/>
          <w:color w:val="auto"/>
        </w:rPr>
      </w:pPr>
    </w:p>
    <w:p>
      <w:pPr>
        <w:ind w:left="430" w:hanging="430"/>
        <w:spacing w:after="0"/>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PLAN</w:t>
      </w:r>
    </w:p>
    <w:p>
      <w:pPr>
        <w:spacing w:after="0" w:line="172" w:lineRule="exact"/>
        <w:rPr>
          <w:rFonts w:ascii="Courier New" w:cs="Courier New" w:eastAsia="Courier New" w:hAnsi="Courier New"/>
          <w:sz w:val="15"/>
          <w:szCs w:val="15"/>
          <w:color w:val="auto"/>
        </w:rPr>
      </w:pPr>
    </w:p>
    <w:p>
      <w:pPr>
        <w:ind w:left="43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May 9, 2000, the Board of Directors authorized the Company to purchase up to $15.0 million in shares of its common stock as well as its convertible subordinated notes. The shares and notes could be purchased from time to time through the open market or in privately negotiated transactions. The amount of shares and notes purchased and the timing of purchases was based on a number of factors, including the market price of the shares and notes, market conditions, and such other factors as the Company's management deemed appropriate. The Company has financed the purchase of shares with available cash. During the quarter ended June 30, 2000, the Company repurchased 2.3 million shares of its common stock for approximately $15.0 million.</w:t>
      </w:r>
    </w:p>
    <w:p>
      <w:pPr>
        <w:spacing w:after="0" w:line="173"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RIGHTS PLAN</w:t>
      </w:r>
    </w:p>
    <w:p>
      <w:pPr>
        <w:spacing w:after="0" w:line="17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On April 18, 2000, the Company's Board of Directors approved a shareholders rights plan (the "Rights Plan"). Under the Rights Plan, each common stockholder at the close of business on April 19, 2000 will receive a dividend of one right for each share of common stock held. Each right represents the right to purchase one one-hundredth (1/100) of a share of the Company's Series A Junior Preferred Stock at an exercise price of $40.00.</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1122" w:right="1440" w:bottom="1440" w:gutter="0" w:footer="0" w:header="0"/>
        </w:sectPr>
      </w:pPr>
    </w:p>
    <w:bookmarkStart w:id="14" w:name="page15"/>
    <w:bookmarkEnd w:id="14"/>
    <w:p>
      <w:pPr>
        <w:ind w:left="430" w:right="3239"/>
        <w:spacing w:after="0" w:line="255" w:lineRule="auto"/>
        <w:rPr>
          <w:sz w:val="20"/>
          <w:szCs w:val="20"/>
          <w:color w:val="auto"/>
        </w:rPr>
      </w:pPr>
      <w:r>
        <w:rPr>
          <w:rFonts w:ascii="Courier New" w:cs="Courier New" w:eastAsia="Courier New" w:hAnsi="Courier New"/>
          <w:sz w:val="14"/>
          <w:szCs w:val="14"/>
          <w:color w:val="auto"/>
        </w:rPr>
        <w:t>Initially, the rights are represented by the Company's common stock certificates and are neither exercisable nor traded separately from the Company's common stock. The rights will only become exercisable if a person or group acquires 15% or more of the common stock of the Company, or announces or commences a tender or exchange offer which would result in the bidder's beneficial ownership of 15% or more of the Company's common stock.</w:t>
      </w:r>
    </w:p>
    <w:p>
      <w:pPr>
        <w:spacing w:after="0" w:line="166"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In the event that any person or group acquires 15% or more of the Company's outstanding common stock, each holder of a right (other than such person or members of such group) will thereafter have the right to receive, upon exercise of such right, in lieu of shares of Series A Junior Preferred Stock, the number of shares of common stock of the Company having a value equal to two times the then current exercise price of the right. If the Company is acquired in a merger or other business combination transaction after a person has acquired 15% or more the Company's common stock, each holder of a right will thereafter have the right to receive, upon exercise of such right, a number of the acquiring company's common shares having a market value equal to two times the then current exercise price of the right. For persons who, as of the close of business on April 18, 2000, beneficially own 15% or more of the common stock of the Company, the Rights Plan "grandfathers" their current level of ownership, so long as they do not purchase additional shares in excess of certain limitations.</w:t>
      </w:r>
    </w:p>
    <w:p>
      <w:pPr>
        <w:spacing w:after="0" w:line="163"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The Company may redeem the rights for $.01 per right at any time until the first public announcement of the acquisition of beneficial ownership of 15% of the Company's common stock. At any time after a person has acquired 15% or more (but before any person has acquired more than 50%) of the Company's common stock, the Company may exchange all or part of the rights for shares of common stock at an exchange ratio of one share of common stock per right. The rights expire on April 18, 2010.</w:t>
      </w:r>
    </w:p>
    <w:p>
      <w:pPr>
        <w:spacing w:after="0" w:line="169"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As discussed in Note 9, the Company obtained an amendment to its U.S.</w:t>
      </w:r>
    </w:p>
    <w:p>
      <w:pPr>
        <w:ind w:left="430"/>
        <w:spacing w:after="0" w:line="237" w:lineRule="auto"/>
        <w:rPr>
          <w:sz w:val="20"/>
          <w:szCs w:val="20"/>
          <w:color w:val="auto"/>
        </w:rPr>
      </w:pPr>
      <w:r>
        <w:rPr>
          <w:rFonts w:ascii="Courier New" w:cs="Courier New" w:eastAsia="Courier New" w:hAnsi="Courier New"/>
          <w:sz w:val="15"/>
          <w:szCs w:val="15"/>
          <w:color w:val="auto"/>
        </w:rPr>
        <w:t>Facility relating to the Rights Plan and the Company's repurchase plan.</w:t>
      </w:r>
    </w:p>
    <w:p>
      <w:pPr>
        <w:spacing w:after="0" w:line="167" w:lineRule="exact"/>
        <w:rPr>
          <w:sz w:val="20"/>
          <w:szCs w:val="20"/>
          <w:color w:val="auto"/>
        </w:rPr>
      </w:pPr>
    </w:p>
    <w:p>
      <w:pPr>
        <w:ind w:left="430" w:hanging="430"/>
        <w:spacing w:after="0"/>
        <w:tabs>
          <w:tab w:leader="none" w:pos="4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2"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2000, the Emerging Issues Task Force reached a consensus on issue No. 00-15 ("EITF 00-15"), "Classification in the Statement of Cash Flows of the Income Tax Benefit Realized by a Company upon Employee Exercise of a Nonqualified Stock Option." The EITF concluded that income tax benefits realized upon an employee's exercise of a nonqualified stock option should be classified as an operating cash flow. Accordingly, the Company reclassified tax benefits resulting from the exercise of stock options on its Consolidated Statements of Cash Flows.</w:t>
      </w:r>
    </w:p>
    <w:p>
      <w:pPr>
        <w:spacing w:after="0" w:line="177" w:lineRule="exact"/>
        <w:rPr>
          <w:rFonts w:ascii="Courier New" w:cs="Courier New" w:eastAsia="Courier New" w:hAnsi="Courier New"/>
          <w:sz w:val="15"/>
          <w:szCs w:val="15"/>
          <w:color w:val="auto"/>
        </w:rPr>
      </w:pPr>
    </w:p>
    <w:p>
      <w:pPr>
        <w:ind w:left="4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Statement of Financial Accounting Standards No. 133, "Accounting for Derivative Instruments and Hedging Activities," ("SFAS No. 133") is effective for all fiscal years beginning after June 15, 2000. 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does not currently participate in hedging activities or own derivative instruments but plans to adopt SFAS No. 133 beginning April 1, 2001. The Company does not expect the adoption of SFAS No. 133 to have a material impact on its financial position or results of operations.</w:t>
      </w:r>
    </w:p>
    <w:p>
      <w:pPr>
        <w:spacing w:after="0" w:line="164"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the Securities and Exchange Commission ("SEC") issued Staff Accounting Bulletin ("SAB") 101, "Revenue Recognition in Financial Statements." SAB 101 provides guidance on the recognition, presentation, and disclosure of revenue in financial statements of all public registrants. Any change in the Company's revenue recognition policy resulting from the implementation of SAB 101 would be reported as a change in accounting principle. In June 2000, the SEC issued SAB 101B which delays the implementation date of SAB 101 until the fourth fiscal quarter of fiscal years beginning after December 15, 1999. The Company does not expect the adoption of SAB 101 to have a material impact on its financial position or results of operations.</w:t>
      </w:r>
    </w:p>
    <w:p>
      <w:pPr>
        <w:spacing w:after="0" w:line="34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4" w:right="1440" w:bottom="1440" w:gutter="0" w:footer="0" w:header="0"/>
        </w:sectPr>
      </w:pPr>
    </w:p>
    <w:bookmarkStart w:id="15" w:name="page16"/>
    <w:bookmarkEnd w:id="15"/>
    <w:p>
      <w:pPr>
        <w:ind w:left="700" w:right="3319" w:hanging="69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 leading international publisher, developer and distributor of interactive entertainment and leisure products. The Company currently focuses its publishing, development and distribution efforts on products designed for personal computers ("PCs") as well as the Sony PlayStation ("PSX") and PlayStation 2 ("PS2") and Nintendo N64 ("N64") console systems and Nintendo Game Boy handheld game devices. The Company is also currently focusing on the development of products for Microsoft's Xbox and Nintendo's GameCube and Game Boy Advance. During January 2001, Sega Corp., the maker of the Sega Dreamcast ("Dreamcast") announced that it would quit making the Dreamcast in March 2001. Net revenues from the Dreamcast have historically represented only a small percentage of the Company's total net revenues. Accordingly, the Company believes that the departure of the Dreamcast console system from the market will not have a material impact upon its financial position or results of operations.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products span a wide range of genres and target markets.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 distributes its products worldwide through its direct sales forces, through its distribution subsidiaries, and through third party distributors and licensees.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recognizes revenue from the sale of its products upon shipment. Subject to certain limitations, the Company permits customers to obtain exchanges and returns within certain specified periods and provides price protection on certain unsold merchandise. Revenue from product sales is reflected after deducting the estimated allowance for returns and price protection. Management of the Company estimates the amount of future returns and price protection based upon historical results and current known circumstances. With respect to license agreements that provide customers the right to multiple copies in exchange for guaranteed amounts, revenue is recognized upon delivery. Per copy royalties on sales that exceed the guarantee are recognized as earned.</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Cost of sales-product costs represents the cost to purchase, manufacture and distribute PC and console product units. Manufacturers of the Company's PC software are located worldwide and are readily available. Console CDs and cartridges are manufactured by the respective video game console manufacturers, Sony, Nintendo and Sega or its agents, who often require significant lead time to fulfill the Company's orders.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Cost of sales-royalties and software amortization represents amounts due developers, product owners and other royalty participants as a result of product sales, as well as amortization of capitalized software development costs. The costs incurred by the Company to develop products are accounted for in accordance with accounting standards that provide for the capitalization of certain software development costs once technological feasibility is established and such costs are determined to be recoverable. Additionally, various contracts are maintained with developers, product owners or other royalty participants, which state a royalty rate, territory and term of agreement, among other items. Commencing upon product release, prepaid royalties are amortized to cost of sales - royalties and software amortization at the contractual royalty rate based on actual net product sales or on the ratio of current revenues to total projected revenues, whichever is greater, and capitalized software costs are amortized to cost of sales-royalties and software amortization on a straight-line basis over the estimated product life or on the ratio of current revenues to total projected revenues, whichever is greater.</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products that have been released, management evaluates the future recoverability of prepaid royalties and capitalized software costs on a quarterly basis. Prior to a product's release, the Company charges to expense, as part of product development costs, capitalized costs when, in management's estimate, such amounts are not recoverable. The following criteria are used to evaluate recoverability: historical performance of comparable products; the commercial acceptance of prior products released on a given game engine; orders for the product prior to its release; estimated performance of a sequel product based on the performance of the product on which the sequel is based; and actual development costs of a product as compared to the Company's budgeted amount.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6" w:name="page17"/>
    <w:bookmarkEnd w:id="16"/>
    <w:p>
      <w:pPr>
        <w:ind w:right="3600"/>
        <w:spacing w:after="0" w:line="258" w:lineRule="auto"/>
        <w:rPr>
          <w:sz w:val="20"/>
          <w:szCs w:val="20"/>
          <w:color w:val="auto"/>
        </w:rPr>
      </w:pPr>
      <w:r>
        <w:rPr>
          <w:rFonts w:ascii="Courier New" w:cs="Courier New" w:eastAsia="Courier New" w:hAnsi="Courier New"/>
          <w:sz w:val="14"/>
          <w:szCs w:val="14"/>
          <w:color w:val="auto"/>
        </w:rPr>
        <w:t>The following table sets forth certain consolidated statements of operations data for the periods indicated as a percentage of total net revenues and also breaks down net revenues by territory, channel, platform and segment: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392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Three months ended December 31,</w:t>
            </w:r>
          </w:p>
        </w:tc>
        <w:tc>
          <w:tcPr>
            <w:tcW w:w="3780" w:type="dxa"/>
            <w:vAlign w:val="bottom"/>
            <w:gridSpan w:val="4"/>
          </w:tcPr>
          <w:p>
            <w:pPr>
              <w:jc w:val="right"/>
              <w:ind w:right="467"/>
              <w:spacing w:after="0"/>
              <w:rPr>
                <w:sz w:val="20"/>
                <w:szCs w:val="20"/>
                <w:color w:val="auto"/>
              </w:rPr>
            </w:pPr>
            <w:r>
              <w:rPr>
                <w:rFonts w:ascii="Courier New" w:cs="Courier New" w:eastAsia="Courier New" w:hAnsi="Courier New"/>
                <w:sz w:val="15"/>
                <w:szCs w:val="15"/>
                <w:color w:val="auto"/>
              </w:rPr>
              <w:t>Nine months ended December 31,</w:t>
            </w:r>
          </w:p>
        </w:tc>
      </w:tr>
      <w:tr>
        <w:trPr>
          <w:trHeight w:val="168"/>
        </w:trPr>
        <w:tc>
          <w:tcPr>
            <w:tcW w:w="26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640" w:type="dxa"/>
            <w:vAlign w:val="bottom"/>
          </w:tcPr>
          <w:p>
            <w:pPr>
              <w:spacing w:after="0"/>
              <w:rPr>
                <w:sz w:val="14"/>
                <w:szCs w:val="14"/>
                <w:color w:val="auto"/>
              </w:rPr>
            </w:pPr>
          </w:p>
        </w:tc>
        <w:tc>
          <w:tcPr>
            <w:tcW w:w="19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spacing w:after="0"/>
              <w:rPr>
                <w:sz w:val="14"/>
                <w:szCs w:val="14"/>
                <w:color w:val="auto"/>
              </w:rPr>
            </w:pPr>
          </w:p>
        </w:tc>
        <w:tc>
          <w:tcPr>
            <w:tcW w:w="1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$264,473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$268,862</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$493,393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$468,367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sales - product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costs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139,430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139,357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247,414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259,180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sales - royalties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software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amortization</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39,364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39,733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77,829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61,213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Product development</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11,779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26,725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33,947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68,505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67,392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General and administrative</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12,421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11,349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31,542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28,340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229,719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230,621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455,601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432,701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34,754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38,241</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37,792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35,666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040" w:type="dxa"/>
            <w:vAlign w:val="bottom"/>
          </w:tcPr>
          <w:p>
            <w:pPr>
              <w:jc w:val="right"/>
              <w:ind w:right="8"/>
              <w:spacing w:after="0"/>
              <w:rPr>
                <w:sz w:val="20"/>
                <w:szCs w:val="20"/>
                <w:color w:val="auto"/>
              </w:rPr>
            </w:pPr>
            <w:r>
              <w:rPr>
                <w:rFonts w:ascii="Courier New" w:cs="Courier New" w:eastAsia="Courier New" w:hAnsi="Courier New"/>
                <w:sz w:val="15"/>
                <w:szCs w:val="15"/>
                <w:color w:val="auto"/>
              </w:rPr>
              <w:t>(2,225)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(2,835)</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(6,631)</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before income tax</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32,529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35,406</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31,161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29,833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12,024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13,105</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11,529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11,043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$ 20,505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$ 22,301</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$ 19,632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$ 18,790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REVENUES BY TERRITORY:</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United States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$161,383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$145,241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$299,686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$239,842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Europe</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100,032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119,372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185,441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220,137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3,058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4,249</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Total net revenues</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$264,473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$268,862</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$493,393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$468,367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REVENUES BY CHANNEL:</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Retailer/Reseller</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$255,451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$260,328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$476,514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$448,853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OEM, Licensing, on-line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other</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9,022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8,534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16,879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19,514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Total net revenues</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$264,473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$268,862</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$493,393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$468,367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ACTIVITY/PLATFORM MIX:</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Publishing:</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Console</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$154,759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$132,427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$283,827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$225,993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PC</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46,250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51,077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99,811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97,983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Total publishing net</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revenues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201,009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183,504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383,638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323,976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ind w:left="440"/>
              <w:spacing w:after="0"/>
              <w:rPr>
                <w:sz w:val="20"/>
                <w:szCs w:val="20"/>
                <w:color w:val="auto"/>
              </w:rPr>
            </w:pPr>
            <w:r>
              <w:rPr>
                <w:rFonts w:ascii="Courier New" w:cs="Courier New" w:eastAsia="Courier New" w:hAnsi="Courier New"/>
                <w:sz w:val="15"/>
                <w:szCs w:val="15"/>
                <w:color w:val="auto"/>
              </w:rPr>
              <w:t>Distribution:</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Console</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49,096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61,494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81,725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102,861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PC</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14,368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23,864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28,030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41,530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Total distribution</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6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net revenues</w:t>
            </w: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63,464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85,358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109,755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144,391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Total net revenues</w:t>
            </w:r>
          </w:p>
        </w:tc>
        <w:tc>
          <w:tcPr>
            <w:tcW w:w="104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$264,473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$268,862</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$493,393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$468,367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2640" w:type="dxa"/>
            <w:vAlign w:val="bottom"/>
          </w:tcPr>
          <w:p>
            <w:pPr>
              <w:spacing w:after="0"/>
              <w:rPr>
                <w:sz w:val="14"/>
                <w:szCs w:val="14"/>
                <w:color w:val="auto"/>
              </w:rPr>
            </w:pPr>
          </w:p>
        </w:tc>
        <w:tc>
          <w:tcPr>
            <w:tcW w:w="104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640" w:type="dxa"/>
            <w:vAlign w:val="bottom"/>
          </w:tcPr>
          <w:p>
            <w:pPr>
              <w:spacing w:after="0"/>
              <w:rPr>
                <w:sz w:val="24"/>
                <w:szCs w:val="24"/>
                <w:color w:val="auto"/>
              </w:rPr>
            </w:pPr>
          </w:p>
        </w:tc>
        <w:tc>
          <w:tcPr>
            <w:tcW w:w="1040" w:type="dxa"/>
            <w:vAlign w:val="bottom"/>
          </w:tcPr>
          <w:p>
            <w:pPr>
              <w:ind w:left="780"/>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340"/>
          </w:cols>
          <w:pgMar w:left="220" w:top="624" w:right="1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398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Three months ended December 31,</w:t>
            </w:r>
          </w:p>
        </w:tc>
        <w:tc>
          <w:tcPr>
            <w:tcW w:w="3780" w:type="dxa"/>
            <w:vAlign w:val="bottom"/>
            <w:gridSpan w:val="4"/>
          </w:tcPr>
          <w:p>
            <w:pPr>
              <w:jc w:val="center"/>
              <w:ind w:left="7"/>
              <w:spacing w:after="0"/>
              <w:rPr>
                <w:sz w:val="20"/>
                <w:szCs w:val="20"/>
                <w:color w:val="auto"/>
              </w:rPr>
            </w:pPr>
            <w:r>
              <w:rPr>
                <w:rFonts w:ascii="Courier New" w:cs="Courier New" w:eastAsia="Courier New" w:hAnsi="Courier New"/>
                <w:sz w:val="15"/>
                <w:szCs w:val="15"/>
                <w:color w:val="auto"/>
                <w:w w:val="97"/>
              </w:rPr>
              <w:t>Nine months ended December 31,</w:t>
            </w:r>
          </w:p>
        </w:tc>
      </w:tr>
      <w:tr>
        <w:trPr>
          <w:trHeight w:val="168"/>
        </w:trPr>
        <w:tc>
          <w:tcPr>
            <w:tcW w:w="258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8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8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580" w:type="dxa"/>
            <w:vAlign w:val="bottom"/>
          </w:tcPr>
          <w:p>
            <w:pPr>
              <w:spacing w:after="0"/>
              <w:rPr>
                <w:sz w:val="14"/>
                <w:szCs w:val="14"/>
                <w:color w:val="auto"/>
              </w:rPr>
            </w:pPr>
          </w:p>
        </w:tc>
        <w:tc>
          <w:tcPr>
            <w:tcW w:w="198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spacing w:after="0"/>
              <w:rPr>
                <w:sz w:val="14"/>
                <w:szCs w:val="14"/>
                <w:color w:val="auto"/>
              </w:rPr>
            </w:pPr>
          </w:p>
        </w:tc>
        <w:tc>
          <w:tcPr>
            <w:tcW w:w="1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580" w:type="dxa"/>
            <w:vAlign w:val="bottom"/>
          </w:tcPr>
          <w:p>
            <w:pPr>
              <w:spacing w:after="0"/>
              <w:rPr>
                <w:sz w:val="14"/>
                <w:szCs w:val="14"/>
                <w:color w:val="auto"/>
              </w:rPr>
            </w:pPr>
          </w:p>
        </w:tc>
        <w:tc>
          <w:tcPr>
            <w:tcW w:w="1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OPERATING INCOME BY SEGMENT:</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Publishing</w:t>
            </w:r>
          </w:p>
        </w:tc>
        <w:tc>
          <w:tcPr>
            <w:tcW w:w="11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$ 30,708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$ 31,201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$ 35,262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$ 28,663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5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Distribution</w:t>
            </w:r>
          </w:p>
        </w:tc>
        <w:tc>
          <w:tcPr>
            <w:tcW w:w="11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4,046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7,040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2,530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7,003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5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revenues</w:t>
            </w:r>
          </w:p>
        </w:tc>
        <w:tc>
          <w:tcPr>
            <w:tcW w:w="11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ind w:left="800"/>
              <w:spacing w:after="0"/>
              <w:rPr>
                <w:sz w:val="20"/>
                <w:szCs w:val="20"/>
                <w:color w:val="auto"/>
              </w:rPr>
            </w:pPr>
            <w:r>
              <w:rPr>
                <w:rFonts w:ascii="Courier New" w:cs="Courier New" w:eastAsia="Courier New" w:hAnsi="Courier New"/>
                <w:sz w:val="15"/>
                <w:szCs w:val="15"/>
                <w:color w:val="auto"/>
              </w:rPr>
              <w:t>Total operating</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$ 34,754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$ 38,241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$ 37,792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$ 35,666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580" w:type="dxa"/>
            <w:vAlign w:val="bottom"/>
          </w:tcPr>
          <w:p>
            <w:pPr>
              <w:spacing w:after="0"/>
              <w:rPr>
                <w:sz w:val="14"/>
                <w:szCs w:val="14"/>
                <w:color w:val="auto"/>
              </w:rPr>
            </w:pPr>
          </w:p>
        </w:tc>
        <w:tc>
          <w:tcPr>
            <w:tcW w:w="110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8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340"/>
          </w:cols>
          <w:pgMar w:left="220" w:top="953" w:right="13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RESULTS OF OPERATIONS - THREE AND NINE MONTHS ENDED DECEMBER 31, 2000 AND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REVENUES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Net revenues decreased from $268.9 million to $264.5 million for the three month period ended December 31, 1999 and 2000, respectively, and increased from $468.4 million to $493.4 million for the nine month period ended December 31, 1999 and 2000, respectively. Publishing net revenues increased 10% and 18% for the three months and nine months ended December 31, 2000, respectively, over the same period last year, from $183.5 million to $201.0 million for the three month period and from $324.0 to $383.6 for the nine month period. These increases in publishing net revenues were partially offset by a decrease in net revenues from the Company's distribution business. Distribution net revenues for the three months and nine months ended December 31, 2000 decreased 26% and 24%, respectively, from the same period last year, from $85.4 million to $63.5 million for the three month period and from $144.4 million to $109.8 million for the nine month period.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increase in publishing net revenues for the three months ended December 31, 2000 over the same period last year, was primarily driven by a 17% increase in publishing console net revenues, from $132.4 million to $154.8 million. This increase was due to the continued success of Tony Hawk Pro Skater 2 for the PSX and Spiderman for the PSX, which were both launched in the quarter ending September 30, 2000, as well as the continued sales of the original Tony Hawk Pro Skater. As reported by NPD TRST (Toy Retail Sales Tracking System), Tony Hawk Pro Skater 2 was the number one selling PSX game in North America in units and dollars for calendar year 2000. Between its launch in late September 2000 and December 31, 2000, over 2.5 million units of Tony Hawk Pro Skater 2 for the PSX have been shipped on a worldwide basis. NPD TRST also reported that the original Tony Hawk Pro Skater and Spiderman were the number five and number ten PSX games, respectively, in North America in dollars for calendar year 2000. Additionally, the increase was due to the release in the third quarter of fiscal 2001 of these titles on additional platforms, including Tony Hawk Pro Skater 2 for Dreamcast and Nintendo's Game Boy Color and Spiderman for N64 and Nintendo's Game Boy Color. This increase in publishing console net revenues for the quarter was slightly offset by a 9% decrease in publishing PC net revenues for the three months ended December 31, 2000 from the same period last year, from $51.1 million to $46.3 million. This decrease is reflective of the strong results experienced from the release of Quake 3 Arena for the PC during the third quarter of fiscal 2000. During the third quarter of fiscal 2001, there was no such comparable PC product performance. Additionally, in the third quarter of fiscal 2000, approximately 16 PC titles were launched compared to only 9 PC titles released in the third quarter of fiscal 2001.</w:t>
      </w:r>
    </w:p>
    <w:p>
      <w:pPr>
        <w:spacing w:after="0" w:line="34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the nine months ended December 31, 2000, the increase in publishing net revenues was primarily driven by a 26% increase in publishing console net revenues over the same period last year, from $226.0 million to $283.8 million. This increase was primarily due to the new launches of Tony Hawk Pro Skater 2 and Spiderman for the PSX and other console systems during the second and third quarters of fiscal 2001 and the continued success of the original Tony Hawk Pro Skater as described above. Also contributing to its continued revenue stream, in September 2000, the original Tony Hawk Pro Skater was selected for inclusion in Sony Computer Entertainment America's "Greatest Hits" series, which features a selection of best-selling PSX games. For the nine months ended December 31, 2000, publishing PC net revenues remained relatively flat with a 2% increase over the same period last year, from $98.0 million to $99.8 million.</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decrease in distribution net revenues for the three months and nine months ended December 31, 2000 from the same period last year was mainly attributable to the continued weakness in the European console market as a result of the transition to next-generation console systems. Based on previous new hardware launches, the Company expects that its distribution business will benefit in future periods from the introduction of PS2.</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Domestic net revenues increased 11% and 25% for three months and nine months ended December 31, 2000, respectively, over the same period last year, from $145.2 million to $161.4 million for the three month period and from $239.8 million to $299.7 million for the nine month period. For the reasons previously described, these increases were driven by the increases in the Company's publishing console net revenues.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International net revenues decreased 17% and 15% for the three months and nine months ended December 31, 2000, respectively, over the same period last year, from $123.6 million to $103.1 million for the three month period and from $228.5 million to $193.7 million for the nine month period. These decreases are due primarily to the decrease in net revenues from the Company's distribution business.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COSTS AND EXPENSES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of sales - product costs as a percentage of net revenues for the three months ended December 31, 2000 remained relatively consistent with the same period last year, increasing only 1%, from 52% as of December 31, 1999 to 53% as of December 31, 2000. Cost of sales - product costs as a percentage of net revenues for the nine months ended December 31, 2000 decreased from 55% as of December 31, 1999 to 50% as of December 31, 2000. This year to date decrease was due to product mix. During the nine months ended December 31, 1999, the Company shipped a larger number of lower margin, third party titles. In the nine months ended December 31, 2000, the Company shipped significantly more Activision titles.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of sales - royalty and software amortization expense represented 15% of net revenues for both the three months ended December 31, 2000 and 1999. Cost of sales - royalty and software amortization expense represented 16% and 13% of net revenues for the nine months ended December 31, 2000 and 1999, respectively. This increase in cost of sales - royalty and software amortization expense as a percentage of net revenues for the nine months ended December 31, 2000 was primarily due to changes in the Company's product mix, with an increase in the number of branded products with higher royalty obligations as compared to the same period in the prior fiscal year.</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Product development expenses of $11.8 million and $6.2 million represented 4% and 2% of net revenues for the three months ended December 31, 2000 and 1999, respectively. Product development expenses of $30.3 million and $16.6 million represented 6% and 4% of net revenues for the nine months ended December 31, 2000 and 1999, respectively. These increases in product development expenses in dollars and as a percentage of net revenues reflect the Company's investment in the development of products for next-generation console and hand-held devices, including PS2, Xbox, GameCube and Game Boy Advance. The increases are also reflective the increase in the number of titles expected to be released in fiscal 2002, 38 titles, compared to fiscal 2001, 30 titles. Of the 38 titles expected to be released in fiscal 2002, 15 titles are for next-generation platforms, which have higher development costs than existing-platform titles.</w:t>
      </w:r>
    </w:p>
    <w:p>
      <w:pPr>
        <w:spacing w:after="0" w:line="16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Sales and marketing expenses of $26.7 million and $33.9 million represented 10% and 13% of net revenues for the three months ended December 31, 2000 and 1999, respectively. Sales and marketing expenses of $68.5 million and $67.4 million represented 14% and 14% of net revenues for the nine months ended December 31, 2000 and 1999, respectively. The decrease in sales and marketing expenses in dollars and as a percentage of net revenues for the three months ended December 31, 2000 compared to the same period last year is due to the higher spending incurred in the second quarter of fiscal 2001 on several new releases during that quarter, including Tony Hawk 2 and Spiderman. Additionally, the decrease reflects the Company's ability to generate savings by building on the existing awareness of our branded products and sequel titles sold during the third quarter of fiscal 2001.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General and administrative expenses of $12.4 million and $11.3 million represented 5% and 4% of net revenues for the three months ended December 31, 2000 and 1999, respectively. General and administrative expenses of $31.5 million and $28.3 million represented 6% and 6% of net revenues for the nine months ended December 31, 2000 and 1999, respectively. These changes in general and administrative expenses were due to an increase in headcount related expenses for worldwide administrative support, partially offset by a decrease in goodwill amortization. Goodwill amortization in fiscal 2001 decreased compared to fiscal 2000 due to the write-off in the fourth quarter of fiscal 2000 of goodwill relating to Expert as described in the Company's Annual Report on Form 10-K for the year ended March 31,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income for the three months ended December 31, 2000 and 1999 was $34.8 million (13% of net revenues) and $38.2 million (14% of net revenues), respectively. Operating income for the nine months ended December 31, 2000 and 1999 was $37.8 million (8% of net revenues) and $35.7 million (8% of net revenues), respectively.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decrease in operating income for the three months ended December 31, 2000 over the same period last year was primarily due to a decrease in the operating income of the Company's distribution business, from $7.0 million to $4.0 million. The increase in operating income for the nine months ended December 31, 2000 over the same period last year was primarily due to an increase in publishing operating income, from $28.7 million to $35.3 million, partially offset by a decrease in distribution operating income, from $7.0 million to $2.5 million. The publishing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ind w:right="3399"/>
        <w:spacing w:after="0" w:line="255" w:lineRule="auto"/>
        <w:rPr>
          <w:sz w:val="20"/>
          <w:szCs w:val="20"/>
          <w:color w:val="auto"/>
        </w:rPr>
      </w:pPr>
      <w:r>
        <w:rPr>
          <w:rFonts w:ascii="Courier New" w:cs="Courier New" w:eastAsia="Courier New" w:hAnsi="Courier New"/>
          <w:sz w:val="14"/>
          <w:szCs w:val="14"/>
          <w:color w:val="auto"/>
        </w:rPr>
        <w:t>operating income increase for the nine months ended December 31, 2000 over the same period last year was primarily the result of increased net revenues and a change in the Company's product mix. In fiscal 2001, the Company shipped significantly more Activision titles. In the prior year, the Company shipped a significant number of lower margin, third-party titles. Distribution operating income decreases were primarily due to reduced net revenues from the continued weakness in the European console market as a result of the transition to next-generation console systems. Based on previous new hardware launches, the Company expects that its distribution business will benefit in future periods from the introduction of PS2.</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Interest expense, net of interest income, decreased to $2.2 million for the three months ended December 31, 2000, from $2.8 million for the three months ended December 31, 1999. This decrease in interest expense was due to lower average borrowings on the revolving portion of the Company's $125.0 million term loan and revolving credit facility (the "U.S. Facility") during the third quarter of fiscal 2001 when compared to the same period in prior year. Interest expense, net of interest income increased to $6.6 million for the nine months ended December 31, 2000 from $5.8 million for the nine months ended December 31, 1999. This increase is the result of a full nine months of interest expense incurred relating to the Company's U.S. Facility for the nine months ended December 31, 2000 versus only six months of interest expense in the same period last year as the U. S. Facility was obtained in June 1999. Prior to obtaining the U.S. Facility, the Company's previous line of credit only provided for borrowings up to $40.0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income tax provision of $12.0 million and $11.5 million for the three months and nine months ended December 31, 2000, respectively, reflect the Company's effective income tax rate of approximately 37%. The significant items generating the variance between the Company's effective rate and its statutory rate of 35% are state taxes and nondeductible goodwill amortization, partially offset by a decrease in the Company's deferred tax asset valuation allowance and research and development tax credits. The realization of deferred tax assets primarily is dependent on the generation of future taxable income. Management believes that it is more likely than not that the Company will generate taxable income sufficient to realize the benefit of net deferred tax assets recognized.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Company's cash and cash equivalents increased $2.4 million, from $50.0 million at March 31, 2000 to $52.3 million at December 31, 2000. The increase in cash during the nine months ended December 31, 2000 resulted from $82.1 million of cash provided by operating activities, partially offset by $58.4 million used in investing activities and $19.2 million used in financing activities. The cash provided by operating activities primarily was the result of changes in accounts payable and accrued liabilities, driven by a seasonal change in working capital needs. The cash used in investing activities primarily is the result of the Company's continued investment in product development. Approximately $51.0 million was utilized in connection with the acquisition of publishing or distribution rights to products being developed by third parties, the execution of new license agreements granting the Company long-term rights to intellectual property of third parties, as well as the capitalization of product development costs relating to internally developed products. The cash used in financing activities is primarily the result of $12.7 in net cash payments on borrowings, as well as $15.0 million of cash used by the Company to purchase its common stock under its repurchase program. These outflows were partially offset by $8.5 million of cash proceeds from the issuance common stock pursuant to employee stock option plans and the employee stock purchase plan.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connection with the Company's purchases of Nintendo N64 software cartridges for distribution in North America and Europe, Nintendo requires the Company to provide irrevocable letters of credit prior to accepting purchase orders from the Company. Furthermore, Nintendo maintains a policy of not accepting returns of Nintendo N64 software cartridges. Because of these and other factors, the carrying of an inventory of Nintendo N64 software cartridges entails significant capital and risk. As of December 31, 2000, the Company had $4.2 million of Nintendo N64 hardware and software cartridge inventory on hand, which represented approximately 8.5% of all inventory.</w:t>
      </w:r>
    </w:p>
    <w:p>
      <w:pPr>
        <w:spacing w:after="0" w:line="178"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In December 1997, the Company completed the private placement of $60.0 million principal amount of 6 3/4% convertible subordinated notes due 2005 (the "Notes"). The Notes are convertible, in whole or in part, at the option</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of the holder at any time after December 22, 1997 (the date of original</w:t>
      </w:r>
    </w:p>
    <w:p>
      <w:pPr>
        <w:spacing w:after="0" w:line="237" w:lineRule="auto"/>
        <w:rPr>
          <w:sz w:val="20"/>
          <w:szCs w:val="20"/>
          <w:color w:val="auto"/>
        </w:rPr>
      </w:pPr>
      <w:r>
        <w:rPr>
          <w:rFonts w:ascii="Courier New" w:cs="Courier New" w:eastAsia="Courier New" w:hAnsi="Courier New"/>
          <w:sz w:val="15"/>
          <w:szCs w:val="15"/>
          <w:color w:val="auto"/>
        </w:rPr>
        <w:t>issuance) and prior to the close of business on the business day immediately</w:t>
      </w:r>
    </w:p>
    <w:p>
      <w:pPr>
        <w:spacing w:after="0" w:line="238" w:lineRule="auto"/>
        <w:rPr>
          <w:sz w:val="20"/>
          <w:szCs w:val="20"/>
          <w:color w:val="auto"/>
        </w:rPr>
      </w:pPr>
      <w:r>
        <w:rPr>
          <w:rFonts w:ascii="Courier New" w:cs="Courier New" w:eastAsia="Courier New" w:hAnsi="Courier New"/>
          <w:sz w:val="15"/>
          <w:szCs w:val="15"/>
          <w:color w:val="auto"/>
        </w:rPr>
        <w:t>preceding the maturity date, unless previously redeemed or repurchased, into</w:t>
      </w:r>
    </w:p>
    <w:p>
      <w:pPr>
        <w:spacing w:after="0" w:line="237" w:lineRule="auto"/>
        <w:rPr>
          <w:sz w:val="20"/>
          <w:szCs w:val="20"/>
          <w:color w:val="auto"/>
        </w:rPr>
      </w:pPr>
      <w:r>
        <w:rPr>
          <w:rFonts w:ascii="Courier New" w:cs="Courier New" w:eastAsia="Courier New" w:hAnsi="Courier New"/>
          <w:sz w:val="15"/>
          <w:szCs w:val="15"/>
          <w:color w:val="auto"/>
        </w:rPr>
        <w:t>common stock, $.000001 par value, of the Company, at a conversion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$18.875 per share, (equivalent to a conversion rate of 52.9801 shares per $1,000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Notes), subject to adjustment in certain circumstances.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are redeemable, in whole or in part, at the option of the Company at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on or after January 10, 2001. If redemption occurs prior to December 31,</w:t>
      </w:r>
    </w:p>
    <w:p>
      <w:pPr>
        <w:spacing w:after="0" w:line="237" w:lineRule="auto"/>
        <w:rPr>
          <w:sz w:val="20"/>
          <w:szCs w:val="20"/>
          <w:color w:val="auto"/>
        </w:rPr>
      </w:pPr>
      <w:r>
        <w:rPr>
          <w:rFonts w:ascii="Courier New" w:cs="Courier New" w:eastAsia="Courier New" w:hAnsi="Courier New"/>
          <w:sz w:val="15"/>
          <w:szCs w:val="15"/>
          <w:color w:val="auto"/>
        </w:rPr>
        <w:t>2003, the Company must pay a premium on such redeemed Notes.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1999, the Company obtained a $100.0 million revolving credit facility and a $25.0 million term loan (the "U.S. Facility") with a syndicate of banks ("the lender"). The U.S. Facility provides the Company with the ability to borrow up to $100.0 million and issue letters of credit up to $80.0 million on a revolving basis against eligible accounts receivable and inventory. The term loan portion of the U.S. Facility has a three year term with principal amortization on a straight-line quarterly basis which began December 31, 1999 and a borrowing rate based on the banks' base rate (which is generally equivalent to the published prime rate) plus 2% or LIBOR plus 3%. The revolving portion of the U.S Facility has a borrowing rate based on the banks' base rate plus 1.75% or LIBOR plus 2.75% and matures June 2002. The U.S. Facility had a weighted average interest rate of approximately 9.85% and 9.79% for the three months and nine months ended December 31, 2000, respectively. The Company pays a commitment fee of 1/2% on the unused portion of the revolving line. The U.S. Facility is collateralized by substantially all of the assets of the Company and its U.S. subsidiaries. The U.S. Facility contains various covenants that limit the ability of the Company to incur additional indebtedness, pay dividends or make other distributions, create certain liens, sell assets, or enter into certain mergers or acquisitions. The Company is also required to maintain specified financial ratios related to net worth and fixed charges. The Company was in compliance with these covenants as of December 31, 2000. As of December 31, 2000, $10.7 million was outstanding under the term loan portion of the U.S. Facility. As of December 31, 2000, there were no borrowings outstanding and $ 28.3 million of letters of credit outstanding against the revolving portion of the U.S. Facility.</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8, 2000, the Company amended certain of the covenants of its U.S. Facility. The amended U.S. Facility permits the Company to purchase up to $15.0 million in shares of its common stock as well as its convertible subordinated notes in accordance with the Company's stock repurchase program (described in Note 10), to distribute "Rights" under the Company's shareholders' rights plan (described in Note 11), and to reorganize the Company's organizational structure into a holding company form.</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revolving credit facility through its CD Contact subsidiary in the Netherlands (the "Netherlands Facility"). The Netherlands Facility permits revolving credit loans and letters of credit up to Netherlands Guilders ("NLG") 26 million ($11.1 million), based upon eligible accounts receivable and inventory balances. The Netherlands Facility is due on demand, bears interest at a Eurocurrency rate plus 1.25% (weighted average interest rate of 5.5% as of December 31, 2000), is collateralized by GBP 3.0 million ($4.5 million) letters of credit issued by the Company's CentreSoft subsidiary and matures August 2003. As of December 31, 2000, letters of credit outstanding under the Netherlands Facility were approximately NLG 134,000 ($57,000) and borrowings outstanding were NLG 6.2 million ($2.7 million).</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also has revolving credit facilities through its CentreSoft subsidiary located in the United Kingdom (the "UK Facility") and its NBG subsidiary located in Germany (the "German Facility"). The UK Facility provides for British Pounds ("GBP") 7.0 million ($10.5 million) of revolving loans and GBP 3.0 million ($4.5 million) of letters of credit, bears interest at LIBOR plus 2%, is collateralized by substantially all of the assets of the subsidiary and matures July 2001. The UK Facility also contains various covenants that require the subsidiary to maintain specified financial ratios related to, among others, fixed charges. The Company was in compliance with these covenants as of December 31, 2000. No borrowings were outstanding against the UK facility as of December 31, 2000. Letters of credit of GBP 3.0 million ($4.5 million) were outstanding against the UK Facility as of December 31, 2000, issued on behalf of the Company's CD Contact subsidiary as described above. The German Facility provides for revolving loans up to Deutsche Mark ("DM") 4 million ($1.9 million), bears interest at 5.9%, is collateralized by a cash deposit of approximately GBP 650,000 ($971,000) made by the Company's CentreSoft subsidiary and has no expiration date. No borrowings were outstanding against the German Facility as of December 31, 2000.In the normal course of business, the Company enters into contractual arrangements with third parties for the development of products. Under these agreements, the Company commits to provide specified payments to a developer, contingent upon the developer's achievement of contractually specified milestones. Assuming all contractually specified milestones are achieved, the total future minimum contract commitment for contracts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2" w:name="page23"/>
    <w:bookmarkEnd w:id="22"/>
    <w:p>
      <w:pPr>
        <w:ind w:right="3239"/>
        <w:spacing w:after="0" w:line="234" w:lineRule="auto"/>
        <w:rPr>
          <w:sz w:val="20"/>
          <w:szCs w:val="20"/>
          <w:color w:val="auto"/>
        </w:rPr>
      </w:pPr>
      <w:r>
        <w:rPr>
          <w:rFonts w:ascii="Courier New" w:cs="Courier New" w:eastAsia="Courier New" w:hAnsi="Courier New"/>
          <w:sz w:val="15"/>
          <w:szCs w:val="15"/>
          <w:color w:val="auto"/>
        </w:rPr>
        <w:t>place as of December 31, 2000 is approximately $55.1 million and is scheduled to be distributed as follows (amounts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1180" w:type="dxa"/>
            <w:vAlign w:val="bottom"/>
          </w:tcPr>
          <w:p>
            <w:pPr>
              <w:spacing w:after="0"/>
              <w:rPr>
                <w:sz w:val="14"/>
                <w:szCs w:val="14"/>
                <w:color w:val="auto"/>
              </w:rPr>
            </w:pPr>
          </w:p>
        </w:tc>
      </w:tr>
      <w:tr>
        <w:trPr>
          <w:trHeight w:val="336"/>
        </w:trPr>
        <w:tc>
          <w:tcPr>
            <w:tcW w:w="1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$11,632</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23,743</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10,477</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2,125</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4,125</w:t>
            </w:r>
          </w:p>
        </w:tc>
      </w:tr>
      <w:tr>
        <w:trPr>
          <w:trHeight w:val="168"/>
        </w:trPr>
        <w:tc>
          <w:tcPr>
            <w:tcW w:w="14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$55,102</w:t>
            </w:r>
          </w:p>
        </w:tc>
      </w:tr>
      <w:tr>
        <w:trPr>
          <w:trHeight w:val="168"/>
        </w:trPr>
        <w:tc>
          <w:tcPr>
            <w:tcW w:w="14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Additionally, under the terms of a production financing arrangement, the Company has a commitment to purchase two future PlayStation 2 titles from independent third party developers upon their completion for an estimated $8.0 million in the aggregate. Failure by the developers to complete the project within the contractual time frame or specifications alleviates the Company's commitment.</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historically has financed its acquisitions through the issuance of shares of its common stock. The Company will continue to evaluate potential acquisition candidates as to the benefit they bring to the Company and as to the ability of the Company to make such acquisitions and maintain compliance with its bank facilities.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May 2000, the Board of Directors authorized the Company to purchase up to $15.0 million in shares of its common stock as well as its convertible subordinated notes. The shares and notes could be purchased in the open market or in privately negotiated transactions at such times and in such amounts as management deemed appropriate, depending on market conditions and other factors. In the quarter ended June 30, 2000, the Company repurchased 2.3 million shares of its common stock for approximately $15.0 million.</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believes that it has sufficient working capital ($162.5 million at December 31, 2000), as well as proceeds available from the U.S. Facility, the UK Facility, the Netherlands Facility and the German Facility, to finance the Company's operational requirements for at least the next twelve months, including acquisitions of inventory and equipment, the funding of the development, production, marketing and sale of new products and the acquisition of intellectual property rights for future products from third parties.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PERFORMANCE</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 connection with the Private Securities Litigation Reform Act of 1995 (the "Litigation Reform Act"), the Company has disclosed certain cautionary information to be used in connection with written materials (including this Quarterly Report on Form 10-Q) and oral statements made by or on behalf of its employees and representatives that may contain "forward-looking statements" within the meaning of the Litigation Reform Act. Such statements consist of any statement other than a recitation of historical fact and can be identified by the use of forward-looking terminology such as "may," "expect," "anticipate," "estimate" or "continue" or the negative thereof or other variations thereon or comparable terminology. The listener or reader is cautioned that all forward-looking statements are necessarily speculative and there are numerous risks and uncertainties that could cause actual events or results to differ materially from those referred to in such forward-looking statements. For a discussion that highlights some of the more important risks identified by management, but which should not be assumed to be the only factors that could affect future performance, see the Company's Annual Report on Form 10-K for the year ended March 31, 2000 which is incorporated herein by reference. The reader or listener is cautioned that the Company does not have a policy of updating or revising forward-looking statements and thus he or she should not assume that silence by management over time means that actual events are bearing out as estimated in such forward-looking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July 2000, the Emerging Issues Task Force reached a consensus on issue No. 00-15 ("EITF 00-15"), "Classification in the Statement of Cash Flows of the Income Tax Benefit Realized by a Company upon Employee Exercise of a Nonqualified Stock Option." The EITF concluded that income tax benefits realized upon an employee's exercise of a nonqualified stock option should be classified as an operating cash flow. Accordingly, the Company reclassified tax benefits resulting from the exercise of stock options on its Consolidated Statements of Cash Flows.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Statement of Financial Accounting Standards No. 133, "Accounting for Derivative Instruments and Hedging Activities," ("SFAS No. 133") is effective for all fiscal years beginning after June 15, 2000. 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does not currently participate in hedging activities or own derivative instruments but plans to adopt SFAS No. 133 beginning April 1, 2001. The Company does not expect the adoption of SFAS No. 133 to have a material impact on its financial position or results of operations.</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December 1999, the Securities and Exchange Commission ("SEC") issued Staff Accounting Bulletin ("SAB") 101, "Revenue Recognition in Financial Statements." SAB 101 provides guidance on the recognition, presentation, and disclosure of revenue in financial statements of all public registrants. Any change in the Company's revenue recognition policy resulting from the implementation of SAB 101 would be reported as a change in accounting principle. In June 2000, the SEC issued SAB 101B which delays the implementation date of SAB 101 until the fourth fiscal quarter of fiscal years beginning after December 15, 1999. The Company does not expect the adoption of SAB 101 to have a material impact on its financial position or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Market risk is the potential loss arising from fluctuations in market rates and prices. The Company's market risk exposures primarily include fluctuations in interest rates and foreign currency exchange rates. The Company's market risk sensitive instruments are classified as "other than trading." The Company's exposure to market risk as discussed below includes "forward-looking statements" and represents an estimate of possible changes in fair value or future earnings that would occur assuming hypothetical future movements in interest rates or foreign currency exchange rates. The Company's views on market risk are not necessarily indicative of actual results that may occur and do not represent the maximum possible gains and losses that may occur, since actual gains and losses will differ from those estimated, based upon actual fluctuations in foreign currency exchange rates, interest rates and the timing of transactions.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a number of variable rate and fixed rate debt obligations, denominated both in U.S. dollars and various foreign currencies as detailed in Note 9 to the Consolidated Financial Statements appearing elsewhere in this Quarterly Report. The Company manages interest rate risk by monitoring its ratio of fixed and variable rate debt obligations in view of changing market conditions. Additionally, in the future, the Company may consider the use of interest rate swap agreements to further manage potential interest rate risk.</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of December 31, 2000, the carrying value of the Company's variable rate debt was $13.4 million, which includes the U.S. Facility ($10.7 million) and the Netherlands Facility ($2.7 million). Based upon the variable rate debt outstanding as of December 31, 2000, a hypothetical 1% increase in the applicable interest rates of the Company's variable rate debt would increase annual interest expense by approximately $134,000.</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additionally has 6 3/4% convertible subordinated notes (the "Notes") that have a carrying value of $60.0 million and a fair value of $55.2 million as of December 31, 2000. The fair value of the Notes was determined based on quoted market prices. A hypothetical 1% increase in market rate of the Notes would decrease their fair value by approximately $552,000.</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8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FOREIGN CURRENCY EXCHANGE RATE RISK</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transacts business in many different foreign currencies and may be exposed to financial market risk resulting from fluctuations in foreign currency exchange rates, particularly British Pounds ("GBP"). The volatility of GBP (and all other applicable currencies) will be monitored frequently throughout the coming year. While the Company has not traditionally engaged in foreign currency hedging, the Company may in the future use hedging programs, currency forward contracts, currency options and/or other derivative financial instruments commonly utilized to reduce financial market risks if it is determined that such hedging activities are appropriate to reduce risk.</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700" w:right="3239"/>
        <w:spacing w:after="0" w:line="236" w:lineRule="auto"/>
        <w:rPr>
          <w:sz w:val="20"/>
          <w:szCs w:val="20"/>
          <w:color w:val="auto"/>
        </w:rPr>
      </w:pPr>
      <w:r>
        <w:rPr>
          <w:rFonts w:ascii="Courier New" w:cs="Courier New" w:eastAsia="Courier New" w:hAnsi="Courier New"/>
          <w:sz w:val="15"/>
          <w:szCs w:val="15"/>
          <w:color w:val="auto"/>
        </w:rPr>
        <w:t>The Company is party to routine claims and suits brought against it in the ordinary course of business including disputes arising over the ownership of intellectual property rights and collection matters. In the opinion of management, the outcome of such routine claims will not have a material adverse effect on the Company's business, financial condition or results of operations.</w:t>
      </w:r>
    </w:p>
    <w:p>
      <w:pPr>
        <w:spacing w:after="0" w:line="175" w:lineRule="exact"/>
        <w:rPr>
          <w:sz w:val="20"/>
          <w:szCs w:val="20"/>
          <w:color w:val="auto"/>
        </w:rPr>
      </w:pPr>
    </w:p>
    <w:p>
      <w:pPr>
        <w:ind w:left="700" w:right="3319"/>
        <w:spacing w:after="0" w:line="236" w:lineRule="auto"/>
        <w:rPr>
          <w:sz w:val="20"/>
          <w:szCs w:val="20"/>
          <w:color w:val="auto"/>
        </w:rPr>
      </w:pPr>
      <w:r>
        <w:rPr>
          <w:rFonts w:ascii="Courier New" w:cs="Courier New" w:eastAsia="Courier New" w:hAnsi="Courier New"/>
          <w:sz w:val="15"/>
          <w:szCs w:val="15"/>
          <w:color w:val="auto"/>
        </w:rPr>
        <w:t>The federal income tax return for fiscal 1997 is currently under examination. While the ultimate results of such examination cannot be predicted with certainty, the Company's management believes that the examination will not have a material adverse effect on its consolidated financial condition or results of operations.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3" w:lineRule="exact"/>
        <w:rPr>
          <w:sz w:val="20"/>
          <w:szCs w:val="20"/>
          <w:color w:val="auto"/>
        </w:rPr>
      </w:pPr>
    </w:p>
    <w:p>
      <w:pPr>
        <w:ind w:left="800" w:right="8739" w:hanging="353"/>
        <w:spacing w:after="0" w:line="509" w:lineRule="auto"/>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None</w:t>
      </w:r>
    </w:p>
    <w:p>
      <w:pPr>
        <w:ind w:left="800" w:hanging="353"/>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800"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no reports on Form 8-K during the quarterly period ended December 31,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85" w:right="1440" w:bottom="1440" w:gutter="0" w:footer="0" w:header="0"/>
        </w:sectPr>
      </w:pPr>
    </w:p>
    <w:bookmarkStart w:id="26" w:name="page27"/>
    <w:bookmarkEnd w:id="26"/>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February 13,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ACTIVISION,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2960" w:val="left"/>
          <w:tab w:leader="none" w:pos="8480" w:val="left"/>
        </w:tabs>
        <w:rPr>
          <w:sz w:val="20"/>
          <w:szCs w:val="20"/>
          <w:color w:val="auto"/>
        </w:rPr>
      </w:pPr>
      <w:r>
        <w:rPr>
          <w:rFonts w:ascii="Courier New" w:cs="Courier New" w:eastAsia="Courier New" w:hAnsi="Courier New"/>
          <w:sz w:val="15"/>
          <w:szCs w:val="15"/>
          <w:color w:val="auto"/>
        </w:rPr>
        <w:t>/s/ William J. Chardavoyne</w:t>
      </w:r>
      <w:r>
        <w:rPr>
          <w:sz w:val="20"/>
          <w:szCs w:val="20"/>
          <w:color w:val="auto"/>
        </w:rPr>
        <w:tab/>
      </w:r>
      <w:r>
        <w:rPr>
          <w:rFonts w:ascii="Courier New" w:cs="Courier New" w:eastAsia="Courier New" w:hAnsi="Courier New"/>
          <w:sz w:val="15"/>
          <w:szCs w:val="15"/>
          <w:color w:val="auto"/>
        </w:rPr>
        <w:t>Chief Financial Officer and Chief Accounting Officer</w:t>
      </w:r>
      <w:r>
        <w:rPr>
          <w:sz w:val="20"/>
          <w:szCs w:val="20"/>
          <w:color w:val="auto"/>
        </w:rPr>
        <w:tab/>
      </w:r>
      <w:r>
        <w:rPr>
          <w:rFonts w:ascii="Courier New" w:cs="Courier New" w:eastAsia="Courier New" w:hAnsi="Courier New"/>
          <w:sz w:val="14"/>
          <w:szCs w:val="14"/>
          <w:color w:val="auto"/>
        </w:rPr>
        <w:t>February 13, 2001</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J. Chardavoyne)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1."/>
      <w:numFmt w:val="decimal"/>
      <w:start w:val="7"/>
    </w:lvl>
  </w:abstractNum>
  <w:abstractNum w:abstractNumId="6">
    <w:nsid w:val="12200854"/>
    <w:multiLevelType w:val="hybridMultilevel"/>
    <w:lvl w:ilvl="0">
      <w:lvlJc w:val="left"/>
      <w:lvlText w:val="%1."/>
      <w:numFmt w:val="decimal"/>
      <w:start w:val="8"/>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2019-12-13T12:55:00Z</dcterms:created>
  <dcterms:modified xsi:type="dcterms:W3CDTF">2019-12-13T12:55:00Z</dcterms:modified>
</cp:coreProperties>
</file>