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10, 2019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ACTIVISION BLIZZARD,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400"/>
          </w:cols>
          <w:pgMar w:left="240" w:top="544" w:right="25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76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32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001-15839</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95-4803544</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20" w:space="720"/>
            <w:col w:w="3460" w:space="720"/>
            <w:col w:w="2480"/>
          </w:cols>
          <w:pgMar w:left="240" w:top="544" w:right="25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7"/>
          <w:szCs w:val="17"/>
          <w:b w:val="1"/>
          <w:bCs w:val="1"/>
          <w:color w:val="auto"/>
        </w:rPr>
        <w:t>3100 Ocean Park Boulevard,</w:t>
      </w:r>
    </w:p>
    <w:p>
      <w:pPr>
        <w:spacing w:after="0" w:line="39"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Santa Monica,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w:t>
      </w:r>
    </w:p>
    <w:p>
      <w:pPr>
        <w:spacing w:after="0" w:line="32" w:lineRule="exact"/>
        <w:rPr>
          <w:sz w:val="24"/>
          <w:szCs w:val="24"/>
          <w:color w:val="auto"/>
        </w:rPr>
      </w:pPr>
    </w:p>
    <w:p>
      <w:pPr>
        <w:jc w:val="center"/>
        <w:ind w:right="1840"/>
        <w:spacing w:after="0"/>
        <w:rPr>
          <w:sz w:val="20"/>
          <w:szCs w:val="20"/>
          <w:color w:val="auto"/>
        </w:rPr>
      </w:pPr>
      <w:r>
        <w:rPr>
          <w:rFonts w:ascii="Arial" w:cs="Arial" w:eastAsia="Arial" w:hAnsi="Arial"/>
          <w:sz w:val="18"/>
          <w:szCs w:val="18"/>
          <w:color w:val="auto"/>
        </w:rPr>
        <w:t>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90405</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439" w:lineRule="exact"/>
        <w:rPr>
          <w:sz w:val="24"/>
          <w:szCs w:val="24"/>
          <w:color w:val="auto"/>
        </w:rPr>
      </w:pPr>
    </w:p>
    <w:p>
      <w:pPr>
        <w:sectPr>
          <w:pgSz w:w="11900" w:h="16838" w:orient="portrait"/>
          <w:cols w:equalWidth="0" w:num="2">
            <w:col w:w="7500" w:space="720"/>
            <w:col w:w="3180"/>
          </w:cols>
          <w:pgMar w:left="240" w:top="544" w:right="259" w:bottom="1440" w:gutter="0" w:footer="0" w:header="0"/>
          <w:type w:val="continuous"/>
        </w:sectPr>
      </w:pP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(310) 255-2000</w:t>
      </w:r>
    </w:p>
    <w:p>
      <w:pPr>
        <w:spacing w:after="0" w:line="200" w:lineRule="exact"/>
        <w:rPr>
          <w:sz w:val="24"/>
          <w:szCs w:val="24"/>
          <w:color w:val="auto"/>
        </w:rPr>
      </w:pPr>
    </w:p>
    <w:p>
      <w:pPr>
        <w:spacing w:after="0" w:line="24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1" w:lineRule="exact"/>
        <w:rPr>
          <w:sz w:val="24"/>
          <w:szCs w:val="24"/>
          <w:color w:val="auto"/>
        </w:rPr>
      </w:pPr>
    </w:p>
    <w:p>
      <w:pPr>
        <w:ind w:left="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8020"/>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left="40" w:right="10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January 10, 2019, Activision Publishing, Inc., a wholly-owned subsidiary of Activision Blizzard, Inc. (the “Company”), and Bungie, Inc. (“Bungie”) announced plans for Bungie to assume full publishing rights and responsibilities for the Destiny franchise. Going forward, Bungie will own and develop the franchise.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As a result, the Company does not expect to recognize material revenue, operating income or operating loss from the Destiny franchise in 2019.</w:t>
      </w: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40"/>
          </w:cols>
          <w:pgMar w:left="240" w:top="337" w:right="41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January 10, 2019</w:t>
      </w:r>
      <w:r>
        <w:rPr>
          <w:sz w:val="20"/>
          <w:szCs w:val="20"/>
          <w:color w:val="auto"/>
        </w:rPr>
        <w:tab/>
      </w:r>
      <w:r>
        <w:rPr>
          <w:rFonts w:ascii="Arial" w:cs="Arial" w:eastAsia="Arial" w:hAnsi="Arial"/>
          <w:sz w:val="18"/>
          <w:szCs w:val="18"/>
          <w:color w:val="auto"/>
        </w:rPr>
        <w:t>ACTIVISION BLIZZARD, INC.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Chris B. Walther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Chris B. Walther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Legal Officer</w:t>
      </w:r>
    </w:p>
    <w:p>
      <w:pPr>
        <w:spacing w:after="0" w:line="21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940"/>
      </w:cols>
      <w:pgMar w:left="240" w:top="337"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2019-12-04T23:46:52Z</dcterms:created>
  <dcterms:modified xsi:type="dcterms:W3CDTF">2019-12-04T23:46:52Z</dcterms:modified>
</cp:coreProperties>
</file>