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r>
        <w:rPr>
          <w:rFonts w:ascii="Arial" w:cs="Arial" w:eastAsia="Arial" w:hAnsi="Arial"/>
          <w:sz w:val="18"/>
          <w:szCs w:val="18"/>
          <w:color w:val="auto"/>
        </w:rPr>
        <w:t>:</w:t>
      </w:r>
      <w:r>
        <w:rPr>
          <w:rFonts w:ascii="Arial" w:cs="Arial" w:eastAsia="Arial" w:hAnsi="Arial"/>
          <w:sz w:val="18"/>
          <w:szCs w:val="18"/>
          <w:b w:val="1"/>
          <w:bCs w:val="1"/>
          <w:color w:val="auto"/>
        </w:rPr>
        <w:t xml:space="preserve"> October 13,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220" w:space="720"/>
            <w:col w:w="3080" w:space="720"/>
            <w:col w:w="2500"/>
          </w:cols>
          <w:pgMar w:left="320" w:top="760" w:right="339" w:bottom="1440" w:gutter="0" w:footer="0" w:header="0"/>
          <w:type w:val="continuous"/>
        </w:sectPr>
      </w:pPr>
    </w:p>
    <w:p>
      <w:pPr>
        <w:spacing w:after="0" w:line="7"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2701 Olympic Boulevard, Building B</w:t>
      </w:r>
    </w:p>
    <w:p>
      <w:pPr>
        <w:spacing w:after="0" w:line="50"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Santa Monica, California</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7"/>
          <w:szCs w:val="17"/>
          <w:b w:val="1"/>
          <w:bCs w:val="1"/>
          <w:color w:val="auto"/>
        </w:rPr>
        <w:t>(Address of principal executive</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90404</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438" w:lineRule="exact"/>
        <w:rPr>
          <w:sz w:val="24"/>
          <w:szCs w:val="24"/>
          <w:color w:val="auto"/>
        </w:rPr>
      </w:pPr>
    </w:p>
    <w:p>
      <w:pPr>
        <w:sectPr>
          <w:pgSz w:w="11900" w:h="16838" w:orient="portrait"/>
          <w:cols w:equalWidth="0" w:num="2">
            <w:col w:w="7360" w:space="720"/>
            <w:col w:w="316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N/A)</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00" w:hanging="438"/>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38"/>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38"/>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62"/>
        <w:spacing w:after="0" w:line="498"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760" w:right="339" w:bottom="1440" w:gutter="0" w:footer="0" w:header="0"/>
          <w:type w:val="continuous"/>
        </w:sectPr>
      </w:pPr>
    </w:p>
    <w:p>
      <w:pPr>
        <w:spacing w:after="0" w:line="21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Common Stock, par value $.000001 per share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ATVI</w:t>
      </w:r>
    </w:p>
    <w:p>
      <w:pPr>
        <w:spacing w:after="0" w:line="20" w:lineRule="exact"/>
        <w:rPr>
          <w:sz w:val="24"/>
          <w:szCs w:val="24"/>
          <w:color w:val="auto"/>
        </w:rPr>
      </w:pPr>
      <w:r>
        <w:rPr>
          <w:sz w:val="24"/>
          <w:szCs w:val="24"/>
          <w:color w:val="auto"/>
        </w:rPr>
        <w:br w:type="column"/>
      </w:r>
    </w:p>
    <w:p>
      <w:pPr>
        <w:jc w:val="center"/>
        <w:ind w:right="580"/>
        <w:spacing w:after="0" w:line="266"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The Nasdaq Global Select Market</w:t>
      </w:r>
    </w:p>
    <w:p>
      <w:pPr>
        <w:spacing w:after="0" w:line="180" w:lineRule="exact"/>
        <w:rPr>
          <w:sz w:val="24"/>
          <w:szCs w:val="24"/>
          <w:color w:val="auto"/>
        </w:rPr>
      </w:pPr>
    </w:p>
    <w:p>
      <w:pPr>
        <w:sectPr>
          <w:pgSz w:w="11900" w:h="16838" w:orient="portrait"/>
          <w:cols w:equalWidth="0" w:num="3">
            <w:col w:w="4200" w:space="720"/>
            <w:col w:w="2580" w:space="720"/>
            <w:col w:w="3020"/>
          </w:cols>
          <w:pgMar w:left="320" w:top="760" w:right="339" w:bottom="1440" w:gutter="0" w:footer="0" w:header="0"/>
          <w:type w:val="continuous"/>
        </w:sect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13, 2023 (the “</w:t>
      </w:r>
      <w:r>
        <w:rPr>
          <w:rFonts w:ascii="Arial" w:cs="Arial" w:eastAsia="Arial" w:hAnsi="Arial"/>
          <w:sz w:val="18"/>
          <w:szCs w:val="18"/>
          <w:u w:val="single" w:color="auto"/>
          <w:color w:val="auto"/>
        </w:rPr>
        <w:t>Closing Date</w:t>
      </w:r>
      <w:r>
        <w:rPr>
          <w:rFonts w:ascii="Arial" w:cs="Arial" w:eastAsia="Arial" w:hAnsi="Arial"/>
          <w:sz w:val="18"/>
          <w:szCs w:val="18"/>
          <w:color w:val="auto"/>
        </w:rPr>
        <w:t>”), Activision Blizzard,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completed the previously announced transaction with Microsoft Corporation, a Washington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pursuant to the Agreement and Plan of Merger, dated as of January 18, 2022 (as amended,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the Company, Parent and Anchorage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the Merger Agreement, 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Merger Sub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 owned subsidiary of Parent.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Merger Agreement, at the Effective Time, each of the Company’s issued and outstanding shares of common stock, par value $0.000001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(other than Shares (i) held by the Company as treasury stock (excluding certain Shares held by a wholly owned subsidiary of the Company, which shares remained outstanding and unaffected by the Merger), (ii) owned by Parent or Merger Sub, (iii) owned by any direct or indirect wholly owned subsidiary of Parent or Merger Sub or (iv) held by stockholders who had neither voted in favor of adoption of the Merger Agreement nor consented thereto in writing and who had properly and validly exercised their statutory rights of appraisal in respect of such Shares in accordance with Section 262 of the Delaware General Corporation Law, in each case, as of immediately prior to the Effective Time (collectively,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was cancelled and automatically converted into the right to receive $95.00 in cash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without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at the Effective Time:</w:t>
      </w:r>
    </w:p>
    <w:p>
      <w:pPr>
        <w:spacing w:after="0" w:line="225" w:lineRule="exact"/>
        <w:rPr>
          <w:sz w:val="20"/>
          <w:szCs w:val="20"/>
          <w:color w:val="auto"/>
        </w:rPr>
      </w:pPr>
    </w:p>
    <w:p>
      <w:pPr>
        <w:jc w:val="both"/>
        <w:ind w:left="660" w:hanging="328"/>
        <w:spacing w:after="0" w:line="29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outstanding option to purchase Shares granted pursuant to the Company’s equity incentive plans (each, a “</w:t>
      </w:r>
      <w:r>
        <w:rPr>
          <w:rFonts w:ascii="Arial" w:cs="Arial" w:eastAsia="Arial" w:hAnsi="Arial"/>
          <w:sz w:val="16"/>
          <w:szCs w:val="16"/>
          <w:u w:val="single" w:color="auto"/>
          <w:color w:val="auto"/>
        </w:rPr>
        <w:t>Company Option</w:t>
      </w:r>
      <w:r>
        <w:rPr>
          <w:rFonts w:ascii="Arial" w:cs="Arial" w:eastAsia="Arial" w:hAnsi="Arial"/>
          <w:sz w:val="16"/>
          <w:szCs w:val="16"/>
          <w:color w:val="auto"/>
        </w:rPr>
        <w:t>”) that (i) was vested as of immediately prior to the Effective Time or (ii) became vested by its terms upon the occurrence of the Effective Time was cancelled and converted into the right to receive the Merger Consideration for each Share that would have been issuable upon exercise of such Company Option immediately prior to the Effective Time, less the applicable option exercise price and any applicable withholding taxes. In the event that the exercise price per Share under any Company Option was equal to or greater than the Merger Consideration (any such Company Option, an “</w:t>
      </w:r>
      <w:r>
        <w:rPr>
          <w:rFonts w:ascii="Arial" w:cs="Arial" w:eastAsia="Arial" w:hAnsi="Arial"/>
          <w:sz w:val="16"/>
          <w:szCs w:val="16"/>
          <w:u w:val="single" w:color="auto"/>
          <w:color w:val="auto"/>
        </w:rPr>
        <w:t>Underwater Option</w:t>
      </w:r>
      <w:r>
        <w:rPr>
          <w:rFonts w:ascii="Arial" w:cs="Arial" w:eastAsia="Arial" w:hAnsi="Arial"/>
          <w:sz w:val="16"/>
          <w:szCs w:val="16"/>
          <w:color w:val="auto"/>
        </w:rPr>
        <w:t>”), such Company Option was cancelled as of the Effective Time without payment therefor and has no further force or effect.</w:t>
      </w:r>
    </w:p>
    <w:p>
      <w:pPr>
        <w:spacing w:after="0" w:line="16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outstanding award of time-vesting restricted stock units or performance-vesting restricted stock units granted pursuant to the Company’s equity incentive plans (each, a “</w:t>
      </w:r>
      <w:r>
        <w:rPr>
          <w:rFonts w:ascii="Arial" w:cs="Arial" w:eastAsia="Arial" w:hAnsi="Arial"/>
          <w:sz w:val="17"/>
          <w:szCs w:val="17"/>
          <w:u w:val="single" w:color="auto"/>
          <w:color w:val="auto"/>
        </w:rPr>
        <w:t>Company Stock-Based Award</w:t>
      </w:r>
      <w:r>
        <w:rPr>
          <w:rFonts w:ascii="Arial" w:cs="Arial" w:eastAsia="Arial" w:hAnsi="Arial"/>
          <w:sz w:val="17"/>
          <w:szCs w:val="17"/>
          <w:color w:val="auto"/>
        </w:rPr>
        <w:t>”) that (i) was vested as of immediately prior to the Effective Time, (ii) became vested by its terms upon the occurrence of the Effective Time or (iii) was granted to a non-employee member of the Board of Directors of the Company, was, as of the Effective Time, cancelled and converted into the right to receive the Merger Consideration with respect to each Share subject to such Company Stock-Based Award, less any applicable withholding taxes.</w:t>
      </w:r>
    </w:p>
    <w:p>
      <w:pPr>
        <w:spacing w:after="0" w:line="176" w:lineRule="exact"/>
        <w:rPr>
          <w:rFonts w:ascii="Arial" w:cs="Arial" w:eastAsia="Arial" w:hAnsi="Arial"/>
          <w:sz w:val="17"/>
          <w:szCs w:val="17"/>
          <w:color w:val="auto"/>
        </w:rPr>
      </w:pPr>
    </w:p>
    <w:p>
      <w:pPr>
        <w:jc w:val="both"/>
        <w:ind w:left="660" w:hanging="328"/>
        <w:spacing w:after="0" w:line="28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Company Option that was not cancelled and converted and was not an Underwater Option, each, as described above (each, an “</w:t>
      </w:r>
      <w:r>
        <w:rPr>
          <w:rFonts w:ascii="Arial" w:cs="Arial" w:eastAsia="Arial" w:hAnsi="Arial"/>
          <w:sz w:val="16"/>
          <w:szCs w:val="16"/>
          <w:u w:val="single" w:color="auto"/>
          <w:color w:val="auto"/>
        </w:rPr>
        <w:t>Assumed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Option</w:t>
      </w:r>
      <w:r>
        <w:rPr>
          <w:rFonts w:ascii="Arial" w:cs="Arial" w:eastAsia="Arial" w:hAnsi="Arial"/>
          <w:sz w:val="16"/>
          <w:szCs w:val="16"/>
          <w:color w:val="auto"/>
        </w:rPr>
        <w:t>”) was, as of the Effective Time, converted into a nonqualified stock option granted pursuant to Parent’s 2001 Stock Plan, as amended and restated (the “</w:t>
      </w:r>
      <w:r>
        <w:rPr>
          <w:rFonts w:ascii="Arial" w:cs="Arial" w:eastAsia="Arial" w:hAnsi="Arial"/>
          <w:sz w:val="16"/>
          <w:szCs w:val="16"/>
          <w:u w:val="single" w:color="auto"/>
          <w:color w:val="auto"/>
        </w:rPr>
        <w:t>Parent Stock Plan</w:t>
      </w:r>
      <w:r>
        <w:rPr>
          <w:rFonts w:ascii="Arial" w:cs="Arial" w:eastAsia="Arial" w:hAnsi="Arial"/>
          <w:sz w:val="16"/>
          <w:szCs w:val="16"/>
          <w:color w:val="auto"/>
        </w:rPr>
        <w:t>”), with terms and conditions relating to vesting and exercisability to remain the same with respect to such Company Options subject to time-based vesting and with respect to such Company Options subject to performance-based vesting, converted into time-based vesting Assumed Company Options (determined based on target performance levels) that shall vest at the conclusion of the original performance period, and in respect of a number of shares of common stock of Parent equal to the product (rounded down to the nearest whole share) of (i) the number of Shares subject to such Assumed Company Option as of immediately prior to the Effective Time (determined based on target performance levels, as applicable) multiplied by (ii) a fraction (A) the numerator of which was the Merger Consideration and</w:t>
      </w:r>
    </w:p>
    <w:p>
      <w:pPr>
        <w:jc w:val="both"/>
        <w:ind w:left="660" w:hanging="4"/>
        <w:spacing w:after="0" w:line="253"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denominator of which was the volume weighted average price per share of common stock of Parent on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 for the five consecutive trading days ending with the last trading day ending immediately prior to the Closing Date (such fraction, the “</w:t>
      </w:r>
      <w:r>
        <w:rPr>
          <w:rFonts w:ascii="Arial" w:cs="Arial" w:eastAsia="Arial" w:hAnsi="Arial"/>
          <w:sz w:val="18"/>
          <w:szCs w:val="18"/>
          <w:u w:val="single" w:color="auto"/>
          <w:color w:val="auto"/>
        </w:rPr>
        <w:t>Exchange Ratio</w:t>
      </w:r>
      <w:r>
        <w:rPr>
          <w:rFonts w:ascii="Arial" w:cs="Arial" w:eastAsia="Arial" w:hAnsi="Arial"/>
          <w:sz w:val="18"/>
          <w:szCs w:val="18"/>
          <w:color w:val="auto"/>
        </w:rPr>
        <w:t>”), at an exercise price per share of common stock of Parent equal to (x) the exercise price of such Company Option divided by (y) the Exchange Ratio (rounded up to the nearest whole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Company Stock-Based Award that was not cancelled and converted as described above (each, an “</w:t>
      </w:r>
      <w:r>
        <w:rPr>
          <w:rFonts w:ascii="Arial" w:cs="Arial" w:eastAsia="Arial" w:hAnsi="Arial"/>
          <w:sz w:val="18"/>
          <w:szCs w:val="18"/>
          <w:u w:val="single" w:color="auto"/>
          <w:color w:val="auto"/>
        </w:rPr>
        <w:t>Assumed Company Stock-Based Award</w:t>
      </w:r>
      <w:r>
        <w:rPr>
          <w:rFonts w:ascii="Arial" w:cs="Arial" w:eastAsia="Arial" w:hAnsi="Arial"/>
          <w:sz w:val="18"/>
          <w:szCs w:val="18"/>
          <w:color w:val="auto"/>
        </w:rPr>
        <w:t>”) was, as of the Effective Time, converted into a stock-based award pursuant to the Parent Stock Plan, with terms and conditions relating to vesting to remain the same with respect to such Company Stock-Based Awards subject to time-based vesting and with respect to such Company Stock-Based Awards subject to performance-based vesting converted into time-based vesting Assumed Company Stock-Based Awards (determined based on target performance levels) that shall vest at the conclusion of the original performance period, and in respect of a number of shares of common stock of Parent equal to the product (rounded down to the nearest whole share) of the number of Shares subject to such Assumed Company Stock-Based Award as of immediately prior to the Effective Time (determined based on target performance levels, as applicable) multiplied by the Exchange Ratio.</w:t>
      </w:r>
    </w:p>
    <w:p>
      <w:pPr>
        <w:spacing w:after="0" w:line="19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Notwithstanding the above, generally, all Company Options and Company Stock-Based Awards that would otherwise have constituted Assumed Company Options and Assumed Company Stock-Based Awards, respectively, and that were scheduled to vest within 120 days following the Closing Date were accelerated and became vested as of immediately prior to the Effective Time and were treated as described in the first and second bullets above, respectively.</w:t>
      </w:r>
    </w:p>
    <w:p>
      <w:pPr>
        <w:spacing w:after="0" w:line="187" w:lineRule="exact"/>
        <w:rPr>
          <w:sz w:val="20"/>
          <w:szCs w:val="20"/>
          <w:color w:val="auto"/>
        </w:rPr>
      </w:pPr>
    </w:p>
    <w:p>
      <w:pPr>
        <w:jc w:val="both"/>
        <w:spacing w:after="0" w:line="279" w:lineRule="auto"/>
        <w:rPr>
          <w:rFonts w:ascii="Arial" w:cs="Arial" w:eastAsia="Arial" w:hAnsi="Arial"/>
          <w:sz w:val="17"/>
          <w:szCs w:val="17"/>
          <w:color w:val="0000EE"/>
        </w:rPr>
      </w:pPr>
      <w:r>
        <w:rPr>
          <w:rFonts w:ascii="Arial" w:cs="Arial" w:eastAsia="Arial" w:hAnsi="Arial"/>
          <w:sz w:val="17"/>
          <w:szCs w:val="17"/>
          <w:color w:val="auto"/>
        </w:rPr>
        <w:t xml:space="preserve">The foregoing description of the Merger Agreement and the transactions completed pursuant thereto is not complete and is subject to, and qualified in its </w:t>
      </w:r>
      <w:hyperlink r:id="rId14">
        <w:r>
          <w:rPr>
            <w:rFonts w:ascii="Arial" w:cs="Arial" w:eastAsia="Arial" w:hAnsi="Arial"/>
            <w:sz w:val="17"/>
            <w:szCs w:val="17"/>
            <w:color w:val="auto"/>
          </w:rPr>
          <w:t xml:space="preserve">entirety by reference to, the Merger Agreement, which was filed as </w:t>
        </w:r>
        <w:r>
          <w:rPr>
            <w:rFonts w:ascii="Arial" w:cs="Arial" w:eastAsia="Arial" w:hAnsi="Arial"/>
            <w:sz w:val="17"/>
            <w:szCs w:val="17"/>
            <w:u w:val="single" w:color="auto"/>
            <w:color w:val="0000EE"/>
          </w:rPr>
          <w:t>Exhibit 2.1 to the Current Report on Form 8-K filed by the Company on January 19,</w:t>
        </w:r>
      </w:hyperlink>
      <w:r>
        <w:rPr>
          <w:rFonts w:ascii="Arial" w:cs="Arial" w:eastAsia="Arial" w:hAnsi="Arial"/>
          <w:sz w:val="17"/>
          <w:szCs w:val="17"/>
          <w:color w:val="auto"/>
        </w:rPr>
        <w:t xml:space="preserve"> </w:t>
      </w:r>
      <w:hyperlink r:id="rId15">
        <w:r>
          <w:rPr>
            <w:rFonts w:ascii="Arial" w:cs="Arial" w:eastAsia="Arial" w:hAnsi="Arial"/>
            <w:sz w:val="17"/>
            <w:szCs w:val="17"/>
            <w:u w:val="single" w:color="auto"/>
            <w:color w:val="0000EE"/>
          </w:rPr>
          <w:t>2022</w:t>
        </w:r>
        <w:r>
          <w:rPr>
            <w:rFonts w:ascii="Arial" w:cs="Arial" w:eastAsia="Arial" w:hAnsi="Arial"/>
            <w:sz w:val="17"/>
            <w:szCs w:val="17"/>
            <w:color w:val="000000"/>
          </w:rPr>
          <w:t>, and the Letter Agreement, dated as of July 18, 2023, by and among the Company, Parent and Merger Sub, which was filed as</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Exhibit 10.1 to the</w:t>
        </w:r>
      </w:hyperlink>
      <w:r>
        <w:rPr>
          <w:rFonts w:ascii="Arial" w:cs="Arial" w:eastAsia="Arial" w:hAnsi="Arial"/>
          <w:sz w:val="17"/>
          <w:szCs w:val="17"/>
          <w:color w:val="0000EE"/>
        </w:rPr>
        <w:t xml:space="preserve"> </w:t>
      </w:r>
      <w:hyperlink r:id="rId15">
        <w:r>
          <w:rPr>
            <w:rFonts w:ascii="Arial" w:cs="Arial" w:eastAsia="Arial" w:hAnsi="Arial"/>
            <w:sz w:val="17"/>
            <w:szCs w:val="17"/>
            <w:u w:val="single" w:color="auto"/>
            <w:color w:val="0000EE"/>
          </w:rPr>
          <w:t>Current Report on Form 8-K filed by the Company on July 19, 2023</w:t>
        </w:r>
        <w:r>
          <w:rPr>
            <w:rFonts w:ascii="Arial" w:cs="Arial" w:eastAsia="Arial" w:hAnsi="Arial"/>
            <w:sz w:val="17"/>
            <w:szCs w:val="17"/>
            <w:color w:val="000000"/>
          </w:rPr>
          <w:t>, both of which are incorporated herein by reference.</w:t>
        </w:r>
      </w:hyperlink>
    </w:p>
    <w:p>
      <w:pPr>
        <w:spacing w:after="0" w:line="16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The information contained in Item 2.01 of this Current Report on Form 8-K is incorporated by reference into this Item 3.01.</w:t>
      </w:r>
    </w:p>
    <w:p>
      <w:pPr>
        <w:spacing w:after="0" w:line="225" w:lineRule="exact"/>
        <w:rPr>
          <w:rFonts w:ascii="Arial" w:cs="Arial" w:eastAsia="Arial" w:hAnsi="Arial"/>
          <w:sz w:val="17"/>
          <w:szCs w:val="17"/>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consummation of the Merger, on the Closing Date, the Company notified Nasdaq that the Merger had been consummated and that each issued and outstanding Share (other than any Excluded Share) had been converted into the right to receive the Merger Consideration, without interest. The Company requested that Nasdaq (i) halt trading of the Shares on Nasdaq prior to the open of trading on the Closing Date, (ii) withdraw the Shares from listing on Nasdaq and (iii) file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Notification of Removal from Listing and/or Registration under Section 12(b)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on Form 25 to report that the Shares are no longer listed on Nasdaq and to apply for the deregistration of the Shares under Section 12(b) of the Exchange Act. As a result, the Shares, which previously traded under the symbol “ATVI”, will no longer be listed on Nasdaq.</w:t>
      </w:r>
    </w:p>
    <w:p>
      <w:pPr>
        <w:spacing w:after="0" w:line="177" w:lineRule="exact"/>
        <w:rPr>
          <w:rFonts w:ascii="Arial" w:cs="Arial" w:eastAsia="Arial" w:hAnsi="Arial"/>
          <w:sz w:val="17"/>
          <w:szCs w:val="17"/>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intends to file a certification on Form 15 with the SEC to suspend the Company’s reporting obligations under Sections 13 and 15(d) of the Exchange Act.</w:t>
      </w:r>
    </w:p>
    <w:p>
      <w:pPr>
        <w:spacing w:after="0" w:line="16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rFonts w:ascii="Arial" w:cs="Arial" w:eastAsia="Arial" w:hAnsi="Arial"/>
          <w:sz w:val="17"/>
          <w:szCs w:val="17"/>
          <w:color w:val="auto"/>
        </w:rPr>
      </w:pPr>
    </w:p>
    <w:p>
      <w:pPr>
        <w:jc w:val="both"/>
        <w:spacing w:after="0" w:line="277" w:lineRule="auto"/>
        <w:rPr>
          <w:sz w:val="20"/>
          <w:szCs w:val="20"/>
          <w:color w:val="auto"/>
        </w:rPr>
      </w:pPr>
      <w:r>
        <w:rPr>
          <w:rFonts w:ascii="Arial" w:cs="Arial" w:eastAsia="Arial" w:hAnsi="Arial"/>
          <w:sz w:val="18"/>
          <w:szCs w:val="18"/>
          <w:color w:val="auto"/>
        </w:rPr>
        <w:t>The information contained in Item 2.01, Item 3.01, Item 5.01 and Item 5.03 of this Current Report on Form 8-K is incorporated by reference into this Item 3.03.</w:t>
      </w:r>
    </w:p>
    <w:p>
      <w:pPr>
        <w:spacing w:after="0" w:line="170" w:lineRule="exact"/>
        <w:rPr>
          <w:rFonts w:ascii="Arial" w:cs="Arial" w:eastAsia="Arial" w:hAnsi="Arial"/>
          <w:sz w:val="17"/>
          <w:szCs w:val="17"/>
          <w:color w:val="auto"/>
        </w:rPr>
      </w:pPr>
    </w:p>
    <w:p>
      <w:pPr>
        <w:jc w:val="both"/>
        <w:spacing w:after="0" w:line="263" w:lineRule="auto"/>
        <w:rPr>
          <w:sz w:val="20"/>
          <w:szCs w:val="20"/>
          <w:color w:val="auto"/>
        </w:rPr>
      </w:pPr>
      <w:r>
        <w:rPr>
          <w:rFonts w:ascii="Arial" w:cs="Arial" w:eastAsia="Arial" w:hAnsi="Arial"/>
          <w:sz w:val="18"/>
          <w:szCs w:val="18"/>
          <w:color w:val="auto"/>
        </w:rPr>
        <w:t>As a result of the consummation of the Merger, at the Effective Time, holders of the Shares immediately prior to such time (except as described in Item 2.01 of this Current Report on Form 8-K) ceased to have any rights as stockholders of the Company (other than their right to receive the Merger Consideration pursuant to the terms of the Merger Agreement).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Item 2.01, Item 3.01 and Item 5.02 of this Current Report on Form 8-K is incorporated by reference into this Item 5.01.</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consummation of the Merger, at the Effective Time, a change in control of the Company occurred and the Company became a wholly owned subsidiary of Parent.</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2.01 of this Current Report on Form 8-K is incorporated by reference into this Item 5.02.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Merger and pursuant to the Merger Agreement, each of Reveta Bowers, Kerry Carr, Robert Corti, Brian Kelly, Robert Kotick, Barry Meyer, Robert Morgado, Peter Nolan and Dawn Ostroff resigned and ceased to be directors of the Company and members of any committee or subcommittee of the Company’s Board of Directors as of the Effective Time, and Keith R. Dolliver and Benjamin O. Orndorff, who constituted the directors of Merger Sub as of immediately prior to the Effective Time, became the directors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Merger Agreement, effective as of the Effective Time, the certificate of incorporation and the bylaws of the Company were amended and restated in their entirety. A copy of the Fourth Amended and Restated Certificate of Incorporation and Sixth Amended and Restated Bylaws of the Company are filed as Exhibits 3.1 and 3.2, respectively, to this Current Report on Form 8-K and are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6"/>
              </w:rPr>
              <w:t>Exhibit</w:t>
            </w:r>
          </w:p>
        </w:tc>
        <w:tc>
          <w:tcPr>
            <w:tcW w:w="4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6"/>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00" w:type="dxa"/>
            <w:vAlign w:val="bottom"/>
            <w:tcBorders>
              <w:top w:val="single" w:sz="8" w:color="auto"/>
            </w:tcBorders>
            <w:gridSpan w:val="4"/>
          </w:tcPr>
          <w:p>
            <w:pPr>
              <w:ind w:left="20"/>
              <w:spacing w:after="0"/>
              <w:rPr>
                <w:rFonts w:ascii="Arial" w:cs="Arial" w:eastAsia="Arial" w:hAnsi="Arial"/>
                <w:sz w:val="18"/>
                <w:szCs w:val="18"/>
                <w:color w:val="0000EE"/>
              </w:rPr>
            </w:pPr>
            <w:hyperlink r:id="rId1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34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rFonts w:ascii="Arial" w:cs="Arial" w:eastAsia="Arial" w:hAnsi="Arial"/>
                <w:sz w:val="18"/>
                <w:szCs w:val="18"/>
                <w:color w:val="0000EE"/>
                <w:w w:val="90"/>
              </w:rPr>
            </w:pPr>
            <w:hyperlink r:id="rId14">
              <w:r>
                <w:rPr>
                  <w:rFonts w:ascii="Arial" w:cs="Arial" w:eastAsia="Arial" w:hAnsi="Arial"/>
                  <w:sz w:val="18"/>
                  <w:szCs w:val="18"/>
                  <w:color w:val="0000EE"/>
                  <w:w w:val="90"/>
                </w:rPr>
                <w:t>Agreement  and  Plan  of  Merger,  dated  as  of  January  18,  2022,  by  and  among  Activision  Blizzard,  Inc.,  Microsoft  Corporation  and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0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Anchorage Merger Sub Inc., as amended, supplemented or otherwise modified from time to time (incorporated by reference to Exhibit 2.1</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of the Company’s Current Report on Form 8-K filed with the SEC on January 19, 2022).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Arial" w:cs="Arial" w:eastAsia="Arial" w:hAnsi="Arial"/>
                <w:sz w:val="18"/>
                <w:szCs w:val="18"/>
                <w:color w:val="0000EE"/>
                <w:w w:val="79"/>
              </w:rPr>
            </w:pPr>
            <w:hyperlink r:id="rId1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EE"/>
                <w:w w:val="94"/>
              </w:rPr>
            </w:pPr>
            <w:hyperlink r:id="rId15">
              <w:r>
                <w:rPr>
                  <w:rFonts w:ascii="Arial" w:cs="Arial" w:eastAsia="Arial" w:hAnsi="Arial"/>
                  <w:sz w:val="18"/>
                  <w:szCs w:val="18"/>
                  <w:color w:val="0000EE"/>
                  <w:w w:val="94"/>
                </w:rPr>
                <w:t>Letter Agreement, dated as of July 18, 2023, by and among Activision Blizzard, Inc., Microsoft Corporation and Anchorage Merger Sub</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r:id="rId15">
              <w:r>
                <w:rPr>
                  <w:rFonts w:ascii="Arial" w:cs="Arial" w:eastAsia="Arial" w:hAnsi="Arial"/>
                  <w:sz w:val="18"/>
                  <w:szCs w:val="18"/>
                  <w:color w:val="0000EE"/>
                  <w:w w:val="97"/>
                </w:rPr>
                <w:t>Inc. (incorporated by reference to Exhibit 10.1 of the Company’s Current Report on Form 8-K filed with the SEC on July 19, 2023).</w:t>
              </w:r>
            </w:hyperlink>
          </w:p>
        </w:tc>
        <w:tc>
          <w:tcPr>
            <w:tcW w:w="20" w:type="dxa"/>
            <w:vAlign w:val="bottom"/>
          </w:tcPr>
          <w:p>
            <w:pPr>
              <w:spacing w:after="0"/>
              <w:rPr>
                <w:sz w:val="17"/>
                <w:szCs w:val="17"/>
                <w:color w:val="auto"/>
              </w:rPr>
            </w:pPr>
          </w:p>
        </w:tc>
      </w:tr>
      <w:tr>
        <w:trPr>
          <w:trHeight w:val="412"/>
        </w:trPr>
        <w:tc>
          <w:tcPr>
            <w:tcW w:w="240" w:type="dxa"/>
            <w:vAlign w:val="bottom"/>
            <w:gridSpan w:val="2"/>
          </w:tcPr>
          <w:p>
            <w:pPr>
              <w:ind w:left="20"/>
              <w:spacing w:after="0"/>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Fourth Amended and Restated Certificate of Incorporation of Activision Blizzard, Inc.</w:t>
            </w:r>
          </w:p>
        </w:tc>
        <w:tc>
          <w:tcPr>
            <w:tcW w:w="58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r>
      <w:tr>
        <w:trPr>
          <w:trHeight w:val="412"/>
        </w:trPr>
        <w:tc>
          <w:tcPr>
            <w:tcW w:w="240" w:type="dxa"/>
            <w:vAlign w:val="bottom"/>
            <w:gridSpan w:val="2"/>
          </w:tcPr>
          <w:p>
            <w:pPr>
              <w:ind w:left="20"/>
              <w:spacing w:after="0"/>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0000EE"/>
              </w:rPr>
              <w:t>Sixth Amended and Restated Bylaws of Activision Blizzard, Inc.</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r>
      <w:tr>
        <w:trPr>
          <w:trHeight w:val="453"/>
        </w:trPr>
        <w:tc>
          <w:tcPr>
            <w:tcW w:w="320" w:type="dxa"/>
            <w:vAlign w:val="bottom"/>
            <w:gridSpan w:val="3"/>
          </w:tcPr>
          <w:p>
            <w:pPr>
              <w:ind w:left="20"/>
              <w:spacing w:after="0"/>
              <w:rPr>
                <w:sz w:val="20"/>
                <w:szCs w:val="20"/>
                <w:color w:val="auto"/>
              </w:rPr>
            </w:pPr>
            <w:r>
              <w:rPr>
                <w:rFonts w:ascii="Arial" w:cs="Arial" w:eastAsia="Arial" w:hAnsi="Arial"/>
                <w:sz w:val="18"/>
                <w:szCs w:val="18"/>
                <w:color w:val="auto"/>
                <w:w w:val="93"/>
              </w:rPr>
              <w:t>104</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220" w:hanging="208"/>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Activision Blizzard, Inc. hereby undertakes to furnish supplementally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Luci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505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Luci Altman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 Senior Vice President, Corporate Governance and Corporate Secretary</w:t>
      </w:r>
    </w:p>
    <w:p>
      <w:pPr>
        <w:spacing w:after="0" w:line="234"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Date:</w:t>
        <w:tab/>
        <w:t>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Activision Blizzard,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The registered office of the Corporation in the State of Delaware is 251 Little Falls Drive, Wilmington, New Castle County, Delaware 19808 and the name of its registered agent at that address is Corporation Service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or any successor statute.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1,222,000,000 shares of common stock, par value $0.01 per share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In furtherance and not in limitation of the powers conferred by the laws of the State of Delaware, the Board of Directors, acting by majority vote, is expressly authorized to make, alter, amend or repeal the Bylaws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and except to the extent that the Bylaws of the Corporation shall so require, election of directors of the Corporation need not be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 ballot.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The personal liability of the directors and officers of the Corporation is hereby eliminated to the fullest extent permitted by paragraph (7) of subsection (b) of Section 102 of the DGCL, as the same may be amended and supplemented.</w:t>
      </w:r>
    </w:p>
    <w:p>
      <w:pPr>
        <w:spacing w:after="0" w:line="170"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Any modification of this Article VII by the stockholders of the Corporation shall be prospective only and shall not adversely affect any limitation on the personal liability of a director or officer of the Corporation existing at the time of such appeal on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7"/>
          <w:szCs w:val="17"/>
          <w:color w:val="auto"/>
        </w:rPr>
        <w:t>The Corporation, to the fullest extent permitted by Section 145 of the DGCL, as the same may be amended and supplemented, shall indemnify the directors and officers of the Corporation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administration of such a person.</w:t>
      </w:r>
    </w:p>
    <w:p>
      <w:pPr>
        <w:spacing w:after="0" w:line="178"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Any modification of this Article VIII by the stockholders of the Corporation shall be prospective only and shall not adversely affect any limitation on the personal liability of a director or officer of the Corporation existing at the time of such appeal on modification.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Unless the Corporation consents in writing to the selection of an alternative forum (an “</w:t>
      </w:r>
      <w:r>
        <w:rPr>
          <w:rFonts w:ascii="Arial" w:cs="Arial" w:eastAsia="Arial" w:hAnsi="Arial"/>
          <w:sz w:val="17"/>
          <w:szCs w:val="17"/>
          <w:b w:val="1"/>
          <w:bCs w:val="1"/>
          <w:u w:val="single" w:color="auto"/>
          <w:color w:val="auto"/>
        </w:rPr>
        <w:t>Alternative Forum Consent</w:t>
      </w:r>
      <w:r>
        <w:rPr>
          <w:rFonts w:ascii="Arial" w:cs="Arial" w:eastAsia="Arial" w:hAnsi="Arial"/>
          <w:sz w:val="17"/>
          <w:szCs w:val="17"/>
          <w:color w:val="auto"/>
        </w:rPr>
        <w:t>”), the Court of Chancery of the State of Delaware shall, to the fullest extent permitted by law,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arising out of or relating to any provision of the General Corporation Law of the State of Delaware or the Corporation’s Certificate of Incorporation or bylaws (each, as in effect from time to time) or as to which the General Corporation Law of the State of Delaware confers jurisdiction on the Court of Chancery of the State of Delaware, or (iv) any action asserting a claim governed by the internal affairs doctrine;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Subject to the foregoing provisions of this Article IX,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and the rules and regulations promulgated thereunder.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foregoing provisions of this Article IX. The existence of any prior Alternative Forum Consent shall not act as a waiver of the Corporation’s ongoing consent right as set forth above in this Article IX with respect to any current or future actions or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The Corporation hereby expressly elects not to be governed by Section 203 of the DGCL, and the restrictions contained in Section 203 of the DGCL shall not apply to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If any provision or provisions of this Fourth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Fourth Amended and Restated Certificate of Incorporation (including, without limitation, each portion of any paragraph of this Fourth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Fourth Amended and Restated Certificate of Incorporation (including, without limitation, each such portion of any paragraph of this Fourth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1" w:lineRule="exact"/>
        <w:rPr>
          <w:sz w:val="20"/>
          <w:szCs w:val="20"/>
          <w:color w:val="auto"/>
        </w:rPr>
      </w:pPr>
    </w:p>
    <w:p>
      <w:pPr>
        <w:jc w:val="center"/>
        <w:spacing w:after="0"/>
        <w:tabs>
          <w:tab w:leader="none" w:pos="260" w:val="left"/>
          <w:tab w:leader="none" w:pos="260" w:val="left"/>
          <w:tab w:leader="none" w:pos="260" w:val="left"/>
          <w:tab w:leader="none" w:pos="26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25" w:lineRule="exact"/>
        <w:rPr>
          <w:sz w:val="20"/>
          <w:szCs w:val="20"/>
          <w:color w:val="auto"/>
        </w:rPr>
      </w:pPr>
    </w:p>
    <w:p>
      <w:pPr>
        <w:ind w:right="140" w:firstLine="1296"/>
        <w:spacing w:after="0" w:line="258"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color w:val="auto"/>
        </w:rPr>
        <w:t>. If required by applicable law, an annual meeting of stockholders of Activision Blizzard, Inc.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shall be held for the election of directors at such date, time and place, if any, either within or without the State of Delaware, as may be designated by resolution of the Board of Directors of the Corporation (the “</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from time to time. Any other proper business may be transacted at the annual meeting. The Board of Directors may postpone, reschedule or cancel any annual meeting of stockholders previously scheduled by the Board of Directors.</w:t>
      </w:r>
    </w:p>
    <w:p>
      <w:pPr>
        <w:spacing w:after="0" w:line="183"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stockholders for any purpose or purposes may be called at any time by the Board of Directors, but such special meetings may not be called by any other person or persons. Business transacted at any special meeting of stockholders shall be limited to the purposes stated in the notice. The Board of Directors may postpone, reschedule or cancel any special meeting of stockholders previously scheduled by the Board of Directors.</w:t>
      </w:r>
    </w:p>
    <w:p>
      <w:pPr>
        <w:spacing w:after="0" w:line="180"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of the Corporation (the “</w:t>
      </w:r>
      <w:r>
        <w:rPr>
          <w:rFonts w:ascii="Arial" w:cs="Arial" w:eastAsia="Arial" w:hAnsi="Arial"/>
          <w:sz w:val="17"/>
          <w:szCs w:val="17"/>
          <w:b w:val="1"/>
          <w:bCs w:val="1"/>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Incorporation</w:t>
      </w:r>
      <w:r>
        <w:rPr>
          <w:rFonts w:ascii="Arial" w:cs="Arial" w:eastAsia="Arial" w:hAnsi="Arial"/>
          <w:sz w:val="17"/>
          <w:szCs w:val="17"/>
          <w:color w:val="auto"/>
        </w:rPr>
        <w:t>”) or these Bylaws, the notice of any meeting shall be given not less than ten (10) nor more than sixty (60) days before the date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74" w:lineRule="exact"/>
        <w:rPr>
          <w:sz w:val="20"/>
          <w:szCs w:val="20"/>
          <w:color w:val="auto"/>
        </w:rPr>
      </w:pPr>
    </w:p>
    <w:p>
      <w:pPr>
        <w:ind w:right="40" w:firstLine="1296"/>
        <w:spacing w:after="0" w:line="272" w:lineRule="auto"/>
        <w:rPr>
          <w:sz w:val="20"/>
          <w:szCs w:val="20"/>
          <w:color w:val="auto"/>
        </w:rPr>
      </w:pPr>
      <w:r>
        <w:rPr>
          <w:rFonts w:ascii="Arial" w:cs="Arial" w:eastAsia="Arial" w:hAnsi="Arial"/>
          <w:sz w:val="17"/>
          <w:szCs w:val="17"/>
          <w:color w:val="auto"/>
        </w:rPr>
        <w:t>Section 1.4.         </w:t>
      </w:r>
      <w:r>
        <w:rPr>
          <w:rFonts w:ascii="Arial" w:cs="Arial" w:eastAsia="Arial" w:hAnsi="Arial"/>
          <w:sz w:val="17"/>
          <w:szCs w:val="17"/>
          <w:b w:val="1"/>
          <w:bCs w:val="1"/>
          <w:u w:val="single" w:color="auto"/>
          <w:color w:val="auto"/>
        </w:rPr>
        <w:t>Adjournments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40" w:firstLine="1296"/>
        <w:spacing w:after="0" w:line="254"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92" w:lineRule="exact"/>
        <w:rPr>
          <w:sz w:val="20"/>
          <w:szCs w:val="20"/>
          <w:color w:val="auto"/>
        </w:rPr>
      </w:pPr>
    </w:p>
    <w:p>
      <w:pPr>
        <w:ind w:firstLine="1296"/>
        <w:spacing w:after="0" w:line="258" w:lineRule="auto"/>
        <w:rPr>
          <w:sz w:val="20"/>
          <w:szCs w:val="20"/>
          <w:color w:val="auto"/>
        </w:rPr>
      </w:pPr>
      <w:r>
        <w:rPr>
          <w:rFonts w:ascii="Arial" w:cs="Arial" w:eastAsia="Arial" w:hAnsi="Arial"/>
          <w:sz w:val="18"/>
          <w:szCs w:val="18"/>
          <w:color w:val="auto"/>
        </w:rPr>
        <w:t>Section 1.6.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Meetings of stockholders shall be presided over by the Chairperson of the Board of Directors, if any, or in his or her absence by the Vice Chairperson of the Board of Directors,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3" w:lineRule="exact"/>
        <w:rPr>
          <w:sz w:val="20"/>
          <w:szCs w:val="20"/>
          <w:color w:val="auto"/>
        </w:rPr>
      </w:pPr>
    </w:p>
    <w:p>
      <w:pPr>
        <w:ind w:right="20" w:firstLine="1296"/>
        <w:spacing w:after="0" w:line="287" w:lineRule="auto"/>
        <w:rPr>
          <w:sz w:val="20"/>
          <w:szCs w:val="20"/>
          <w:color w:val="auto"/>
        </w:rPr>
      </w:pPr>
      <w:r>
        <w:rPr>
          <w:rFonts w:ascii="Arial" w:cs="Arial" w:eastAsia="Arial" w:hAnsi="Arial"/>
          <w:sz w:val="16"/>
          <w:szCs w:val="16"/>
          <w:color w:val="auto"/>
        </w:rPr>
        <w:t>Section 1.7.         </w:t>
      </w:r>
      <w:r>
        <w:rPr>
          <w:rFonts w:ascii="Arial" w:cs="Arial" w:eastAsia="Arial" w:hAnsi="Arial"/>
          <w:sz w:val="16"/>
          <w:szCs w:val="16"/>
          <w:b w:val="1"/>
          <w:bCs w:val="1"/>
          <w:u w:val="single" w:color="auto"/>
          <w:color w:val="auto"/>
        </w:rPr>
        <w:t>Voting; Proxies</w:t>
      </w:r>
      <w:r>
        <w:rPr>
          <w:rFonts w:ascii="Arial" w:cs="Arial" w:eastAsia="Arial" w:hAnsi="Arial"/>
          <w:sz w:val="16"/>
          <w:szCs w:val="16"/>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left="1300"/>
        <w:spacing w:after="0"/>
        <w:rPr>
          <w:sz w:val="20"/>
          <w:szCs w:val="20"/>
          <w:color w:val="auto"/>
        </w:rPr>
      </w:pPr>
      <w:r>
        <w:rPr>
          <w:rFonts w:ascii="Arial" w:cs="Arial" w:eastAsia="Arial" w:hAnsi="Arial"/>
          <w:sz w:val="18"/>
          <w:szCs w:val="18"/>
          <w:color w:val="auto"/>
        </w:rPr>
        <w:t>Section 1.8.         </w:t>
      </w:r>
      <w:r>
        <w:rPr>
          <w:rFonts w:ascii="Arial" w:cs="Arial" w:eastAsia="Arial" w:hAnsi="Arial"/>
          <w:sz w:val="18"/>
          <w:szCs w:val="18"/>
          <w:b w:val="1"/>
          <w:bCs w:val="1"/>
          <w:u w:val="single" w:color="auto"/>
          <w:color w:val="auto"/>
        </w:rPr>
        <w:t>Fixing Date for Determination of Stockholders of Record</w:t>
      </w:r>
      <w:r>
        <w:rPr>
          <w:rFonts w:ascii="Arial" w:cs="Arial" w:eastAsia="Arial" w:hAnsi="Arial"/>
          <w:sz w:val="18"/>
          <w:szCs w:val="18"/>
          <w:color w:val="auto"/>
        </w:rPr>
        <w:t>.</w:t>
      </w:r>
    </w:p>
    <w:p>
      <w:pPr>
        <w:spacing w:after="0" w:line="229" w:lineRule="exact"/>
        <w:rPr>
          <w:sz w:val="20"/>
          <w:szCs w:val="20"/>
          <w:color w:val="auto"/>
        </w:rPr>
      </w:pPr>
    </w:p>
    <w:p>
      <w:pPr>
        <w:ind w:right="80" w:firstLine="1944"/>
        <w:spacing w:after="0" w:line="287" w:lineRule="auto"/>
        <w:rPr>
          <w:sz w:val="20"/>
          <w:szCs w:val="20"/>
          <w:color w:val="auto"/>
        </w:rPr>
      </w:pPr>
      <w:r>
        <w:rPr>
          <w:rFonts w:ascii="Arial" w:cs="Arial" w:eastAsia="Arial" w:hAnsi="Arial"/>
          <w:sz w:val="16"/>
          <w:szCs w:val="16"/>
          <w:color w:val="auto"/>
        </w:rPr>
        <w:t>(a)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w:t>
      </w:r>
    </w:p>
    <w:p>
      <w:pPr>
        <w:spacing w:after="0" w:line="2" w:lineRule="exact"/>
        <w:rPr>
          <w:sz w:val="20"/>
          <w:szCs w:val="20"/>
          <w:color w:val="auto"/>
        </w:rPr>
      </w:pPr>
    </w:p>
    <w:p>
      <w:pPr>
        <w:ind w:firstLine="8"/>
        <w:spacing w:after="0" w:line="268"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1" w:lineRule="exact"/>
        <w:rPr>
          <w:sz w:val="20"/>
          <w:szCs w:val="20"/>
          <w:color w:val="auto"/>
        </w:rPr>
      </w:pPr>
    </w:p>
    <w:p>
      <w:pPr>
        <w:ind w:right="60" w:firstLine="1944"/>
        <w:spacing w:after="0" w:line="257" w:lineRule="auto"/>
        <w:rPr>
          <w:sz w:val="20"/>
          <w:szCs w:val="20"/>
          <w:color w:val="auto"/>
        </w:rPr>
      </w:pPr>
      <w:r>
        <w:rPr>
          <w:rFonts w:ascii="Arial" w:cs="Arial" w:eastAsia="Arial" w:hAnsi="Arial"/>
          <w:sz w:val="18"/>
          <w:szCs w:val="18"/>
          <w:color w:val="auto"/>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ind w:firstLine="1944"/>
        <w:spacing w:after="0" w:line="253" w:lineRule="auto"/>
        <w:rPr>
          <w:sz w:val="20"/>
          <w:szCs w:val="20"/>
          <w:color w:val="auto"/>
        </w:rPr>
      </w:pPr>
      <w:r>
        <w:rPr>
          <w:rFonts w:ascii="Arial" w:cs="Arial" w:eastAsia="Arial" w:hAnsi="Arial"/>
          <w:sz w:val="18"/>
          <w:szCs w:val="18"/>
          <w:color w:val="auto"/>
        </w:rPr>
        <w:t>(c)        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1296"/>
        <w:spacing w:after="0" w:line="269" w:lineRule="auto"/>
        <w:rPr>
          <w:sz w:val="20"/>
          <w:szCs w:val="20"/>
          <w:color w:val="auto"/>
        </w:rPr>
      </w:pPr>
      <w:r>
        <w:rPr>
          <w:rFonts w:ascii="Arial" w:cs="Arial" w:eastAsia="Arial" w:hAnsi="Arial"/>
          <w:sz w:val="17"/>
          <w:szCs w:val="17"/>
          <w:color w:val="auto"/>
        </w:rPr>
        <w:t>Section 1.9.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color w:val="auto"/>
        </w:rPr>
        <w:t>. 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76" w:lineRule="exact"/>
        <w:rPr>
          <w:sz w:val="20"/>
          <w:szCs w:val="20"/>
          <w:color w:val="auto"/>
        </w:rPr>
      </w:pPr>
    </w:p>
    <w:p>
      <w:pPr>
        <w:ind w:right="20" w:firstLine="1296"/>
        <w:spacing w:after="0" w:line="289" w:lineRule="auto"/>
        <w:rPr>
          <w:sz w:val="20"/>
          <w:szCs w:val="20"/>
          <w:color w:val="auto"/>
        </w:rPr>
      </w:pPr>
      <w:r>
        <w:rPr>
          <w:rFonts w:ascii="Arial" w:cs="Arial" w:eastAsia="Arial" w:hAnsi="Arial"/>
          <w:sz w:val="16"/>
          <w:szCs w:val="16"/>
          <w:color w:val="auto"/>
        </w:rPr>
        <w:t>Section 1.10.       </w:t>
      </w:r>
      <w:r>
        <w:rPr>
          <w:rFonts w:ascii="Arial" w:cs="Arial" w:eastAsia="Arial" w:hAnsi="Arial"/>
          <w:sz w:val="16"/>
          <w:szCs w:val="16"/>
          <w:b w:val="1"/>
          <w:bCs w:val="1"/>
          <w:u w:val="single" w:color="auto"/>
          <w:color w:val="auto"/>
        </w:rPr>
        <w:t>Action By Written Consent of Stockholders</w:t>
      </w:r>
      <w:r>
        <w:rPr>
          <w:rFonts w:ascii="Arial" w:cs="Arial" w:eastAsia="Arial" w:hAnsi="Arial"/>
          <w:sz w:val="16"/>
          <w:szCs w:val="16"/>
          <w:color w:val="auto"/>
        </w:rPr>
        <w:t>. 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1"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Section 1.11.       </w:t>
      </w:r>
      <w:r>
        <w:rPr>
          <w:rFonts w:ascii="Arial" w:cs="Arial" w:eastAsia="Arial" w:hAnsi="Arial"/>
          <w:sz w:val="17"/>
          <w:szCs w:val="17"/>
          <w:b w:val="1"/>
          <w:bCs w:val="1"/>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1296"/>
        <w:spacing w:after="0" w:line="268" w:lineRule="auto"/>
        <w:rPr>
          <w:sz w:val="20"/>
          <w:szCs w:val="20"/>
          <w:color w:val="auto"/>
        </w:rPr>
      </w:pPr>
      <w:r>
        <w:rPr>
          <w:rFonts w:ascii="Arial" w:cs="Arial" w:eastAsia="Arial" w:hAnsi="Arial"/>
          <w:sz w:val="17"/>
          <w:szCs w:val="17"/>
          <w:color w:val="auto"/>
        </w:rPr>
        <w:t>Section 1.12.       </w:t>
      </w:r>
      <w:r>
        <w:rPr>
          <w:rFonts w:ascii="Arial" w:cs="Arial" w:eastAsia="Arial" w:hAnsi="Arial"/>
          <w:sz w:val="17"/>
          <w:szCs w:val="17"/>
          <w:b w:val="1"/>
          <w:bCs w:val="1"/>
          <w:u w:val="single" w:color="auto"/>
          <w:color w:val="auto"/>
        </w:rPr>
        <w:t>Conduct of Meetings</w:t>
      </w:r>
      <w:r>
        <w:rPr>
          <w:rFonts w:ascii="Arial" w:cs="Arial" w:eastAsia="Arial" w:hAnsi="Arial"/>
          <w:sz w:val="17"/>
          <w:szCs w:val="17"/>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5" w:lineRule="exact"/>
        <w:rPr>
          <w:sz w:val="20"/>
          <w:szCs w:val="20"/>
          <w:color w:val="auto"/>
        </w:rPr>
      </w:pPr>
    </w:p>
    <w:p>
      <w:pPr>
        <w:ind w:right="540" w:firstLine="1296"/>
        <w:spacing w:after="0" w:line="282" w:lineRule="auto"/>
        <w:rPr>
          <w:sz w:val="20"/>
          <w:szCs w:val="20"/>
          <w:color w:val="auto"/>
        </w:rPr>
      </w:pPr>
      <w:r>
        <w:rPr>
          <w:rFonts w:ascii="Arial" w:cs="Arial" w:eastAsia="Arial" w:hAnsi="Arial"/>
          <w:sz w:val="18"/>
          <w:szCs w:val="18"/>
          <w:color w:val="auto"/>
        </w:rPr>
        <w:t>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62"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Section 2.2.         </w:t>
      </w:r>
      <w:r>
        <w:rPr>
          <w:rFonts w:ascii="Arial" w:cs="Arial" w:eastAsia="Arial" w:hAnsi="Arial"/>
          <w:sz w:val="17"/>
          <w:szCs w:val="17"/>
          <w:b w:val="1"/>
          <w:bCs w:val="1"/>
          <w:u w:val="single" w:color="auto"/>
          <w:color w:val="auto"/>
        </w:rPr>
        <w:t>Election; Resignation; Vacancies</w:t>
      </w:r>
      <w:r>
        <w:rPr>
          <w:rFonts w:ascii="Arial" w:cs="Arial" w:eastAsia="Arial" w:hAnsi="Arial"/>
          <w:sz w:val="17"/>
          <w:szCs w:val="17"/>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or she has replaced or until his or her successor is elected and qualified.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60" w:firstLine="1296"/>
        <w:spacing w:after="0" w:line="282" w:lineRule="auto"/>
        <w:rPr>
          <w:sz w:val="20"/>
          <w:szCs w:val="20"/>
          <w:color w:val="auto"/>
        </w:rPr>
      </w:pPr>
      <w:r>
        <w:rPr>
          <w:rFonts w:ascii="Arial" w:cs="Arial" w:eastAsia="Arial" w:hAnsi="Arial"/>
          <w:sz w:val="18"/>
          <w:szCs w:val="18"/>
          <w:color w:val="auto"/>
        </w:rPr>
        <w:t>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w:t>
      </w:r>
    </w:p>
    <w:p>
      <w:pPr>
        <w:spacing w:after="0" w:line="162" w:lineRule="exact"/>
        <w:rPr>
          <w:sz w:val="20"/>
          <w:szCs w:val="20"/>
          <w:color w:val="auto"/>
        </w:rPr>
      </w:pPr>
    </w:p>
    <w:p>
      <w:pPr>
        <w:jc w:val="both"/>
        <w:ind w:right="340" w:firstLine="1296"/>
        <w:spacing w:after="0" w:line="314" w:lineRule="auto"/>
        <w:rPr>
          <w:sz w:val="20"/>
          <w:szCs w:val="20"/>
          <w:color w:val="auto"/>
        </w:rPr>
      </w:pPr>
      <w:r>
        <w:rPr>
          <w:rFonts w:ascii="Arial" w:cs="Arial" w:eastAsia="Arial" w:hAnsi="Arial"/>
          <w:sz w:val="16"/>
          <w:szCs w:val="16"/>
          <w:color w:val="auto"/>
        </w:rPr>
        <w:t>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color w:val="auto"/>
        </w:rPr>
        <w:t>. Special meetings of the Board of Directors may be held at any time or place within or without the State of Delaware whenever called by the President, any Vice President, the Secretary, or by any member of the Board of Directors. Notice of a special meeting of the Board of Directors shall be given by the person or persons calling the meeting at least 24 hours before the special meeting.</w:t>
      </w:r>
    </w:p>
    <w:p>
      <w:pPr>
        <w:spacing w:after="0" w:line="142" w:lineRule="exact"/>
        <w:rPr>
          <w:sz w:val="20"/>
          <w:szCs w:val="20"/>
          <w:color w:val="auto"/>
        </w:rPr>
      </w:pPr>
    </w:p>
    <w:p>
      <w:pPr>
        <w:ind w:right="200" w:firstLine="1296"/>
        <w:spacing w:after="0" w:line="314" w:lineRule="auto"/>
        <w:rPr>
          <w:sz w:val="20"/>
          <w:szCs w:val="20"/>
          <w:color w:val="auto"/>
        </w:rPr>
      </w:pPr>
      <w:r>
        <w:rPr>
          <w:rFonts w:ascii="Arial" w:cs="Arial" w:eastAsia="Arial" w:hAnsi="Arial"/>
          <w:sz w:val="16"/>
          <w:szCs w:val="16"/>
          <w:color w:val="auto"/>
        </w:rPr>
        <w:t>Section 2.5.         </w:t>
      </w:r>
      <w:r>
        <w:rPr>
          <w:rFonts w:ascii="Arial" w:cs="Arial" w:eastAsia="Arial" w:hAnsi="Arial"/>
          <w:sz w:val="16"/>
          <w:szCs w:val="16"/>
          <w:b w:val="1"/>
          <w:bCs w:val="1"/>
          <w:u w:val="single" w:color="auto"/>
          <w:color w:val="auto"/>
        </w:rPr>
        <w:t>Telephonic Meetings Permitted</w:t>
      </w:r>
      <w:r>
        <w:rPr>
          <w:rFonts w:ascii="Arial" w:cs="Arial" w:eastAsia="Arial" w:hAnsi="Arial"/>
          <w:sz w:val="16"/>
          <w:szCs w:val="16"/>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42" w:lineRule="exact"/>
        <w:rPr>
          <w:sz w:val="20"/>
          <w:szCs w:val="20"/>
          <w:color w:val="auto"/>
        </w:rPr>
      </w:pPr>
    </w:p>
    <w:p>
      <w:pPr>
        <w:ind w:right="20" w:firstLine="1296"/>
        <w:spacing w:after="0" w:line="281" w:lineRule="auto"/>
        <w:rPr>
          <w:sz w:val="20"/>
          <w:szCs w:val="20"/>
          <w:color w:val="auto"/>
        </w:rPr>
      </w:pPr>
      <w:r>
        <w:rPr>
          <w:rFonts w:ascii="Arial" w:cs="Arial" w:eastAsia="Arial" w:hAnsi="Arial"/>
          <w:sz w:val="17"/>
          <w:szCs w:val="17"/>
          <w:color w:val="auto"/>
        </w:rPr>
        <w:t>Section 2.6.         </w:t>
      </w:r>
      <w:r>
        <w:rPr>
          <w:rFonts w:ascii="Arial" w:cs="Arial" w:eastAsia="Arial" w:hAnsi="Arial"/>
          <w:sz w:val="17"/>
          <w:szCs w:val="17"/>
          <w:b w:val="1"/>
          <w:bCs w:val="1"/>
          <w:u w:val="single" w:color="auto"/>
          <w:color w:val="auto"/>
        </w:rPr>
        <w:t>Quorum; Vote Required for Action</w:t>
      </w:r>
      <w:r>
        <w:rPr>
          <w:rFonts w:ascii="Arial" w:cs="Arial" w:eastAsia="Arial" w:hAnsi="Arial"/>
          <w:sz w:val="17"/>
          <w:szCs w:val="17"/>
          <w:color w:val="auto"/>
        </w:rPr>
        <w:t>. At all meetings of the Board of Directors the directors entitled to cast a majority of the votes of the whole Board of Directors shall constitute a quorum for the transaction of business. Except in cases in which the Certificate of Incorporation, these Bylaws or the applicable law otherwise provides (but subject to the terms of any agreement entered into by the Corporation), a majority of the votes entitled to be cast by the directors present at a meeting at which a quorum is present shall be the act of the Board of Directors.</w:t>
      </w:r>
    </w:p>
    <w:p>
      <w:pPr>
        <w:spacing w:after="0" w:line="165" w:lineRule="exact"/>
        <w:rPr>
          <w:sz w:val="20"/>
          <w:szCs w:val="20"/>
          <w:color w:val="auto"/>
        </w:rPr>
      </w:pPr>
    </w:p>
    <w:p>
      <w:pPr>
        <w:ind w:right="40" w:firstLine="1296"/>
        <w:spacing w:after="0" w:line="261" w:lineRule="auto"/>
        <w:rPr>
          <w:sz w:val="20"/>
          <w:szCs w:val="20"/>
          <w:color w:val="auto"/>
        </w:rPr>
      </w:pPr>
      <w:r>
        <w:rPr>
          <w:rFonts w:ascii="Arial" w:cs="Arial" w:eastAsia="Arial" w:hAnsi="Arial"/>
          <w:sz w:val="18"/>
          <w:szCs w:val="18"/>
          <w:color w:val="auto"/>
        </w:rPr>
        <w:t>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Meetings of the Board of Directors shall be presided over by the Chairperson of the Board of Directors, if any, or in his or her absence by the Vice Chairperson of the Board of Directors,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80" w:lineRule="exact"/>
        <w:rPr>
          <w:sz w:val="20"/>
          <w:szCs w:val="20"/>
          <w:color w:val="auto"/>
        </w:rPr>
      </w:pPr>
    </w:p>
    <w:p>
      <w:pPr>
        <w:ind w:firstLine="1296"/>
        <w:spacing w:after="0" w:line="303" w:lineRule="auto"/>
        <w:rPr>
          <w:sz w:val="20"/>
          <w:szCs w:val="20"/>
          <w:color w:val="auto"/>
        </w:rPr>
      </w:pPr>
      <w:r>
        <w:rPr>
          <w:rFonts w:ascii="Arial" w:cs="Arial" w:eastAsia="Arial" w:hAnsi="Arial"/>
          <w:sz w:val="16"/>
          <w:szCs w:val="16"/>
          <w:color w:val="auto"/>
        </w:rPr>
        <w:t>Section 2.8.         </w:t>
      </w:r>
      <w:r>
        <w:rPr>
          <w:rFonts w:ascii="Arial" w:cs="Arial" w:eastAsia="Arial" w:hAnsi="Arial"/>
          <w:sz w:val="16"/>
          <w:szCs w:val="16"/>
          <w:b w:val="1"/>
          <w:bCs w:val="1"/>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ind w:right="140" w:firstLine="1296"/>
        <w:spacing w:after="0" w:line="254" w:lineRule="auto"/>
        <w:rPr>
          <w:sz w:val="20"/>
          <w:szCs w:val="20"/>
          <w:color w:val="auto"/>
        </w:rPr>
      </w:pPr>
      <w:r>
        <w:rPr>
          <w:rFonts w:ascii="Arial" w:cs="Arial" w:eastAsia="Arial" w:hAnsi="Arial"/>
          <w:sz w:val="18"/>
          <w:szCs w:val="18"/>
          <w:color w:val="auto"/>
        </w:rPr>
        <w:t>Section 3.1.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2" w:lineRule="exact"/>
        <w:rPr>
          <w:sz w:val="20"/>
          <w:szCs w:val="20"/>
          <w:color w:val="auto"/>
        </w:rPr>
      </w:pPr>
    </w:p>
    <w:p>
      <w:pPr>
        <w:ind w:right="400" w:firstLine="1296"/>
        <w:spacing w:after="0" w:line="266" w:lineRule="auto"/>
        <w:rPr>
          <w:sz w:val="20"/>
          <w:szCs w:val="20"/>
          <w:color w:val="auto"/>
        </w:rPr>
      </w:pPr>
      <w:r>
        <w:rPr>
          <w:rFonts w:ascii="Arial" w:cs="Arial" w:eastAsia="Arial" w:hAnsi="Arial"/>
          <w:sz w:val="18"/>
          <w:szCs w:val="18"/>
          <w:color w:val="auto"/>
        </w:rPr>
        <w:t>Section 3.2.         </w:t>
      </w:r>
      <w:r>
        <w:rPr>
          <w:rFonts w:ascii="Arial" w:cs="Arial" w:eastAsia="Arial" w:hAnsi="Arial"/>
          <w:sz w:val="18"/>
          <w:szCs w:val="18"/>
          <w:b w:val="1"/>
          <w:bCs w:val="1"/>
          <w:u w:val="single" w:color="auto"/>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Section 4.1.         </w:t>
      </w:r>
      <w:r>
        <w:rPr>
          <w:rFonts w:ascii="Arial" w:cs="Arial" w:eastAsia="Arial" w:hAnsi="Arial"/>
          <w:sz w:val="16"/>
          <w:szCs w:val="16"/>
          <w:b w:val="1"/>
          <w:bCs w:val="1"/>
          <w:u w:val="single" w:color="auto"/>
          <w:color w:val="auto"/>
        </w:rPr>
        <w:t>Officers; Election; Qualifications; Term of Office; Resignation; Removal; Vacancies</w:t>
      </w:r>
      <w:r>
        <w:rPr>
          <w:rFonts w:ascii="Arial" w:cs="Arial" w:eastAsia="Arial" w:hAnsi="Arial"/>
          <w:sz w:val="16"/>
          <w:szCs w:val="16"/>
          <w:color w:val="auto"/>
        </w:rPr>
        <w:t>. The Board of Directors shall elect a President and Secretary, and it may, if it so determines, choose a Chairperson of the Board of Directors and a Vice Chairperson of the Board of Directors from among its members. The Board of Directors may also choose one or more Vice Presidents, one or more Assistant Secretaries, a Treasurer and one or more Assistant Treasurers and such other officers as it shall from time to time deem necessary or desirable.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66" w:lineRule="exact"/>
        <w:rPr>
          <w:sz w:val="20"/>
          <w:szCs w:val="20"/>
          <w:color w:val="auto"/>
        </w:rPr>
      </w:pPr>
    </w:p>
    <w:p>
      <w:pPr>
        <w:ind w:right="40" w:firstLine="1296"/>
        <w:spacing w:after="0" w:line="261" w:lineRule="auto"/>
        <w:rPr>
          <w:sz w:val="20"/>
          <w:szCs w:val="20"/>
          <w:color w:val="auto"/>
        </w:rPr>
      </w:pPr>
      <w:r>
        <w:rPr>
          <w:rFonts w:ascii="Arial" w:cs="Arial" w:eastAsia="Arial" w:hAnsi="Arial"/>
          <w:sz w:val="18"/>
          <w:szCs w:val="18"/>
          <w:color w:val="auto"/>
        </w:rPr>
        <w:t>Section 4.2.         </w:t>
      </w:r>
      <w:r>
        <w:rPr>
          <w:rFonts w:ascii="Arial" w:cs="Arial" w:eastAsia="Arial" w:hAnsi="Arial"/>
          <w:sz w:val="18"/>
          <w:szCs w:val="18"/>
          <w:b w:val="1"/>
          <w:bCs w:val="1"/>
          <w:u w:val="single" w:color="auto"/>
          <w:color w:val="auto"/>
        </w:rPr>
        <w:t>Powers and Duties of Officers</w:t>
      </w:r>
      <w:r>
        <w:rPr>
          <w:rFonts w:ascii="Arial" w:cs="Arial" w:eastAsia="Arial" w:hAnsi="Arial"/>
          <w:sz w:val="18"/>
          <w:szCs w:val="18"/>
          <w:color w:val="auto"/>
        </w:rPr>
        <w:t>. The officers of the Corporation shall have such powers and duties in the management of the Corporation as may be prescribed in a resolution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20" w:firstLine="1296"/>
        <w:spacing w:after="0" w:line="270" w:lineRule="auto"/>
        <w:rPr>
          <w:sz w:val="20"/>
          <w:szCs w:val="20"/>
          <w:color w:val="auto"/>
        </w:rPr>
      </w:pPr>
      <w:r>
        <w:rPr>
          <w:rFonts w:ascii="Arial" w:cs="Arial" w:eastAsia="Arial" w:hAnsi="Arial"/>
          <w:sz w:val="17"/>
          <w:szCs w:val="17"/>
          <w:color w:val="auto"/>
        </w:rPr>
        <w:t>Section 4.3.         </w:t>
      </w:r>
      <w:r>
        <w:rPr>
          <w:rFonts w:ascii="Arial" w:cs="Arial" w:eastAsia="Arial" w:hAnsi="Arial"/>
          <w:sz w:val="17"/>
          <w:szCs w:val="17"/>
          <w:b w:val="1"/>
          <w:bCs w:val="1"/>
          <w:u w:val="single" w:color="auto"/>
          <w:color w:val="auto"/>
        </w:rPr>
        <w:t>Appointing Attorneys and Agents; Voting Securities of Other Entities</w:t>
      </w:r>
      <w:r>
        <w:rPr>
          <w:rFonts w:ascii="Arial" w:cs="Arial" w:eastAsia="Arial" w:hAnsi="Arial"/>
          <w:sz w:val="17"/>
          <w:szCs w:val="17"/>
          <w:color w:val="auto"/>
        </w:rPr>
        <w:t>. Unless otherwise provided by resolution adopted by the Board of Directors, the Chairperson of the Board of Directors,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this Section 4.3 which may be delegated to an attorney or agent may also be exercised directly by the Chairperson of the Board of Directors, the President or the Vice President.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w:t>
      </w:r>
    </w:p>
    <w:p>
      <w:pPr>
        <w:spacing w:after="0" w:line="22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Section 5.1.         </w:t>
      </w: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or Vice Chairperson of the Board of Directors, if any,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4" w:lineRule="exact"/>
        <w:rPr>
          <w:sz w:val="20"/>
          <w:szCs w:val="20"/>
          <w:color w:val="auto"/>
        </w:rPr>
      </w:pPr>
    </w:p>
    <w:p>
      <w:pPr>
        <w:ind w:firstLine="1296"/>
        <w:spacing w:after="0" w:line="303" w:lineRule="auto"/>
        <w:rPr>
          <w:sz w:val="20"/>
          <w:szCs w:val="20"/>
          <w:color w:val="auto"/>
        </w:rPr>
      </w:pPr>
      <w:r>
        <w:rPr>
          <w:rFonts w:ascii="Arial" w:cs="Arial" w:eastAsia="Arial" w:hAnsi="Arial"/>
          <w:sz w:val="16"/>
          <w:szCs w:val="16"/>
          <w:color w:val="auto"/>
        </w:rPr>
        <w:t>Section 5.2.         </w:t>
      </w:r>
      <w:r>
        <w:rPr>
          <w:rFonts w:ascii="Arial" w:cs="Arial" w:eastAsia="Arial" w:hAnsi="Arial"/>
          <w:sz w:val="16"/>
          <w:szCs w:val="16"/>
          <w:b w:val="1"/>
          <w:bCs w:val="1"/>
          <w:u w:val="single" w:color="auto"/>
          <w:color w:val="auto"/>
        </w:rPr>
        <w:t>Lost, Stolen or Destroyed Stock Certificates; Issuance of New Certificates</w:t>
      </w:r>
      <w:r>
        <w:rPr>
          <w:rFonts w:ascii="Arial" w:cs="Arial" w:eastAsia="Arial" w:hAnsi="Arial"/>
          <w:sz w:val="16"/>
          <w:szCs w:val="16"/>
          <w:color w:val="auto"/>
        </w:rPr>
        <w:t>.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Section 6.1.         </w:t>
      </w:r>
      <w:r>
        <w:rPr>
          <w:rFonts w:ascii="Arial" w:cs="Arial" w:eastAsia="Arial" w:hAnsi="Arial"/>
          <w:sz w:val="16"/>
          <w:szCs w:val="16"/>
          <w:b w:val="1"/>
          <w:bCs w:val="1"/>
          <w:u w:val="single" w:color="auto"/>
          <w:color w:val="auto"/>
        </w:rPr>
        <w:t>Indemnification Of Directors And Officers In Third Party Proceedings</w:t>
      </w:r>
      <w:r>
        <w:rPr>
          <w:rFonts w:ascii="Arial" w:cs="Arial" w:eastAsia="Arial" w:hAnsi="Arial"/>
          <w:sz w:val="16"/>
          <w:szCs w:val="16"/>
          <w:color w:val="auto"/>
        </w:rPr>
        <w:t>. Subject to the other provisions of this Article VI, the Corporation shall indemnify, to the fullest extent permitted by the General Corporation Law of the State of Delaware (the “</w:t>
      </w:r>
      <w:r>
        <w:rPr>
          <w:rFonts w:ascii="Arial" w:cs="Arial" w:eastAsia="Arial" w:hAnsi="Arial"/>
          <w:sz w:val="16"/>
          <w:szCs w:val="16"/>
          <w:b w:val="1"/>
          <w:bCs w:val="1"/>
          <w:u w:val="single" w:color="auto"/>
          <w:color w:val="auto"/>
        </w:rPr>
        <w:t>DGCL</w:t>
      </w:r>
      <w:r>
        <w:rPr>
          <w:rFonts w:ascii="Arial" w:cs="Arial" w:eastAsia="Arial" w:hAnsi="Arial"/>
          <w:sz w:val="16"/>
          <w:szCs w:val="16"/>
          <w:color w:val="auto"/>
        </w:rPr>
        <w:t>”),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u w:val="single" w:color="auto"/>
          <w:color w:val="auto"/>
        </w:rPr>
        <w:t>Proceeding</w:t>
      </w:r>
      <w:r>
        <w:rPr>
          <w:rFonts w:ascii="Arial" w:cs="Arial" w:eastAsia="Arial" w:hAnsi="Arial"/>
          <w:sz w:val="16"/>
          <w:szCs w:val="16"/>
          <w:color w:val="auto"/>
        </w:rPr>
        <w:t>”) (other than an action by or in the right of the Corporation) by reason of the fact that such person is or was a director or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8" w:lineRule="exact"/>
        <w:rPr>
          <w:sz w:val="20"/>
          <w:szCs w:val="20"/>
          <w:color w:val="auto"/>
        </w:rPr>
      </w:pPr>
    </w:p>
    <w:p>
      <w:pPr>
        <w:ind w:right="20" w:firstLine="1296"/>
        <w:spacing w:after="0" w:line="288" w:lineRule="auto"/>
        <w:rPr>
          <w:sz w:val="20"/>
          <w:szCs w:val="20"/>
          <w:color w:val="auto"/>
        </w:rPr>
      </w:pPr>
      <w:r>
        <w:rPr>
          <w:rFonts w:ascii="Arial" w:cs="Arial" w:eastAsia="Arial" w:hAnsi="Arial"/>
          <w:sz w:val="16"/>
          <w:szCs w:val="16"/>
          <w:color w:val="auto"/>
        </w:rPr>
        <w:t>Section 6.2.         </w:t>
      </w:r>
      <w:r>
        <w:rPr>
          <w:rFonts w:ascii="Arial" w:cs="Arial" w:eastAsia="Arial" w:hAnsi="Arial"/>
          <w:sz w:val="16"/>
          <w:szCs w:val="16"/>
          <w:b w:val="1"/>
          <w:bCs w:val="1"/>
          <w:u w:val="single" w:color="auto"/>
          <w:color w:val="auto"/>
        </w:rPr>
        <w:t>Indemnification Of Directors And Officers In Actions By Or In The Right Of The Corporation</w:t>
      </w:r>
      <w:r>
        <w:rPr>
          <w:rFonts w:ascii="Arial" w:cs="Arial" w:eastAsia="Arial" w:hAnsi="Arial"/>
          <w:sz w:val="16"/>
          <w:szCs w:val="16"/>
          <w:color w:val="auto"/>
        </w:rPr>
        <w:t>. Subject to the other provisions of this Article VI,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3" w:lineRule="exact"/>
        <w:rPr>
          <w:sz w:val="20"/>
          <w:szCs w:val="20"/>
          <w:color w:val="auto"/>
        </w:rPr>
      </w:pPr>
    </w:p>
    <w:p>
      <w:pPr>
        <w:ind w:right="160" w:firstLine="1296"/>
        <w:spacing w:after="0" w:line="261" w:lineRule="auto"/>
        <w:rPr>
          <w:sz w:val="20"/>
          <w:szCs w:val="20"/>
          <w:color w:val="auto"/>
        </w:rPr>
      </w:pPr>
      <w:r>
        <w:rPr>
          <w:rFonts w:ascii="Arial" w:cs="Arial" w:eastAsia="Arial" w:hAnsi="Arial"/>
          <w:sz w:val="18"/>
          <w:szCs w:val="18"/>
          <w:color w:val="auto"/>
        </w:rPr>
        <w:t>Section 6.3.         </w:t>
      </w:r>
      <w:r>
        <w:rPr>
          <w:rFonts w:ascii="Arial" w:cs="Arial" w:eastAsia="Arial" w:hAnsi="Arial"/>
          <w:sz w:val="18"/>
          <w:szCs w:val="18"/>
          <w:b w:val="1"/>
          <w:bCs w:val="1"/>
          <w:u w:val="single" w:color="auto"/>
          <w:color w:val="auto"/>
        </w:rPr>
        <w:t>Successful Defense</w:t>
      </w:r>
      <w:r>
        <w:rPr>
          <w:rFonts w:ascii="Arial" w:cs="Arial" w:eastAsia="Arial" w:hAnsi="Arial"/>
          <w:sz w:val="18"/>
          <w:szCs w:val="18"/>
          <w:color w:val="auto"/>
        </w:rPr>
        <w:t>. To the extent that a present or former director or officer of the Corporation has been successful on the merits or otherwise in defense of any action, suit or proceeding described in Section 6.1 or Section 6.2, or in defense of any claim, issue or matter therein, such person shall be indemnified against expenses (including attorneys' fees) actually and reasonably incurred by such person in connection therewith.</w:t>
      </w:r>
    </w:p>
    <w:p>
      <w:pPr>
        <w:spacing w:after="0" w:line="180" w:lineRule="exact"/>
        <w:rPr>
          <w:sz w:val="20"/>
          <w:szCs w:val="20"/>
          <w:color w:val="auto"/>
        </w:rPr>
      </w:pPr>
    </w:p>
    <w:p>
      <w:pPr>
        <w:ind w:right="240" w:firstLine="1296"/>
        <w:spacing w:after="0" w:line="314" w:lineRule="auto"/>
        <w:rPr>
          <w:sz w:val="20"/>
          <w:szCs w:val="20"/>
          <w:color w:val="auto"/>
        </w:rPr>
      </w:pPr>
      <w:r>
        <w:rPr>
          <w:rFonts w:ascii="Arial" w:cs="Arial" w:eastAsia="Arial" w:hAnsi="Arial"/>
          <w:sz w:val="16"/>
          <w:szCs w:val="16"/>
          <w:color w:val="auto"/>
        </w:rPr>
        <w:t>Section 6.4.         </w:t>
      </w:r>
      <w:r>
        <w:rPr>
          <w:rFonts w:ascii="Arial" w:cs="Arial" w:eastAsia="Arial" w:hAnsi="Arial"/>
          <w:sz w:val="16"/>
          <w:szCs w:val="16"/>
          <w:b w:val="1"/>
          <w:bCs w:val="1"/>
          <w:u w:val="single" w:color="auto"/>
          <w:color w:val="auto"/>
        </w:rPr>
        <w:t>Indemnification Of Others</w:t>
      </w:r>
      <w:r>
        <w:rPr>
          <w:rFonts w:ascii="Arial" w:cs="Arial" w:eastAsia="Arial" w:hAnsi="Arial"/>
          <w:sz w:val="16"/>
          <w:szCs w:val="16"/>
          <w:color w:val="auto"/>
        </w:rPr>
        <w:t>. Subject to the other provisions of this Article VI,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Directors determines.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60" w:firstLine="1296"/>
        <w:spacing w:after="0" w:line="271" w:lineRule="auto"/>
        <w:rPr>
          <w:sz w:val="20"/>
          <w:szCs w:val="20"/>
          <w:color w:val="auto"/>
        </w:rPr>
      </w:pPr>
      <w:r>
        <w:rPr>
          <w:rFonts w:ascii="Arial" w:cs="Arial" w:eastAsia="Arial" w:hAnsi="Arial"/>
          <w:sz w:val="17"/>
          <w:szCs w:val="17"/>
          <w:color w:val="auto"/>
        </w:rPr>
        <w:t>Section 6.5.         </w:t>
      </w:r>
      <w:r>
        <w:rPr>
          <w:rFonts w:ascii="Arial" w:cs="Arial" w:eastAsia="Arial" w:hAnsi="Arial"/>
          <w:sz w:val="17"/>
          <w:szCs w:val="17"/>
          <w:b w:val="1"/>
          <w:bCs w:val="1"/>
          <w:u w:val="single" w:color="auto"/>
          <w:color w:val="auto"/>
        </w:rPr>
        <w:t>Advanced Payment Of Expenses</w:t>
      </w:r>
      <w:r>
        <w:rPr>
          <w:rFonts w:ascii="Arial" w:cs="Arial" w:eastAsia="Arial" w:hAnsi="Arial"/>
          <w:sz w:val="17"/>
          <w:szCs w:val="17"/>
          <w:color w:val="auto"/>
        </w:rPr>
        <w:t>. Expenses (including attorneys' fees) incurred by an officer or director of the Corporation in defending any Proceeding shall be paid by the Corporation, and expenses (including attorneys' fees) incurred by the Corporation's employees and agents in defending any Proceeding may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Section 6.6(b), 6.6(c) or 6.6(e) prior to a determination that the person is not entitled to be indemnified by the Corporation.</w:t>
      </w:r>
    </w:p>
    <w:p>
      <w:pPr>
        <w:spacing w:after="0" w:line="174"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Section 6.6.         </w:t>
      </w:r>
      <w:r>
        <w:rPr>
          <w:rFonts w:ascii="Arial" w:cs="Arial" w:eastAsia="Arial" w:hAnsi="Arial"/>
          <w:sz w:val="18"/>
          <w:szCs w:val="18"/>
          <w:b w:val="1"/>
          <w:bCs w:val="1"/>
          <w:u w:val="single" w:color="auto"/>
          <w:color w:val="auto"/>
        </w:rPr>
        <w:t>Limitation On Indemnification</w:t>
      </w:r>
      <w:r>
        <w:rPr>
          <w:rFonts w:ascii="Arial" w:cs="Arial" w:eastAsia="Arial" w:hAnsi="Arial"/>
          <w:sz w:val="18"/>
          <w:szCs w:val="18"/>
          <w:color w:val="auto"/>
        </w:rPr>
        <w:t>. Subject to the requirements in Section 8.3 and the DGCL, the Corporation shall not be obligated to indemnify any person pursuant to this Article VI in connection with any Proceeding (or any part of any Proceeding):</w:t>
      </w:r>
    </w:p>
    <w:p>
      <w:pPr>
        <w:spacing w:after="0" w:line="166" w:lineRule="exact"/>
        <w:rPr>
          <w:sz w:val="20"/>
          <w:szCs w:val="20"/>
          <w:color w:val="auto"/>
        </w:rPr>
      </w:pPr>
    </w:p>
    <w:p>
      <w:pPr>
        <w:ind w:right="120" w:firstLine="1944"/>
        <w:spacing w:after="0" w:line="277" w:lineRule="auto"/>
        <w:rPr>
          <w:sz w:val="20"/>
          <w:szCs w:val="20"/>
          <w:color w:val="auto"/>
        </w:rPr>
      </w:pPr>
      <w:r>
        <w:rPr>
          <w:rFonts w:ascii="Arial" w:cs="Arial" w:eastAsia="Arial" w:hAnsi="Arial"/>
          <w:sz w:val="18"/>
          <w:szCs w:val="18"/>
          <w:color w:val="auto"/>
        </w:rPr>
        <w:t>(a)        for which payment has actually been made to or on behalf of such person under any statute, insurance policy, indemnity provision, vote or otherwise, except with respect to any excess beyond the amount paid;</w:t>
      </w:r>
    </w:p>
    <w:p>
      <w:pPr>
        <w:spacing w:after="0" w:line="170" w:lineRule="exact"/>
        <w:rPr>
          <w:sz w:val="20"/>
          <w:szCs w:val="20"/>
          <w:color w:val="auto"/>
        </w:rPr>
      </w:pPr>
    </w:p>
    <w:p>
      <w:pPr>
        <w:ind w:right="140" w:firstLine="1944"/>
        <w:spacing w:after="0" w:line="308" w:lineRule="auto"/>
        <w:rPr>
          <w:sz w:val="20"/>
          <w:szCs w:val="20"/>
          <w:color w:val="auto"/>
        </w:rPr>
      </w:pPr>
      <w:r>
        <w:rPr>
          <w:rFonts w:ascii="Arial" w:cs="Arial" w:eastAsia="Arial" w:hAnsi="Arial"/>
          <w:sz w:val="17"/>
          <w:szCs w:val="17"/>
          <w:color w:val="auto"/>
        </w:rPr>
        <w:t>(b)        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46" w:lineRule="exact"/>
        <w:rPr>
          <w:sz w:val="20"/>
          <w:szCs w:val="20"/>
          <w:color w:val="auto"/>
        </w:rPr>
      </w:pPr>
    </w:p>
    <w:p>
      <w:pPr>
        <w:ind w:right="100" w:firstLine="1944"/>
        <w:spacing w:after="0" w:line="275" w:lineRule="auto"/>
        <w:rPr>
          <w:sz w:val="20"/>
          <w:szCs w:val="20"/>
          <w:color w:val="auto"/>
        </w:rPr>
      </w:pPr>
      <w:r>
        <w:rPr>
          <w:rFonts w:ascii="Arial" w:cs="Arial" w:eastAsia="Arial" w:hAnsi="Arial"/>
          <w:sz w:val="17"/>
          <w:szCs w:val="17"/>
          <w:color w:val="auto"/>
        </w:rPr>
        <w:t>(c)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“Sarbanes-Oxley Act”),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76" w:lineRule="exact"/>
        <w:rPr>
          <w:sz w:val="20"/>
          <w:szCs w:val="20"/>
          <w:color w:val="auto"/>
        </w:rPr>
      </w:pPr>
    </w:p>
    <w:p>
      <w:pPr>
        <w:jc w:val="both"/>
        <w:ind w:right="40" w:firstLine="1944"/>
        <w:spacing w:after="0" w:line="311" w:lineRule="auto"/>
        <w:rPr>
          <w:sz w:val="20"/>
          <w:szCs w:val="20"/>
          <w:color w:val="auto"/>
        </w:rPr>
      </w:pPr>
      <w:r>
        <w:rPr>
          <w:rFonts w:ascii="Arial" w:cs="Arial" w:eastAsia="Arial" w:hAnsi="Arial"/>
          <w:sz w:val="16"/>
          <w:szCs w:val="16"/>
          <w:color w:val="auto"/>
        </w:rPr>
        <w:t>(d)        initiated by such person (and not by way of defense),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49" w:lineRule="exact"/>
        <w:rPr>
          <w:sz w:val="20"/>
          <w:szCs w:val="20"/>
          <w:color w:val="auto"/>
        </w:rPr>
      </w:pPr>
    </w:p>
    <w:p>
      <w:pPr>
        <w:ind w:firstLine="1944"/>
        <w:spacing w:after="0" w:line="273" w:lineRule="auto"/>
        <w:rPr>
          <w:sz w:val="20"/>
          <w:szCs w:val="20"/>
          <w:color w:val="auto"/>
        </w:rPr>
      </w:pPr>
      <w:r>
        <w:rPr>
          <w:rFonts w:ascii="Arial" w:cs="Arial" w:eastAsia="Arial" w:hAnsi="Arial"/>
          <w:sz w:val="17"/>
          <w:szCs w:val="17"/>
          <w:color w:val="auto"/>
        </w:rPr>
        <w:t>(e)        if prohibited by applicable law; provided, however, that if any provision or provisions of this Article VI shall be held to be invalid, illegal or unenforceable for any reason whatsoever: (1) the validity, legality and enforceability of the remaining provisions of this Article VI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 w:name="page19"/>
    <w:bookmarkEnd w:id="18"/>
    <w:p>
      <w:pPr>
        <w:ind w:right="80" w:firstLine="1296"/>
        <w:spacing w:after="0" w:line="255" w:lineRule="auto"/>
        <w:rPr>
          <w:sz w:val="20"/>
          <w:szCs w:val="20"/>
          <w:color w:val="auto"/>
        </w:rPr>
      </w:pPr>
      <w:r>
        <w:rPr>
          <w:rFonts w:ascii="Arial" w:cs="Arial" w:eastAsia="Arial" w:hAnsi="Arial"/>
          <w:sz w:val="18"/>
          <w:szCs w:val="18"/>
          <w:color w:val="auto"/>
        </w:rPr>
        <w:t>Section 6.7.         </w:t>
      </w:r>
      <w:r>
        <w:rPr>
          <w:rFonts w:ascii="Arial" w:cs="Arial" w:eastAsia="Arial" w:hAnsi="Arial"/>
          <w:sz w:val="18"/>
          <w:szCs w:val="18"/>
          <w:b w:val="1"/>
          <w:bCs w:val="1"/>
          <w:u w:val="single" w:color="auto"/>
          <w:color w:val="auto"/>
        </w:rPr>
        <w:t>Determination; Claim</w:t>
      </w:r>
      <w:r>
        <w:rPr>
          <w:rFonts w:ascii="Arial" w:cs="Arial" w:eastAsia="Arial" w:hAnsi="Arial"/>
          <w:sz w:val="18"/>
          <w:szCs w:val="18"/>
          <w:color w:val="auto"/>
        </w:rPr>
        <w:t>. If a claim for indemnification or advancement of expenses under this Article VI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9" w:lineRule="exact"/>
        <w:rPr>
          <w:sz w:val="20"/>
          <w:szCs w:val="20"/>
          <w:color w:val="auto"/>
        </w:rPr>
      </w:pPr>
    </w:p>
    <w:p>
      <w:pPr>
        <w:ind w:right="80" w:firstLine="1296"/>
        <w:spacing w:after="0" w:line="256" w:lineRule="auto"/>
        <w:rPr>
          <w:sz w:val="20"/>
          <w:szCs w:val="20"/>
          <w:color w:val="auto"/>
        </w:rPr>
      </w:pPr>
      <w:r>
        <w:rPr>
          <w:rFonts w:ascii="Arial" w:cs="Arial" w:eastAsia="Arial" w:hAnsi="Arial"/>
          <w:sz w:val="18"/>
          <w:szCs w:val="18"/>
          <w:color w:val="auto"/>
        </w:rPr>
        <w:t>Section 6.8.         </w:t>
      </w:r>
      <w:r>
        <w:rPr>
          <w:rFonts w:ascii="Arial" w:cs="Arial" w:eastAsia="Arial" w:hAnsi="Arial"/>
          <w:sz w:val="18"/>
          <w:szCs w:val="18"/>
          <w:b w:val="1"/>
          <w:bCs w:val="1"/>
          <w:u w:val="single" w:color="auto"/>
          <w:color w:val="auto"/>
        </w:rPr>
        <w:t>Non-Exclusivity Of Rights</w:t>
      </w:r>
      <w:r>
        <w:rPr>
          <w:rFonts w:ascii="Arial" w:cs="Arial" w:eastAsia="Arial" w:hAnsi="Arial"/>
          <w:sz w:val="18"/>
          <w:szCs w:val="18"/>
          <w:color w:val="auto"/>
        </w:rPr>
        <w:t>. The indemnification and advancement of expenses provided by, or granted pursuant to, this Article VI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7" w:lineRule="exact"/>
        <w:rPr>
          <w:sz w:val="20"/>
          <w:szCs w:val="20"/>
          <w:color w:val="auto"/>
        </w:rPr>
      </w:pPr>
    </w:p>
    <w:p>
      <w:pPr>
        <w:ind w:right="20" w:firstLine="1296"/>
        <w:spacing w:after="0" w:line="258" w:lineRule="auto"/>
        <w:rPr>
          <w:sz w:val="20"/>
          <w:szCs w:val="20"/>
          <w:color w:val="auto"/>
        </w:rPr>
      </w:pPr>
      <w:r>
        <w:rPr>
          <w:rFonts w:ascii="Arial" w:cs="Arial" w:eastAsia="Arial" w:hAnsi="Arial"/>
          <w:sz w:val="18"/>
          <w:szCs w:val="18"/>
          <w:color w:val="auto"/>
        </w:rPr>
        <w:t>Section 6.9.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3" w:lineRule="exact"/>
        <w:rPr>
          <w:sz w:val="20"/>
          <w:szCs w:val="20"/>
          <w:color w:val="auto"/>
        </w:rPr>
      </w:pPr>
    </w:p>
    <w:p>
      <w:pPr>
        <w:jc w:val="both"/>
        <w:ind w:right="120" w:firstLine="1296"/>
        <w:spacing w:after="0" w:line="347" w:lineRule="auto"/>
        <w:rPr>
          <w:sz w:val="20"/>
          <w:szCs w:val="20"/>
          <w:color w:val="auto"/>
        </w:rPr>
      </w:pPr>
      <w:r>
        <w:rPr>
          <w:rFonts w:ascii="Arial" w:cs="Arial" w:eastAsia="Arial" w:hAnsi="Arial"/>
          <w:sz w:val="16"/>
          <w:szCs w:val="16"/>
          <w:color w:val="auto"/>
        </w:rPr>
        <w:t>Section 6.10.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rights to indemnification and advancement of expenses conferred by this Article VI shall continue as to a person who has ceased to be a director, officer, employee or agent and shall inure to the benefit of the heirs, executors and administrators of such a person.</w:t>
      </w:r>
    </w:p>
    <w:p>
      <w:pPr>
        <w:spacing w:after="0" w:line="116" w:lineRule="exact"/>
        <w:rPr>
          <w:sz w:val="20"/>
          <w:szCs w:val="20"/>
          <w:color w:val="auto"/>
        </w:rPr>
      </w:pPr>
    </w:p>
    <w:p>
      <w:pPr>
        <w:ind w:firstLine="1296"/>
        <w:spacing w:after="0" w:line="312" w:lineRule="auto"/>
        <w:rPr>
          <w:sz w:val="20"/>
          <w:szCs w:val="20"/>
          <w:color w:val="auto"/>
        </w:rPr>
      </w:pPr>
      <w:r>
        <w:rPr>
          <w:rFonts w:ascii="Arial" w:cs="Arial" w:eastAsia="Arial" w:hAnsi="Arial"/>
          <w:sz w:val="17"/>
          <w:szCs w:val="17"/>
          <w:color w:val="auto"/>
        </w:rPr>
        <w:t>Section 6.11.       </w:t>
      </w:r>
      <w:r>
        <w:rPr>
          <w:rFonts w:ascii="Arial" w:cs="Arial" w:eastAsia="Arial" w:hAnsi="Arial"/>
          <w:sz w:val="17"/>
          <w:szCs w:val="17"/>
          <w:b w:val="1"/>
          <w:bCs w:val="1"/>
          <w:u w:val="single" w:color="auto"/>
          <w:color w:val="auto"/>
        </w:rPr>
        <w:t>Effect Of Repeal Or Modification</w:t>
      </w:r>
      <w:r>
        <w:rPr>
          <w:rFonts w:ascii="Arial" w:cs="Arial" w:eastAsia="Arial" w:hAnsi="Arial"/>
          <w:sz w:val="17"/>
          <w:szCs w:val="17"/>
          <w:color w:val="auto"/>
        </w:rPr>
        <w:t>. Any amendment, alteration or repeal of this Article VI shall not adversely affect any right or protection hereunder of any person in respect of any act or omission occurring prior to such amendment, alteration or repeal.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right="40" w:firstLine="1296"/>
        <w:spacing w:after="0" w:line="287" w:lineRule="auto"/>
        <w:rPr>
          <w:sz w:val="20"/>
          <w:szCs w:val="20"/>
          <w:color w:val="auto"/>
        </w:rPr>
      </w:pPr>
      <w:r>
        <w:rPr>
          <w:rFonts w:ascii="Arial" w:cs="Arial" w:eastAsia="Arial" w:hAnsi="Arial"/>
          <w:sz w:val="16"/>
          <w:szCs w:val="16"/>
          <w:color w:val="auto"/>
        </w:rPr>
        <w:t>Section 6.12.       </w:t>
      </w:r>
      <w:r>
        <w:rPr>
          <w:rFonts w:ascii="Arial" w:cs="Arial" w:eastAsia="Arial" w:hAnsi="Arial"/>
          <w:sz w:val="16"/>
          <w:szCs w:val="16"/>
          <w:b w:val="1"/>
          <w:bCs w:val="1"/>
          <w:u w:val="single" w:color="auto"/>
          <w:color w:val="auto"/>
        </w:rPr>
        <w:t>Certain Definitions</w:t>
      </w:r>
      <w:r>
        <w:rPr>
          <w:rFonts w:ascii="Arial" w:cs="Arial" w:eastAsia="Arial" w:hAnsi="Arial"/>
          <w:sz w:val="16"/>
          <w:szCs w:val="16"/>
          <w:color w:val="auto"/>
        </w:rPr>
        <w:t>. For purposes of this Article VI,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 with respect to the resulting or surviving corporation as such person would have with respect to such constituent corporation if its separate existence had continued.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7.1.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color w:val="auto"/>
        </w:rPr>
        <w:t>Section 7.2.         </w:t>
      </w:r>
      <w:r>
        <w:rPr>
          <w:rFonts w:ascii="Arial" w:cs="Arial" w:eastAsia="Arial" w:hAnsi="Arial"/>
          <w:sz w:val="18"/>
          <w:szCs w:val="18"/>
          <w:b w:val="1"/>
          <w:bCs w:val="1"/>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62"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Section 7.3.         </w:t>
      </w:r>
      <w:r>
        <w:rPr>
          <w:rFonts w:ascii="Arial" w:cs="Arial" w:eastAsia="Arial" w:hAnsi="Arial"/>
          <w:sz w:val="18"/>
          <w:szCs w:val="18"/>
          <w:b w:val="1"/>
          <w:bCs w:val="1"/>
          <w:u w:val="single" w:color="auto"/>
          <w:color w:val="auto"/>
        </w:rPr>
        <w:t>Manner of Notice</w:t>
      </w:r>
      <w:r>
        <w:rPr>
          <w:rFonts w:ascii="Arial" w:cs="Arial" w:eastAsia="Arial" w:hAnsi="Arial"/>
          <w:sz w:val="18"/>
          <w:szCs w:val="18"/>
          <w:color w:val="auto"/>
        </w:rPr>
        <w:t>. Except as otherwise provided herein or permitted by applicable law, notices to directors and stockholders shall be in writing and delivered personally or mailed to the directors or stockholders at their addresses appearing on the books of the Corporation.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6.3, shall be deemed to have consented to receiving such single written notice. Notice to directors may be given by telecopier, telephone or other means of electronic transmission.</w:t>
      </w:r>
    </w:p>
    <w:p>
      <w:pPr>
        <w:spacing w:after="0" w:line="188" w:lineRule="exact"/>
        <w:rPr>
          <w:sz w:val="20"/>
          <w:szCs w:val="20"/>
          <w:color w:val="auto"/>
        </w:rPr>
      </w:pPr>
    </w:p>
    <w:p>
      <w:pPr>
        <w:ind w:firstLine="1296"/>
        <w:spacing w:after="0" w:line="298" w:lineRule="auto"/>
        <w:rPr>
          <w:sz w:val="20"/>
          <w:szCs w:val="20"/>
          <w:color w:val="auto"/>
        </w:rPr>
      </w:pPr>
      <w:r>
        <w:rPr>
          <w:rFonts w:ascii="Arial" w:cs="Arial" w:eastAsia="Arial" w:hAnsi="Arial"/>
          <w:sz w:val="16"/>
          <w:szCs w:val="16"/>
          <w:color w:val="auto"/>
        </w:rPr>
        <w:t>Section 7.4.         </w:t>
      </w:r>
      <w:r>
        <w:rPr>
          <w:rFonts w:ascii="Arial" w:cs="Arial" w:eastAsia="Arial" w:hAnsi="Arial"/>
          <w:sz w:val="16"/>
          <w:szCs w:val="16"/>
          <w:b w:val="1"/>
          <w:bCs w:val="1"/>
          <w:u w:val="single" w:color="auto"/>
          <w:color w:val="auto"/>
        </w:rPr>
        <w:t>Waiver of Notice of Meetings of Stockholders, Directors and Committees</w:t>
      </w:r>
      <w:r>
        <w:rPr>
          <w:rFonts w:ascii="Arial" w:cs="Arial" w:eastAsia="Arial" w:hAnsi="Arial"/>
          <w:sz w:val="16"/>
          <w:szCs w:val="16"/>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 w:name="page21"/>
    <w:bookmarkEnd w:id="20"/>
    <w:p>
      <w:pPr>
        <w:ind w:firstLine="1296"/>
        <w:spacing w:after="0" w:line="266" w:lineRule="auto"/>
        <w:rPr>
          <w:sz w:val="20"/>
          <w:szCs w:val="20"/>
          <w:color w:val="auto"/>
        </w:rPr>
      </w:pPr>
      <w:r>
        <w:rPr>
          <w:rFonts w:ascii="Arial" w:cs="Arial" w:eastAsia="Arial" w:hAnsi="Arial"/>
          <w:sz w:val="18"/>
          <w:szCs w:val="18"/>
          <w:color w:val="auto"/>
        </w:rPr>
        <w:t>Section 7.5.         </w:t>
      </w:r>
      <w:r>
        <w:rPr>
          <w:rFonts w:ascii="Arial" w:cs="Arial" w:eastAsia="Arial" w:hAnsi="Arial"/>
          <w:sz w:val="18"/>
          <w:szCs w:val="18"/>
          <w:b w:val="1"/>
          <w:bCs w:val="1"/>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76" w:lineRule="exact"/>
        <w:rPr>
          <w:sz w:val="20"/>
          <w:szCs w:val="20"/>
          <w:color w:val="auto"/>
        </w:rPr>
      </w:pPr>
    </w:p>
    <w:p>
      <w:pPr>
        <w:ind w:right="200" w:firstLine="1296"/>
        <w:spacing w:after="0" w:line="347" w:lineRule="auto"/>
        <w:rPr>
          <w:sz w:val="20"/>
          <w:szCs w:val="20"/>
          <w:color w:val="auto"/>
        </w:rPr>
      </w:pPr>
      <w:r>
        <w:rPr>
          <w:rFonts w:ascii="Arial" w:cs="Arial" w:eastAsia="Arial" w:hAnsi="Arial"/>
          <w:sz w:val="16"/>
          <w:szCs w:val="16"/>
          <w:color w:val="auto"/>
        </w:rPr>
        <w:t>Section 7.6.         </w:t>
      </w:r>
      <w:r>
        <w:rPr>
          <w:rFonts w:ascii="Arial" w:cs="Arial" w:eastAsia="Arial" w:hAnsi="Arial"/>
          <w:sz w:val="16"/>
          <w:szCs w:val="16"/>
          <w:b w:val="1"/>
          <w:bCs w:val="1"/>
          <w:u w:val="single" w:color="auto"/>
          <w:color w:val="auto"/>
        </w:rPr>
        <w:t>Amendment of Bylaws</w:t>
      </w:r>
      <w:r>
        <w:rPr>
          <w:rFonts w:ascii="Arial" w:cs="Arial" w:eastAsia="Arial" w:hAnsi="Arial"/>
          <w:sz w:val="16"/>
          <w:szCs w:val="16"/>
          <w:color w:val="auto"/>
        </w:rPr>
        <w:t>. These Bylaws may be altered, amended or repealed, and new Bylaws made, by the Board of Directors, but the stockholders may make additional Bylaws and may alter and repeal any Bylaws whether adopted by them or otherwise.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upperLetter"/>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4" Type="http://schemas.openxmlformats.org/officeDocument/2006/relationships/hyperlink" Target="https://www.sec.gov/Archives/edgar/data/718877/000110465922005154/tm223212d3_ex2-1.htm" TargetMode="External"/><Relationship Id="rId15" Type="http://schemas.openxmlformats.org/officeDocument/2006/relationships/hyperlink" Target="https://www.sec.gov/Archives/edgar/data/718877/000110465923082205/tm23215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2023-10-13T07:39:51Z</dcterms:created>
  <dcterms:modified xsi:type="dcterms:W3CDTF">2023-10-13T07:39:51Z</dcterms:modified>
</cp:coreProperties>
</file>