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0"/>
          <w:szCs w:val="20"/>
          <w:b w:val="1"/>
          <w:bCs w:val="1"/>
          <w:color w:val="auto"/>
        </w:rPr>
        <w:t>FORM 10-K</w:t>
      </w:r>
    </w:p>
    <w:p>
      <w:pPr>
        <w:spacing w:after="0" w:line="90" w:lineRule="exact"/>
        <w:rPr>
          <w:sz w:val="24"/>
          <w:szCs w:val="24"/>
          <w:color w:val="auto"/>
        </w:rPr>
      </w:pPr>
    </w:p>
    <w:p>
      <w:pPr>
        <w:ind w:left="1660" w:hanging="368"/>
        <w:spacing w:after="0"/>
        <w:tabs>
          <w:tab w:leader="none" w:pos="1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460" w:hanging="353"/>
        <w:spacing w:after="0"/>
        <w:tabs>
          <w:tab w:leader="none" w:pos="1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98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51435</wp:posOffset>
            </wp:positionV>
            <wp:extent cx="134556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556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ACTIVISION BLIZZARD,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ind w:left="215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95-4803544</w:t>
            </w:r>
          </w:p>
        </w:tc>
      </w:tr>
      <w:tr>
        <w:trPr>
          <w:trHeight w:val="218"/>
        </w:trPr>
        <w:tc>
          <w:tcPr>
            <w:tcW w:w="504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4"/>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3100 Ocean Park Boulevard</w:t>
            </w:r>
          </w:p>
        </w:tc>
        <w:tc>
          <w:tcPr>
            <w:tcW w:w="1760" w:type="dxa"/>
            <w:vAlign w:val="bottom"/>
          </w:tcPr>
          <w:p>
            <w:pPr>
              <w:ind w:left="140"/>
              <w:spacing w:after="0"/>
              <w:rPr>
                <w:sz w:val="20"/>
                <w:szCs w:val="20"/>
                <w:color w:val="auto"/>
              </w:rPr>
            </w:pPr>
            <w:r>
              <w:rPr>
                <w:rFonts w:ascii="Arial" w:cs="Arial" w:eastAsia="Arial" w:hAnsi="Arial"/>
                <w:sz w:val="18"/>
                <w:szCs w:val="18"/>
                <w:b w:val="1"/>
                <w:bCs w:val="1"/>
                <w:color w:val="auto"/>
              </w:rPr>
              <w:t>Santa Monica,</w:t>
            </w: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CA</w:t>
            </w:r>
          </w:p>
        </w:tc>
        <w:tc>
          <w:tcPr>
            <w:tcW w:w="5420" w:type="dxa"/>
            <w:vAlign w:val="bottom"/>
          </w:tcPr>
          <w:p>
            <w:pPr>
              <w:jc w:val="right"/>
              <w:ind w:right="2390"/>
              <w:spacing w:after="0"/>
              <w:rPr>
                <w:sz w:val="20"/>
                <w:szCs w:val="20"/>
                <w:color w:val="auto"/>
              </w:rPr>
            </w:pPr>
            <w:r>
              <w:rPr>
                <w:rFonts w:ascii="Arial" w:cs="Arial" w:eastAsia="Arial" w:hAnsi="Arial"/>
                <w:sz w:val="18"/>
                <w:szCs w:val="18"/>
                <w:b w:val="1"/>
                <w:bCs w:val="1"/>
                <w:color w:val="auto"/>
              </w:rPr>
              <w:t>90405</w:t>
            </w:r>
          </w:p>
        </w:tc>
      </w:tr>
      <w:tr>
        <w:trPr>
          <w:trHeight w:val="224"/>
        </w:trPr>
        <w:tc>
          <w:tcPr>
            <w:tcW w:w="5040" w:type="dxa"/>
            <w:vAlign w:val="bottom"/>
            <w:tcBorders>
              <w:top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(310) 255-2000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$0.000001 per share</w:t>
            </w:r>
          </w:p>
        </w:tc>
        <w:tc>
          <w:tcPr>
            <w:tcW w:w="12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ATVI</w:t>
            </w:r>
          </w:p>
        </w:tc>
        <w:tc>
          <w:tcPr>
            <w:tcW w:w="14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5"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None</w:t>
      </w:r>
    </w:p>
    <w:p>
      <w:pPr>
        <w:spacing w:after="0" w:line="87"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 (d)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28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180"/>
        <w:spacing w:after="0" w:line="184" w:lineRule="exact"/>
        <w:tabs>
          <w:tab w:leader="none" w:pos="1880" w:val="left"/>
          <w:tab w:leader="none" w:pos="2340" w:val="left"/>
          <w:tab w:leader="none" w:pos="3660" w:val="left"/>
          <w:tab w:leader="none" w:pos="4180" w:val="left"/>
          <w:tab w:leader="none" w:pos="5840" w:val="left"/>
          <w:tab w:leader="none" w:pos="6320" w:val="left"/>
          <w:tab w:leader="none" w:pos="8340" w:val="left"/>
          <w:tab w:leader="none" w:pos="8900" w:val="left"/>
          <w:tab w:leader="none" w:pos="10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3" w:lineRule="exact"/>
        <w:rPr>
          <w:sz w:val="24"/>
          <w:szCs w:val="24"/>
          <w:color w:val="auto"/>
        </w:rPr>
      </w:pPr>
    </w:p>
    <w:p>
      <w:pPr>
        <w:ind w:right="26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jc w:val="center"/>
        <w:ind w:right="180"/>
        <w:spacing w:after="0"/>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w:t>
      </w:r>
    </w:p>
    <w:p>
      <w:pPr>
        <w:spacing w:after="0" w:line="31" w:lineRule="exact"/>
        <w:rPr>
          <w:sz w:val="24"/>
          <w:szCs w:val="24"/>
          <w:color w:val="auto"/>
        </w:rPr>
      </w:pPr>
    </w:p>
    <w:p>
      <w:pPr>
        <w:jc w:val="center"/>
        <w:ind w:right="160"/>
        <w:spacing w:after="0" w:line="161" w:lineRule="exact"/>
        <w:rPr>
          <w:sz w:val="20"/>
          <w:szCs w:val="20"/>
          <w:color w:val="auto"/>
        </w:rPr>
      </w:pPr>
      <w:r>
        <w:rPr>
          <w:rFonts w:ascii="Arial" w:cs="Arial" w:eastAsia="Arial" w:hAnsi="Arial"/>
          <w:sz w:val="14"/>
          <w:szCs w:val="14"/>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2"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firstLine="324"/>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on June 30, 2020 (based on the closing sale price as reported on the Nasdaq) was $58,006,915,377.</w:t>
      </w:r>
    </w:p>
    <w:p>
      <w:pPr>
        <w:spacing w:after="0" w:line="6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at February 16, 2021 was 774,753,965.</w:t>
      </w:r>
    </w:p>
    <w:p>
      <w:pPr>
        <w:spacing w:after="0" w:line="109"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280" w:firstLine="324"/>
        <w:spacing w:after="0" w:line="251" w:lineRule="auto"/>
        <w:rPr>
          <w:sz w:val="20"/>
          <w:szCs w:val="20"/>
          <w:color w:val="auto"/>
        </w:rPr>
      </w:pPr>
      <w:r>
        <w:rPr>
          <w:rFonts w:ascii="Arial" w:cs="Arial" w:eastAsia="Arial" w:hAnsi="Arial"/>
          <w:sz w:val="16"/>
          <w:szCs w:val="16"/>
          <w:color w:val="auto"/>
        </w:rPr>
        <w:t>Portions of the registrant’s Proxy Statement for the 2021 Annual Meeting of Stockholders are incorporated herein by reference into Part III of this Form 10-K to the extent stated herein. The 2021 Proxy Statement will be filed with the U.S.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9020" w:type="dxa"/>
            <w:vAlign w:val="bottom"/>
          </w:tcPr>
          <w:p>
            <w:pPr>
              <w:jc w:val="center"/>
              <w:ind w:right="330"/>
              <w:spacing w:after="0"/>
              <w:rPr>
                <w:sz w:val="20"/>
                <w:szCs w:val="20"/>
                <w:color w:val="auto"/>
              </w:rPr>
            </w:pPr>
            <w:r>
              <w:rPr>
                <w:rFonts w:ascii="Arial" w:cs="Arial" w:eastAsia="Arial" w:hAnsi="Arial"/>
                <w:sz w:val="18"/>
                <w:szCs w:val="18"/>
                <w:b w:val="1"/>
                <w:bCs w:val="1"/>
                <w:color w:val="auto"/>
              </w:rPr>
              <w:t>ACTIVISION BLIZZARD, INC. AND SUBSIDIARIES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320" w:type="dxa"/>
            <w:vAlign w:val="bottom"/>
          </w:tcPr>
          <w:p>
            <w:pPr>
              <w:spacing w:after="0"/>
              <w:rPr>
                <w:sz w:val="24"/>
                <w:szCs w:val="24"/>
                <w:color w:val="auto"/>
              </w:rPr>
            </w:pPr>
          </w:p>
        </w:tc>
        <w:tc>
          <w:tcPr>
            <w:tcW w:w="90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3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90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229"/>
        </w:trPr>
        <w:tc>
          <w:tcPr>
            <w:tcW w:w="1320" w:type="dxa"/>
            <w:vAlign w:val="bottom"/>
          </w:tcPr>
          <w:p>
            <w:pPr>
              <w:ind w:left="20"/>
              <w:spacing w:after="0"/>
              <w:rPr>
                <w:rFonts w:ascii="Arial" w:cs="Arial" w:eastAsia="Arial" w:hAnsi="Arial"/>
                <w:sz w:val="18"/>
                <w:szCs w:val="18"/>
                <w:color w:val="0000FF"/>
              </w:rPr>
            </w:pPr>
            <w:hyperlink w:anchor="page2">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tc>
        <w:tc>
          <w:tcPr>
            <w:tcW w:w="90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spacing w:after="0"/>
              <w:rPr>
                <w:sz w:val="19"/>
                <w:szCs w:val="19"/>
                <w:color w:val="auto"/>
              </w:rPr>
            </w:pPr>
          </w:p>
        </w:tc>
        <w:tc>
          <w:tcPr>
            <w:tcW w:w="902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Cautionary Statement</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02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Item 1A.</w:t>
              </w:r>
            </w:hyperlink>
          </w:p>
        </w:tc>
        <w:tc>
          <w:tcPr>
            <w:tcW w:w="9020" w:type="dxa"/>
            <w:vAlign w:val="bottom"/>
          </w:tcPr>
          <w:p>
            <w:pPr>
              <w:ind w:left="2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1B.</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Unresolved Staff Comments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Properties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4.</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PART II.</w:t>
              </w:r>
            </w:hyperlink>
          </w:p>
        </w:tc>
        <w:tc>
          <w:tcPr>
            <w:tcW w:w="9020" w:type="dxa"/>
            <w:vAlign w:val="bottom"/>
          </w:tcPr>
          <w:p>
            <w:pPr>
              <w:spacing w:after="0"/>
              <w:rPr>
                <w:sz w:val="19"/>
                <w:szCs w:val="19"/>
                <w:color w:val="auto"/>
              </w:rPr>
            </w:pPr>
          </w:p>
        </w:tc>
        <w:tc>
          <w:tcPr>
            <w:tcW w:w="860" w:type="dxa"/>
            <w:vAlign w:val="bottom"/>
            <w:gridSpan w:val="2"/>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9020" w:type="dxa"/>
            <w:vAlign w:val="bottom"/>
          </w:tcPr>
          <w:p>
            <w:pPr>
              <w:ind w:left="200"/>
              <w:spacing w:after="0"/>
              <w:rPr>
                <w:rFonts w:ascii="Arial" w:cs="Arial" w:eastAsia="Arial" w:hAnsi="Arial"/>
                <w:sz w:val="18"/>
                <w:szCs w:val="18"/>
                <w:u w:val="single" w:color="auto"/>
                <w:color w:val="0000FF"/>
                <w:w w:val="98"/>
              </w:rPr>
            </w:pPr>
            <w:hyperlink w:anchor="page27">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Selected Financial Data</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7.</w:t>
              </w:r>
            </w:hyperlink>
          </w:p>
        </w:tc>
        <w:tc>
          <w:tcPr>
            <w:tcW w:w="902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7A.</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8.</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Financial Statements and Supplementary Data</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9.</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Changes in and Disagreements with Accountants on Accounting and Financial Disclosure</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9A.</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Controls and Procedures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9B.</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Other Information</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PART III.</w:t>
              </w:r>
            </w:hyperlink>
          </w:p>
        </w:tc>
        <w:tc>
          <w:tcPr>
            <w:tcW w:w="9020" w:type="dxa"/>
            <w:vAlign w:val="bottom"/>
          </w:tcPr>
          <w:p>
            <w:pPr>
              <w:spacing w:after="0"/>
              <w:rPr>
                <w:sz w:val="19"/>
                <w:szCs w:val="19"/>
                <w:color w:val="auto"/>
              </w:rPr>
            </w:pPr>
          </w:p>
        </w:tc>
        <w:tc>
          <w:tcPr>
            <w:tcW w:w="86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10.</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Directors, Executive Officers, and Corporate Governance</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11.</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Executive Compensation</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12.</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Security Ownership of Certain Beneficial Owners and Management and Related Stockholder Matters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13.</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Certain Relationships and Related Transactions, and Director Independence</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14.</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Principal Accountant Fees and Services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PART IV.</w:t>
              </w:r>
            </w:hyperlink>
          </w:p>
        </w:tc>
        <w:tc>
          <w:tcPr>
            <w:tcW w:w="9020" w:type="dxa"/>
            <w:vAlign w:val="bottom"/>
          </w:tcPr>
          <w:p>
            <w:pPr>
              <w:spacing w:after="0"/>
              <w:rPr>
                <w:sz w:val="19"/>
                <w:szCs w:val="19"/>
                <w:color w:val="auto"/>
              </w:rPr>
            </w:pPr>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320" w:type="dxa"/>
            <w:vAlign w:val="bottom"/>
          </w:tcPr>
          <w:p>
            <w:pPr>
              <w:ind w:left="1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15.</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Exhibits, Financial Statement Schedules</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320" w:type="dxa"/>
            <w:vAlign w:val="bottom"/>
          </w:tcPr>
          <w:p>
            <w:pPr>
              <w:ind w:left="1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16.</w:t>
              </w:r>
            </w:hyperlink>
          </w:p>
        </w:tc>
        <w:tc>
          <w:tcPr>
            <w:tcW w:w="902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Form 10-K Summary</w:t>
              </w:r>
            </w:hyperlink>
          </w:p>
        </w:tc>
        <w:tc>
          <w:tcPr>
            <w:tcW w:w="860" w:type="dxa"/>
            <w:vAlign w:val="bottom"/>
            <w:gridSpan w:val="2"/>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320" w:type="dxa"/>
            <w:vAlign w:val="bottom"/>
          </w:tcPr>
          <w:p>
            <w:pPr>
              <w:ind w:left="20"/>
              <w:spacing w:after="0" w:line="190" w:lineRule="exact"/>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Exhibit Index</w:t>
              </w:r>
            </w:hyperlink>
          </w:p>
        </w:tc>
        <w:tc>
          <w:tcPr>
            <w:tcW w:w="9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Borders>
              <w:bottom w:val="single" w:sz="8" w:color="0000FF"/>
            </w:tcBorders>
          </w:tcPr>
          <w:p>
            <w:pPr>
              <w:jc w:val="right"/>
              <w:spacing w:after="0" w:line="190" w:lineRule="exact"/>
              <w:rPr>
                <w:rFonts w:ascii="Arial" w:cs="Arial" w:eastAsia="Arial" w:hAnsi="Arial"/>
                <w:sz w:val="18"/>
                <w:szCs w:val="18"/>
                <w:color w:val="0000FF"/>
                <w:w w:val="85"/>
              </w:rPr>
            </w:pPr>
            <w:r>
              <w:rPr>
                <w:rFonts w:ascii="Arial" w:cs="Arial" w:eastAsia="Arial" w:hAnsi="Arial"/>
                <w:sz w:val="18"/>
                <w:szCs w:val="18"/>
                <w:color w:val="0000FF"/>
                <w:w w:val="85"/>
              </w:rPr>
              <w:t>E-</w:t>
            </w:r>
            <w:hyperlink w:anchor="page111">
              <w:r>
                <w:rPr>
                  <w:rFonts w:ascii="Arial" w:cs="Arial" w:eastAsia="Arial" w:hAnsi="Arial"/>
                  <w:sz w:val="18"/>
                  <w:szCs w:val="18"/>
                  <w:color w:val="0000FF"/>
                  <w:w w:val="85"/>
                </w:rPr>
                <w:t>1</w:t>
              </w:r>
            </w:hyperlink>
          </w:p>
        </w:tc>
        <w:tc>
          <w:tcPr>
            <w:tcW w:w="40" w:type="dxa"/>
            <w:vAlign w:val="bottom"/>
            <w:gridSpan w:val="2"/>
          </w:tcPr>
          <w:p>
            <w:pPr>
              <w:spacing w:after="0"/>
              <w:rPr>
                <w:sz w:val="16"/>
                <w:szCs w:val="16"/>
                <w:color w:val="auto"/>
              </w:rPr>
            </w:pPr>
          </w:p>
        </w:tc>
      </w:tr>
      <w:tr>
        <w:trPr>
          <w:trHeight w:val="209"/>
        </w:trPr>
        <w:tc>
          <w:tcPr>
            <w:tcW w:w="1320" w:type="dxa"/>
            <w:vAlign w:val="bottom"/>
          </w:tcPr>
          <w:p>
            <w:pPr>
              <w:ind w:left="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SIGNATURES</w:t>
              </w:r>
            </w:hyperlink>
          </w:p>
        </w:tc>
        <w:tc>
          <w:tcPr>
            <w:tcW w:w="9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3"/>
          </w:tcPr>
          <w:p>
            <w:pPr>
              <w:jc w:val="right"/>
              <w:ind w:right="40"/>
              <w:spacing w:after="0"/>
              <w:rPr>
                <w:rFonts w:ascii="Arial" w:cs="Arial" w:eastAsia="Arial" w:hAnsi="Arial"/>
                <w:sz w:val="18"/>
                <w:szCs w:val="18"/>
                <w:color w:val="0000FF"/>
                <w:w w:val="85"/>
              </w:rPr>
            </w:pPr>
            <w:r>
              <w:rPr>
                <w:rFonts w:ascii="Arial" w:cs="Arial" w:eastAsia="Arial" w:hAnsi="Arial"/>
                <w:sz w:val="18"/>
                <w:szCs w:val="18"/>
                <w:color w:val="0000FF"/>
                <w:w w:val="85"/>
              </w:rPr>
              <w:t>E-</w:t>
            </w:r>
            <w:hyperlink w:anchor="page115">
              <w:r>
                <w:rPr>
                  <w:rFonts w:ascii="Arial" w:cs="Arial" w:eastAsia="Arial" w:hAnsi="Arial"/>
                  <w:sz w:val="18"/>
                  <w:szCs w:val="18"/>
                  <w:color w:val="0000FF"/>
                  <w:w w:val="85"/>
                </w:rPr>
                <w:t>5</w:t>
              </w:r>
            </w:hyperlink>
          </w:p>
        </w:tc>
      </w:tr>
      <w:tr>
        <w:trPr>
          <w:trHeight w:val="925"/>
        </w:trPr>
        <w:tc>
          <w:tcPr>
            <w:tcW w:w="1320" w:type="dxa"/>
            <w:vAlign w:val="bottom"/>
          </w:tcPr>
          <w:p>
            <w:pPr>
              <w:spacing w:after="0"/>
              <w:rPr>
                <w:sz w:val="24"/>
                <w:szCs w:val="24"/>
                <w:color w:val="auto"/>
              </w:rPr>
            </w:pPr>
          </w:p>
        </w:tc>
        <w:tc>
          <w:tcPr>
            <w:tcW w:w="9020" w:type="dxa"/>
            <w:vAlign w:val="bottom"/>
          </w:tcPr>
          <w:p>
            <w:pPr>
              <w:jc w:val="center"/>
              <w:ind w:right="330"/>
              <w:spacing w:after="0"/>
              <w:rPr>
                <w:sz w:val="20"/>
                <w:szCs w:val="20"/>
                <w:color w:val="auto"/>
              </w:rPr>
            </w:pPr>
            <w:r>
              <w:rPr>
                <w:rFonts w:ascii="Arial" w:cs="Arial" w:eastAsia="Arial" w:hAnsi="Arial"/>
                <w:sz w:val="18"/>
                <w:szCs w:val="18"/>
                <w:color w:val="auto"/>
                <w:w w:val="79"/>
              </w:rPr>
              <w:t>2</w:t>
            </w:r>
          </w:p>
        </w:tc>
        <w:tc>
          <w:tcPr>
            <w:tcW w:w="6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90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3" w:lineRule="exact"/>
        <w:rPr>
          <w:sz w:val="20"/>
          <w:szCs w:val="20"/>
          <w:color w:val="auto"/>
        </w:rPr>
      </w:pPr>
    </w:p>
    <w:p>
      <w:pPr>
        <w:ind w:firstLine="405"/>
        <w:spacing w:after="0" w:line="251" w:lineRule="auto"/>
        <w:rPr>
          <w:sz w:val="20"/>
          <w:szCs w:val="20"/>
          <w:color w:val="auto"/>
        </w:rPr>
      </w:pPr>
      <w:r>
        <w:rPr>
          <w:rFonts w:ascii="Arial" w:cs="Arial" w:eastAsia="Arial" w:hAnsi="Arial"/>
          <w:sz w:val="17"/>
          <w:szCs w:val="17"/>
          <w:i w:val="1"/>
          <w:iCs w:val="1"/>
          <w:color w:val="auto"/>
        </w:rPr>
        <w:t>This Annual Report on Form 10-K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26" w:lineRule="exact"/>
        <w:rPr>
          <w:sz w:val="20"/>
          <w:szCs w:val="20"/>
          <w:color w:val="auto"/>
        </w:rPr>
      </w:pPr>
    </w:p>
    <w:p>
      <w:pPr>
        <w:ind w:right="20" w:firstLine="405"/>
        <w:spacing w:after="0" w:line="271" w:lineRule="auto"/>
        <w:rPr>
          <w:rFonts w:ascii="Arial" w:cs="Arial" w:eastAsia="Arial" w:hAnsi="Arial"/>
          <w:sz w:val="16"/>
          <w:szCs w:val="16"/>
          <w:i w:val="1"/>
          <w:iCs w:val="1"/>
          <w:color w:val="auto"/>
        </w:rPr>
      </w:pPr>
      <w:r>
        <w:rPr>
          <w:rFonts w:ascii="Arial" w:cs="Arial" w:eastAsia="Arial" w:hAnsi="Arial"/>
          <w:sz w:val="16"/>
          <w:szCs w:val="16"/>
          <w:i w:val="1"/>
          <w:iCs w:val="1"/>
          <w:color w:val="auto"/>
        </w:rPr>
        <w:t>We caution that a number of important factors, many of which are beyond our control, could cause our actual future results and other future circumstances to differ materially from those expressed in any forward-looking statements. Some of the risk factors that could cause our actual results to differ from those stated in the forward-looking statements can be found in “</w:t>
      </w:r>
      <w:hyperlink w:anchor="page11">
        <w:r>
          <w:rPr>
            <w:rFonts w:ascii="Arial" w:cs="Arial" w:eastAsia="Arial" w:hAnsi="Arial"/>
            <w:sz w:val="16"/>
            <w:szCs w:val="16"/>
            <w:i w:val="1"/>
            <w:iCs w:val="1"/>
            <w:u w:val="single" w:color="auto"/>
            <w:color w:val="0000FF"/>
          </w:rPr>
          <w:t>Risk Factors</w:t>
        </w:r>
      </w:hyperlink>
      <w:r>
        <w:rPr>
          <w:rFonts w:ascii="Arial" w:cs="Arial" w:eastAsia="Arial" w:hAnsi="Arial"/>
          <w:sz w:val="16"/>
          <w:szCs w:val="16"/>
          <w:i w:val="1"/>
          <w:iCs w:val="1"/>
          <w:color w:val="auto"/>
        </w:rPr>
        <w:t>” included in Part I, Item 1A of this Annual Report on Form 10-K. The forward-looking statements contained herein are based on information available to us as of the date of this Annual Report on Form 10-K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206" w:lineRule="exact"/>
        <w:rPr>
          <w:sz w:val="20"/>
          <w:szCs w:val="20"/>
          <w:color w:val="auto"/>
        </w:rPr>
      </w:pPr>
    </w:p>
    <w:p>
      <w:pPr>
        <w:ind w:right="20" w:firstLine="405"/>
        <w:spacing w:after="0" w:line="261" w:lineRule="auto"/>
        <w:rPr>
          <w:sz w:val="20"/>
          <w:szCs w:val="20"/>
          <w:color w:val="auto"/>
        </w:rPr>
      </w:pPr>
      <w:r>
        <w:rPr>
          <w:rFonts w:ascii="Arial" w:cs="Arial" w:eastAsia="Arial" w:hAnsi="Arial"/>
          <w:sz w:val="17"/>
          <w:szCs w:val="17"/>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Annual Report on Form 10-K refer to U.S. dollars, unless otherwise explicitly stated to the contrary.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405"/>
        <w:spacing w:after="0" w:line="275" w:lineRule="auto"/>
        <w:rPr>
          <w:rFonts w:ascii="Arial" w:cs="Arial" w:eastAsia="Arial" w:hAnsi="Arial"/>
          <w:sz w:val="17"/>
          <w:szCs w:val="17"/>
          <w:color w:val="0000FF"/>
        </w:rPr>
      </w:pPr>
      <w:r>
        <w:rPr>
          <w:rFonts w:ascii="Arial" w:cs="Arial" w:eastAsia="Arial" w:hAnsi="Arial"/>
          <w:sz w:val="17"/>
          <w:szCs w:val="17"/>
          <w:color w:val="auto"/>
        </w:rPr>
        <w:t xml:space="preserve">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 For a discussion of the history of the formation of our Company, including our year and form of incorporation, refer to </w:t>
      </w:r>
      <w:hyperlink r:id="rId15">
        <w:r>
          <w:rPr>
            <w:rFonts w:ascii="Arial" w:cs="Arial" w:eastAsia="Arial" w:hAnsi="Arial"/>
            <w:sz w:val="17"/>
            <w:szCs w:val="17"/>
            <w:u w:val="single" w:color="auto"/>
            <w:color w:val="0000FF"/>
          </w:rPr>
          <w:t>Part</w:t>
        </w:r>
        <w:r>
          <w:rPr>
            <w:rFonts w:ascii="Arial" w:cs="Arial" w:eastAsia="Arial" w:hAnsi="Arial"/>
            <w:sz w:val="17"/>
            <w:szCs w:val="17"/>
            <w:color w:val="0000FF"/>
          </w:rPr>
          <w:t xml:space="preserve"> </w:t>
        </w:r>
      </w:hyperlink>
      <w:r>
        <w:rPr>
          <w:rFonts w:ascii="Arial" w:cs="Arial" w:eastAsia="Arial" w:hAnsi="Arial"/>
          <w:sz w:val="17"/>
          <w:szCs w:val="17"/>
          <w:color w:val="0000FF"/>
        </w:rPr>
        <w:t xml:space="preserve">I, </w:t>
      </w:r>
      <w:hyperlink r:id="rId15">
        <w:r>
          <w:rPr>
            <w:rFonts w:ascii="Arial" w:cs="Arial" w:eastAsia="Arial" w:hAnsi="Arial"/>
            <w:sz w:val="17"/>
            <w:szCs w:val="17"/>
            <w:u w:val="single" w:color="auto"/>
            <w:color w:val="0000FF"/>
          </w:rPr>
          <w:t>Item 1 “Business” of our Annual Report on Form 10-K for the year ended December 31, 2019</w:t>
        </w:r>
      </w:hyperlink>
      <w:r>
        <w:rPr>
          <w:rFonts w:ascii="Arial" w:cs="Arial" w:eastAsia="Arial" w:hAnsi="Arial"/>
          <w:sz w:val="17"/>
          <w:szCs w:val="17"/>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Vision</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objective is to connect and engage the world through epic entertainment by continuing to be a worldwide leader in the development, publishing, and distribution of high-quality interactive entertainment content and services, as well as related media, that deliver engaging entertainment experiences on a year-round basis. In pursuit of this objective, we focus on three strategic pillars: expanding audience reach; deepening consumer engagement; and increasing player investment.</w:t>
      </w:r>
    </w:p>
    <w:p>
      <w:pPr>
        <w:spacing w:after="0" w:line="21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i w:val="1"/>
          <w:iCs w:val="1"/>
          <w:color w:val="auto"/>
        </w:rPr>
        <w:t xml:space="preserve">Expanding audience reach. </w:t>
      </w:r>
      <w:r>
        <w:rPr>
          <w:rFonts w:ascii="Arial" w:cs="Arial" w:eastAsia="Arial" w:hAnsi="Arial"/>
          <w:sz w:val="18"/>
          <w:szCs w:val="18"/>
          <w:color w:val="auto"/>
        </w:rPr>
        <w:t>Building on our strong established franchises and creating new franchises through compelling new content is at the core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business. We endeavor to reach as many consumers as possible by offering our content on multiple platforms and delivering compelling experiences across multiple business models (e.g. premium, free-to-play, subscription-based, etc.).</w:t>
      </w:r>
    </w:p>
    <w:p>
      <w:pPr>
        <w:spacing w:after="0" w:line="21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i w:val="1"/>
          <w:iCs w:val="1"/>
          <w:color w:val="auto"/>
        </w:rPr>
        <w:t>Driving deep consumer engagement</w:t>
      </w:r>
      <w:r>
        <w:rPr>
          <w:rFonts w:ascii="Arial" w:cs="Arial" w:eastAsia="Arial" w:hAnsi="Arial"/>
          <w:sz w:val="17"/>
          <w:szCs w:val="17"/>
          <w:color w:val="auto"/>
        </w:rPr>
        <w:t>. Our high-quality entertainment content not only expands our audience reach, but it also drives deep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franchises. We design our games, as well as related media, to provide a depth of content that keeps consumers engaged for a long period of time following a game’s release. In addition, our games are designed to provide players the ability to connect with each other socially within our franchise communities, thus delivering more value to our players and providing additional growth opportunities for our franchises.</w:t>
      </w:r>
    </w:p>
    <w:p>
      <w:pPr>
        <w:spacing w:after="0" w:line="19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i w:val="1"/>
          <w:iCs w:val="1"/>
          <w:color w:val="auto"/>
        </w:rPr>
        <w:t xml:space="preserve">Increasing player investment. </w:t>
      </w:r>
      <w:r>
        <w:rPr>
          <w:rFonts w:ascii="Arial" w:cs="Arial" w:eastAsia="Arial" w:hAnsi="Arial"/>
          <w:sz w:val="17"/>
          <w:szCs w:val="17"/>
          <w:color w:val="auto"/>
        </w:rPr>
        <w:t>Increasingly, our consumers are connected to our games online through consoles, PCs, and mobile devices. This allows</w:t>
      </w:r>
      <w:r>
        <w:rPr>
          <w:rFonts w:ascii="Arial" w:cs="Arial" w:eastAsia="Arial" w:hAnsi="Arial"/>
          <w:sz w:val="17"/>
          <w:szCs w:val="17"/>
          <w:i w:val="1"/>
          <w:iCs w:val="1"/>
          <w:color w:val="auto"/>
        </w:rPr>
        <w:t xml:space="preserve"> </w:t>
      </w:r>
      <w:r>
        <w:rPr>
          <w:rFonts w:ascii="Arial" w:cs="Arial" w:eastAsia="Arial" w:hAnsi="Arial"/>
          <w:sz w:val="17"/>
          <w:szCs w:val="17"/>
          <w:color w:val="auto"/>
        </w:rPr>
        <w:t>us to offer additional digital player investment opportunities directly to our consumers on a year-round basis. In addition to purchasing full games or subscriptions, players can invest in our franchises by purchasing incremental in-game content (i.e. larger downloadable content or smaller content via microtransactions). These digital revenue streams tend to be more recurring and have relatively higher profit margins. Further, if executed properly, additional player investment can increase engagement, as it provides more frequent and incremental content for our players. In addition, we generate revenue through offering advertising within certain of our franchises, and we believe there are opportunities to grow new forms of player investment through esports and consumer products. We are still in the early stages of developing these new revenue streams.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52" w:lineRule="exact"/>
        <w:rPr>
          <w:sz w:val="20"/>
          <w:szCs w:val="20"/>
          <w:color w:val="auto"/>
        </w:rPr>
      </w:pPr>
    </w:p>
    <w:p>
      <w:pPr>
        <w:ind w:firstLine="405"/>
        <w:spacing w:after="0" w:line="223" w:lineRule="auto"/>
        <w:rPr>
          <w:sz w:val="20"/>
          <w:szCs w:val="20"/>
          <w:color w:val="auto"/>
        </w:rPr>
      </w:pPr>
      <w:r>
        <w:rPr>
          <w:rFonts w:ascii="Arial" w:cs="Arial" w:eastAsia="Arial" w:hAnsi="Arial"/>
          <w:sz w:val="18"/>
          <w:szCs w:val="18"/>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franchise. Activision also includes the activities of the Call of Duty League</w:t>
      </w:r>
      <w:r>
        <w:rPr>
          <w:rFonts w:ascii="Arial" w:cs="Arial" w:eastAsia="Arial" w:hAnsi="Arial"/>
          <w:sz w:val="23"/>
          <w:szCs w:val="23"/>
          <w:color w:val="auto"/>
          <w:vertAlign w:val="superscript"/>
        </w:rPr>
        <w:t>TM</w:t>
      </w:r>
      <w:r>
        <w:rPr>
          <w:rFonts w:ascii="Arial" w:cs="Arial" w:eastAsia="Arial" w:hAnsi="Arial"/>
          <w:sz w:val="18"/>
          <w:szCs w:val="18"/>
          <w:color w:val="auto"/>
        </w:rPr>
        <w:t>, a global professional esports league with city-based teams.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52" w:lineRule="exact"/>
        <w:rPr>
          <w:sz w:val="20"/>
          <w:szCs w:val="20"/>
          <w:color w:val="auto"/>
        </w:rPr>
      </w:pPr>
    </w:p>
    <w:p>
      <w:pPr>
        <w:ind w:firstLine="405"/>
        <w:spacing w:after="0" w:line="239"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Blizzard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franchise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w:t>
      </w:r>
      <w:r>
        <w:rPr>
          <w:rFonts w:ascii="Arial" w:cs="Arial" w:eastAsia="Arial" w:hAnsi="Arial"/>
          <w:sz w:val="22"/>
          <w:szCs w:val="22"/>
          <w:color w:val="auto"/>
          <w:vertAlign w:val="superscript"/>
        </w:rPr>
        <w:t>TM</w:t>
      </w:r>
      <w:r>
        <w:rPr>
          <w:rFonts w:ascii="Arial" w:cs="Arial" w:eastAsia="Arial" w:hAnsi="Arial"/>
          <w:sz w:val="17"/>
          <w:szCs w:val="17"/>
          <w:color w:val="auto"/>
        </w:rPr>
        <w:t>, a global professional esports league with city-based teams.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5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King Digital Entertainment (“King”) delivers content primarily through free-to-play offerings and primarily generates revenue from in-game sales and in-game advertising on the mobile platform. King’s key product franchise is Candy Crush™, a “match three” franchise.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Global COVID-19 Pandemic</w:t>
      </w:r>
    </w:p>
    <w:p>
      <w:pPr>
        <w:spacing w:after="0" w:line="252"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In December 2019, a novel strain of coronavirus (“COVID-19”) emerged and has since extensively impacted global health and the economic environment. On March 11, 2020, the World Health Organization (“WHO”) characterized COVID-19 as a pandemic. In an effort to contain the spread of COVID-19, domestic and international governments around the world enacted various measures, including orders to close all businesses not deemed “essential,” quarantine orders for individuals to stay in their homes or places of residence, and to practice social distancing when engaging in essential activities. We anticipate that these actions and the ongoing global health crisis caused by COVID-19 will continue to negatively impact many business activities and financial markets across the globe.</w:t>
      </w:r>
    </w:p>
    <w:p>
      <w:pPr>
        <w:spacing w:after="0" w:line="219"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 xml:space="preserve">During the COVID-19 pandemic, our business has experienced an increase in demand for certain of our products and services as a result of the stay-at-home orders enacted in various regions as players have more time to engage with our games. These trends contributed to strong full-game and in-game content sales for </w:t>
      </w:r>
      <w:r>
        <w:rPr>
          <w:rFonts w:ascii="Arial" w:cs="Arial" w:eastAsia="Arial" w:hAnsi="Arial"/>
          <w:sz w:val="17"/>
          <w:szCs w:val="17"/>
          <w:i w:val="1"/>
          <w:iCs w:val="1"/>
          <w:color w:val="auto"/>
        </w:rPr>
        <w:t>Call of Duty: Modern Warfare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which also benefited from the launch of </w:t>
      </w:r>
      <w:r>
        <w:rPr>
          <w:rFonts w:ascii="Arial" w:cs="Arial" w:eastAsia="Arial" w:hAnsi="Arial"/>
          <w:sz w:val="17"/>
          <w:szCs w:val="17"/>
          <w:i w:val="1"/>
          <w:iCs w:val="1"/>
          <w:color w:val="auto"/>
        </w:rPr>
        <w:t>Call of Duty: Warzone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xml:space="preserve"> in March. In addition, we saw further demand for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including its in-game content, which also continued to benefit from the release of </w:t>
      </w:r>
      <w:r>
        <w:rPr>
          <w:rFonts w:ascii="Arial" w:cs="Arial" w:eastAsia="Arial" w:hAnsi="Arial"/>
          <w:sz w:val="17"/>
          <w:szCs w:val="17"/>
          <w:i w:val="1"/>
          <w:iCs w:val="1"/>
          <w:color w:val="auto"/>
        </w:rPr>
        <w:t>World of Warcraft Classic</w:t>
      </w:r>
      <w:r>
        <w:rPr>
          <w:rFonts w:ascii="Arial" w:cs="Arial" w:eastAsia="Arial" w:hAnsi="Arial"/>
          <w:sz w:val="17"/>
          <w:szCs w:val="17"/>
          <w:color w:val="auto"/>
        </w:rPr>
        <w:t xml:space="preserve"> in August 2019. Beginning in the month of March, our business also experienced an increase in monthly active users for certain franchises. We have, however, seen a moderation in these trends since the stay-at-home orders were originally enacted earlier in 2020.</w:t>
      </w:r>
    </w:p>
    <w:p>
      <w:pPr>
        <w:spacing w:after="0" w:line="216"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As a result of the COVID-19 pandemic and stay-at-home orders enacted in various regions, both the Overwatch League and the Call of Duty League pivoted all matches from their originally planned local homestand formats to online play and remote production for the remainder of the regular and postseason in order to keep players and fans safe while still delivering premium esports content to a global audience. Additionally, to support our Overwatch League and Call of Duty League team owners and ecosystems amid a challenging environment, which includes losing the ability to have live fan-attended home venue events, we have taken certain actions to support their short-term cash flow needs, adjusted our league operations to reduce operating costs and improve franchise terms, and made certain investments which have impacted our operating results in 2020. This impact was primarily in the Blizzard segment.</w:t>
      </w:r>
    </w:p>
    <w:p>
      <w:pPr>
        <w:spacing w:after="0" w:line="222" w:lineRule="exact"/>
        <w:rPr>
          <w:sz w:val="20"/>
          <w:szCs w:val="20"/>
          <w:color w:val="auto"/>
        </w:rPr>
      </w:pPr>
    </w:p>
    <w:p>
      <w:pPr>
        <w:ind w:right="360" w:firstLine="405"/>
        <w:spacing w:after="0" w:line="279" w:lineRule="auto"/>
        <w:rPr>
          <w:rFonts w:ascii="Arial" w:cs="Arial" w:eastAsia="Arial" w:hAnsi="Arial"/>
          <w:sz w:val="17"/>
          <w:szCs w:val="17"/>
          <w:color w:val="auto"/>
        </w:rPr>
      </w:pPr>
      <w:r>
        <w:rPr>
          <w:rFonts w:ascii="Arial" w:cs="Arial" w:eastAsia="Arial" w:hAnsi="Arial"/>
          <w:sz w:val="17"/>
          <w:szCs w:val="17"/>
          <w:color w:val="auto"/>
        </w:rPr>
        <w:t>The sustainability of these trends and long-term implications to our business is dependent on future developments, including the duration of the COVID-19 pandemic and the related length of its impact on the global economy, which are uncertain and cannot be predicted at this time. See Item 1A “</w:t>
      </w:r>
      <w:hyperlink w:anchor="page11">
        <w:r>
          <w:rPr>
            <w:rFonts w:ascii="Arial" w:cs="Arial" w:eastAsia="Arial" w:hAnsi="Arial"/>
            <w:sz w:val="17"/>
            <w:szCs w:val="17"/>
            <w:u w:val="single" w:color="auto"/>
            <w:color w:val="0000FF"/>
          </w:rPr>
          <w:t>Risk Factors</w:t>
        </w:r>
      </w:hyperlink>
      <w:r>
        <w:rPr>
          <w:rFonts w:ascii="Arial" w:cs="Arial" w:eastAsia="Arial" w:hAnsi="Arial"/>
          <w:sz w:val="17"/>
          <w:szCs w:val="17"/>
          <w:color w:val="auto"/>
        </w:rPr>
        <w:t>” for additional details on risks and uncertainties regarding the impacts of the global COVID-19 pandemic on our business, reputation, financial condition, results of operations, income, revenue, profitability, cash flows, liquidity, and stock price.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an effort to protect the health and safety of our employees, the majority of our workforce is currently working from home and we have placed restrictions on non-essential business travel. We have implemented business continuity plans and have increased support and resources to enable our employees to work remotely and, thus far, our business has been able to operate with minimal disruption to our game titles’ published release dates. The COVID-19 pandemic remains a rapidly evolving situation. We will continue to actively monitor the developments of the COVID-19 pandemic and may take further actions that could alter our business operations as may be required by federal, state, local, or foreign authorities, or that we determine are in the best interests of our employees, customers, partners, and shareholders. It is not clear what effects any such potential actions may have on our business, including the effects on our employees, players and consumers, customers, partners, game development and content pipelines, or on our reputation, financial condition, results of operations, income, revenue, profitability, cash flows, liquidity, or stock price.</w:t>
      </w:r>
    </w:p>
    <w:p>
      <w:pPr>
        <w:spacing w:after="0" w:line="20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full extent of the impact of the COVID-19 pandemic on our business, reputation, financial condition, results of operations, income, revenue, profitability, cash flows, liquidity, or stock price will depend on numerous evolving factors that we are not able to fully predict at this time. However, we believe that given our strong balance sheet, with cash and cash equivalents and short-term investments of $8.8 billion as of December 31, 2020, and the fact that our business has increasingly shifted to digital channels, we have substantial flexibility as we navigate through the uncertain environment and near-term implications of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 develop interactive entertainment content and services, principally for console, PC, and mobile devices, and we market and sell our games primarily through digital distribution channels. Our products span various genres, including first- and third-person action/adventure, role-playing, strategy, and “match three,” among others. We primarily offer the following products and services: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premium full-games, which typically provide access to main game content after purchase;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free-to-play offerings, which allow players to download the game and engage with the associated content for free;</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in-game content for purchase to enhance gameplay (i.e. microtransactions and downloadable content) available within both our full-games and free-to-play offerings;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subscriptions for players in our World of Warcraft franchise that provide for ongoing access to the game content.</w:t>
      </w:r>
    </w:p>
    <w:p>
      <w:pPr>
        <w:spacing w:after="0" w:line="252" w:lineRule="exact"/>
        <w:rPr>
          <w:sz w:val="20"/>
          <w:szCs w:val="20"/>
          <w:color w:val="auto"/>
        </w:rPr>
      </w:pPr>
    </w:p>
    <w:p>
      <w:pPr>
        <w:jc w:val="both"/>
        <w:ind w:right="520" w:firstLine="405"/>
        <w:spacing w:after="0" w:line="263" w:lineRule="auto"/>
        <w:rPr>
          <w:sz w:val="20"/>
          <w:szCs w:val="20"/>
          <w:color w:val="auto"/>
        </w:rPr>
      </w:pPr>
      <w:r>
        <w:rPr>
          <w:rFonts w:ascii="Arial" w:cs="Arial" w:eastAsia="Arial" w:hAnsi="Arial"/>
          <w:sz w:val="18"/>
          <w:szCs w:val="18"/>
          <w:color w:val="auto"/>
        </w:rPr>
        <w:t>Providing additional content and experiences within franchises has increased opportunities for player investment outside of premium full-game purchases. This has allowed us to shift from our historical seasonality to a more consistently recurring and year-round revenue model. In addition, if executed properly, it allows us to increase player engagement with our games and content.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Support</w:t>
      </w:r>
    </w:p>
    <w:p>
      <w:pPr>
        <w:spacing w:after="0" w:line="252"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We focus on developing enduring wholly-owned franchises backed by well-designed, high-quality games with regular content updates. We aim to build interactive entertainment content with the potential for broad reach, sustainable engagement, and year-round player investment. It is our experience that enduring franchises then serve as the basis for related new products and content that can be released over an extended period of time. We believe that the development and distribution of products and content based on established franchises enhances predictability of revenues and the probability of high unit volume sales and operating profits. We intend to continue development of content based on our owned franchises in the future.</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develop and produce our titles using a model in which a group of creative, technical, and production professionals, including designers, producers, programmers, artists, and sound engineers, in coordination with our marketing, finance, analytics, sales, and other professionals, have responsibility for the entire development and production process, including the supervision and coordination of internal and, where appropriate, external resources. We believe this model allows us to deploy the best resources for a given task, including by supplementing our internal expertise with top-quality external resources on an as-needed basis.</w:t>
      </w:r>
    </w:p>
    <w:p>
      <w:pPr>
        <w:spacing w:after="0" w:line="215"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While most of our content is developed by our internal studios, we periodically engage independent third-party developers to create content on our behalf. From time to time, we also acquire the license rights to publish and/or distribute software products that are, or will be, independently created by third-party developers.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24-hour game support to players through various means, primarily online and by telephone.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25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Many of our products contain software that enables us to connect with our gamers directly. This allows us to communicate and market directly to our customers, including through customized advertising and in-game messaging based on customer preferences and trends. Our marketing efforts also include activities on: online social networks; other online advertising; public relations activities; print and broadcast advertising; coordinated in-store and industry promotions (including merchandising and point of purchase displays); participation in cooperative advertising programs; direct response vehicles; and product sampling.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9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Most of our products and content are available in a digital format, which allows consumers to purchase and download the content at their convenience directly to their console, PC, or mobile device through our platform partners, including Apple Inc. (“Apple”), Facebook, Inc. (“Facebook”), Google Inc. (“Google”), Microsoft Corporation (“Microsoft”), Nintendo Co., Ltd. (“Nintendo”), and Sony Interactive Entertainment Inc. (“Sony”). Blizzard utilizes its proprietary online gaming service, Blizzard Battle.net, to distribute most of Blizzard’s content and selected Activision content directly to PC consumers.</w:t>
      </w:r>
    </w:p>
    <w:p>
      <w:pPr>
        <w:spacing w:after="0" w:line="18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In addition to serving as a distribution platform, Blizzard Battle.net offers players communications features, social networking, player matching, and digital content delivery and is designed to allow people to connect regardless of which of our games on Blizzard Battle.net they are playing.</w:t>
      </w:r>
    </w:p>
    <w:p>
      <w:pPr>
        <w:spacing w:after="0" w:line="173"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or through third-party distribution and licensing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52"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We prepare master program copies for our products on each release platform. With respect to products for Microsoft, Sony, and Nintendo consoles, our disk duplication, packaging, printing, manufacturing, warehousing, assembly, and shipping are performed by third-party subcontractors or distribution facilities owned by us.</w:t>
      </w:r>
    </w:p>
    <w:p>
      <w:pPr>
        <w:spacing w:after="0" w:line="21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Microsoft, Sony, and Nintendo generally specify or control the manufacturing and assembly of finished products and license their hardware technologies to us. In return,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Top Franchises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52"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While the Company does sell directly to end consumers in certain instances, such as sales through Blizzard Battle.net, in other instances our customers are platform providers, such as Sony, Microsoft, Google, and Apple, or retailers, such as Walmart and GameStop, who act as distributors of our content to end consumers. For the year ended December 31, 2020, Sony, Apple, Google, and Microsoft were our most significant customers, with revenues of 17%, 15%, 14%, and 11%, respectively. For the years ended December 31, 2019 and 2018, Apple, Google, and Sony were our most significant customers, with revenues of 17%, 13%, and 11%, respectively, for 2019, and 15%, 11%, and 13%, respectively, for 2018. No other customer accounted for 10% or more of our net revenues in those periods.</w:t>
      </w:r>
    </w:p>
    <w:p>
      <w:pPr>
        <w:spacing w:after="0" w:line="21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had two customers—Microsoft and Sony—who accounted for 28% and 21%, respectively, of consolidated gross receivables at December 31, 2020, and 11% and 18%, respectively, at December 31, 2019. No other customer accounted for 10% or more of our consolidated gross receivables in those periods.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Franchises</w:t>
      </w:r>
    </w:p>
    <w:p>
      <w:pPr>
        <w:spacing w:after="0" w:line="252"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For the years ended December 31, 2020, 2019, and 2018, our top three franchises—Call of Duty, Candy Crush, and World of Warcraft—collectively accounted for 76%, 67%, and 58%, respectively, of our net revenues. No other franchise comprised 10% or more of our net revenues in those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We compete for the leisure time and discretionary spending of consumers with other interactive entertainment companies and software competitors, as well as with providers of different forms of entertainment, such as film, television, social networking, music, and other consumer products.</w:t>
      </w:r>
    </w:p>
    <w:p>
      <w:pPr>
        <w:spacing w:after="0" w:line="15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of content; marketing support; and quality of customer service.</w:t>
      </w:r>
    </w:p>
    <w:p>
      <w:pPr>
        <w:spacing w:after="0" w:line="214" w:lineRule="exact"/>
        <w:rPr>
          <w:sz w:val="20"/>
          <w:szCs w:val="20"/>
          <w:color w:val="auto"/>
        </w:rPr>
      </w:pPr>
    </w:p>
    <w:p>
      <w:pPr>
        <w:jc w:val="both"/>
        <w:ind w:right="480" w:firstLine="445"/>
        <w:spacing w:after="0" w:line="259" w:lineRule="auto"/>
        <w:rPr>
          <w:sz w:val="20"/>
          <w:szCs w:val="20"/>
          <w:color w:val="auto"/>
        </w:rPr>
      </w:pPr>
      <w:r>
        <w:rPr>
          <w:rFonts w:ascii="Arial" w:cs="Arial" w:eastAsia="Arial" w:hAnsi="Arial"/>
          <w:sz w:val="18"/>
          <w:szCs w:val="18"/>
          <w:color w:val="auto"/>
        </w:rPr>
        <w:t>In addition to third-party software competitors, integrated video game console hardware and software companies, such as Microsoft, Sony, and Nintendo, compete directly with us in the development of software titles for their respective platforms, while at the same time act as key distribution channels and payment gateways for our products and services through their digital storefronts. Apple and Google are similarly positioned on mobile devices.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214"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develop a majority of our products based on wholly-owned intellectual properties, such as Call of Duty, World of Warcraft, and Candy Crush. In other cases, we obtain intellectual property through licenses and service agreements.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88"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believe that our continued success and growth is directly related to our ability to attract, retain, and develop top talent. As of December 31, 2020, Activision Blizzard had approximately 9,500 employees, with approximately 65% in North America, approximately 30% in the Europe, Middle East, and Africa (“EMEA”) region, and approximately 5% in the Asia Pacific region. Of these employees, approximately 61% are personnel whose primary focus is on game and technology development, which represents an approximate three percentage point increase from 2019. Activision Blizzard takes an active role in the entirety of the employee lifecycle, from candidates to alumni. Recognizing that ours is a rapidly changing industry with constant technological innovation, we remain focused on attracting, recruiting, enabling, developing, and retaining a diverse and innovative employee population.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i w:val="1"/>
          <w:iCs w:val="1"/>
          <w:color w:val="auto"/>
        </w:rPr>
        <w:t>Diversity, Equity, and Inclusion (“DE&amp;I”)</w:t>
      </w:r>
      <w:r>
        <w:rPr>
          <w:rFonts w:ascii="Arial" w:cs="Arial" w:eastAsia="Arial" w:hAnsi="Arial"/>
          <w:sz w:val="17"/>
          <w:szCs w:val="17"/>
          <w:color w:val="auto"/>
        </w:rPr>
        <w:t>: We believe that a culture of inclusion and diversity enables us to create, develop, and fully leverage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strengths of our workforce to exceed players' and fans' expectations and meet our growth objectives. We remain committed to building and sustaining a culture of belonging, built on equitable processes and systems, where everyone thrives. By embedding DE&amp;I practices and programs in the full employee lifecycle, we work to recruit, attract, retain, and grow world-class talent. Our employee resource groups play an active role in our DE&amp;I efforts by building community and awareness. We also offer leadership and management development opportunities on the topics of unconscious bias and inclusive leadership and train our recruiting workforce in diverse sourcing strategies.</w:t>
      </w:r>
    </w:p>
    <w:p>
      <w:pPr>
        <w:spacing w:after="0" w:line="205"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Our Corporate Governance Principles and Policies provide that the initial list from which any new independent director nominee is chosen includes qualified female and racially/ethnically diverse candidates and, similarly, if we conduct an external search for a new CEO, that the initial list of external candidates includes qualified female and racially/ethnically diverse candidates. As of December 31, 2020, two of our ten directors were women.</w:t>
      </w:r>
    </w:p>
    <w:p>
      <w:pPr>
        <w:spacing w:after="0" w:line="176" w:lineRule="exact"/>
        <w:rPr>
          <w:sz w:val="20"/>
          <w:szCs w:val="20"/>
          <w:color w:val="auto"/>
        </w:rPr>
      </w:pPr>
    </w:p>
    <w:p>
      <w:pPr>
        <w:jc w:val="both"/>
        <w:ind w:right="160" w:firstLine="405"/>
        <w:spacing w:after="0" w:line="311" w:lineRule="auto"/>
        <w:rPr>
          <w:sz w:val="20"/>
          <w:szCs w:val="20"/>
          <w:color w:val="auto"/>
        </w:rPr>
      </w:pPr>
      <w:r>
        <w:rPr>
          <w:rFonts w:ascii="Arial" w:cs="Arial" w:eastAsia="Arial" w:hAnsi="Arial"/>
          <w:sz w:val="16"/>
          <w:szCs w:val="16"/>
          <w:color w:val="auto"/>
        </w:rPr>
        <w:t>Additionally, we have been recognized for our efforts to create an inclusive workplace, including receiving the distinction for two consecutive years as a “Best Place to Work for LGBTQ Equality” by the Human Rights Campaign Foundation’s Corporate Equality Index. We are proud of these accolades because we believe that the most innovative work comes from a culture in which all employees can be, and bring, their authentic and best selves.</w:t>
      </w:r>
    </w:p>
    <w:p>
      <w:pPr>
        <w:spacing w:after="0" w:line="176"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i w:val="1"/>
          <w:iCs w:val="1"/>
          <w:color w:val="auto"/>
        </w:rPr>
        <w:t>Compensation and Benefits</w:t>
      </w:r>
      <w:r>
        <w:rPr>
          <w:rFonts w:ascii="Arial" w:cs="Arial" w:eastAsia="Arial" w:hAnsi="Arial"/>
          <w:sz w:val="17"/>
          <w:szCs w:val="17"/>
          <w:color w:val="auto"/>
        </w:rPr>
        <w:t>: The main objective of our compensation program is to provide a compensation package that attracts, retains, motivates,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rewards top-performing employees that operate in a highly competitive and technologically challenging environment. We seek to do this by linking compensation (including annual changes in compensation) to overall Company and business unit performance, as well as each individual’s contribution to the results achieved. The emphasis on overall Company performance is intended to align our employee’s financial interests with the interests of our shareholders. We also seek fairness in total compensation by reference to external comparisons, internal comparisons, and the relationship between development and non-development, as well as management and non-management, remuneration. We believe in equal pay for equal work, and we continue to make efforts across our global organization to promote equal pay practices.</w:t>
      </w:r>
    </w:p>
    <w:p>
      <w:pPr>
        <w:spacing w:after="0" w:line="20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are committed to providing comprehensive benefit options, and it is our intention to offer benefits that allow our employees and their families to live healthier and more secure lives. Some examples of our wide-ranging benefits offered are: medical insurance, prescription drug benefits, dental insurance, vision insurance, hospital indemnity insurance, accident insurance, critical illness insurance, life insurance, disability insurance, health savings accounts, and flexible spending accounts. We frequently upgrade our benefit portfolio by seeking out pioneer partners that give our employees modern benefit experiences. As an example, at the onset of the COVID-19 pandemic when traditional medical services became under huge demand, in order to help ensure that our employees and their families had access to medical advice, we created an enterprise-wide global network of physicians.</w:t>
      </w:r>
    </w:p>
    <w:p>
      <w:pPr>
        <w:spacing w:after="0" w:line="19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Talent Assessment and Development: </w:t>
      </w:r>
      <w:r>
        <w:rPr>
          <w:rFonts w:ascii="Arial" w:cs="Arial" w:eastAsia="Arial" w:hAnsi="Arial"/>
          <w:sz w:val="17"/>
          <w:szCs w:val="17"/>
          <w:color w:val="auto"/>
        </w:rPr>
        <w:t>Recognizing that ours is a rapidly changing industry with constant innovation, developing our diverse and</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innovative talent base is paramount, imperative, and vital to our business. We intend for our employees to have a clear understanding of their strengths and development opportunities, while fostering a collaborative and productive relationship between employees and their managers. Talent assessment and development are therefore critical aspects of our human capital programs. We employ a broad range of talent processes—for example, talent assessment, succession planning, and performance management. Our performance management process includes the establishment of goals (at the beginning of the year), and throughout the year we encourage regular check-ins on progress and performance so that employees have a clear understanding of their strengths and areas for improvement. We regularly assess employee contributions to our Company results and culture so that we can appropriately recognize and reward performance. Additionally, on an annual basis, we conduct an organizational and performance review process with our CEO and all segment, business unit, and function leaders, focusing on our high-performing and high-potential talent, diverse talent, and the performance and succession for our most critical roles.</w:t>
      </w:r>
    </w:p>
    <w:p>
      <w:pPr>
        <w:spacing w:after="0" w:line="21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i w:val="1"/>
          <w:iCs w:val="1"/>
          <w:color w:val="auto"/>
        </w:rPr>
        <w:t xml:space="preserve">Employee Experience: </w:t>
      </w:r>
      <w:r>
        <w:rPr>
          <w:rFonts w:ascii="Arial" w:cs="Arial" w:eastAsia="Arial" w:hAnsi="Arial"/>
          <w:sz w:val="18"/>
          <w:szCs w:val="18"/>
          <w:color w:val="auto"/>
        </w:rPr>
        <w:t>We capture and act on the voice of our employees through regular company-wide pulse surveys. We emphasize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this is their chance to “provide honest, candid feedback about their experience working for the company.” Our survey participation rates (regularly 75% or higher) demonstrate our collective commitment that Activision Blizzard remains a great place to work. The survey—and other forms of employee feedback—result in actionable steps that lead to positive improvements to the employee experience at the company-wide, business unit, and team levels. Our employee feedback is dynamic and relevant to our employees’ immediate needs. For example, most recent surveys focused on whether our employees felt supported as they worked from home during the COVID-19 pandemic, and expectations of the employee population as we anticipate a return to the office.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officers and their biographical summaries are provided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8"/>
              </w:rPr>
              <w:t>Age</w:t>
            </w:r>
          </w:p>
        </w:tc>
        <w:tc>
          <w:tcPr>
            <w:tcW w:w="8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A. Kotick</w:t>
            </w:r>
          </w:p>
        </w:tc>
        <w:tc>
          <w:tcPr>
            <w:tcW w:w="10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57</w:t>
            </w: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Executive Officer of Activision Blizzard</w:t>
            </w: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Daniel Alegre</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89"/>
              </w:rPr>
              <w:t>52</w:t>
            </w:r>
          </w:p>
        </w:tc>
        <w:tc>
          <w:tcPr>
            <w:tcW w:w="8060" w:type="dxa"/>
            <w:vAlign w:val="bottom"/>
          </w:tcPr>
          <w:p>
            <w:pPr>
              <w:ind w:left="140"/>
              <w:spacing w:after="0"/>
              <w:rPr>
                <w:sz w:val="20"/>
                <w:szCs w:val="20"/>
                <w:color w:val="auto"/>
              </w:rPr>
            </w:pPr>
            <w:r>
              <w:rPr>
                <w:rFonts w:ascii="Arial" w:cs="Arial" w:eastAsia="Arial" w:hAnsi="Arial"/>
                <w:sz w:val="18"/>
                <w:szCs w:val="18"/>
                <w:color w:val="auto"/>
              </w:rPr>
              <w:t>President and Chief Operating Officer of Activision Blizzard</w:t>
            </w: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Durkin</w:t>
            </w:r>
          </w:p>
        </w:tc>
        <w:tc>
          <w:tcPr>
            <w:tcW w:w="10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50</w:t>
            </w: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Financial Officer of Activision Blizzard</w:t>
            </w: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Claudine Naughton</w:t>
            </w:r>
          </w:p>
        </w:tc>
        <w:tc>
          <w:tcPr>
            <w:tcW w:w="1060" w:type="dxa"/>
            <w:vAlign w:val="bottom"/>
          </w:tcPr>
          <w:p>
            <w:pPr>
              <w:jc w:val="center"/>
              <w:ind w:left="390"/>
              <w:spacing w:after="0"/>
              <w:rPr>
                <w:sz w:val="20"/>
                <w:szCs w:val="20"/>
                <w:color w:val="auto"/>
              </w:rPr>
            </w:pPr>
            <w:r>
              <w:rPr>
                <w:rFonts w:ascii="Arial" w:cs="Arial" w:eastAsia="Arial" w:hAnsi="Arial"/>
                <w:sz w:val="18"/>
                <w:szCs w:val="18"/>
                <w:color w:val="auto"/>
                <w:w w:val="89"/>
              </w:rPr>
              <w:t>52</w:t>
            </w:r>
          </w:p>
        </w:tc>
        <w:tc>
          <w:tcPr>
            <w:tcW w:w="8060" w:type="dxa"/>
            <w:vAlign w:val="bottom"/>
          </w:tcPr>
          <w:p>
            <w:pPr>
              <w:ind w:left="140"/>
              <w:spacing w:after="0"/>
              <w:rPr>
                <w:sz w:val="20"/>
                <w:szCs w:val="20"/>
                <w:color w:val="auto"/>
              </w:rPr>
            </w:pPr>
            <w:r>
              <w:rPr>
                <w:rFonts w:ascii="Arial" w:cs="Arial" w:eastAsia="Arial" w:hAnsi="Arial"/>
                <w:sz w:val="18"/>
                <w:szCs w:val="18"/>
                <w:color w:val="auto"/>
              </w:rPr>
              <w:t>Chief People Officer of Activision Blizzard</w:t>
            </w: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Walther</w:t>
            </w:r>
          </w:p>
        </w:tc>
        <w:tc>
          <w:tcPr>
            <w:tcW w:w="10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54</w:t>
            </w: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Legal Officer of Activision Blizzard</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 Kotick, Chief Executive Officer of Activision Blizzard</w:t>
      </w:r>
    </w:p>
    <w:p>
      <w:pPr>
        <w:spacing w:after="0" w:line="25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Robert A. Kotick, who serves as our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 Mr. Kotick is also a member of the board of directors of The Coca-Cola Company, a multinational beverage corporation, and the boards of trustees for The Center for Early Education and Harvard-Westlake School. He is also the Vice Chairman of the Board and Chairman of the Committee of trustees of the Los Angeles County Museum of Art. In addition, Mr. Kotick is the co-founder and co-Chairman of the Call of Duty Endowment, a nonprofit, public benefit corporation that seeks to help organizations that provide job placement and training services for veterans.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Alegre, President and Chief Operating Officer of Activision Blizzard</w:t>
      </w:r>
    </w:p>
    <w:p>
      <w:pPr>
        <w:spacing w:after="0" w:line="252"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Daniel Alegre has served as our Chief Operating Officer since April 2020. Prior to joining the company, Mr. Alegre held a number of leadership positions at Google from 2004 to 2020, including serving as President of Global Retail and Shopping, where he led the initiatives to embed e-commerce across all Google product areas and to help diversify beyond advertising into the retail transactions business. Prior to that, Mr. Alegre was President of the Google’s Global and Strategic Partnerships organization, working across all of Google’s core business lines to create and foster key strategic relationships with some of the world’s largest partners. Mr. Alegre was also instrumental in Google’s international expansion, serving as President of Google’s Asia-Pacific and Japan businesses living in China, Singapore, and Tokyo and as Vice President of the Latin America business, overseeing a massive expansion in both regions. Prior to joining Google, Mr. Alegre was Vice President at Bertelsmann Media, running a division of BMG Music in Latin America as well as Partnerships of the Bertelsmann eCommerce Group in New York City. Mr. Alegre holds a B.A. degree from the Woodrow Wilson School of Public and International Affairs at Princeton University, as well as dual M.B.A. and J.D. degrees from Harvard Business School and Harvard Law School.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Dennis Durkin, Chief Financial Officer of Activision Blizzard</w:t>
      </w:r>
    </w:p>
    <w:p>
      <w:pPr>
        <w:spacing w:after="0" w:line="2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Dennis Durkin has served as our Chief Financial Officer since January 2019. Mr. Durkin joined the Company in March 2012 as our Chief Financial Officer and served in that role until May 2017. He served as our Chief Corporate Officer from May 2017 until January 2019. Prior to joining the Company in 2012, Mr. Durkin held a number of positions of increasing responsibility at Microsoft, a computing software and hardware manufacturer, most recently serving as the Corporate Vice President and Chief Operating and Financial Officer of Microsoft’s interactive entertainment business, which included the Xbox console business. Prior to joining Microsoft’s interactive entertainment business in 2006, Mr. Durkin spent seven years on Microsoft’s corporate development and strategy team, including two years where he was based in London, England, driving pan-European activity. Before joining Microsoft, Mr. Durkin was a financial analyst at Alex. Brown and Company. Mr. Durkin holds a B.A. degree in government from Dartmouth College and an M.B.A. degree from Harvard University.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Claudine Naughton, Chief People Officer of Activision Blizzard</w:t>
      </w:r>
    </w:p>
    <w:p>
      <w:pPr>
        <w:spacing w:after="0" w:line="252"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Claudine Naughton has served as our Chief People Officer since August 2019. Prior to joining the Company, Ms. Naughton held a number of positions of increasing responsibility within the human resources department of American International Group, Inc. from 1997 to 2018, including serving as the company's Executive Vice President and Chief Human Resources Officer. Prior to joining AIG, Ms. Naughton served as the Regional Manager and Director of Training for Fairways Golf Corporation. Ms. Naughton holds a B.A degree in political science from Stockton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Walther, Chief Legal Officer of Activision Blizzard</w:t>
      </w:r>
    </w:p>
    <w:p>
      <w:pPr>
        <w:spacing w:after="0" w:line="25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Christopher Walther has served as our Chief Legal Officer since November 2009 and served as our Secretary from February 2010 until February 2011. Prior to joining the Company, Mr. Walther held a number of positions of increasing responsibility within the legal department of The Procter &amp; Gamble Company from 1992 to 2009, including serving as the General Counsel for Central and Eastern Europe, Middle East, and Africa, General Counsel for Northeast Asia and, most recently, as General Counsel for Western Europe. Mr. Walther also led Procter &amp; Gamble’s corporate and securities and mergers and acquisitions practices. Before joining Procter &amp; Gamble, Mr. Walther served as a law clerk for Senior Judge Harry W. Wellford of the United States Sixth Circuit Court of Appeals. Since 2012, Mr. Walther has served on the board of directors of the Alliance for Children’s Rights and currently serves as its co-chair. Mr. Walther has also served as our representative on the board of directors of the Entertainment Software Association since 2013 and on its executive committee. Mr. Walther holds a B.A. degree in history and Spanish from Centre College and a J.D. degree from the University of Kentucky College of Law.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Financial Information</w:t>
      </w:r>
    </w:p>
    <w:p>
      <w:pPr>
        <w:spacing w:after="0" w:line="252" w:lineRule="exact"/>
        <w:rPr>
          <w:sz w:val="20"/>
          <w:szCs w:val="20"/>
          <w:color w:val="auto"/>
        </w:rPr>
      </w:pPr>
    </w:p>
    <w:p>
      <w:pPr>
        <w:ind w:right="480" w:firstLine="445"/>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See the </w:t>
      </w:r>
      <w:hyperlink w:anchor="page47">
        <w:r>
          <w:rPr>
            <w:rFonts w:ascii="Arial" w:cs="Arial" w:eastAsia="Arial" w:hAnsi="Arial"/>
            <w:sz w:val="18"/>
            <w:szCs w:val="18"/>
            <w:u w:val="single" w:color="auto"/>
            <w:color w:val="0000FF"/>
          </w:rPr>
          <w:t>“Critical Accounting Policies and Estimates”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section under Item 7 “Management’s Discussion and Analysis of Financial Condition and </w:t>
      </w:r>
      <w:hyperlink w:anchor="page32">
        <w:r>
          <w:rPr>
            <w:rFonts w:ascii="Arial" w:cs="Arial" w:eastAsia="Arial" w:hAnsi="Arial"/>
            <w:sz w:val="18"/>
            <w:szCs w:val="18"/>
            <w:color w:val="auto"/>
          </w:rPr>
          <w:t xml:space="preserve">Results of Operations” for a discussion of our practices with regard to several working capital items. See the </w:t>
        </w:r>
        <w:r>
          <w:rPr>
            <w:rFonts w:ascii="Arial" w:cs="Arial" w:eastAsia="Arial" w:hAnsi="Arial"/>
            <w:sz w:val="18"/>
            <w:szCs w:val="18"/>
            <w:u w:val="single" w:color="auto"/>
            <w:color w:val="0000FF"/>
          </w:rPr>
          <w:t>“Management’s Overview of Business</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Trends”</w:t>
        </w:r>
        <w:r>
          <w:rPr>
            <w:rFonts w:ascii="Arial" w:cs="Arial" w:eastAsia="Arial" w:hAnsi="Arial"/>
            <w:sz w:val="18"/>
            <w:szCs w:val="18"/>
            <w:color w:val="0000FF"/>
          </w:rPr>
          <w:t xml:space="preserve"> </w:t>
        </w:r>
        <w:r>
          <w:rPr>
            <w:rFonts w:ascii="Arial" w:cs="Arial" w:eastAsia="Arial" w:hAnsi="Arial"/>
            <w:sz w:val="18"/>
            <w:szCs w:val="18"/>
            <w:color w:val="000000"/>
          </w:rPr>
          <w:t>under Item 7 “Management’s Discussion and Analysis of Financial Condition and Results of Operations” for a discussion of the impact of</w:t>
        </w:r>
      </w:hyperlink>
      <w:r>
        <w:rPr>
          <w:rFonts w:ascii="Arial" w:cs="Arial" w:eastAsia="Arial" w:hAnsi="Arial"/>
          <w:sz w:val="18"/>
          <w:szCs w:val="18"/>
          <w:color w:val="0000FF"/>
        </w:rPr>
        <w:t xml:space="preserve"> </w:t>
      </w:r>
      <w:r>
        <w:rPr>
          <w:rFonts w:ascii="Arial" w:cs="Arial" w:eastAsia="Arial" w:hAnsi="Arial"/>
          <w:sz w:val="18"/>
          <w:szCs w:val="18"/>
          <w:color w:val="000000"/>
        </w:rPr>
        <w:t>seasonality on our business.</w:t>
      </w:r>
    </w:p>
    <w:p>
      <w:pPr>
        <w:spacing w:after="0" w:line="21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rFonts w:ascii="Arial" w:cs="Arial" w:eastAsia="Arial" w:hAnsi="Arial"/>
          <w:sz w:val="18"/>
          <w:szCs w:val="18"/>
          <w:color w:val="auto"/>
        </w:rPr>
      </w:pPr>
    </w:p>
    <w:p>
      <w:pPr>
        <w:ind w:right="40" w:firstLine="445"/>
        <w:spacing w:after="0" w:line="279" w:lineRule="auto"/>
        <w:rPr>
          <w:sz w:val="20"/>
          <w:szCs w:val="20"/>
          <w:color w:val="auto"/>
        </w:rPr>
      </w:pPr>
      <w:r>
        <w:rPr>
          <w:rFonts w:ascii="Arial" w:cs="Arial" w:eastAsia="Arial" w:hAnsi="Arial"/>
          <w:sz w:val="17"/>
          <w:szCs w:val="17"/>
          <w:color w:val="auto"/>
        </w:rPr>
        <w:t>Our website, located at https://www.activisionblizzard.com, allows free-of-charge access to our annual reports on Form 10-K, quarterly reports on Form 10-Q, current reports on Form 8-K, proxy statements and amendments to those documents filed or furnished pursuant to Section 13(a) or 15(d) of the Securities Exchange Act of 1934, as amended (the “Exchange Act”). The information found on our website is not a part of, and is not incorporated by reference into, this or any other report that we file with or furnish to the Securities and Exchange Commission (“SEC”).</w:t>
      </w:r>
    </w:p>
    <w:p>
      <w:pPr>
        <w:spacing w:after="0" w:line="198"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Our SEC filings are also available to the public over the Internet at the SEC’s website at https://www.sec.gov.</w:t>
      </w:r>
    </w:p>
    <w:p>
      <w:pPr>
        <w:spacing w:after="0" w:line="200" w:lineRule="exact"/>
        <w:rPr>
          <w:rFonts w:ascii="Arial" w:cs="Arial" w:eastAsia="Arial" w:hAnsi="Arial"/>
          <w:sz w:val="18"/>
          <w:szCs w:val="18"/>
          <w:color w:val="auto"/>
        </w:rPr>
      </w:pPr>
    </w:p>
    <w:p>
      <w:pPr>
        <w:spacing w:after="0" w:line="36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0" w:firstLine="405"/>
        <w:spacing w:after="0" w:line="219" w:lineRule="exact"/>
        <w:rPr>
          <w:sz w:val="20"/>
          <w:szCs w:val="20"/>
          <w:color w:val="auto"/>
        </w:rPr>
      </w:pPr>
      <w:r>
        <w:rPr>
          <w:rFonts w:ascii="Arial" w:cs="Arial" w:eastAsia="Arial" w:hAnsi="Arial"/>
          <w:sz w:val="17"/>
          <w:szCs w:val="17"/>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income, revenue, profitability, cash flows, liquidity, or stock price.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unable to predict the full impact of the Global COVID-19 pandemic.</w:t>
      </w:r>
    </w:p>
    <w:p>
      <w:pPr>
        <w:spacing w:after="0" w:line="252"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In December 2019, COVID-19 emerged and has since extensively impacted global health and the economic environment. On March 11, 2020, the World Health Organization characterized COVID-19 as a pandemic. The full extent to which the global COVID-19 pandemic and its aftermath will impact our business, reputation, financial condition, results of operations, income, revenue, profitability, cash flows, liquidity, or stock price depends on numerous evolving factors that we are not able to fully predict, including: the duration and severity of the pandemic; the impact of the pandemic on the global economy; the impact of governmental, business and individual actions that have been and will continue to be taken in response to the pandemic; unintended consequences of actions we take, or have taken, in response to the pandemic; the impact of the pandemic on the health or productivity of our employees and external developers, including the ability to develop high-quality and well-received interactive software products and entertainment content and/or to release our products and content in a timely manner; the effects on the health, finances and discretionary spending patterns of our consumers, including the ability of our consumers to pay for our products and content; our ability to sell products at assumed prices; the financial impact and strain on the retail customers and distributors on whom we rely to sell our physical products to consumers; the financial impact and strain on platform providers for whose video game consoles and/or on whose networks certain of our products are exclusively available; the financial impact and strain on third-party mobile and web platforms that provide significant online distribution for, and/or provide other services critical for the operation of, a number of our games; the effects on our suppliers who manufacture our physical products; the effects on other third parties with which we partner (e.g., to market or ship our products); the effects on our lenders and financial counterparties; the effects on regulatory agencies around the world on which we rely; our ability to continue to develop our emerging businesses, such as advertising; increased volatility in foreign currency exchange rates; the impact of recent and potential upcoming or ongoing large-scale actions by local and federal governments and agencies or similar governing bodies in the U.S. and around the world, the U.S. Federal Reserve, and other central banks around the world, including the impact of any of these actions on the U.S. or world economy or global financial markets; and any other factor which results in disruptions or increased costs associated with the development, production, post-production, marketing and distribution of our products, and/or the digital advertising offered within our content. If the ongoing global COVID-19 pandemic has adverse effects in any one of these areas, our business may be negatively impacted. As in the case of COVID-19, the occurrence of other epidemics, medical emergencies, and other public health crises outside of our control could have a negative impact on our business. Additionally, in the case of the COVID-19 pandemic, we have seen increased demand for our products due to stay-at-home orders, the curtailment of certain other forms of entertainment, and other pandemic-related factors that make consumers more inclined to spend time at home, benefiting our financial results and operating metrics. The trends in 2020 for revenues, net income, and other financial results and operating metrics, may not be indicative of results for future periods, particularly if these pandemic-related factors become less significant.</w:t>
      </w:r>
    </w:p>
    <w:p>
      <w:pPr>
        <w:spacing w:after="0" w:line="200" w:lineRule="exact"/>
        <w:rPr>
          <w:sz w:val="20"/>
          <w:szCs w:val="20"/>
          <w:color w:val="auto"/>
        </w:rPr>
      </w:pPr>
    </w:p>
    <w:p>
      <w:pPr>
        <w:spacing w:after="0" w:line="21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professional esports leagues (i.e. the Overwatch League and the Call of Duty League) and the franchise teams that make up the leagues generate revenues from live in-person events. The COVID-19 pandemic has resulted in the cancellation of live in-person events and any continued health and safety concerns with large public gatherings may impact the ability of the teams in our leagues to hold future live in-person events. Prolonged COVID-19 risks could result in teams being unable or unwilling to pay their franchise fees to us or participate in our leagues going forward. This, in turn, could result in the loss of those future franchise fee payments, revenue from advertising, and other future potential league revenues or income, other benefits associated with our esports business, and/or the termination of our leagues. Also, we have provided, and may continue to provide, concessions to the owners of the teams as a result of the COVID-19 pandemic. Any one of these things could harm our business. Additionally, a prolonged impact of COVID-19 could heighten many of the risk factors included in this Annual Report filed on Form 10-K.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Industry Risks</w:t>
      </w:r>
    </w:p>
    <w:p>
      <w:pPr>
        <w:spacing w:after="0" w:line="256" w:lineRule="exact"/>
        <w:rPr>
          <w:sz w:val="20"/>
          <w:szCs w:val="20"/>
          <w:color w:val="auto"/>
        </w:rPr>
      </w:pPr>
    </w:p>
    <w:p>
      <w:pPr>
        <w:ind w:right="220"/>
        <w:spacing w:after="0" w:line="224" w:lineRule="exact"/>
        <w:rPr>
          <w:sz w:val="20"/>
          <w:szCs w:val="20"/>
          <w:color w:val="auto"/>
        </w:rPr>
      </w:pPr>
      <w:r>
        <w:rPr>
          <w:rFonts w:ascii="Arial" w:cs="Arial" w:eastAsia="Arial" w:hAnsi="Arial"/>
          <w:sz w:val="16"/>
          <w:szCs w:val="16"/>
          <w:b w:val="1"/>
          <w:bCs w:val="1"/>
          <w:i w:val="1"/>
          <w:iCs w:val="1"/>
          <w:color w:val="auto"/>
        </w:rPr>
        <w:t>If we do not consistently deliver popular, high</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quality content in a timely manner, if we are not successful in meaningfully expanding our franchises further on the mobile platform, or if consumers prefer products from our competitors, our business may be negatively impacted.</w:t>
      </w:r>
    </w:p>
    <w:p>
      <w:pPr>
        <w:spacing w:after="0" w:line="229" w:lineRule="exact"/>
        <w:rPr>
          <w:sz w:val="20"/>
          <w:szCs w:val="20"/>
          <w:color w:val="auto"/>
        </w:rPr>
      </w:pPr>
    </w:p>
    <w:p>
      <w:pPr>
        <w:ind w:firstLine="405"/>
        <w:spacing w:after="0" w:line="219" w:lineRule="exact"/>
        <w:rPr>
          <w:sz w:val="20"/>
          <w:szCs w:val="20"/>
          <w:color w:val="auto"/>
        </w:rPr>
      </w:pPr>
      <w:r>
        <w:rPr>
          <w:rFonts w:ascii="Arial" w:cs="Arial" w:eastAsia="Arial" w:hAnsi="Arial"/>
          <w:sz w:val="16"/>
          <w:szCs w:val="16"/>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w:t>
      </w:r>
      <w:r>
        <w:rPr>
          <w:rFonts w:ascii="MS PGothic" w:cs="MS PGothic" w:eastAsia="MS PGothic" w:hAnsi="MS PGothic"/>
          <w:sz w:val="16"/>
          <w:szCs w:val="16"/>
          <w:color w:val="auto"/>
        </w:rPr>
        <w:t>‑</w:t>
      </w:r>
      <w:r>
        <w:rPr>
          <w:rFonts w:ascii="Arial" w:cs="Arial" w:eastAsia="Arial" w:hAnsi="Arial"/>
          <w:sz w:val="16"/>
          <w:szCs w:val="16"/>
          <w:color w:val="auto"/>
        </w:rPr>
        <w:t>received by consumers, even if well</w:t>
      </w:r>
      <w:r>
        <w:rPr>
          <w:rFonts w:ascii="MS PGothic" w:cs="MS PGothic" w:eastAsia="MS PGothic" w:hAnsi="MS PGothic"/>
          <w:sz w:val="16"/>
          <w:szCs w:val="16"/>
          <w:color w:val="auto"/>
        </w:rPr>
        <w:t>‑</w:t>
      </w:r>
      <w:r>
        <w:rPr>
          <w:rFonts w:ascii="Arial" w:cs="Arial" w:eastAsia="Arial" w:hAnsi="Arial"/>
          <w:sz w:val="16"/>
          <w:szCs w:val="16"/>
          <w:color w:val="auto"/>
        </w:rPr>
        <w:t>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w:t>
      </w:r>
      <w:r>
        <w:rPr>
          <w:rFonts w:ascii="MS PGothic" w:cs="MS PGothic" w:eastAsia="MS PGothic" w:hAnsi="MS PGothic"/>
          <w:sz w:val="16"/>
          <w:szCs w:val="16"/>
          <w:color w:val="auto"/>
        </w:rPr>
        <w:t>‑</w:t>
      </w:r>
      <w:r>
        <w:rPr>
          <w:rFonts w:ascii="Arial" w:cs="Arial" w:eastAsia="Arial" w:hAnsi="Arial"/>
          <w:sz w:val="16"/>
          <w:szCs w:val="16"/>
          <w:color w:val="auto"/>
        </w:rPr>
        <w: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w:t>
      </w:r>
      <w:r>
        <w:rPr>
          <w:rFonts w:ascii="MS PGothic" w:cs="MS PGothic" w:eastAsia="MS PGothic" w:hAnsi="MS PGothic"/>
          <w:sz w:val="16"/>
          <w:szCs w:val="16"/>
          <w:color w:val="auto"/>
        </w:rPr>
        <w:t>‑</w:t>
      </w:r>
      <w:r>
        <w:rPr>
          <w:rFonts w:ascii="Arial" w:cs="Arial" w:eastAsia="Arial" w:hAnsi="Arial"/>
          <w:sz w:val="16"/>
          <w:szCs w:val="16"/>
          <w:color w:val="auto"/>
        </w:rPr>
        <w:t>quality and well</w:t>
      </w:r>
      <w:r>
        <w:rPr>
          <w:rFonts w:ascii="MS PGothic" w:cs="MS PGothic" w:eastAsia="MS PGothic" w:hAnsi="MS PGothic"/>
          <w:sz w:val="16"/>
          <w:szCs w:val="16"/>
          <w:color w:val="auto"/>
        </w:rPr>
        <w:t>‑</w:t>
      </w:r>
      <w:r>
        <w:rPr>
          <w:rFonts w:ascii="Arial" w:cs="Arial" w:eastAsia="Arial" w:hAnsi="Arial"/>
          <w:sz w:val="16"/>
          <w:szCs w:val="16"/>
          <w:color w:val="auto"/>
        </w:rPr>
        <w:t>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w:t>
      </w:r>
      <w:r>
        <w:rPr>
          <w:rFonts w:ascii="MS PGothic" w:cs="MS PGothic" w:eastAsia="MS PGothic" w:hAnsi="MS PGothic"/>
          <w:sz w:val="16"/>
          <w:szCs w:val="16"/>
          <w:color w:val="auto"/>
        </w:rPr>
        <w:t>‑</w:t>
      </w:r>
      <w:r>
        <w:rPr>
          <w:rFonts w:ascii="Arial" w:cs="Arial" w:eastAsia="Arial" w:hAnsi="Arial"/>
          <w:sz w:val="16"/>
          <w:szCs w:val="16"/>
          <w:color w:val="auto"/>
        </w:rPr>
        <w:t>selling products could compete with our other games, reducing sales for those other games. Further, a failure by us to develop a high</w:t>
      </w:r>
      <w:r>
        <w:rPr>
          <w:rFonts w:ascii="MS PGothic" w:cs="MS PGothic" w:eastAsia="MS PGothic" w:hAnsi="MS PGothic"/>
          <w:sz w:val="16"/>
          <w:szCs w:val="16"/>
          <w:color w:val="auto"/>
        </w:rPr>
        <w:t>‑</w:t>
      </w:r>
      <w:r>
        <w:rPr>
          <w:rFonts w:ascii="Arial" w:cs="Arial" w:eastAsia="Arial" w:hAnsi="Arial"/>
          <w:sz w:val="16"/>
          <w:szCs w:val="16"/>
          <w:color w:val="auto"/>
        </w:rPr>
        <w:t>quality product, or our development of a product that is otherwise not well</w:t>
      </w:r>
      <w:r>
        <w:rPr>
          <w:rFonts w:ascii="MS PGothic" w:cs="MS PGothic" w:eastAsia="MS PGothic" w:hAnsi="MS PGothic"/>
          <w:sz w:val="16"/>
          <w:szCs w:val="16"/>
          <w:color w:val="auto"/>
        </w:rPr>
        <w:t>‑</w:t>
      </w:r>
      <w:r>
        <w:rPr>
          <w:rFonts w:ascii="Arial" w:cs="Arial" w:eastAsia="Arial" w:hAnsi="Arial"/>
          <w:sz w:val="16"/>
          <w:szCs w:val="16"/>
          <w:color w:val="auto"/>
        </w:rPr>
        <w:t>received, could potentially result in additional expenditures to respond to consumer demands, harm our reputation, and increase the likelihood that our future products will not be well</w:t>
      </w:r>
      <w:r>
        <w:rPr>
          <w:rFonts w:ascii="MS PGothic" w:cs="MS PGothic" w:eastAsia="MS PGothic" w:hAnsi="MS PGothic"/>
          <w:sz w:val="16"/>
          <w:szCs w:val="16"/>
          <w:color w:val="auto"/>
        </w:rPr>
        <w:t>‑</w:t>
      </w:r>
      <w:r>
        <w:rPr>
          <w:rFonts w:ascii="Arial" w:cs="Arial" w:eastAsia="Arial" w:hAnsi="Arial"/>
          <w:sz w:val="16"/>
          <w:szCs w:val="16"/>
          <w:color w:val="auto"/>
        </w:rPr>
        <w:t>received. The increased importance of downloadable content to our business amplifies these risks, as downloadable content for poorly</w:t>
      </w:r>
      <w:r>
        <w:rPr>
          <w:rFonts w:ascii="MS PGothic" w:cs="MS PGothic" w:eastAsia="MS PGothic" w:hAnsi="MS PGothic"/>
          <w:sz w:val="16"/>
          <w:szCs w:val="16"/>
          <w:color w:val="auto"/>
        </w:rPr>
        <w:t>‑</w:t>
      </w:r>
      <w:r>
        <w:rPr>
          <w:rFonts w:ascii="Arial" w:cs="Arial" w:eastAsia="Arial" w:hAnsi="Arial"/>
          <w:sz w:val="16"/>
          <w:szCs w:val="16"/>
          <w:color w:val="auto"/>
        </w:rPr>
        <w:t>received games typically generates lower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expected sales. The increased demand for consistent enhancements to our products also requires a greater allocation of financial resources to those products.</w:t>
      </w:r>
    </w:p>
    <w:p>
      <w:pPr>
        <w:spacing w:after="0" w:line="200" w:lineRule="exact"/>
        <w:rPr>
          <w:sz w:val="20"/>
          <w:szCs w:val="20"/>
          <w:color w:val="auto"/>
        </w:rPr>
      </w:pPr>
    </w:p>
    <w:p>
      <w:pPr>
        <w:spacing w:after="0" w:line="21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214" w:lineRule="exact"/>
        <w:rPr>
          <w:sz w:val="20"/>
          <w:szCs w:val="20"/>
          <w:color w:val="auto"/>
        </w:rPr>
      </w:pPr>
    </w:p>
    <w:p>
      <w:pPr>
        <w:ind w:right="60" w:firstLine="405"/>
        <w:spacing w:after="0" w:line="220" w:lineRule="exact"/>
        <w:rPr>
          <w:sz w:val="20"/>
          <w:szCs w:val="20"/>
          <w:color w:val="auto"/>
        </w:rPr>
      </w:pPr>
      <w:r>
        <w:rPr>
          <w:rFonts w:ascii="Arial" w:cs="Arial" w:eastAsia="Arial" w:hAnsi="Arial"/>
          <w:sz w:val="17"/>
          <w:szCs w:val="17"/>
          <w:color w:val="auto"/>
        </w:rPr>
        <w:t>Additionally, the amount of lead time and cost involved in the development of high</w:t>
      </w:r>
      <w:r>
        <w:rPr>
          <w:rFonts w:ascii="MS PGothic" w:cs="MS PGothic" w:eastAsia="MS PGothic" w:hAnsi="MS PGothic"/>
          <w:sz w:val="17"/>
          <w:szCs w:val="17"/>
          <w:color w:val="auto"/>
        </w:rPr>
        <w:t>‑</w:t>
      </w:r>
      <w:r>
        <w:rPr>
          <w:rFonts w:ascii="Arial" w:cs="Arial" w:eastAsia="Arial" w:hAnsi="Arial"/>
          <w:sz w:val="17"/>
          <w:szCs w:val="17"/>
          <w:color w:val="auto"/>
        </w:rPr>
        <w:t>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w:t>
      </w:r>
      <w:r>
        <w:rPr>
          <w:rFonts w:ascii="MS PGothic" w:cs="MS PGothic" w:eastAsia="MS PGothic" w:hAnsi="MS PGothic"/>
          <w:sz w:val="17"/>
          <w:szCs w:val="17"/>
          <w:color w:val="auto"/>
        </w:rPr>
        <w:t>‑</w:t>
      </w:r>
      <w:r>
        <w:rPr>
          <w:rFonts w:ascii="Arial" w:cs="Arial" w:eastAsia="Arial" w:hAnsi="Arial"/>
          <w:sz w:val="17"/>
          <w:szCs w:val="17"/>
          <w:color w:val="auto"/>
        </w:rPr>
        <w:t>front development and marketing costs associated with those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relatively small number of franchises for a significant portion of our revenues and profits.</w:t>
      </w:r>
    </w:p>
    <w:p>
      <w:pPr>
        <w:spacing w:after="0" w:line="25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follow a franchise model, and a significant portion of our revenues has historically been derived from products based on a relatively small number of popular franchises. These products are also responsible for a disproportionately high percentage of our profits. For example, in 2020, revenues associated with the Call of Duty, Candy Crush, and World of Warcraft franchises, collectively, accounted for approximately 76% of our net revenues—and a significantly higher percentage of our operating income.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 popular franchises, we may have to write off the unrecovered portion of the underlying intellectual property assets, which could negatively impact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attract, retain, and motivate skilled personnel, we will be unable to effectively conduct our business.</w:t>
      </w:r>
    </w:p>
    <w:p>
      <w:pPr>
        <w:spacing w:after="0" w:line="252" w:lineRule="exact"/>
        <w:rPr>
          <w:sz w:val="20"/>
          <w:szCs w:val="20"/>
          <w:color w:val="auto"/>
        </w:rPr>
      </w:pPr>
    </w:p>
    <w:p>
      <w:pPr>
        <w:ind w:right="60" w:firstLine="405"/>
        <w:spacing w:after="0" w:line="218" w:lineRule="exact"/>
        <w:rPr>
          <w:sz w:val="20"/>
          <w:szCs w:val="20"/>
          <w:color w:val="auto"/>
        </w:rPr>
      </w:pPr>
      <w:r>
        <w:rPr>
          <w:rFonts w:ascii="Arial" w:cs="Arial" w:eastAsia="Arial" w:hAnsi="Arial"/>
          <w:sz w:val="16"/>
          <w:szCs w:val="16"/>
          <w:color w:val="auto"/>
        </w:rPr>
        <w:t>Our success depends significantly on our ability to identify, attract, hire, retain, motivate, and utilize the abilities of qualified personnel, including in some cases, external developers, particularly personnel with the specialized skills needed to create and sell the high</w:t>
      </w:r>
      <w:r>
        <w:rPr>
          <w:rFonts w:ascii="MS PGothic" w:cs="MS PGothic" w:eastAsia="MS PGothic" w:hAnsi="MS PGothic"/>
          <w:sz w:val="16"/>
          <w:szCs w:val="16"/>
          <w:color w:val="auto"/>
        </w:rPr>
        <w:t>‑</w:t>
      </w:r>
      <w:r>
        <w:rPr>
          <w:rFonts w:ascii="Arial" w:cs="Arial" w:eastAsia="Arial" w:hAnsi="Arial"/>
          <w:sz w:val="16"/>
          <w:szCs w:val="16"/>
          <w:color w:val="auto"/>
        </w:rPr>
        <w:t>quality, well</w:t>
      </w:r>
      <w:r>
        <w:rPr>
          <w:rFonts w:ascii="MS PGothic" w:cs="MS PGothic" w:eastAsia="MS PGothic" w:hAnsi="MS PGothic"/>
          <w:sz w:val="16"/>
          <w:szCs w:val="16"/>
          <w:color w:val="auto"/>
        </w:rPr>
        <w:t>‑</w:t>
      </w:r>
      <w:r>
        <w:rPr>
          <w:rFonts w:ascii="Arial" w:cs="Arial" w:eastAsia="Arial" w:hAnsi="Arial"/>
          <w:sz w:val="16"/>
          <w:szCs w:val="16"/>
          <w:color w:val="auto"/>
        </w:rPr>
        <w:t>received content upon which our business is substantially dependent. Our industry is generally characterized by a high level of employee mobility, competitive compensation programs, and aggressive recruiting among competitors for employees with technical, marketing, sales, engineering, product development, creative, and/or management skills. We may have difficulties in attracting and retaining skilled personnel or may incur significant costs to do so. If we are unable to attract additional qualified personnel or retain and utilize the services of key personnel, it could have a negative impact on our business.</w:t>
      </w:r>
    </w:p>
    <w:p>
      <w:pPr>
        <w:spacing w:after="0" w:line="23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9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changing technologies and business models is inherently uncertain and volatile. Supporting a new technology or business model may require partnering with a new platform, business, or technology partner, which may be on terms that are less favorable to us than those for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9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264" w:lineRule="exact"/>
        <w:rPr>
          <w:sz w:val="20"/>
          <w:szCs w:val="20"/>
          <w:color w:val="auto"/>
        </w:rPr>
      </w:pPr>
    </w:p>
    <w:p>
      <w:pPr>
        <w:ind w:firstLine="405"/>
        <w:spacing w:after="0" w:line="218" w:lineRule="exact"/>
        <w:rPr>
          <w:sz w:val="20"/>
          <w:szCs w:val="20"/>
          <w:color w:val="auto"/>
        </w:rPr>
      </w:pPr>
      <w:r>
        <w:rPr>
          <w:rFonts w:ascii="Arial" w:cs="Arial" w:eastAsia="Arial" w:hAnsi="Arial"/>
          <w:sz w:val="17"/>
          <w:szCs w:val="17"/>
          <w:color w:val="auto"/>
        </w:rPr>
        <w:t>The proportion of our revenues derived from digital distribution channels, as compared to traditional retail sales, continues to increase. The increased importance of digital channels in our industry increases our potential competition, as the minimum capital needed to produce and publish a digitally delivered game, particularly a game for a mobile platform, may be significantly less than that needed to produce and publish one that is purchased through retail distribution and is played on a game console or PC. Also, while digitally</w:t>
      </w:r>
      <w:r>
        <w:rPr>
          <w:rFonts w:ascii="MS PGothic" w:cs="MS PGothic" w:eastAsia="MS PGothic" w:hAnsi="MS PGothic"/>
          <w:sz w:val="17"/>
          <w:szCs w:val="17"/>
          <w:color w:val="auto"/>
        </w:rPr>
        <w:t>‑</w:t>
      </w:r>
      <w:r>
        <w:rPr>
          <w:rFonts w:ascii="Arial" w:cs="Arial" w:eastAsia="Arial" w:hAnsi="Arial"/>
          <w:sz w:val="17"/>
          <w:szCs w:val="17"/>
          <w:color w:val="auto"/>
        </w:rPr>
        <w:t>distributed products generally have higher profit margins than retail sales, as business shifts to digital distribution, the volume of orders from retailers for physical discs has been, and is expected to be, reduced. Further, some of the providers of the platforms through which we digitally distribute content are also publishers of their own content distributed on those platforms, and, therefore, a platform provider may give priority to its own products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importance of retail sales to our business exposes us to the risks of that business model.</w:t>
      </w:r>
    </w:p>
    <w:p>
      <w:pPr>
        <w:spacing w:after="0" w:line="252" w:lineRule="exact"/>
        <w:rPr>
          <w:sz w:val="20"/>
          <w:szCs w:val="20"/>
          <w:color w:val="auto"/>
        </w:rPr>
      </w:pPr>
    </w:p>
    <w:p>
      <w:pPr>
        <w:ind w:right="40" w:firstLine="405"/>
        <w:spacing w:after="0" w:line="219" w:lineRule="exact"/>
        <w:rPr>
          <w:sz w:val="20"/>
          <w:szCs w:val="20"/>
          <w:color w:val="auto"/>
        </w:rPr>
      </w:pPr>
      <w:r>
        <w:rPr>
          <w:rFonts w:ascii="Arial" w:cs="Arial" w:eastAsia="Arial" w:hAnsi="Arial"/>
          <w:sz w:val="18"/>
          <w:szCs w:val="18"/>
          <w:color w:val="auto"/>
        </w:rPr>
        <w:t>While the proportion of our revenues derived from digital distribution channels, as compared to traditional retail sales, continues to increase, retail sales remain important to our business. Such sales are made primarily on a purchase order basis without long</w:t>
      </w:r>
      <w:r>
        <w:rPr>
          <w:rFonts w:ascii="MS PGothic" w:cs="MS PGothic" w:eastAsia="MS PGothic" w:hAnsi="MS PGothic"/>
          <w:sz w:val="18"/>
          <w:szCs w:val="18"/>
          <w:color w:val="auto"/>
        </w:rPr>
        <w:t>‑</w:t>
      </w:r>
      <w:r>
        <w:rPr>
          <w:rFonts w:ascii="Arial" w:cs="Arial" w:eastAsia="Arial" w:hAnsi="Arial"/>
          <w:sz w:val="18"/>
          <w:szCs w:val="18"/>
          <w:color w:val="auto"/>
        </w:rPr>
        <w:t>term agreements or other forms of commitments, and due to the increased proportion of our revenue from digital distribution channels, our retail customers and distributors have generally been reducing the levels of inventory they are willing to carry. The loss of, or significant reduction in sales to, any of Activision’s principal retail customers or distributors, including digital distributors, could have adverse consequences.</w:t>
      </w:r>
    </w:p>
    <w:p>
      <w:pPr>
        <w:spacing w:after="0" w:line="23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51" w:lineRule="exact"/>
        <w:rPr>
          <w:sz w:val="20"/>
          <w:szCs w:val="20"/>
          <w:color w:val="auto"/>
        </w:rPr>
      </w:pPr>
    </w:p>
    <w:p>
      <w:pPr>
        <w:ind w:right="40" w:firstLine="405"/>
        <w:spacing w:after="0" w:line="217" w:lineRule="exact"/>
        <w:rPr>
          <w:sz w:val="20"/>
          <w:szCs w:val="20"/>
          <w:color w:val="auto"/>
        </w:rPr>
      </w:pPr>
      <w:r>
        <w:rPr>
          <w:rFonts w:ascii="Arial" w:cs="Arial" w:eastAsia="Arial" w:hAnsi="Arial"/>
          <w:sz w:val="17"/>
          <w:szCs w:val="17"/>
          <w:color w:val="auto"/>
        </w:rPr>
        <w:t>We have experienced significant growth in the scope and complexity of our business, including through acquisitions and the development of our esports, advertising, and consumer products businesses. Our future success depends, in part, on our ability to manage this expanded business and our aspirations for continued expansion and growth. We have dedicated resources both to new business models that are largely untested, as is the case with esports, and to adjacent business opportunities in which very large competitors have an established presence, as is the case with our advertising and consumer products businesses. We do not know to what extent our future expansions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w:t>
      </w:r>
      <w:r>
        <w:rPr>
          <w:rFonts w:ascii="MS PGothic" w:cs="MS PGothic" w:eastAsia="MS PGothic" w:hAnsi="MS PGothic"/>
          <w:sz w:val="17"/>
          <w:szCs w:val="17"/>
          <w:color w:val="auto"/>
        </w:rPr>
        <w:t>‑</w:t>
      </w:r>
      <w:r>
        <w:rPr>
          <w:rFonts w:ascii="Arial" w:cs="Arial" w:eastAsia="Arial" w:hAnsi="Arial"/>
          <w:sz w:val="17"/>
          <w:szCs w:val="17"/>
          <w:color w:val="auto"/>
        </w:rPr>
        <w:t>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cause damage to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spacing w:after="0" w:line="23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Due to our reliance on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platforms, platform providers are frequently able to influence our products and costs.</w:t>
      </w:r>
    </w:p>
    <w:p>
      <w:pPr>
        <w:spacing w:after="0" w:line="25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Generally, when we develop interactive entertainment software products for hardware platforms offered by companies such as Sony and Microsoft, the physical products are replicated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During a console transition, like the one that occurred in 2020, as described below, these manufacturers may seek to change the terms governing our relationships with them. In addition, because each of the manufacturers is also a publisher of games for its own hardware platforms and may manufacture products for other licensees, a manufacturer may give priority to its own products or those of our competitors. Accordingly, console manufacturers could cause unanticipated delays in the release of our products, as well as increases to projected development, manufacturing, marketing, or distribution costs, any of which could negatively impact our business.</w:t>
      </w:r>
    </w:p>
    <w:p>
      <w:pPr>
        <w:spacing w:after="0" w:line="208" w:lineRule="exact"/>
        <w:rPr>
          <w:sz w:val="20"/>
          <w:szCs w:val="20"/>
          <w:color w:val="auto"/>
        </w:rPr>
      </w:pPr>
    </w:p>
    <w:p>
      <w:pPr>
        <w:ind w:firstLine="405"/>
        <w:spacing w:after="0" w:line="217" w:lineRule="exact"/>
        <w:rPr>
          <w:sz w:val="20"/>
          <w:szCs w:val="20"/>
          <w:color w:val="auto"/>
        </w:rPr>
      </w:pPr>
      <w:r>
        <w:rPr>
          <w:rFonts w:ascii="Arial" w:cs="Arial" w:eastAsia="Arial" w:hAnsi="Arial"/>
          <w:sz w:val="17"/>
          <w:szCs w:val="17"/>
          <w:color w:val="auto"/>
        </w:rPr>
        <w:t>Sony and Microsoft are also platform providers which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Further, increased competition for limited premium “digital shelf space” has placed the platform providers in an increasingly better position to negotiate favorable terms of sale. If the platform provider establishes terms that restrict our offerings on its platform, significantly alters the financial terms on which these products or services are offered, or does not approve the inclusion of content on its platform, our business could be negatively impacted. We also derive significant revenues from distribution on third</w:t>
      </w:r>
      <w:r>
        <w:rPr>
          <w:rFonts w:ascii="MS PGothic" w:cs="MS PGothic" w:eastAsia="MS PGothic" w:hAnsi="MS PGothic"/>
          <w:sz w:val="17"/>
          <w:szCs w:val="17"/>
          <w:color w:val="auto"/>
        </w:rPr>
        <w:t>‑</w:t>
      </w:r>
      <w:r>
        <w:rPr>
          <w:rFonts w:ascii="Arial" w:cs="Arial" w:eastAsia="Arial" w:hAnsi="Arial"/>
          <w:sz w:val="17"/>
          <w:szCs w:val="17"/>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These platforms also serve as significant online distribution platforms for, and/or provide other services critical for the operation of, a number of our games. If these platforms deny access to our games, modify their current discovery mechanisms,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communication channels available to developers, operating systems, terms of service, or other policies (including fees), our business could be negatively impacted. Additionally, if these platform providers are required to change how they label a game’s business model, such as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or change how the personal information of consumers is made available to developers, our business could be negatively impacted. These platform providers or their services may be unavailable or may not function as intended or may experience issues with their in</w:t>
      </w:r>
      <w:r>
        <w:rPr>
          <w:rFonts w:ascii="MS PGothic" w:cs="MS PGothic" w:eastAsia="MS PGothic" w:hAnsi="MS PGothic"/>
          <w:sz w:val="16"/>
          <w:szCs w:val="16"/>
          <w:color w:val="auto"/>
        </w:rPr>
        <w:t>‑</w:t>
      </w:r>
      <w:r>
        <w:rPr>
          <w:rFonts w:ascii="Arial" w:cs="Arial" w:eastAsia="Arial" w:hAnsi="Arial"/>
          <w:sz w:val="16"/>
          <w:szCs w:val="16"/>
          <w:color w:val="auto"/>
        </w:rPr>
        <w:t>app purchasing functionality. As has sometimes happened in the past, if any of these events occurs on a prolonged, or even short</w:t>
      </w:r>
      <w:r>
        <w:rPr>
          <w:rFonts w:ascii="MS PGothic" w:cs="MS PGothic" w:eastAsia="MS PGothic" w:hAnsi="MS PGothic"/>
          <w:sz w:val="16"/>
          <w:szCs w:val="16"/>
          <w:color w:val="auto"/>
        </w:rPr>
        <w:t>‑</w:t>
      </w:r>
      <w:r>
        <w:rPr>
          <w:rFonts w:ascii="Arial" w:cs="Arial" w:eastAsia="Arial" w:hAnsi="Arial"/>
          <w:sz w:val="16"/>
          <w:szCs w:val="16"/>
          <w:color w:val="auto"/>
        </w:rPr>
        <w:t>term, basis or other similar issues arise that impact players’ ability to access our games, access social features, or make purchases, it may result in lost revenues and otherwise negatively impact our business.</w:t>
      </w:r>
    </w:p>
    <w:p>
      <w:pPr>
        <w:spacing w:after="0" w:line="2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on the success and availability of video game consoles manufactured by third parties, as well as our ability to develop commercially successful products for these consoles.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derive a substantial portion of our revenues from the sale of products for play on video game consoles manufactured by third parties, such as Sony’s PS4 and PS5, Microsoft’s Xbox One and Series X, and Nintendo’s Switch. Sales of products for consoles accounted for 34% of our consolidated net revenues in 2020. The success of our console business is driven in large part by our ability to accurately predict which consoles will be successful in the marketplace and our ability to develop commercially successful products for these consoles. We also rely on the availability of an adequate supply of these video game consoles and the continued support for these consoles by their manufacturers, including our ability to reach consumers via the online networks operated by these console manufacturers. If increased costs are not offset by higher revenues and other cost efficiencies, our business could be negatively impacted. If the consoles for which we develop new software products or modify existing products do not attain significant consumer acceptance, we may not be able to recover our development costs, which could be significant.</w:t>
      </w:r>
    </w:p>
    <w:p>
      <w:pPr>
        <w:spacing w:after="0" w:line="205" w:lineRule="exact"/>
        <w:rPr>
          <w:sz w:val="20"/>
          <w:szCs w:val="20"/>
          <w:color w:val="auto"/>
        </w:rPr>
      </w:pPr>
    </w:p>
    <w:p>
      <w:pPr>
        <w:ind w:firstLine="405"/>
        <w:spacing w:after="0" w:line="217" w:lineRule="exact"/>
        <w:rPr>
          <w:sz w:val="20"/>
          <w:szCs w:val="20"/>
          <w:color w:val="auto"/>
        </w:rPr>
      </w:pPr>
      <w:r>
        <w:rPr>
          <w:rFonts w:ascii="Arial" w:cs="Arial" w:eastAsia="Arial" w:hAnsi="Arial"/>
          <w:sz w:val="17"/>
          <w:szCs w:val="17"/>
          <w:color w:val="auto"/>
        </w:rPr>
        <w:t>Sony and Microsoft each launched next</w:t>
      </w:r>
      <w:r>
        <w:rPr>
          <w:rFonts w:ascii="MS PGothic" w:cs="MS PGothic" w:eastAsia="MS PGothic" w:hAnsi="MS PGothic"/>
          <w:sz w:val="17"/>
          <w:szCs w:val="17"/>
          <w:color w:val="auto"/>
        </w:rPr>
        <w:t>‑</w:t>
      </w:r>
      <w:r>
        <w:rPr>
          <w:rFonts w:ascii="Arial" w:cs="Arial" w:eastAsia="Arial" w:hAnsi="Arial"/>
          <w:sz w:val="17"/>
          <w:szCs w:val="17"/>
          <w:color w:val="auto"/>
        </w:rPr>
        <w:t>generation consoles in 2020. We have released titles that operate on these consoles, and we may continue to develop games for these new console systems. When next-generation consoles are announced or introduced into the market, consumers have typically reduced their purchases of game console entertainment software products for prior-generation consoles in anticipation of purchasing a next-generation console and products for that console. During these periods, sales of the game console entertainment software products we publish may decline until new platforms achieve wide consumer adoption. Console transitions may have a comparable impact on sales of downloadable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market, and operate titles for prior</w:t>
      </w:r>
      <w:r>
        <w:rPr>
          <w:rFonts w:ascii="MS PGothic" w:cs="MS PGothic" w:eastAsia="MS PGothic" w:hAnsi="MS PGothic"/>
          <w:sz w:val="17"/>
          <w:szCs w:val="17"/>
          <w:color w:val="auto"/>
        </w:rPr>
        <w:t>‑</w:t>
      </w:r>
      <w:r>
        <w:rPr>
          <w:rFonts w:ascii="Arial" w:cs="Arial" w:eastAsia="Arial" w:hAnsi="Arial"/>
          <w:sz w:val="17"/>
          <w:szCs w:val="17"/>
          <w:color w:val="auto"/>
        </w:rPr>
        <w:t>generation video game platforms, while also developing and supporting next</w:t>
      </w:r>
      <w:r>
        <w:rPr>
          <w:rFonts w:ascii="MS PGothic" w:cs="MS PGothic" w:eastAsia="MS PGothic" w:hAnsi="MS PGothic"/>
          <w:sz w:val="17"/>
          <w:szCs w:val="17"/>
          <w:color w:val="auto"/>
        </w:rPr>
        <w:t>‑</w:t>
      </w:r>
      <w:r>
        <w:rPr>
          <w:rFonts w:ascii="Arial" w:cs="Arial" w:eastAsia="Arial" w:hAnsi="Arial"/>
          <w:sz w:val="17"/>
          <w:szCs w:val="17"/>
          <w:color w:val="auto"/>
        </w:rPr>
        <w:t>generation platforms. As a result, our business and operating results may be more volatile and difficult to predict during console transitions than during other times.</w:t>
      </w:r>
    </w:p>
    <w:p>
      <w:pPr>
        <w:spacing w:after="0" w:line="237" w:lineRule="exact"/>
        <w:rPr>
          <w:sz w:val="20"/>
          <w:szCs w:val="20"/>
          <w:color w:val="auto"/>
        </w:rPr>
      </w:pPr>
    </w:p>
    <w:p>
      <w:pPr>
        <w:ind w:right="700"/>
        <w:spacing w:after="0" w:line="224" w:lineRule="exact"/>
        <w:rPr>
          <w:sz w:val="20"/>
          <w:szCs w:val="20"/>
          <w:color w:val="auto"/>
        </w:rPr>
      </w:pPr>
      <w:r>
        <w:rPr>
          <w:rFonts w:ascii="Arial" w:cs="Arial" w:eastAsia="Arial" w:hAnsi="Arial"/>
          <w:sz w:val="17"/>
          <w:szCs w:val="17"/>
          <w:b w:val="1"/>
          <w:bCs w:val="1"/>
          <w:i w:val="1"/>
          <w:iCs w:val="1"/>
          <w:color w:val="auto"/>
        </w:rPr>
        <w:t>The increasing importance of free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play games to our business exposes us to the risks of that business model, including the dependence on a relatively small number of consumers for a significant portion of revenues and profits from any given game.</w:t>
      </w:r>
    </w:p>
    <w:p>
      <w:pPr>
        <w:spacing w:after="0" w:line="229" w:lineRule="exact"/>
        <w:rPr>
          <w:sz w:val="20"/>
          <w:szCs w:val="20"/>
          <w:color w:val="auto"/>
        </w:rPr>
      </w:pPr>
    </w:p>
    <w:p>
      <w:pPr>
        <w:ind w:right="60" w:firstLine="405"/>
        <w:spacing w:after="0" w:line="218" w:lineRule="exact"/>
        <w:rPr>
          <w:sz w:val="20"/>
          <w:szCs w:val="20"/>
          <w:color w:val="auto"/>
        </w:rPr>
      </w:pPr>
      <w:r>
        <w:rPr>
          <w:rFonts w:ascii="Arial" w:cs="Arial" w:eastAsia="Arial" w:hAnsi="Arial"/>
          <w:sz w:val="18"/>
          <w:szCs w:val="18"/>
          <w:color w:val="auto"/>
        </w:rPr>
        <w:t>We are increasingly dependent on our ability to develop, enhance, and monetize free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 xml:space="preserve">play games, such as the games in our Candy Crush franchise, </w:t>
      </w:r>
      <w:r>
        <w:rPr>
          <w:rFonts w:ascii="Arial" w:cs="Arial" w:eastAsia="Arial" w:hAnsi="Arial"/>
          <w:sz w:val="18"/>
          <w:szCs w:val="18"/>
          <w:i w:val="1"/>
          <w:iCs w:val="1"/>
          <w:color w:val="auto"/>
        </w:rPr>
        <w:t xml:space="preserve">Hearthstone, Call of Duty: Mobile, </w:t>
      </w:r>
      <w:r>
        <w:rPr>
          <w:rFonts w:ascii="Arial" w:cs="Arial" w:eastAsia="Arial" w:hAnsi="Arial"/>
          <w:sz w:val="18"/>
          <w:szCs w:val="18"/>
          <w:color w:val="auto"/>
        </w:rPr>
        <w:t>and</w:t>
      </w:r>
      <w:r>
        <w:rPr>
          <w:rFonts w:ascii="Arial" w:cs="Arial" w:eastAsia="Arial" w:hAnsi="Arial"/>
          <w:sz w:val="18"/>
          <w:szCs w:val="18"/>
          <w:i w:val="1"/>
          <w:iCs w:val="1"/>
          <w:color w:val="auto"/>
        </w:rPr>
        <w:t xml:space="preserve"> Call of Duty: Warzone. </w:t>
      </w:r>
      <w:r>
        <w:rPr>
          <w:rFonts w:ascii="Arial" w:cs="Arial" w:eastAsia="Arial" w:hAnsi="Arial"/>
          <w:sz w:val="18"/>
          <w:szCs w:val="18"/>
          <w:color w:val="auto"/>
        </w:rPr>
        <w:t>As such, we are increasingly exposed to the risks of the free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play business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we may invest in the development of new free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play interactive entertainment products that do not achieve significant commercial success, in which case our revenues from those products likely will be lower than anticipated and we may not recover our development costs. Further, our business may be negatively impacted if: (1) we are unable to encourage new and existing consumers to purchase our virtual items; (2) we fail to offer monetization features that appeal to these consumers;(3) our platform providers make it more difficult or expensive for players to purchase our virtual items; (4) we cannot encourage significant additional consumers to purchase virtual items in our game and/or (5) our free-to-play releases reduce sales of our other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realize the expected benefits of our recent restructuring actions, and implementation of such actions may negatively impact our business.</w:t>
      </w:r>
    </w:p>
    <w:p>
      <w:pPr>
        <w:spacing w:after="0" w:line="2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2019, we began implementing a plan aimed at refocusing our resources on our largest opportunities and removing unnecessary levels of complexity and duplication from certain parts of our business. While we believe this plan enables us to provide better opportunities for talent, and greater expertise and scale over the long term, our ability to achieve the desired and anticipated benefits from the plan is subject to many estimates and assumptions, and the actual savings and timing for those savings may vary materially based on factors such as local labor regulations, negotiations with third parties, and operational requirements. These estimates and assumptions are also subject to significant economic, competitive, and other uncertainties, some of which are beyond our control.</w:t>
      </w:r>
    </w:p>
    <w:p>
      <w:pPr>
        <w:spacing w:after="0" w:line="21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Additionally, there can be no assurance that our business will be more efficient or effective than prior to implementation of the plan. The implementation of the plan may be more costly than we anticipated or have other negative consequences, such as attrition beyond our planned reduction in workforce or negative impacts on employee morale and productivity, or on our ability to attract and retain highly skilled employees. Any of these consequences could negatively impact our business. In addition, there can be no assurance that additional plans will not be required or implemented in the future.</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engage in strategic transactions and may encounter difficulties in integrating acquired businesses or otherwise realizing the anticipated benefits of these transactions.</w:t>
      </w:r>
    </w:p>
    <w:p>
      <w:pPr>
        <w:spacing w:after="0" w:line="197" w:lineRule="exact"/>
        <w:rPr>
          <w:sz w:val="20"/>
          <w:szCs w:val="20"/>
          <w:color w:val="auto"/>
        </w:rPr>
      </w:pPr>
    </w:p>
    <w:p>
      <w:pPr>
        <w:ind w:right="20" w:firstLine="405"/>
        <w:spacing w:after="0" w:line="217" w:lineRule="exact"/>
        <w:rPr>
          <w:sz w:val="20"/>
          <w:szCs w:val="20"/>
          <w:color w:val="auto"/>
        </w:rPr>
      </w:pPr>
      <w:r>
        <w:rPr>
          <w:rFonts w:ascii="Arial" w:cs="Arial" w:eastAsia="Arial" w:hAnsi="Arial"/>
          <w:sz w:val="16"/>
          <w:szCs w:val="16"/>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w:t>
      </w:r>
      <w:r>
        <w:rPr>
          <w:rFonts w:ascii="MS PGothic" w:cs="MS PGothic" w:eastAsia="MS PGothic" w:hAnsi="MS PGothic"/>
          <w:sz w:val="16"/>
          <w:szCs w:val="16"/>
          <w:color w:val="auto"/>
        </w:rPr>
        <w:t>‑</w:t>
      </w:r>
      <w:r>
        <w:rPr>
          <w:rFonts w:ascii="Arial" w:cs="Arial" w:eastAsia="Arial" w:hAnsi="Arial"/>
          <w:sz w:val="16"/>
          <w:szCs w:val="16"/>
          <w:color w:val="auto"/>
        </w:rPr>
        <w:t>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(2)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may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seasonality in the sale of our products.</w:t>
      </w:r>
    </w:p>
    <w:p>
      <w:pPr>
        <w:spacing w:after="0" w:line="252" w:lineRule="exact"/>
        <w:rPr>
          <w:sz w:val="20"/>
          <w:szCs w:val="20"/>
          <w:color w:val="auto"/>
        </w:rPr>
      </w:pPr>
    </w:p>
    <w:p>
      <w:pPr>
        <w:ind w:right="20" w:firstLine="405"/>
        <w:spacing w:after="0" w:line="219" w:lineRule="exact"/>
        <w:rPr>
          <w:sz w:val="20"/>
          <w:szCs w:val="20"/>
          <w:color w:val="auto"/>
        </w:rPr>
      </w:pPr>
      <w:r>
        <w:rPr>
          <w:rFonts w:ascii="Arial" w:cs="Arial" w:eastAsia="Arial" w:hAnsi="Arial"/>
          <w:sz w:val="18"/>
          <w:szCs w:val="18"/>
          <w:color w:val="auto"/>
        </w:rPr>
        <w:t>The interactive entertainment industry is somewhat seasonal, with the highest levels of consumer demand occurring during the calendar year</w:t>
      </w:r>
      <w:r>
        <w:rPr>
          <w:rFonts w:ascii="MS PGothic" w:cs="MS PGothic" w:eastAsia="MS PGothic" w:hAnsi="MS PGothic"/>
          <w:sz w:val="18"/>
          <w:szCs w:val="18"/>
          <w:color w:val="auto"/>
        </w:rPr>
        <w:t>‑</w:t>
      </w:r>
      <w:r>
        <w:rPr>
          <w:rFonts w:ascii="Arial" w:cs="Arial" w:eastAsia="Arial" w:hAnsi="Arial"/>
          <w:sz w:val="18"/>
          <w:szCs w:val="18"/>
          <w:color w:val="auto"/>
        </w:rPr>
        <w:t>end holiday buying season. As a result, our sales, particularly for our Activision segment, receivables, and credit risk, are higher during the fourth quarter of the year, as consumers and retailers increase their purchases in anticipation of the holiday season. Delays in development, approvals or manufacturing could affect the release of products, causing us to miss key selling periods such as the year</w:t>
      </w:r>
      <w:r>
        <w:rPr>
          <w:rFonts w:ascii="MS PGothic" w:cs="MS PGothic" w:eastAsia="MS PGothic" w:hAnsi="MS PGothic"/>
          <w:sz w:val="18"/>
          <w:szCs w:val="18"/>
          <w:color w:val="auto"/>
        </w:rPr>
        <w:t>‑</w:t>
      </w:r>
      <w:r>
        <w:rPr>
          <w:rFonts w:ascii="Arial" w:cs="Arial" w:eastAsia="Arial" w:hAnsi="Arial"/>
          <w:sz w:val="18"/>
          <w:szCs w:val="18"/>
          <w:color w:val="auto"/>
        </w:rPr>
        <w:t>end holiday buying season, which could negatively impact our business.</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may be harmed if our distributors, retailers, development, and licensing partners, or other third parties with whom we are affiliated, act in ways that put our brand at risk.</w:t>
      </w:r>
    </w:p>
    <w:p>
      <w:pPr>
        <w:spacing w:after="0" w:line="197" w:lineRule="exact"/>
        <w:rPr>
          <w:sz w:val="20"/>
          <w:szCs w:val="20"/>
          <w:color w:val="auto"/>
        </w:rPr>
      </w:pPr>
    </w:p>
    <w:p>
      <w:pPr>
        <w:jc w:val="both"/>
        <w:ind w:right="520" w:firstLine="405"/>
        <w:spacing w:after="0" w:line="287" w:lineRule="auto"/>
        <w:rPr>
          <w:sz w:val="20"/>
          <w:szCs w:val="20"/>
          <w:color w:val="auto"/>
        </w:rPr>
      </w:pPr>
      <w:r>
        <w:rPr>
          <w:rFonts w:ascii="Arial" w:cs="Arial" w:eastAsia="Arial" w:hAnsi="Arial"/>
          <w:sz w:val="16"/>
          <w:szCs w:val="16"/>
          <w:color w:val="auto"/>
        </w:rPr>
        <w:t>In many cases, our business partners and other third party affiliates, which may include, among others, individuals or entities affiliated with the esports leagues we operate, are given access to sensitive and proprietary information or control over our intellectual property to provide services and support to our team. These third parties may misappropriate or misuse our information or intellectual property and engage in unauthorized use of it.</w:t>
      </w:r>
    </w:p>
    <w:p>
      <w:pPr>
        <w:spacing w:after="0" w:line="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damage our reputation 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97" w:lineRule="exact"/>
        <w:rPr>
          <w:sz w:val="20"/>
          <w:szCs w:val="20"/>
          <w:color w:val="auto"/>
        </w:rPr>
      </w:pPr>
    </w:p>
    <w:p>
      <w:pPr>
        <w:ind w:right="60" w:firstLine="405"/>
        <w:spacing w:after="0" w:line="218" w:lineRule="exact"/>
        <w:rPr>
          <w:sz w:val="20"/>
          <w:szCs w:val="20"/>
          <w:color w:val="auto"/>
        </w:rPr>
      </w:pPr>
      <w:r>
        <w:rPr>
          <w:rFonts w:ascii="Arial" w:cs="Arial" w:eastAsia="Arial" w:hAnsi="Arial"/>
          <w:sz w:val="16"/>
          <w:szCs w:val="16"/>
          <w:color w:val="auto"/>
        </w:rPr>
        <w:t>We use open source software in connection with some of the games and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w:t>
      </w:r>
      <w:r>
        <w:rPr>
          <w:rFonts w:ascii="MS PGothic" w:cs="MS PGothic" w:eastAsia="MS PGothic" w:hAnsi="MS PGothic"/>
          <w:sz w:val="16"/>
          <w:szCs w:val="16"/>
          <w:color w:val="auto"/>
        </w:rPr>
        <w:t>‑</w:t>
      </w:r>
      <w:r>
        <w:rPr>
          <w:rFonts w:ascii="Arial" w:cs="Arial" w:eastAsia="Arial" w:hAnsi="Arial"/>
          <w:sz w:val="16"/>
          <w:szCs w:val="16"/>
          <w:color w:val="auto"/>
        </w:rPr>
        <w:t>engineer our games or products, discontinue distribution in the event re</w:t>
      </w:r>
      <w:r>
        <w:rPr>
          <w:rFonts w:ascii="MS PGothic" w:cs="MS PGothic" w:eastAsia="MS PGothic" w:hAnsi="MS PGothic"/>
          <w:sz w:val="16"/>
          <w:szCs w:val="16"/>
          <w:color w:val="auto"/>
        </w:rPr>
        <w:t>‑</w:t>
      </w:r>
      <w:r>
        <w:rPr>
          <w:rFonts w:ascii="Arial" w:cs="Arial" w:eastAsia="Arial" w:hAnsi="Arial"/>
          <w:sz w:val="16"/>
          <w:szCs w:val="16"/>
          <w:color w:val="auto"/>
        </w:rPr>
        <w:t>engineering cannot be accomplished on a timely basis, or take other remedial action that may divert resources away from our game development efforts, any of which could negatively impact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global company and are subject to the risks and uncertainties of conducting business outside the U.S.</w:t>
      </w:r>
    </w:p>
    <w:p>
      <w:pPr>
        <w:spacing w:after="0" w:line="25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conduct business throughout the world, and we derive a substantial amount of our revenues and profits from international trade, particularly from Europe and Asia. We expect that international sales will continue to account for a significant portion of our total revenues and profits and, moreover, that sales in emerging markets in Asia and elsewhere will continue to be an important part of our international sales. As such, we are, and may be increasingly, subject to risks inherent in foreign trade generally, as well as risks inherent in doing business in non-U.S.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219" w:lineRule="exact"/>
        <w:rPr>
          <w:sz w:val="20"/>
          <w:szCs w:val="20"/>
          <w:color w:val="auto"/>
        </w:rPr>
      </w:pPr>
    </w:p>
    <w:p>
      <w:pPr>
        <w:ind w:right="60" w:firstLine="405"/>
        <w:spacing w:after="0" w:line="217" w:lineRule="exact"/>
        <w:rPr>
          <w:sz w:val="20"/>
          <w:szCs w:val="20"/>
          <w:color w:val="auto"/>
        </w:rPr>
      </w:pPr>
      <w:r>
        <w:rPr>
          <w:rFonts w:ascii="Arial" w:cs="Arial" w:eastAsia="Arial" w:hAnsi="Arial"/>
          <w:sz w:val="17"/>
          <w:szCs w:val="17"/>
          <w:color w:val="auto"/>
        </w:rPr>
        <w:t>A deterioration in relations between either us or the United States and any country in which we have significant operations or sales, or the implementation of government regulations in the United States or such a country, could result in the adoption or expansion of trade restrictions, including economic sanctions or absolute prohibitions, that could have a negative impact on our business. For instance, to operate in China, all games must have regulatory approval. A decision by the Chinese government to revoke its approval for any of our games or to decline to approve any products we desire to sell in China in the future could have a negative impact on our business, as could delays in the approval process. Additionally, in the past, legislation has been implemented in China that has required modifications to our products and our business model to satisfy regulatory requirements. The future implementation of similar or new laws or regulations in China or any other country in which we have operations or sales may restrict or prohibit the sale of our products or may require engineering modifications to our products and our business model that are not cost</w:t>
      </w:r>
      <w:r>
        <w:rPr>
          <w:rFonts w:ascii="MS PGothic" w:cs="MS PGothic" w:eastAsia="MS PGothic" w:hAnsi="MS PGothic"/>
          <w:sz w:val="17"/>
          <w:szCs w:val="17"/>
          <w:color w:val="auto"/>
        </w:rPr>
        <w:t>‑</w:t>
      </w:r>
      <w:r>
        <w:rPr>
          <w:rFonts w:ascii="Arial" w:cs="Arial" w:eastAsia="Arial" w:hAnsi="Arial"/>
          <w:sz w:val="17"/>
          <w:szCs w:val="17"/>
          <w:color w:val="auto"/>
        </w:rPr>
        <w:t>effective, if even feasible at all, or could degrade the consumer experience to the point where consumers cease to purchase such products. Changes in Chinese game approval procedures in 2018 have resulted in reduced rates of approval for games and unclear approval timeframes, making it uncertain as to if and when our new products will be approved for release in China. Further, the continued enforcement of regulations relating to mobile and other games with an online element in China could have a negative impact on our business in China.</w:t>
      </w:r>
    </w:p>
    <w:p>
      <w:pPr>
        <w:spacing w:after="0" w:line="23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it could negatively impact our business.</w:t>
      </w:r>
    </w:p>
    <w:p>
      <w:pPr>
        <w:spacing w:after="0" w:line="211" w:lineRule="exact"/>
        <w:rPr>
          <w:sz w:val="20"/>
          <w:szCs w:val="20"/>
          <w:color w:val="auto"/>
        </w:rPr>
      </w:pPr>
    </w:p>
    <w:p>
      <w:pPr>
        <w:ind w:right="20" w:firstLine="405"/>
        <w:spacing w:after="0" w:line="219" w:lineRule="exact"/>
        <w:rPr>
          <w:sz w:val="20"/>
          <w:szCs w:val="20"/>
          <w:color w:val="auto"/>
        </w:rPr>
      </w:pPr>
      <w:r>
        <w:rPr>
          <w:rFonts w:ascii="Arial" w:cs="Arial" w:eastAsia="Arial" w:hAnsi="Arial"/>
          <w:sz w:val="18"/>
          <w:szCs w:val="18"/>
          <w:color w:val="auto"/>
        </w:rPr>
        <w:t>We are also subject to risks that our operations outside the United States could be conducted by our employees, contractors, third</w:t>
      </w:r>
      <w:r>
        <w:rPr>
          <w:rFonts w:ascii="MS PGothic" w:cs="MS PGothic" w:eastAsia="MS PGothic" w:hAnsi="MS PGothic"/>
          <w:sz w:val="18"/>
          <w:szCs w:val="18"/>
          <w:color w:val="auto"/>
        </w:rPr>
        <w:t>‑</w:t>
      </w:r>
      <w:r>
        <w:rPr>
          <w:rFonts w:ascii="Arial" w:cs="Arial" w:eastAsia="Arial" w:hAnsi="Arial"/>
          <w:sz w:val="18"/>
          <w:szCs w:val="18"/>
          <w:color w:val="auto"/>
        </w:rPr>
        <w:t>party partners, representatives, or agents in ways that violate the Foreign Corrupt Practices Act, the U.K. Anti</w:t>
      </w:r>
      <w:r>
        <w:rPr>
          <w:rFonts w:ascii="MS PGothic" w:cs="MS PGothic" w:eastAsia="MS PGothic" w:hAnsi="MS PGothic"/>
          <w:sz w:val="18"/>
          <w:szCs w:val="18"/>
          <w:color w:val="auto"/>
        </w:rPr>
        <w:t>‑</w:t>
      </w:r>
      <w:r>
        <w:rPr>
          <w:rFonts w:ascii="Arial" w:cs="Arial" w:eastAsia="Arial" w:hAnsi="Arial"/>
          <w:sz w:val="18"/>
          <w:szCs w:val="18"/>
          <w:color w:val="auto"/>
        </w:rPr>
        <w:t>Bribery Act or other similar anti</w:t>
      </w:r>
      <w:r>
        <w:rPr>
          <w:rFonts w:ascii="MS PGothic" w:cs="MS PGothic" w:eastAsia="MS PGothic" w:hAnsi="MS PGothic"/>
          <w:sz w:val="18"/>
          <w:szCs w:val="18"/>
          <w:color w:val="auto"/>
        </w:rPr>
        <w:t>‑</w:t>
      </w:r>
      <w:r>
        <w:rPr>
          <w:rFonts w:ascii="Arial" w:cs="Arial" w:eastAsia="Arial" w:hAnsi="Arial"/>
          <w:sz w:val="18"/>
          <w:szCs w:val="18"/>
          <w:color w:val="auto"/>
        </w:rPr>
        <w:t>bribery laws, as well as the 2017 U.K. Criminal Finances Act or other similar financial crime laws. While we have policies, procedures, and training for our employees, intended to secure compliance with these laws, our employees, contractors, third</w:t>
      </w:r>
      <w:r>
        <w:rPr>
          <w:rFonts w:ascii="MS PGothic" w:cs="MS PGothic" w:eastAsia="MS PGothic" w:hAnsi="MS PGothic"/>
          <w:sz w:val="18"/>
          <w:szCs w:val="18"/>
          <w:color w:val="auto"/>
        </w:rPr>
        <w:t>‑</w:t>
      </w:r>
      <w:r>
        <w:rPr>
          <w:rFonts w:ascii="Arial" w:cs="Arial" w:eastAsia="Arial" w:hAnsi="Arial"/>
          <w:sz w:val="18"/>
          <w:szCs w:val="18"/>
          <w:color w:val="auto"/>
        </w:rPr>
        <w:t>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games may include undisclosed content or features. If our retailers refuse to sell such titles, or consumers refuse to purchase such titles, due to what they perceive to be objectionable undisclosed content, it could have a negative impact on our business.</w:t>
      </w:r>
    </w:p>
    <w:p>
      <w:pPr>
        <w:spacing w:after="0" w:line="173" w:lineRule="exact"/>
        <w:rPr>
          <w:sz w:val="20"/>
          <w:szCs w:val="20"/>
          <w:color w:val="auto"/>
        </w:rPr>
      </w:pPr>
    </w:p>
    <w:p>
      <w:pPr>
        <w:ind w:right="40" w:firstLine="405"/>
        <w:spacing w:after="0" w:line="217" w:lineRule="exact"/>
        <w:rPr>
          <w:sz w:val="20"/>
          <w:szCs w:val="20"/>
          <w:color w:val="auto"/>
        </w:rPr>
      </w:pPr>
      <w:r>
        <w:rPr>
          <w:rFonts w:ascii="Arial" w:cs="Arial" w:eastAsia="Arial" w:hAnsi="Arial"/>
          <w:sz w:val="17"/>
          <w:szCs w:val="17"/>
          <w:color w:val="auto"/>
        </w:rPr>
        <w:t>Throughout the history of the interactive entertainment industry, many interactive software products have included hidden content and/or hidden gameplay features, some of which have been accessible through the use of in</w:t>
      </w:r>
      <w:r>
        <w:rPr>
          <w:rFonts w:ascii="MS PGothic" w:cs="MS PGothic" w:eastAsia="MS PGothic" w:hAnsi="MS PGothic"/>
          <w:sz w:val="17"/>
          <w:szCs w:val="17"/>
          <w:color w:val="auto"/>
        </w:rPr>
        <w:t>‑</w:t>
      </w:r>
      <w:r>
        <w:rPr>
          <w:rFonts w:ascii="Arial" w:cs="Arial" w:eastAsia="Arial" w:hAnsi="Arial"/>
          <w:sz w:val="17"/>
          <w:szCs w:val="17"/>
          <w:color w:val="auto"/>
        </w:rPr>
        <w:t>game codes or other technological means, that are intended to enhance the gameplay experience. In some cases, such undisclosed content or features have been considered to be objectionable. While publishers are required to disclose pertinent hidden content during the ESRB ratings process, in a few cases, publishers have failed to disclose hidden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shelves, refusing to sell them, and demanding that their publishers accept them as product returns. Likewise, some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237"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7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results of operations or reputation may be harmed as a result of objectionable consumer- or other third party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created content.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of our games and esports broadcasts support collaborative online features that allow consumers to communicate with one another and post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narrative comments, in real time, that are visible to other consumers. Additionally, certain of our games allow consumers to create and share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“user</w:t>
      </w:r>
      <w:r>
        <w:rPr>
          <w:rFonts w:ascii="MS PGothic" w:cs="MS PGothic" w:eastAsia="MS PGothic" w:hAnsi="MS PGothic"/>
          <w:sz w:val="16"/>
          <w:szCs w:val="16"/>
          <w:color w:val="auto"/>
        </w:rPr>
        <w:t>‑</w:t>
      </w:r>
      <w:r>
        <w:rPr>
          <w:rFonts w:ascii="Arial" w:cs="Arial" w:eastAsia="Arial" w:hAnsi="Arial"/>
          <w:sz w:val="16"/>
          <w:szCs w:val="16"/>
          <w:color w:val="auto"/>
        </w:rPr>
        <w:t>generated content” that is visible to other consumers. From time to time, objectionable and offensive consumer content may be distributed within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games and on our broadcasts through these features or to gaming websites or other sites or forums with online chat features or that otherwise allow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consumers to post comments. We may be subject to lawsuits, governmental regulation or restrictions, and consumer backlash (including decreased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harmed reputation), as a result of consumers posting offensive content.</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Additionally, we have begun to generate revenue through offering advertising within certain of our franchises and in connection with our esports</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broadcasts. The content of in</w:t>
      </w:r>
      <w:r>
        <w:rPr>
          <w:rFonts w:ascii="MS PGothic" w:cs="MS PGothic" w:eastAsia="MS PGothic" w:hAnsi="MS PGothic"/>
          <w:sz w:val="17"/>
          <w:szCs w:val="17"/>
          <w:color w:val="auto"/>
        </w:rPr>
        <w:t>‑</w:t>
      </w:r>
      <w:r>
        <w:rPr>
          <w:rFonts w:ascii="Arial" w:cs="Arial" w:eastAsia="Arial" w:hAnsi="Arial"/>
          <w:sz w:val="17"/>
          <w:szCs w:val="17"/>
          <w:color w:val="auto"/>
        </w:rPr>
        <w:t>game and esports broadcast advertisements is generally created and delivered by third</w:t>
      </w:r>
      <w:r>
        <w:rPr>
          <w:rFonts w:ascii="MS PGothic" w:cs="MS PGothic" w:eastAsia="MS PGothic" w:hAnsi="MS PGothic"/>
          <w:sz w:val="17"/>
          <w:szCs w:val="17"/>
          <w:color w:val="auto"/>
        </w:rPr>
        <w:t>‑</w:t>
      </w:r>
      <w:r>
        <w:rPr>
          <w:rFonts w:ascii="Arial" w:cs="Arial" w:eastAsia="Arial" w:hAnsi="Arial"/>
          <w:sz w:val="17"/>
          <w:szCs w:val="17"/>
          <w:color w:val="auto"/>
        </w:rPr>
        <w:t>party advertisers without our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approval, and, as such, objectionable content may be published in our games or during our esports broadcasts by these advertisers. This objectionable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third party</w:t>
      </w:r>
      <w:r>
        <w:rPr>
          <w:rFonts w:ascii="MS PGothic" w:cs="MS PGothic" w:eastAsia="MS PGothic" w:hAnsi="MS PGothic"/>
          <w:sz w:val="16"/>
          <w:szCs w:val="16"/>
          <w:color w:val="auto"/>
        </w:rPr>
        <w:t>‑</w:t>
      </w:r>
      <w:r>
        <w:rPr>
          <w:rFonts w:ascii="Arial" w:cs="Arial" w:eastAsia="Arial" w:hAnsi="Arial"/>
          <w:sz w:val="16"/>
          <w:szCs w:val="16"/>
          <w:color w:val="auto"/>
        </w:rPr>
        <w:t>created content may expose us to regulatory action or claims related to content, or otherwise negatively impact our business. We may also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consumer backlash from comments made in response to postings we make on social media sites such as Facebook, YouTube, and Twitter.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depend on servers and networks to operate our games with online features and our proprietary online gaming service. If we were to lose functionality in any of these areas for any reason, our business may be negatively impacted.</w:t>
      </w:r>
    </w:p>
    <w:p>
      <w:pPr>
        <w:spacing w:after="0" w:line="197" w:lineRule="exact"/>
        <w:rPr>
          <w:sz w:val="20"/>
          <w:szCs w:val="20"/>
          <w:color w:val="auto"/>
        </w:rPr>
      </w:pPr>
    </w:p>
    <w:p>
      <w:pPr>
        <w:ind w:firstLine="405"/>
        <w:spacing w:after="0" w:line="217" w:lineRule="exact"/>
        <w:rPr>
          <w:sz w:val="20"/>
          <w:szCs w:val="20"/>
          <w:color w:val="auto"/>
        </w:rPr>
      </w:pPr>
      <w:r>
        <w:rPr>
          <w:rFonts w:ascii="Arial" w:cs="Arial" w:eastAsia="Arial" w:hAnsi="Arial"/>
          <w:sz w:val="16"/>
          <w:szCs w:val="16"/>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w:t>
      </w:r>
      <w:r>
        <w:rPr>
          <w:rFonts w:ascii="MS PGothic" w:cs="MS PGothic" w:eastAsia="MS PGothic" w:hAnsi="MS PGothic"/>
          <w:sz w:val="16"/>
          <w:szCs w:val="16"/>
          <w:color w:val="auto"/>
        </w:rPr>
        <w:t>‑</w:t>
      </w:r>
      <w:r>
        <w:rPr>
          <w:rFonts w:ascii="Arial" w:cs="Arial" w:eastAsia="Arial" w:hAnsi="Arial"/>
          <w:sz w:val="16"/>
          <w:szCs w:val="16"/>
          <w:color w:val="auto"/>
        </w:rPr>
        <w:t>based catastrophic server malfunction, a significant service</w:t>
      </w:r>
      <w:r>
        <w:rPr>
          <w:rFonts w:ascii="MS PGothic" w:cs="MS PGothic" w:eastAsia="MS PGothic" w:hAnsi="MS PGothic"/>
          <w:sz w:val="16"/>
          <w:szCs w:val="16"/>
          <w:color w:val="auto"/>
        </w:rPr>
        <w:t>‑</w:t>
      </w:r>
      <w:r>
        <w:rPr>
          <w:rFonts w:ascii="Arial" w:cs="Arial" w:eastAsia="Arial" w:hAnsi="Arial"/>
          <w:sz w:val="16"/>
          <w:szCs w:val="16"/>
          <w:color w:val="auto"/>
        </w:rPr>
        <w:t>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(1) the mobile games published by King, which rely on a small number of third</w:t>
      </w:r>
      <w:r>
        <w:rPr>
          <w:rFonts w:ascii="MS PGothic" w:cs="MS PGothic" w:eastAsia="MS PGothic" w:hAnsi="MS PGothic"/>
          <w:sz w:val="16"/>
          <w:szCs w:val="16"/>
          <w:color w:val="auto"/>
        </w:rPr>
        <w:t>‑</w:t>
      </w:r>
      <w:r>
        <w:rPr>
          <w:rFonts w:ascii="Arial" w:cs="Arial" w:eastAsia="Arial" w:hAnsi="Arial"/>
          <w:sz w:val="16"/>
          <w:szCs w:val="16"/>
          <w:color w:val="auto"/>
        </w:rPr>
        <w:t>party owned data centers located in one city; (2) the functioning of our proprietary online gaming service, Blizzard Battle.net, the disruption of which could prevent Blizzard from delivering content digitally or render all of Blizzard games, as well as selected Activision content for the PC platform, unavailable; and (3) the Company’s multiplayer game services, which rely on systems hosted in a hybrid of data centers across the world as well as cloud providers. Further, insufficient server capacity could affect our ability to provide game services, which could negatively impact our business. Conversely, if we overestimate the amount of server capacity required by our business, we may incur additional operating costs.</w:t>
      </w:r>
    </w:p>
    <w:p>
      <w:pPr>
        <w:spacing w:after="0" w:line="233" w:lineRule="exact"/>
        <w:rPr>
          <w:sz w:val="20"/>
          <w:szCs w:val="20"/>
          <w:color w:val="auto"/>
        </w:rPr>
      </w:pPr>
    </w:p>
    <w:p>
      <w:pPr>
        <w:ind w:right="300" w:firstLine="405"/>
        <w:spacing w:after="0" w:line="219" w:lineRule="exact"/>
        <w:rPr>
          <w:sz w:val="20"/>
          <w:szCs w:val="20"/>
          <w:color w:val="auto"/>
        </w:rPr>
      </w:pPr>
      <w:r>
        <w:rPr>
          <w:rFonts w:ascii="Arial" w:cs="Arial" w:eastAsia="Arial" w:hAnsi="Arial"/>
          <w:sz w:val="16"/>
          <w:szCs w:val="16"/>
          <w:color w:val="auto"/>
        </w:rPr>
        <w:t>We also rely on platforms and networks operated by third parties, such as the PlayStation Network, Xbox Live, and Steam, for the sale and digital delivery of downloadable console and PC game content, the functionality of our games with online features. Similarly, we rely on those platforms and networks, as well as the continued operation of the Apple App Store, the Google Play Store, and Facebook, for the sale of virtual currency and other services for our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231" w:lineRule="exact"/>
        <w:rPr>
          <w:sz w:val="20"/>
          <w:szCs w:val="20"/>
          <w:color w:val="auto"/>
        </w:rPr>
      </w:pPr>
    </w:p>
    <w:p>
      <w:pPr>
        <w:ind w:right="440"/>
        <w:spacing w:after="0" w:line="223" w:lineRule="exact"/>
        <w:rPr>
          <w:sz w:val="20"/>
          <w:szCs w:val="20"/>
          <w:color w:val="auto"/>
        </w:rPr>
      </w:pPr>
      <w:r>
        <w:rPr>
          <w:rFonts w:ascii="Arial" w:cs="Arial" w:eastAsia="Arial" w:hAnsi="Arial"/>
          <w:sz w:val="18"/>
          <w:szCs w:val="18"/>
          <w:b w:val="1"/>
          <w:bCs w:val="1"/>
          <w:i w:val="1"/>
          <w:iCs w:val="1"/>
          <w:color w:val="auto"/>
        </w:rPr>
        <w:t>Any cybersecurity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related attack, significant data breach, or disruption of the information technology systems or networks on which we rely could negatively impact our business.</w:t>
      </w:r>
    </w:p>
    <w:p>
      <w:pPr>
        <w:spacing w:after="0" w:line="230" w:lineRule="exact"/>
        <w:rPr>
          <w:sz w:val="20"/>
          <w:szCs w:val="20"/>
          <w:color w:val="auto"/>
        </w:rPr>
      </w:pPr>
    </w:p>
    <w:p>
      <w:pPr>
        <w:ind w:firstLine="405"/>
        <w:spacing w:after="0" w:line="217" w:lineRule="exact"/>
        <w:rPr>
          <w:sz w:val="20"/>
          <w:szCs w:val="20"/>
          <w:color w:val="auto"/>
        </w:rPr>
      </w:pPr>
      <w:r>
        <w:rPr>
          <w:rFonts w:ascii="Arial" w:cs="Arial" w:eastAsia="Arial" w:hAnsi="Arial"/>
          <w:sz w:val="16"/>
          <w:szCs w:val="16"/>
          <w:color w:val="auto"/>
        </w:rPr>
        <w:t>In the course of our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business, we and third parties operating on our behalf create, store, and/or use commercially sensitive information, such as the source code and game assets for our interactive entertainment software products and sensitive and confidential information with respect to our customers, consumers, and employees. A malicious cybersecurity</w:t>
      </w:r>
      <w:r>
        <w:rPr>
          <w:rFonts w:ascii="MS PGothic" w:cs="MS PGothic" w:eastAsia="MS PGothic" w:hAnsi="MS PGothic"/>
          <w:sz w:val="16"/>
          <w:szCs w:val="16"/>
          <w:color w:val="auto"/>
        </w:rPr>
        <w:t>‑</w:t>
      </w:r>
      <w:r>
        <w:rPr>
          <w:rFonts w:ascii="Arial" w:cs="Arial" w:eastAsia="Arial" w:hAnsi="Arial"/>
          <w:sz w:val="16"/>
          <w:szCs w:val="16"/>
          <w:color w:val="auto"/>
        </w:rPr>
        <w:t>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w:t>
      </w:r>
      <w:r>
        <w:rPr>
          <w:rFonts w:ascii="MS PGothic" w:cs="MS PGothic" w:eastAsia="MS PGothic" w:hAnsi="MS PGothic"/>
          <w:sz w:val="16"/>
          <w:szCs w:val="16"/>
          <w:color w:val="auto"/>
        </w:rPr>
        <w:t>‑</w:t>
      </w:r>
      <w:r>
        <w:rPr>
          <w:rFonts w:ascii="Arial" w:cs="Arial" w:eastAsia="Arial" w:hAnsi="Arial"/>
          <w:sz w:val="16"/>
          <w:szCs w:val="16"/>
          <w:color w:val="auto"/>
        </w:rPr>
        <w:t>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w:t>
      </w:r>
      <w:r>
        <w:rPr>
          <w:rFonts w:ascii="MS PGothic" w:cs="MS PGothic" w:eastAsia="MS PGothic" w:hAnsi="MS PGothic"/>
          <w:sz w:val="16"/>
          <w:szCs w:val="16"/>
          <w:color w:val="auto"/>
        </w:rPr>
        <w:t>‑</w:t>
      </w:r>
      <w:r>
        <w:rPr>
          <w:rFonts w:ascii="Arial" w:cs="Arial" w:eastAsia="Arial" w:hAnsi="Arial"/>
          <w:sz w:val="16"/>
          <w:szCs w:val="16"/>
          <w:color w:val="auto"/>
        </w:rPr>
        <w:t>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Additionally, although we maintain insurance policies, they may be insufficient to reimburse the Company for all losses or all types of claims that may be caused by cyberbreaches or system or network disruptions, and it is uncertain whether we will be able to maintain our current level of coverage in the future. Moreover,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 during our live events may adversely affect our business.</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as well as the teams in the esports leagues we operate, host numerous live events each year, many of which are attended by a large number of people. There are many risks that are inherent in large gatherings of people, including the risk of an actual or threatened terrorist act, fire, explosion, protests, and riots, and other safety or security issues, any one of which could result in injury or death to attendees and/or damage to the facilities at which such an event is hosted. While we maintain insurance policies, they may be insufficient to reimburse us for all losses or all types of claims that may be caused by such an event. Moreover, if there were a public perception that the safety or security measures are inadequate at the events we host or events hosted by teams in the esports leagues we operate, whether or not the case, it could result in reputational damage and a decline in future attendance at events hosted by us or those teams. Any one of these things could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52"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Our corporate headquarters and our primary corporate data center are located in the Los Angeles, California area, which is near a major earthquake fault. A major earthquake or other catastrophic event that results in the destruction or disruption of any of our critical business or information technology systems,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and our disaster recovery planning may not be sufficient for all eventualities. Any such event could also limit the ability of retailers, distributors, or our other customers to sell or distribute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corporate documents and Delaware state law could delay or prevent a change of control.</w:t>
      </w:r>
    </w:p>
    <w:p>
      <w:pPr>
        <w:spacing w:after="0" w:line="252" w:lineRule="exact"/>
        <w:rPr>
          <w:sz w:val="20"/>
          <w:szCs w:val="20"/>
          <w:color w:val="auto"/>
        </w:rPr>
      </w:pPr>
    </w:p>
    <w:p>
      <w:pPr>
        <w:ind w:right="300" w:firstLine="405"/>
        <w:spacing w:after="0" w:line="219" w:lineRule="exact"/>
        <w:rPr>
          <w:sz w:val="20"/>
          <w:szCs w:val="20"/>
          <w:color w:val="auto"/>
        </w:rPr>
      </w:pPr>
      <w:r>
        <w:rPr>
          <w:rFonts w:ascii="Arial" w:cs="Arial" w:eastAsia="Arial" w:hAnsi="Arial"/>
          <w:sz w:val="16"/>
          <w:szCs w:val="16"/>
          <w:color w:val="auto"/>
        </w:rPr>
        <w:t>Our Fourth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w:t>
      </w:r>
      <w:r>
        <w:rPr>
          <w:rFonts w:ascii="MS PGothic" w:cs="MS PGothic" w:eastAsia="MS PGothic" w:hAnsi="MS PGothic"/>
          <w:sz w:val="16"/>
          <w:szCs w:val="16"/>
          <w:color w:val="auto"/>
        </w:rPr>
        <w:t>‑</w:t>
      </w:r>
      <w:r>
        <w:rPr>
          <w:rFonts w:ascii="Arial" w:cs="Arial" w:eastAsia="Arial" w:hAnsi="Arial"/>
          <w:sz w:val="16"/>
          <w:szCs w:val="16"/>
          <w:color w:val="auto"/>
        </w:rPr>
        <w:t>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Legal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legal proceedings that have a negative impact on our business.</w:t>
      </w:r>
    </w:p>
    <w:p>
      <w:pPr>
        <w:spacing w:after="0" w:line="252" w:lineRule="exact"/>
        <w:rPr>
          <w:sz w:val="20"/>
          <w:szCs w:val="20"/>
          <w:color w:val="auto"/>
        </w:rPr>
      </w:pPr>
    </w:p>
    <w:p>
      <w:pPr>
        <w:jc w:val="both"/>
        <w:ind w:right="240" w:firstLine="405"/>
        <w:spacing w:after="0" w:line="279" w:lineRule="auto"/>
        <w:rPr>
          <w:sz w:val="20"/>
          <w:szCs w:val="20"/>
          <w:color w:val="auto"/>
        </w:rPr>
      </w:pPr>
      <w:r>
        <w:rPr>
          <w:rFonts w:ascii="Arial" w:cs="Arial" w:eastAsia="Arial" w:hAnsi="Arial"/>
          <w:sz w:val="17"/>
          <w:szCs w:val="17"/>
          <w:color w:val="auto"/>
        </w:rPr>
        <w:t>From time to time, we are involved in claims, suits, investigations, audits, and proceedings arising in the ordinary course of our business, including with respect to intellectual property, competition and antitrust, regulatory, tax, privacy, labor and employment, compliance, unclaimed property, liability and personal injury, product damage, collection, and/or commercial matters. In addition, negative consumer sentiment about our business practices may result in inquiries or investigations from regulatory agencies and consumer groups, as well as litigation.</w:t>
      </w:r>
    </w:p>
    <w:p>
      <w:pPr>
        <w:spacing w:after="0" w:line="19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20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We regard our software as proprietary and rely on a variety of methods, including a combination of copyright, patent, trademark, and trade secret laws, and employee and third</w:t>
      </w:r>
      <w:r>
        <w:rPr>
          <w:rFonts w:ascii="MS PGothic" w:cs="MS PGothic" w:eastAsia="MS PGothic" w:hAnsi="MS PGothic"/>
          <w:sz w:val="16"/>
          <w:szCs w:val="16"/>
          <w:color w:val="auto"/>
        </w:rPr>
        <w:t>‑</w:t>
      </w:r>
      <w:r>
        <w:rPr>
          <w:rFonts w:ascii="Arial" w:cs="Arial" w:eastAsia="Arial" w:hAnsi="Arial"/>
          <w:sz w:val="16"/>
          <w:szCs w:val="16"/>
          <w:color w:val="auto"/>
        </w:rPr>
        <w:t>party non</w:t>
      </w:r>
      <w:r>
        <w:rPr>
          <w:rFonts w:ascii="MS PGothic" w:cs="MS PGothic" w:eastAsia="MS PGothic" w:hAnsi="MS PGothic"/>
          <w:sz w:val="16"/>
          <w:szCs w:val="16"/>
          <w:color w:val="auto"/>
        </w:rPr>
        <w:t>‑</w:t>
      </w:r>
      <w:r>
        <w:rPr>
          <w:rFonts w:ascii="Arial" w:cs="Arial" w:eastAsia="Arial" w:hAnsi="Arial"/>
          <w:sz w:val="16"/>
          <w:szCs w:val="16"/>
          <w:color w:val="auto"/>
        </w:rPr>
        <w:t>disclosure agreements, to protect our proprietary rights. We own or license various copyrights, patents, trademarks, and trade secrets. The process of registering and protecting these rights in various jurisdictions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9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video game industry continues to evolve, and new and innovative business opportunities are often subject to new attempts at regulation. As such, legislation is continually being introduced, and litigation and regulatory enforcement actions are taking place, that may affect the way in which we, and other industry participants, may offer content and features, and distribute and advertise our products. These laws, regulations, and investigations are related to protection of minors, gambling, screen time, business models, consumer privacy, accessibility, advertising, taxation, payments, intellectual property, distribution, and antitrust, among others.</w:t>
      </w:r>
    </w:p>
    <w:p>
      <w:pPr>
        <w:spacing w:after="0" w:line="215"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For example, many foreign countries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United States, including legislation that attempts to impose additional taxes based on content). In addition, certain jurisdictions have laws that restrict or prohibit marketing or distribution of interactive entertainment software products with random digital item mechanics, which some of our online games and services include, or subject such products to additional regulation and oversight, such as reporting to regulators. Certain jurisdictions also have laws that restrict or prohibit certain types of esports tournaments. We also sometimes offer consumers of our online and casual games various types of contests and promotional opportunities. We are subject to laws in a number of jurisdictions concerning the operation and offering of tournaments and games, many of which are still evolving and could be interpreted in ways that could harm our business. Further, the growth and development of electronic commerce, virtual items, and currency may prompt calls for more stringent consumer protection laws that may impose additional burdens or limitations on operations of companies such as ours conducting business through the Internet and mobile devices, including related to screen time. Also, existing laws or new laws regarding the marketing of in</w:t>
      </w:r>
      <w:r>
        <w:rPr>
          <w:rFonts w:ascii="MS PGothic" w:cs="MS PGothic" w:eastAsia="MS PGothic" w:hAnsi="MS PGothic"/>
          <w:sz w:val="16"/>
          <w:szCs w:val="16"/>
          <w:color w:val="auto"/>
        </w:rPr>
        <w:t>‑</w:t>
      </w:r>
      <w:r>
        <w:rPr>
          <w:rFonts w:ascii="Arial" w:cs="Arial" w:eastAsia="Arial" w:hAnsi="Arial"/>
          <w:sz w:val="16"/>
          <w:szCs w:val="16"/>
          <w:color w:val="auto"/>
        </w:rPr>
        <w:t>app purchases, regulation of currency, banking institutions, unclaimed property, and money laundering may be interpreted to cover virtual currency or goods. Additionally, laws may limit or prevent the auto-renewal of contracts and subscriptions. Further, the European Commission has recently imposed a large antitrust fine on a number of other game publishers who had been geoblocking certain EU countries. In addition, in 2019 the World Health Organization included “gaming disorder” in the 11th Revision of the International Classification of Diseases (ICD-11), leading some countries to consider legislation and policies aimed at addressing this issue. Moreover, the public dialogue concerning interactive entertainment may have an adverse impact on our reputation and consumers’ willingness to purchase our products.</w:t>
      </w:r>
    </w:p>
    <w:p>
      <w:pPr>
        <w:spacing w:after="0" w:line="240" w:lineRule="exact"/>
        <w:rPr>
          <w:sz w:val="20"/>
          <w:szCs w:val="20"/>
          <w:color w:val="auto"/>
        </w:rPr>
      </w:pPr>
    </w:p>
    <w:p>
      <w:pPr>
        <w:ind w:right="20" w:firstLine="405"/>
        <w:spacing w:after="0" w:line="219" w:lineRule="exact"/>
        <w:rPr>
          <w:sz w:val="20"/>
          <w:szCs w:val="20"/>
          <w:color w:val="auto"/>
        </w:rPr>
      </w:pPr>
      <w:r>
        <w:rPr>
          <w:rFonts w:ascii="Arial" w:cs="Arial" w:eastAsia="Arial" w:hAnsi="Arial"/>
          <w:sz w:val="17"/>
          <w:szCs w:val="17"/>
          <w:color w:val="auto"/>
        </w:rPr>
        <w:t>The adoption and enforcement of legislation that restricts the marketing, content, business model, or sales of our products in countries in which we do business may harm the sales of our products, as the products we are able to offer to our customers and the size of the potential audience for our products may be limited. We may be required to modify certain product development processes or products or alter our marketing strategies to comply with regulations, which could be costly or delay the release of our products. In addition, the laws and regulations affecting our products vary by territory and may be inconsistent with one another, imposing conflicting or uncertain restrictions. Failure to comply with any applicable legislation may also result in government</w:t>
      </w:r>
      <w:r>
        <w:rPr>
          <w:rFonts w:ascii="MS PGothic" w:cs="MS PGothic" w:eastAsia="MS PGothic" w:hAnsi="MS PGothic"/>
          <w:sz w:val="17"/>
          <w:szCs w:val="17"/>
          <w:color w:val="auto"/>
        </w:rPr>
        <w:t>‑</w:t>
      </w:r>
      <w:r>
        <w:rPr>
          <w:rFonts w:ascii="Arial" w:cs="Arial" w:eastAsia="Arial" w:hAnsi="Arial"/>
          <w:sz w:val="17"/>
          <w:szCs w:val="17"/>
          <w:color w:val="auto"/>
        </w:rPr>
        <w:t>imposed fines or other penalties, as well as harm to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government regulations relating to the Internet could negatively impact our business.</w:t>
      </w:r>
    </w:p>
    <w:p>
      <w:pPr>
        <w:spacing w:after="0" w:line="252" w:lineRule="exact"/>
        <w:rPr>
          <w:sz w:val="20"/>
          <w:szCs w:val="20"/>
          <w:color w:val="auto"/>
        </w:rPr>
      </w:pPr>
    </w:p>
    <w:p>
      <w:pPr>
        <w:ind w:right="40" w:firstLine="405"/>
        <w:spacing w:after="0" w:line="217" w:lineRule="exact"/>
        <w:rPr>
          <w:sz w:val="20"/>
          <w:szCs w:val="20"/>
          <w:color w:val="auto"/>
        </w:rPr>
      </w:pPr>
      <w:r>
        <w:rPr>
          <w:rFonts w:ascii="Arial" w:cs="Arial" w:eastAsia="Arial" w:hAnsi="Arial"/>
          <w:sz w:val="16"/>
          <w:szCs w:val="16"/>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or the availability of bandwidth could impair our consumers’ online video game experiences,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in December 2017, the Federal Communications Commission voted to repeal net neutrality regulations in the U.S. and, following that decision, several states enacted net neutrality regulations. Given uncertainty around these rules relating to the Internet, including changing interpretations, amendments, or repeal of those rules, coupled with the potentially significant political and economic power of local Internet service providers and the relatively significant level of Internet bandwidth access our products and services require, we could experience discriminatory or anti</w:t>
      </w:r>
      <w:r>
        <w:rPr>
          <w:rFonts w:ascii="MS PGothic" w:cs="MS PGothic" w:eastAsia="MS PGothic" w:hAnsi="MS PGothic"/>
          <w:sz w:val="16"/>
          <w:szCs w:val="16"/>
          <w:color w:val="auto"/>
        </w:rPr>
        <w:t>‑</w:t>
      </w:r>
      <w:r>
        <w:rPr>
          <w:rFonts w:ascii="Arial" w:cs="Arial" w:eastAsia="Arial" w:hAnsi="Arial"/>
          <w:sz w:val="16"/>
          <w:szCs w:val="16"/>
          <w:color w:val="auto"/>
        </w:rPr>
        <w:t>competitive practices that could impede our growth, cause us to incur additional expenses, or otherwise negatively impact our business.</w:t>
      </w:r>
    </w:p>
    <w:p>
      <w:pPr>
        <w:spacing w:after="0" w:line="2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laws and regulations concerning data privacy are continually evolving. Failure to comply with these laws and regulations could harm our business.</w:t>
      </w:r>
    </w:p>
    <w:p>
      <w:pPr>
        <w:spacing w:after="0" w:line="197"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Consumers play certain of our games online using our own distribution platforms, including Blizzard Battle.net, third</w:t>
      </w:r>
      <w:r>
        <w:rPr>
          <w:rFonts w:ascii="MS PGothic" w:cs="MS PGothic" w:eastAsia="MS PGothic" w:hAnsi="MS PGothic"/>
          <w:sz w:val="16"/>
          <w:szCs w:val="16"/>
          <w:color w:val="auto"/>
        </w:rPr>
        <w:t>‑</w:t>
      </w:r>
      <w:r>
        <w:rPr>
          <w:rFonts w:ascii="Arial" w:cs="Arial" w:eastAsia="Arial" w:hAnsi="Arial"/>
          <w:sz w:val="16"/>
          <w:szCs w:val="16"/>
          <w:color w:val="auto"/>
        </w:rPr>
        <w:t>party platforms and networks, through online social platforms, and on mobile devices. We collect and store information about our consumers, including consumers who play these games. In addition, we collect and store information about our employees. We are subject to laws from a variety of jurisdictions regarding privacy and the protection of this information, including the E.U.’s General Data Protection Regulation (the “GDPR”), the U.S. Children’s Online Privacy Protection Act, which regulates the collection, use, and disclosure of personal information from children under 13 years of age, and the California Consumer Privacy Act, among others. Failure to comply with any of these laws or regulations may increase our costs, subject us to expensive and distracting government investigations, result in substantial fines, or result in lawsuits and claims against us to the extent these laws include a private right of action.</w:t>
      </w:r>
    </w:p>
    <w:p>
      <w:pPr>
        <w:spacing w:after="0" w:line="231"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Data privacy protection laws are rapidly changing and likely will continue to do so for the foreseeable future and may be inconsistent from jurisdiction to jurisdiction. For example, the E.U. has traditionally taken a broader view than the United States and certain other jurisdictions as to what is considered personal information and has imposed greater obligations under data privacy and protection regulations, including those imposed under the GDPR. The U.S. government, including the Federal Trade Commission and the Department of Commerce, as well as various U.S. state governments, are continuing to review the need for greater regulation over the collection, sharing, use, or sale of personal information and information about consumer behavior on the Internet and on mobile devices. Complying with emerging and changing laws could require us to incur substantial costs or impact our approach to operating and marketing our games. Due to the rapidly changing nature of these data privacy protection laws, there is not always clear guidance from the respective governments and regulators regarding the interpretation of the law, which may create the risk of an inadvertent violation. Various government and consumer agencies worldwide have also called for new regulation and changes in industry practices. In addition, in some cases, we are dependent upon our platform providers and external data processors to assist us in ensuring compliance with these various types of regulations, and a violation by one of these third parties may also subject us to government investigations and result in substantial fines.</w:t>
      </w:r>
    </w:p>
    <w:p>
      <w:pPr>
        <w:spacing w:after="0" w:line="199" w:lineRule="exact"/>
        <w:rPr>
          <w:sz w:val="20"/>
          <w:szCs w:val="20"/>
          <w:color w:val="auto"/>
        </w:rPr>
      </w:pPr>
    </w:p>
    <w:p>
      <w:pPr>
        <w:ind w:right="40" w:firstLine="405"/>
        <w:spacing w:after="0" w:line="219" w:lineRule="exact"/>
        <w:rPr>
          <w:sz w:val="20"/>
          <w:szCs w:val="20"/>
          <w:color w:val="auto"/>
        </w:rPr>
      </w:pPr>
      <w:r>
        <w:rPr>
          <w:rFonts w:ascii="Arial" w:cs="Arial" w:eastAsia="Arial" w:hAnsi="Arial"/>
          <w:sz w:val="17"/>
          <w:szCs w:val="17"/>
          <w:color w:val="auto"/>
        </w:rPr>
        <w:t>Player interaction with our games is subject to our privacy policies, end user license agreements (“EULAs”), and terms of service. If we fail to comply with our posted privacy policies, EULAs, or terms of service, or if we fail to comply with existing privacy</w:t>
      </w:r>
      <w:r>
        <w:rPr>
          <w:rFonts w:ascii="MS PGothic" w:cs="MS PGothic" w:eastAsia="MS PGothic" w:hAnsi="MS PGothic"/>
          <w:sz w:val="17"/>
          <w:szCs w:val="17"/>
          <w:color w:val="auto"/>
        </w:rPr>
        <w:t>‑</w:t>
      </w:r>
      <w:r>
        <w:rPr>
          <w:rFonts w:ascii="Arial" w:cs="Arial" w:eastAsia="Arial" w:hAnsi="Arial"/>
          <w:sz w:val="17"/>
          <w:szCs w:val="17"/>
          <w:color w:val="auto"/>
        </w:rPr>
        <w:t>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consumers, or employees raise any concerns about our privacy and data protection or consumer protection practices, even if unfounded, this could also result in fines or judgments against us, damage our reputation, negatively impact our financial condition, or damage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51" w:lineRule="exact"/>
        <w:rPr>
          <w:sz w:val="20"/>
          <w:szCs w:val="20"/>
          <w:color w:val="auto"/>
        </w:rPr>
      </w:pPr>
    </w:p>
    <w:p>
      <w:pPr>
        <w:ind w:firstLine="405"/>
        <w:spacing w:after="0" w:line="217" w:lineRule="exact"/>
        <w:rPr>
          <w:sz w:val="20"/>
          <w:szCs w:val="20"/>
          <w:color w:val="auto"/>
        </w:rPr>
      </w:pPr>
      <w:r>
        <w:rPr>
          <w:rFonts w:ascii="Arial" w:cs="Arial" w:eastAsia="Arial" w:hAnsi="Arial"/>
          <w:sz w:val="17"/>
          <w:szCs w:val="17"/>
          <w:color w:val="auto"/>
        </w:rPr>
        <w:t>Our console and PC games are subject to ratings by the Entertainment Software Rating Board (the “ESRB”), a self</w:t>
      </w:r>
      <w:r>
        <w:rPr>
          <w:rFonts w:ascii="MS PGothic" w:cs="MS PGothic" w:eastAsia="MS PGothic" w:hAnsi="MS PGothic"/>
          <w:sz w:val="17"/>
          <w:szCs w:val="17"/>
          <w:color w:val="auto"/>
        </w:rPr>
        <w:t>‑</w:t>
      </w:r>
      <w:r>
        <w:rPr>
          <w:rFonts w:ascii="Arial" w:cs="Arial" w:eastAsia="Arial" w:hAnsi="Arial"/>
          <w:sz w:val="17"/>
          <w:szCs w:val="17"/>
          <w:color w:val="auto"/>
        </w:rPr>
        <w:t>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7"/>
          <w:szCs w:val="17"/>
          <w:color w:val="auto"/>
        </w:rPr>
        <w:t>‑</w:t>
      </w:r>
      <w:r>
        <w:rPr>
          <w:rFonts w:ascii="Arial" w:cs="Arial" w:eastAsia="Arial" w:hAnsi="Arial"/>
          <w:sz w:val="17"/>
          <w:szCs w:val="17"/>
          <w:color w:val="auto"/>
        </w:rPr>
        <w:t>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237"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Economic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rates or exposure to additional tax liabilities could negatively impact our business.</w:t>
      </w:r>
    </w:p>
    <w:p>
      <w:pPr>
        <w:spacing w:after="0" w:line="25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negative impact on our business or require us to change the manner in which we operate our business. The tax regimes we are subject to, or operate under, are unsettled and may be subject to significant change.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w:t>
      </w:r>
    </w:p>
    <w:p>
      <w:pPr>
        <w:spacing w:after="0" w:line="20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Additionally, a number of countries are actively pursuing fundamental changes to the tax laws applicable to multinational companies like us, including an increasing number that have enacted, or are considering enacting, revenue-based taxes on digital services. These digital services taxes target various business activities, including online advertising and, in some cases, video game sales. While the scope and applicability of these taxes often remains unclear, digital services taxes that ultimately apply to us could have an adverse impact on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business.</w:t>
      </w:r>
    </w:p>
    <w:p>
      <w:pPr>
        <w:spacing w:after="0" w:line="25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which could fluctuate against the U.S. dollar. Since we have significant international sales but incur the majority of our costs in the United States,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9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downloadable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insolvency or business failure of any of our business partners could negatively impact us.</w:t>
      </w:r>
    </w:p>
    <w:p>
      <w:pPr>
        <w:spacing w:after="0" w:line="252" w:lineRule="exact"/>
        <w:rPr>
          <w:sz w:val="20"/>
          <w:szCs w:val="20"/>
          <w:color w:val="auto"/>
        </w:rPr>
      </w:pPr>
    </w:p>
    <w:p>
      <w:pPr>
        <w:ind w:firstLine="405"/>
        <w:spacing w:after="0" w:line="217" w:lineRule="exact"/>
        <w:rPr>
          <w:sz w:val="20"/>
          <w:szCs w:val="20"/>
          <w:color w:val="auto"/>
        </w:rPr>
      </w:pPr>
      <w:r>
        <w:rPr>
          <w:rFonts w:ascii="Arial" w:cs="Arial" w:eastAsia="Arial" w:hAnsi="Arial"/>
          <w:sz w:val="17"/>
          <w:szCs w:val="17"/>
          <w:color w:val="auto"/>
        </w:rPr>
        <w:t>Our sales, whether digital or retail, are concentrated in a small number of large customers, which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w:t>
      </w:r>
      <w:r>
        <w:rPr>
          <w:rFonts w:ascii="MS PGothic" w:cs="MS PGothic" w:eastAsia="MS PGothic" w:hAnsi="MS PGothic"/>
          <w:sz w:val="17"/>
          <w:szCs w:val="17"/>
          <w:color w:val="auto"/>
        </w:rPr>
        <w:t>‑</w:t>
      </w:r>
      <w:r>
        <w:rPr>
          <w:rFonts w:ascii="Arial" w:cs="Arial" w:eastAsia="Arial" w:hAnsi="Arial"/>
          <w:sz w:val="17"/>
          <w:szCs w:val="17"/>
          <w:color w:val="auto"/>
        </w:rPr>
        <w:t>off of accounts receivable could increase and, even if increased, may turn out to be insufficient. While we have insurance to protect against a customer’s bankruptcy, insolvency, or liquidation, this insurance typically contains a significant deductible and co</w:t>
      </w:r>
      <w:r>
        <w:rPr>
          <w:rFonts w:ascii="MS PGothic" w:cs="MS PGothic" w:eastAsia="MS PGothic" w:hAnsi="MS PGothic"/>
          <w:sz w:val="17"/>
          <w:szCs w:val="17"/>
          <w:color w:val="auto"/>
        </w:rPr>
        <w:t>‑</w:t>
      </w:r>
      <w:r>
        <w:rPr>
          <w:rFonts w:ascii="Arial" w:cs="Arial" w:eastAsia="Arial" w:hAnsi="Arial"/>
          <w:sz w:val="17"/>
          <w:szCs w:val="17"/>
          <w:color w:val="auto"/>
        </w:rPr>
        <w:t>payment obligation and does not cover all instances of non</w:t>
      </w:r>
      <w:r>
        <w:rPr>
          <w:rFonts w:ascii="MS PGothic" w:cs="MS PGothic" w:eastAsia="MS PGothic" w:hAnsi="MS PGothic"/>
          <w:sz w:val="17"/>
          <w:szCs w:val="17"/>
          <w:color w:val="auto"/>
        </w:rPr>
        <w:t>‑</w:t>
      </w:r>
      <w:r>
        <w:rPr>
          <w:rFonts w:ascii="Arial" w:cs="Arial" w:eastAsia="Arial" w:hAnsi="Arial"/>
          <w:sz w:val="17"/>
          <w:szCs w:val="17"/>
          <w:color w:val="auto"/>
        </w:rPr>
        <w:t>payment. Further, a payment default or the insolvency or business failure of, other types of business partners could result in disruptions to the manufacturing or distribution of our products or the cancellation of contractual arrangements that we consider to be favorable, and could negatively impact our business. In addition, having such a large portion of our total net revenues concentrated in a few customers reduces our negotiating leverage with these customers.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our products and services are discretionary spending, if general economic conditions decline, demand for our products could decline.</w:t>
      </w:r>
    </w:p>
    <w:p>
      <w:pPr>
        <w:spacing w:after="0" w:line="27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Our principal corporate and administrative offices, which include our Activision segment’s headquarters, are located in Santa Monica, California. Our Activision segment also leases office space for development studio personnel throughout the U.S., primarily in California, New York, and Wisconsin. We also lease office space in Irvine, CA for our Blizzard segment’s headquarters, which include administrative and development studio space. We lease office space in London, United Kingdom for our King segment’s headquarters, as well as office space for additional administrative and development studio space in Barcelona, Spain and Stockholm, Sweden.</w:t>
      </w:r>
    </w:p>
    <w:p>
      <w:pPr>
        <w:spacing w:after="0" w:line="21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anticipate no difficulty in extending the leases of our facilities or obtaining comparable facilities in suitable locations, as needed, and we consider our facilities to be adequate for our current needs.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right="66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09">
        <w:r>
          <w:rPr>
            <w:rFonts w:ascii="Arial" w:cs="Arial" w:eastAsia="Arial" w:hAnsi="Arial"/>
            <w:sz w:val="18"/>
            <w:szCs w:val="18"/>
            <w:u w:val="single" w:color="auto"/>
            <w:color w:val="0000FF"/>
          </w:rPr>
          <w:t>Note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disclosures regarding our legal proceedings.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720" w:right="300" w:hanging="728"/>
        <w:spacing w:after="0" w:line="282" w:lineRule="auto"/>
        <w:tabs>
          <w:tab w:leader="none" w:pos="7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252"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Our common stock is quoted on the Nasdaq National Market under the symbol “ATVI”. At February 16, 2021, there were 1,524 holders of record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 as amended.</w:t>
      </w:r>
    </w:p>
    <w:p>
      <w:pPr>
        <w:spacing w:after="0" w:line="207" w:lineRule="exact"/>
        <w:rPr>
          <w:sz w:val="20"/>
          <w:szCs w:val="20"/>
          <w:color w:val="auto"/>
        </w:rPr>
      </w:pPr>
    </w:p>
    <w:p>
      <w:pPr>
        <w:jc w:val="center"/>
        <w:ind w:left="740" w:right="2420"/>
        <w:spacing w:after="0" w:line="266" w:lineRule="auto"/>
        <w:rPr>
          <w:sz w:val="20"/>
          <w:szCs w:val="20"/>
          <w:color w:val="auto"/>
        </w:rPr>
      </w:pPr>
      <w:r>
        <w:rPr>
          <w:rFonts w:ascii="Arial" w:cs="Arial" w:eastAsia="Arial" w:hAnsi="Arial"/>
          <w:sz w:val="18"/>
          <w:szCs w:val="18"/>
          <w:b w:val="1"/>
          <w:bCs w:val="1"/>
          <w:color w:val="auto"/>
        </w:rPr>
        <w:t xml:space="preserve">COMPARISON OF 5-YEAR CUMULATIVE TOTAL RETURN </w:t>
      </w:r>
      <w:r>
        <w:rPr>
          <w:rFonts w:ascii="Arial" w:cs="Arial" w:eastAsia="Arial" w:hAnsi="Arial"/>
          <w:sz w:val="18"/>
          <w:szCs w:val="18"/>
          <w:color w:val="auto"/>
        </w:rPr>
        <w:t>among Activision Blizzard, Inc., the Nasdaq Composite Index, the S&amp;P 500 Index, and the RDG Technology Composite Index</w:t>
      </w:r>
    </w:p>
    <w:p>
      <w:pPr>
        <w:spacing w:after="0" w:line="207" w:lineRule="exact"/>
        <w:rPr>
          <w:sz w:val="20"/>
          <w:szCs w:val="20"/>
          <w:color w:val="auto"/>
        </w:rPr>
      </w:pPr>
    </w:p>
    <w:p>
      <w:pPr>
        <w:jc w:val="both"/>
        <w:ind w:right="340" w:firstLine="405"/>
        <w:spacing w:after="0" w:line="311" w:lineRule="auto"/>
        <w:rPr>
          <w:sz w:val="20"/>
          <w:szCs w:val="20"/>
          <w:color w:val="auto"/>
        </w:rPr>
      </w:pPr>
      <w:r>
        <w:rPr>
          <w:rFonts w:ascii="Arial" w:cs="Arial" w:eastAsia="Arial" w:hAnsi="Arial"/>
          <w:sz w:val="16"/>
          <w:szCs w:val="16"/>
          <w:color w:val="auto"/>
        </w:rPr>
        <w:t>The following graph and table compare the cumulative total stockholder return on our common stock, the Nasdaq Composite Index, the S&amp;P 500 Index, and the RDG Technology Composite Index. The graph and table assume that $100 was invested on December 31, 2015,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60960</wp:posOffset>
            </wp:positionV>
            <wp:extent cx="5863590" cy="3651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863590" cy="36518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Fiscal year ending 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12/15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12/16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12/19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12/20</w:t>
            </w: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 Blizzard,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271.64</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203.04</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RDG Technology Composite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340.33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5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have paid a dividend annually since 2010. Below is a summary of cash dividends paid over the past three fiscal years, along with the dividend most recently declared by the Board of Directors that will be paid in May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ind w:left="1120"/>
              <w:spacing w:after="0"/>
              <w:rPr>
                <w:sz w:val="20"/>
                <w:szCs w:val="20"/>
                <w:color w:val="auto"/>
              </w:rPr>
            </w:pPr>
            <w:r>
              <w:rPr>
                <w:rFonts w:ascii="Arial" w:cs="Arial" w:eastAsia="Arial" w:hAnsi="Arial"/>
                <w:sz w:val="18"/>
                <w:szCs w:val="18"/>
                <w:b w:val="1"/>
                <w:bCs w:val="1"/>
                <w:color w:val="auto"/>
              </w:rPr>
              <w:t>Year</w:t>
            </w:r>
          </w:p>
        </w:tc>
        <w:tc>
          <w:tcPr>
            <w:tcW w:w="2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 Share Amount</w:t>
            </w:r>
          </w:p>
        </w:tc>
        <w:tc>
          <w:tcPr>
            <w:tcW w:w="2880" w:type="dxa"/>
            <w:vAlign w:val="bottom"/>
            <w:gridSpan w:val="2"/>
          </w:tcPr>
          <w:p>
            <w:pPr>
              <w:ind w:left="860"/>
              <w:spacing w:after="0"/>
              <w:rPr>
                <w:sz w:val="20"/>
                <w:szCs w:val="20"/>
                <w:color w:val="auto"/>
              </w:rPr>
            </w:pPr>
            <w:r>
              <w:rPr>
                <w:rFonts w:ascii="Arial" w:cs="Arial" w:eastAsia="Arial" w:hAnsi="Arial"/>
                <w:sz w:val="18"/>
                <w:szCs w:val="18"/>
                <w:b w:val="1"/>
                <w:bCs w:val="1"/>
                <w:color w:val="auto"/>
              </w:rPr>
              <w:t>Record Date</w:t>
            </w:r>
          </w:p>
        </w:tc>
        <w:tc>
          <w:tcPr>
            <w:tcW w:w="2680" w:type="dxa"/>
            <w:vAlign w:val="bottom"/>
          </w:tcPr>
          <w:p>
            <w:pPr>
              <w:jc w:val="right"/>
              <w:ind w:right="330"/>
              <w:spacing w:after="0"/>
              <w:rPr>
                <w:sz w:val="20"/>
                <w:szCs w:val="20"/>
                <w:color w:val="auto"/>
              </w:rPr>
            </w:pPr>
            <w:r>
              <w:rPr>
                <w:rFonts w:ascii="Arial" w:cs="Arial" w:eastAsia="Arial" w:hAnsi="Arial"/>
                <w:sz w:val="18"/>
                <w:szCs w:val="18"/>
                <w:b w:val="1"/>
                <w:bCs w:val="1"/>
                <w:color w:val="auto"/>
              </w:rPr>
              <w:t>Dividend Payment Date</w:t>
            </w:r>
          </w:p>
        </w:tc>
      </w:tr>
      <w:tr>
        <w:trPr>
          <w:trHeight w:val="223"/>
        </w:trPr>
        <w:tc>
          <w:tcPr>
            <w:tcW w:w="25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$0.47</w:t>
            </w:r>
          </w:p>
        </w:tc>
        <w:tc>
          <w:tcPr>
            <w:tcW w:w="2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4/15/2021</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5/6/2021</w:t>
            </w:r>
          </w:p>
        </w:tc>
      </w:tr>
      <w:tr>
        <w:trPr>
          <w:trHeight w:val="230"/>
        </w:trPr>
        <w:tc>
          <w:tcPr>
            <w:tcW w:w="2580" w:type="dxa"/>
            <w:vAlign w:val="bottom"/>
          </w:tcPr>
          <w:p>
            <w:pPr>
              <w:ind w:left="11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$0.41</w:t>
            </w:r>
          </w:p>
        </w:tc>
        <w:tc>
          <w:tcPr>
            <w:tcW w:w="22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4/15/2020</w:t>
            </w:r>
          </w:p>
        </w:tc>
        <w:tc>
          <w:tcPr>
            <w:tcW w:w="2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5/6/2020</w:t>
            </w:r>
          </w:p>
        </w:tc>
      </w:tr>
      <w:tr>
        <w:trPr>
          <w:trHeight w:val="229"/>
        </w:trPr>
        <w:tc>
          <w:tcPr>
            <w:tcW w:w="25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$0.37</w:t>
            </w:r>
          </w:p>
        </w:tc>
        <w:tc>
          <w:tcPr>
            <w:tcW w:w="22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3/28/2019</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5/9/2019</w:t>
            </w:r>
          </w:p>
        </w:tc>
      </w:tr>
      <w:tr>
        <w:trPr>
          <w:trHeight w:val="230"/>
        </w:trPr>
        <w:tc>
          <w:tcPr>
            <w:tcW w:w="2580" w:type="dxa"/>
            <w:vAlign w:val="bottom"/>
          </w:tcPr>
          <w:p>
            <w:pPr>
              <w:ind w:left="11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$0.34</w:t>
            </w:r>
          </w:p>
        </w:tc>
        <w:tc>
          <w:tcPr>
            <w:tcW w:w="22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3/30/2018</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5/9/2018</w:t>
            </w:r>
          </w:p>
        </w:tc>
      </w:tr>
    </w:tbl>
    <w:p>
      <w:pPr>
        <w:spacing w:after="0" w:line="322"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Future dividends will depend upon our earnings, financial condition, cash requirements, anticipated future prospects, and other factors deemed relevant by our Board of Directors. There can be no assurances that dividends will be declared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 of Equity Securities</w:t>
      </w:r>
    </w:p>
    <w:p>
      <w:pPr>
        <w:spacing w:after="0" w:line="252"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To date, we have not repurchased any shares under this program.</w:t>
      </w:r>
    </w:p>
    <w:p>
      <w:pPr>
        <w:spacing w:after="0" w:line="19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On January 31, 2019, our Board of Directors authorized a stock repurchase program under which we were authorized to repurchase up to $1.5 billion of our common stock during the two-year period from February 14, 2019 until the earlier of February 13, 2021 and a determination by the Board of Directors to discontinue the repurchase program. We did not repurchase any shares under this program.</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w:t>
      </w:r>
    </w:p>
    <w:p>
      <w:pPr>
        <w:spacing w:after="0" w:line="25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Activision delivers content through both premium and free-to-play offerings and primarily generates revenue from full-game and in-game sales, as well as by licensing software to third-party or related-party companies that distribute Activision products. Activision also includes the activities of the Call of Duty League, a global professional esports league with city-based teams.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w:t>
      </w:r>
    </w:p>
    <w:p>
      <w:pPr>
        <w:spacing w:after="0" w:line="252"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Blizzard Battle.net, which facilitates digital distribution of Blizzard content and selected Activision content, online social connectivity, and the creation of user-generated content. Blizzard also includes the activities of the Overwatch League, a global professional esports league with city-based teams.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w:t>
      </w:r>
    </w:p>
    <w:p>
      <w:pPr>
        <w:spacing w:after="0" w:line="252"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King delivers content primarily through free-to-play offerings and primarily generates revenue from in-game sales and in-game advertising on the mobile platform.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We also engage in other businesses that do not represent reportable segments, including the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financial highlights included:</w:t>
      </w:r>
    </w:p>
    <w:p>
      <w:pPr>
        <w:spacing w:after="0" w:line="252" w:lineRule="exact"/>
        <w:rPr>
          <w:sz w:val="20"/>
          <w:szCs w:val="20"/>
          <w:color w:val="auto"/>
        </w:rPr>
      </w:pPr>
    </w:p>
    <w:p>
      <w:pPr>
        <w:ind w:left="980" w:right="3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net revenues increased 25% to $8.1 billion and consolidated operating income increased 70% to $2.7 billion, as compared to consolidated net revenues of $6.5 billion and consolidated operating income of $1.6 billion in 2019;</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common share increased to $2.82, as compared to $1.95 in 2019;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from operating activities were approximately $2.25 billion, an increase of 23%, as compared to $1.83 billion in 2019.</w:t>
      </w:r>
    </w:p>
    <w:p>
      <w:pPr>
        <w:spacing w:after="0" w:line="25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year ended December 31, 2020, include a net effect of $333 million and $238 million, respectively, from the deferral of net revenues and related cost of revenues.</w:t>
      </w:r>
    </w:p>
    <w:p>
      <w:pPr>
        <w:spacing w:after="0" w:line="198"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Additionally, for the year ended December 31, 2020 and 2019, 16% and 18% of total net revenues recognized were from revenue sources that were recognized at a “point-in-time,” respectively, while “over-time and other” revenues were 84% and 82%, of total net revenues, respectively. Revenue recognized at a “point-in-time” is primarily comprised of the portion of revenue from software products that is recognized when the customer takes control of the product (i.e., upon delivery of the software product) and revenues from our Distribution business. “Over-time and other revenue” is primarily comprised of revenue associated with the online functionality of our games, in-game purchases, and subscriptions.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Release and Event Highlights</w:t>
      </w:r>
    </w:p>
    <w:p>
      <w:pPr>
        <w:spacing w:after="0" w:line="252"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Throughout the year we regularly release new content through seasonal and live services updates within our franchises, including Call of Duty, Candy Crush, and Hearthstone. In addition to these updates, notable game releases during 2020, included:</w:t>
      </w:r>
    </w:p>
    <w:p>
      <w:pPr>
        <w:spacing w:after="0" w:line="19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Call of Duty: Warzone,</w:t>
      </w:r>
      <w:r>
        <w:rPr>
          <w:rFonts w:ascii="Arial" w:cs="Arial" w:eastAsia="Arial" w:hAnsi="Arial"/>
          <w:sz w:val="18"/>
          <w:szCs w:val="18"/>
          <w:color w:val="auto"/>
        </w:rPr>
        <w:t xml:space="preserve"> a free-to-play experience on console and PC platforms;</w:t>
      </w:r>
    </w:p>
    <w:p>
      <w:pPr>
        <w:spacing w:after="0" w:line="24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Tony Hawk’s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Pro Skater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1 and 2</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Crash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Bandicoot 4: It’s About Time</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Blizzard’s </w:t>
      </w:r>
      <w:r>
        <w:rPr>
          <w:rFonts w:ascii="Arial" w:cs="Arial" w:eastAsia="Arial" w:hAnsi="Arial"/>
          <w:sz w:val="18"/>
          <w:szCs w:val="18"/>
          <w:i w:val="1"/>
          <w:iCs w:val="1"/>
          <w:color w:val="auto"/>
        </w:rPr>
        <w:t>World of Warcraft: Shadowlands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52%, 54%, and 54% of our total consolidated net revenues for the years ended December 31, 2020, 2019, and 2018, respectively. The majority of our net revenues from foreign countries are generated by consumers in Australia, Canada, China, France, Germany, Italy, Japan, South Korea, Spain, Sweden, and the U.K.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25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operating metrics are key performance indicators that we use to evaluate our business. The key drivers of changes in our operating metrics are presented in the order of significance.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 and In-game net bookings</w:t>
      </w:r>
    </w:p>
    <w:p>
      <w:pPr>
        <w:spacing w:after="0" w:line="252"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bookings and in-game net bookings were as follows (amounts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11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bookings</w:t>
            </w:r>
          </w:p>
        </w:tc>
        <w:tc>
          <w:tcPr>
            <w:tcW w:w="116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In-game net bookings</w:t>
            </w: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4,852</w:t>
            </w:r>
          </w:p>
        </w:tc>
        <w:tc>
          <w:tcPr>
            <w:tcW w:w="220" w:type="dxa"/>
            <w:vAlign w:val="bottom"/>
          </w:tcPr>
          <w:p>
            <w:pPr>
              <w:spacing w:after="0"/>
              <w:rPr>
                <w:sz w:val="20"/>
                <w:szCs w:val="20"/>
                <w:color w:val="auto"/>
              </w:rPr>
            </w:pPr>
          </w:p>
        </w:tc>
        <w:tc>
          <w:tcPr>
            <w:tcW w:w="1180" w:type="dxa"/>
            <w:vAlign w:val="bottom"/>
          </w:tcPr>
          <w:p>
            <w:pPr>
              <w:jc w:val="right"/>
              <w:ind w:right="9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3,366</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net bookings for 2020, as compared to 2019, was primarily due to:</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 $1.7 billion increase in Activision net bookings driven by higher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(which was released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in October 2019, and when referred to herein, is inclusive of </w:t>
      </w:r>
      <w:r>
        <w:rPr>
          <w:rFonts w:ascii="Arial" w:cs="Arial" w:eastAsia="Arial" w:hAnsi="Arial"/>
          <w:sz w:val="16"/>
          <w:szCs w:val="16"/>
          <w:i w:val="1"/>
          <w:iCs w:val="1"/>
          <w:color w:val="auto"/>
        </w:rPr>
        <w:t>Call of Duty: Warzone</w:t>
      </w:r>
      <w:r>
        <w:rPr>
          <w:rFonts w:ascii="Arial" w:cs="Arial" w:eastAsia="Arial" w:hAnsi="Arial"/>
          <w:sz w:val="16"/>
          <w:szCs w:val="16"/>
          <w:color w:val="auto"/>
        </w:rPr>
        <w:t>, from its release in March 2020 through December 16,</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2020, the launch date of </w:t>
      </w:r>
      <w:r>
        <w:rPr>
          <w:rFonts w:ascii="Arial" w:cs="Arial" w:eastAsia="Arial" w:hAnsi="Arial"/>
          <w:sz w:val="16"/>
          <w:szCs w:val="16"/>
          <w:i w:val="1"/>
          <w:iCs w:val="1"/>
          <w:color w:val="auto"/>
        </w:rPr>
        <w:t>Call of Duty: Black Ops Cold War</w:t>
      </w:r>
      <w:r>
        <w:rPr>
          <w:rFonts w:ascii="Arial" w:cs="Arial" w:eastAsia="Arial" w:hAnsi="Arial"/>
          <w:sz w:val="16"/>
          <w:szCs w:val="16"/>
          <w:color w:val="auto"/>
        </w:rPr>
        <w:t xml:space="preserve"> Season 1 content; after December 16, 2020,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revenues are</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associated with </w:t>
      </w:r>
      <w:r>
        <w:rPr>
          <w:rFonts w:ascii="Arial" w:cs="Arial" w:eastAsia="Arial" w:hAnsi="Arial"/>
          <w:sz w:val="16"/>
          <w:szCs w:val="16"/>
          <w:i w:val="1"/>
          <w:iCs w:val="1"/>
          <w:color w:val="auto"/>
        </w:rPr>
        <w:t>Call of Duty: Black Ops Cold War</w:t>
      </w:r>
      <w:r>
        <w:rPr>
          <w:rFonts w:ascii="Arial" w:cs="Arial" w:eastAsia="Arial" w:hAnsi="Arial"/>
          <w:sz w:val="16"/>
          <w:szCs w:val="16"/>
          <w:color w:val="auto"/>
        </w:rPr>
        <w:t xml:space="preserve"> content and included within that title’s revenue), as compared to </w:t>
      </w:r>
      <w:r>
        <w:rPr>
          <w:rFonts w:ascii="Arial" w:cs="Arial" w:eastAsia="Arial" w:hAnsi="Arial"/>
          <w:sz w:val="16"/>
          <w:szCs w:val="16"/>
          <w:i w:val="1"/>
          <w:iCs w:val="1"/>
          <w:color w:val="auto"/>
        </w:rPr>
        <w:t>Call of Duty: Black Ops 4</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which was released in October 2018, (2) </w:t>
      </w:r>
      <w:r>
        <w:rPr>
          <w:rFonts w:ascii="Arial" w:cs="Arial" w:eastAsia="Arial" w:hAnsi="Arial"/>
          <w:sz w:val="16"/>
          <w:szCs w:val="16"/>
          <w:i w:val="1"/>
          <w:iCs w:val="1"/>
          <w:color w:val="auto"/>
        </w:rPr>
        <w:t>Call of Duty: Mobile</w:t>
      </w:r>
      <w:r>
        <w:rPr>
          <w:rFonts w:ascii="Arial" w:cs="Arial" w:eastAsia="Arial" w:hAnsi="Arial"/>
          <w:sz w:val="16"/>
          <w:szCs w:val="16"/>
          <w:color w:val="auto"/>
        </w:rPr>
        <w:t>, which was released in October 2019, and (3) the Call of Duty franchise catalog</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titles, partially offset by lower net bookings from </w:t>
      </w:r>
      <w:r>
        <w:rPr>
          <w:rFonts w:ascii="Arial" w:cs="Arial" w:eastAsia="Arial" w:hAnsi="Arial"/>
          <w:sz w:val="18"/>
          <w:szCs w:val="18"/>
          <w:i w:val="1"/>
          <w:iCs w:val="1"/>
          <w:color w:val="auto"/>
        </w:rPr>
        <w:t>Sekiro</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Shadows Die Twice</w:t>
      </w:r>
      <w:r>
        <w:rPr>
          <w:rFonts w:ascii="Arial" w:cs="Arial" w:eastAsia="Arial" w:hAnsi="Arial"/>
          <w:sz w:val="18"/>
          <w:szCs w:val="18"/>
          <w:color w:val="auto"/>
        </w:rPr>
        <w:t>, which was released in March 2019;</w:t>
      </w:r>
    </w:p>
    <w:p>
      <w:pPr>
        <w:spacing w:after="0" w:line="180" w:lineRule="exact"/>
        <w:rPr>
          <w:rFonts w:ascii="Arial" w:cs="Arial" w:eastAsia="Arial" w:hAnsi="Arial"/>
          <w:sz w:val="16"/>
          <w:szCs w:val="16"/>
          <w:color w:val="auto"/>
        </w:rPr>
      </w:pPr>
    </w:p>
    <w:p>
      <w:pPr>
        <w:ind w:left="980" w:right="180" w:hanging="324"/>
        <w:spacing w:after="0" w:line="277"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 xml:space="preserve">a $186 million increase in Blizzard net bookings driven by higher net bookings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which includes the release of </w:t>
      </w:r>
      <w:r>
        <w:rPr>
          <w:rFonts w:ascii="Arial" w:cs="Arial" w:eastAsia="Arial" w:hAnsi="Arial"/>
          <w:sz w:val="18"/>
          <w:szCs w:val="18"/>
          <w:i w:val="1"/>
          <w:iCs w:val="1"/>
          <w:color w:val="auto"/>
        </w:rPr>
        <w:t>World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Warcraft: Shadowlands </w:t>
      </w:r>
      <w:r>
        <w:rPr>
          <w:rFonts w:ascii="Arial" w:cs="Arial" w:eastAsia="Arial" w:hAnsi="Arial"/>
          <w:sz w:val="18"/>
          <w:szCs w:val="18"/>
          <w:color w:val="auto"/>
        </w:rPr>
        <w:t>in November 2020, partially offset by lower net bookings from</w:t>
      </w:r>
      <w:r>
        <w:rPr>
          <w:rFonts w:ascii="Arial" w:cs="Arial" w:eastAsia="Arial" w:hAnsi="Arial"/>
          <w:sz w:val="18"/>
          <w:szCs w:val="18"/>
          <w:i w:val="1"/>
          <w:iCs w:val="1"/>
          <w:color w:val="auto"/>
        </w:rPr>
        <w:t xml:space="preserve"> Overwatch</w:t>
      </w:r>
      <w:r>
        <w:rPr>
          <w:rFonts w:ascii="Arial" w:cs="Arial" w:eastAsia="Arial" w:hAnsi="Arial"/>
          <w:sz w:val="18"/>
          <w:szCs w:val="18"/>
          <w:color w:val="auto"/>
        </w:rPr>
        <w:t>;</w:t>
      </w:r>
    </w:p>
    <w:p>
      <w:pPr>
        <w:spacing w:after="0" w:line="197" w:lineRule="exact"/>
        <w:rPr>
          <w:rFonts w:ascii="Arial" w:cs="Arial" w:eastAsia="Arial" w:hAnsi="Arial"/>
          <w:sz w:val="18"/>
          <w:szCs w:val="18"/>
          <w:i w:val="1"/>
          <w:iCs w:val="1"/>
          <w:color w:val="auto"/>
        </w:rPr>
      </w:pPr>
    </w:p>
    <w:p>
      <w:pPr>
        <w:ind w:left="980" w:right="1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$133 million increase in King net bookings driven by higher net bookings from advertising and in-game player purchases, primarily in the Candy Crush franchise;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$116 million increase in net bookings from our Distribution business.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In-game net bookings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in-game net bookings for 2020, as compared to 2019, was primarily due to:</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$1.4 billion increase in Activision in-game net bookings, driven by higher in-game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as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and (2) </w:t>
      </w: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$75 million increase in Blizzard in-game net bookings, driven by </w:t>
      </w:r>
      <w:r>
        <w:rPr>
          <w:rFonts w:ascii="Arial" w:cs="Arial" w:eastAsia="Arial" w:hAnsi="Arial"/>
          <w:sz w:val="18"/>
          <w:szCs w:val="18"/>
          <w:i w:val="1"/>
          <w:iCs w:val="1"/>
          <w:color w:val="auto"/>
        </w:rPr>
        <w:t>World of Warcraft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6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 2020</w:t>
            </w:r>
          </w:p>
        </w:tc>
        <w:tc>
          <w:tcPr>
            <w:tcW w:w="1380" w:type="dxa"/>
            <w:vAlign w:val="bottom"/>
          </w:tcPr>
          <w:p>
            <w:pPr>
              <w:ind w:left="400"/>
              <w:spacing w:after="0"/>
              <w:rPr>
                <w:sz w:val="20"/>
                <w:szCs w:val="20"/>
                <w:color w:val="auto"/>
              </w:rPr>
            </w:pPr>
            <w:r>
              <w:rPr>
                <w:rFonts w:ascii="Arial" w:cs="Arial" w:eastAsia="Arial" w:hAnsi="Arial"/>
                <w:sz w:val="16"/>
                <w:szCs w:val="16"/>
                <w:b w:val="1"/>
                <w:bCs w:val="1"/>
                <w:color w:val="auto"/>
                <w:w w:val="92"/>
              </w:rPr>
              <w:t>June 30, 2020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31, 2020</w:t>
            </w:r>
          </w:p>
        </w:tc>
        <w:tc>
          <w:tcPr>
            <w:tcW w:w="1760" w:type="dxa"/>
            <w:vAlign w:val="bottom"/>
          </w:tcPr>
          <w:p>
            <w:pPr>
              <w:jc w:val="right"/>
              <w:ind w:right="132"/>
              <w:spacing w:after="0"/>
              <w:rPr>
                <w:sz w:val="20"/>
                <w:szCs w:val="20"/>
                <w:color w:val="auto"/>
              </w:rPr>
            </w:pPr>
            <w:r>
              <w:rPr>
                <w:rFonts w:ascii="Arial" w:cs="Arial" w:eastAsia="Arial" w:hAnsi="Arial"/>
                <w:sz w:val="16"/>
                <w:szCs w:val="16"/>
                <w:b w:val="1"/>
                <w:bCs w:val="1"/>
                <w:color w:val="auto"/>
              </w:rPr>
              <w:t>December 31, 2019</w:t>
            </w:r>
          </w:p>
        </w:tc>
      </w:tr>
      <w:tr>
        <w:trPr>
          <w:trHeight w:val="226"/>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Blizzard</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271</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206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428</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1"/>
        </w:trPr>
        <w:tc>
          <w:tcPr>
            <w:tcW w:w="2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Average MAUs increased by 7 million, or 2%, for the three months ended December 31, 2020, as compared to the three months ended September 30, 2020, primarily due to an increase in average MAUs for Activision driven by the Call of Duty franchise due to (1) the November 2020 launch of </w:t>
      </w:r>
      <w:r>
        <w:rPr>
          <w:rFonts w:ascii="Arial" w:cs="Arial" w:eastAsia="Arial" w:hAnsi="Arial"/>
          <w:sz w:val="18"/>
          <w:szCs w:val="18"/>
          <w:i w:val="1"/>
          <w:iCs w:val="1"/>
          <w:color w:val="auto"/>
        </w:rPr>
        <w:t>Call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Duty: Black Ops Cold War, </w:t>
      </w:r>
      <w:r>
        <w:rPr>
          <w:rFonts w:ascii="Arial" w:cs="Arial" w:eastAsia="Arial" w:hAnsi="Arial"/>
          <w:sz w:val="18"/>
          <w:szCs w:val="18"/>
          <w:color w:val="auto"/>
        </w:rPr>
        <w:t>and (2) the December 2020 launch of</w:t>
      </w:r>
      <w:r>
        <w:rPr>
          <w:rFonts w:ascii="Arial" w:cs="Arial" w:eastAsia="Arial" w:hAnsi="Arial"/>
          <w:sz w:val="18"/>
          <w:szCs w:val="18"/>
          <w:i w:val="1"/>
          <w:iCs w:val="1"/>
          <w:color w:val="auto"/>
        </w:rPr>
        <w:t xml:space="preserve"> Call of Duty: Mobile </w:t>
      </w:r>
      <w:r>
        <w:rPr>
          <w:rFonts w:ascii="Arial" w:cs="Arial" w:eastAsia="Arial" w:hAnsi="Arial"/>
          <w:sz w:val="18"/>
          <w:szCs w:val="18"/>
          <w:color w:val="auto"/>
        </w:rPr>
        <w:t>in China. The increase was partially offset by lower average MAUs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various franchises at King.</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Average MAUs decreased by 12 million, or 3%, for the three months ended December 31,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year-over-year decrease in average MAUs is due to:</w:t>
      </w:r>
    </w:p>
    <w:p>
      <w:pPr>
        <w:spacing w:after="0" w:line="23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average MAUs across King’s various franchises, primarily from non-Candy Crush franchises;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lower average MAUs across Blizzard, primarily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Global COVID-19 Pandemic</w:t>
      </w:r>
    </w:p>
    <w:p>
      <w:pPr>
        <w:spacing w:after="0" w:line="252" w:lineRule="exact"/>
        <w:rPr>
          <w:sz w:val="20"/>
          <w:szCs w:val="20"/>
          <w:color w:val="auto"/>
        </w:rPr>
      </w:pPr>
    </w:p>
    <w:p>
      <w:pPr>
        <w:ind w:right="4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the </w:t>
      </w:r>
      <w:hyperlink w:anchor="page3">
        <w:r>
          <w:rPr>
            <w:rFonts w:ascii="Arial" w:cs="Arial" w:eastAsia="Arial" w:hAnsi="Arial"/>
            <w:sz w:val="18"/>
            <w:szCs w:val="18"/>
            <w:u w:val="single" w:color="auto"/>
            <w:color w:val="0000FF"/>
          </w:rPr>
          <w:t>“Impacts of the Global COVID-19 Pandemic”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section under Part I, Item 1 “Business” for discussion on the impacts of COVID-19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Entertainment Growth</w:t>
      </w:r>
    </w:p>
    <w:p>
      <w:pPr>
        <w:spacing w:after="0" w:line="25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business participates in the global interactive entertainment industry. Games have become an increasingly popular form of entertainment, and we estimate, based on consumer spending, that the total industry has grown, on average, 17% annually from 2017 to 2020. The industry continues to benefit from additional players entering the market as interactive entertainment becomes more commonplace across age groups and as more developing regions gain access to this form of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Gaming and Free-to-Play Games</w:t>
      </w:r>
    </w:p>
    <w:p>
      <w:pPr>
        <w:spacing w:after="0" w:line="25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 xml:space="preserve">Wide adoption of smartphones globally and the free-to-play business model on mobile platforms have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in, our franchises. The 2019 launch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is an example of these efforts.</w:t>
      </w:r>
    </w:p>
    <w:p>
      <w:pPr>
        <w:spacing w:after="0" w:line="2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addition, the free-to-play business model, which allows players to try a new game with no upfront cost, has begun to receive broader acceptance on PC and console platforms. This provides opportunities for us to increase the reach of our franchises through free-to-play offerings, which, in turn, provides opportunities to further drive player investment, as was seen with our recent </w:t>
      </w:r>
      <w:r>
        <w:rPr>
          <w:rFonts w:ascii="Arial" w:cs="Arial" w:eastAsia="Arial" w:hAnsi="Arial"/>
          <w:sz w:val="18"/>
          <w:szCs w:val="18"/>
          <w:i w:val="1"/>
          <w:iCs w:val="1"/>
          <w:color w:val="auto"/>
        </w:rPr>
        <w:t>Call of Duty: Warzone</w:t>
      </w:r>
      <w:r>
        <w:rPr>
          <w:rFonts w:ascii="Arial" w:cs="Arial" w:eastAsia="Arial" w:hAnsi="Arial"/>
          <w:sz w:val="18"/>
          <w:szCs w:val="18"/>
          <w:color w:val="auto"/>
        </w:rPr>
        <w:t xml:space="preserve"> release</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Sales Among the Most Popular Franchises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top titles in the industry are also becoming more consistent as players and revenues concentrate more heavily in established franchises. Of the top 10 gaming franchises in the U.S. in 2020, all 10 were established prior to 2020.</w:t>
      </w:r>
    </w:p>
    <w:p>
      <w:pPr>
        <w:spacing w:after="0" w:line="197"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A significant portion of our revenues historically has been derived from video games based on a few popular franchises, and these video games have also been responsible for a disproportionately higher percentage of our profits. For example, in 2020, the Call of Duty, Candy Crush, and World of Warcraft franchises, collectively, accounted for 76% of our consolidated net revenues—and a significantly higher percentage of our operating income.</w:t>
      </w:r>
    </w:p>
    <w:p>
      <w:pPr>
        <w:spacing w:after="0" w:line="176" w:lineRule="exact"/>
        <w:rPr>
          <w:sz w:val="20"/>
          <w:szCs w:val="20"/>
          <w:color w:val="auto"/>
        </w:rPr>
      </w:pPr>
    </w:p>
    <w:p>
      <w:pPr>
        <w:jc w:val="both"/>
        <w:ind w:right="280" w:firstLine="405"/>
        <w:spacing w:after="0" w:line="279" w:lineRule="auto"/>
        <w:rPr>
          <w:sz w:val="20"/>
          <w:szCs w:val="20"/>
          <w:color w:val="auto"/>
        </w:rPr>
      </w:pPr>
      <w:r>
        <w:rPr>
          <w:rFonts w:ascii="Arial" w:cs="Arial" w:eastAsia="Arial" w:hAnsi="Arial"/>
          <w:sz w:val="17"/>
          <w:szCs w:val="17"/>
          <w:color w:val="auto"/>
        </w:rPr>
        <w:t xml:space="preserve">In addition to investing in new content for our top franchises, with the aim of releasing such content more frequently, we are continually exploring additional ways to expand those franchises, such as our recent release of Activision’s </w:t>
      </w:r>
      <w:r>
        <w:rPr>
          <w:rFonts w:ascii="Arial" w:cs="Arial" w:eastAsia="Arial" w:hAnsi="Arial"/>
          <w:sz w:val="17"/>
          <w:szCs w:val="17"/>
          <w:i w:val="1"/>
          <w:iCs w:val="1"/>
          <w:color w:val="auto"/>
        </w:rPr>
        <w:t>Call of Duty: Warzone</w:t>
      </w:r>
      <w:r>
        <w:rPr>
          <w:rFonts w:ascii="Arial" w:cs="Arial" w:eastAsia="Arial" w:hAnsi="Arial"/>
          <w:sz w:val="17"/>
          <w:szCs w:val="17"/>
          <w:color w:val="auto"/>
        </w:rPr>
        <w:t xml:space="preserve">. Additionally, we have been increasing our development efforts to focus on expanding our franchises to the mobile platform, as demonstrated by the release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as well as our plans for </w:t>
      </w:r>
      <w:r>
        <w:rPr>
          <w:rFonts w:ascii="Arial" w:cs="Arial" w:eastAsia="Arial" w:hAnsi="Arial"/>
          <w:sz w:val="17"/>
          <w:szCs w:val="17"/>
          <w:i w:val="1"/>
          <w:iCs w:val="1"/>
          <w:color w:val="auto"/>
        </w:rPr>
        <w:t>Diablo Immortal™</w:t>
      </w:r>
      <w:r>
        <w:rPr>
          <w:rFonts w:ascii="Arial" w:cs="Arial" w:eastAsia="Arial" w:hAnsi="Arial"/>
          <w:sz w:val="17"/>
          <w:szCs w:val="17"/>
          <w:color w:val="auto"/>
        </w:rPr>
        <w:t xml:space="preserve"> and </w:t>
      </w:r>
      <w:r>
        <w:rPr>
          <w:rFonts w:ascii="Arial" w:cs="Arial" w:eastAsia="Arial" w:hAnsi="Arial"/>
          <w:sz w:val="17"/>
          <w:szCs w:val="17"/>
          <w:i w:val="1"/>
          <w:iCs w:val="1"/>
          <w:color w:val="auto"/>
        </w:rPr>
        <w:t>Crash Bandicoot: On the Run!™</w:t>
      </w:r>
      <w:r>
        <w:rPr>
          <w:rFonts w:ascii="Arial" w:cs="Arial" w:eastAsia="Arial" w:hAnsi="Arial"/>
          <w:sz w:val="17"/>
          <w:szCs w:val="17"/>
          <w:color w:val="auto"/>
        </w:rPr>
        <w:t>, which are both currently in development.</w:t>
      </w:r>
    </w:p>
    <w:p>
      <w:pPr>
        <w:spacing w:after="0" w:line="19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Overall, we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Business Models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Increased consumer online connectivity has allowed us to offer players new investment opportunities and to shift our business further towards a more consistently recurring and year-round model. While our business does continue to experience some periods of “seasonality” driven primarily by the timing of our releases of new premium full games, our in-game content and free-to-play offerings allow our players to access and invest in new content throughout the year. This incremental content not only provides additional high-margin revenues, but it can also increase player engagement.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to Expand Franchises Outside of Games</w:t>
      </w:r>
    </w:p>
    <w:p>
      <w:pPr>
        <w:spacing w:after="0" w:line="25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fans spend significant time engaging in our franchises and investing through purchases of our game content, including full games and in-game content. Given the passion our players have for our franchises, we believe there are emerging opportunities to drive additional engagement and investment in our franchises outside of games, such as with our Overwatch and Call of Duty leagues. Our efforts to build these adjacent opportunities are still relatively nascent.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Content Release Highlights</w:t>
      </w:r>
    </w:p>
    <w:p>
      <w:pPr>
        <w:spacing w:after="0" w:line="2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In the second half of 2021, we plan to release the next premium title in our Call of Duty franchise. In addition, throughout the year we expect to deliver ongoing content for our various franchises, including continued in-game content for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xml:space="preserve">, which includes seasonal content updates for </w:t>
      </w:r>
      <w:r>
        <w:rPr>
          <w:rFonts w:ascii="Arial" w:cs="Arial" w:eastAsia="Arial" w:hAnsi="Arial"/>
          <w:sz w:val="18"/>
          <w:szCs w:val="18"/>
          <w:i w:val="1"/>
          <w:iCs w:val="1"/>
          <w:color w:val="auto"/>
        </w:rPr>
        <w:t>Call of Duty: Warzone</w:t>
      </w:r>
      <w:r>
        <w:rPr>
          <w:rFonts w:ascii="Arial" w:cs="Arial" w:eastAsia="Arial" w:hAnsi="Arial"/>
          <w:sz w:val="18"/>
          <w:szCs w:val="18"/>
          <w:color w:val="auto"/>
        </w:rPr>
        <w:t xml:space="preserve">, seasonal content updates for </w:t>
      </w:r>
      <w:r>
        <w:rPr>
          <w:rFonts w:ascii="Arial" w:cs="Arial" w:eastAsia="Arial" w:hAnsi="Arial"/>
          <w:sz w:val="18"/>
          <w:szCs w:val="18"/>
          <w:i w:val="1"/>
          <w:iCs w:val="1"/>
          <w:color w:val="auto"/>
        </w:rPr>
        <w:t>Call of Duty: Mobile</w:t>
      </w:r>
      <w:r>
        <w:rPr>
          <w:rFonts w:ascii="Arial" w:cs="Arial" w:eastAsia="Arial" w:hAnsi="Arial"/>
          <w:sz w:val="18"/>
          <w:szCs w:val="18"/>
          <w:color w:val="auto"/>
        </w:rPr>
        <w:t>, content updates for W</w:t>
      </w:r>
      <w:r>
        <w:rPr>
          <w:rFonts w:ascii="Arial" w:cs="Arial" w:eastAsia="Arial" w:hAnsi="Arial"/>
          <w:sz w:val="18"/>
          <w:szCs w:val="18"/>
          <w:i w:val="1"/>
          <w:iCs w:val="1"/>
          <w:color w:val="auto"/>
        </w:rPr>
        <w:t>orld of Warcraft,</w:t>
      </w:r>
      <w:r>
        <w:rPr>
          <w:rFonts w:ascii="Arial" w:cs="Arial" w:eastAsia="Arial" w:hAnsi="Arial"/>
          <w:sz w:val="18"/>
          <w:szCs w:val="18"/>
          <w:color w:val="auto"/>
        </w:rPr>
        <w:t xml:space="preserve"> expansion packs and content updates for </w:t>
      </w:r>
      <w:r>
        <w:rPr>
          <w:rFonts w:ascii="Arial" w:cs="Arial" w:eastAsia="Arial" w:hAnsi="Arial"/>
          <w:sz w:val="18"/>
          <w:szCs w:val="18"/>
          <w:i w:val="1"/>
          <w:iCs w:val="1"/>
          <w:color w:val="auto"/>
        </w:rPr>
        <w:t>Hearthstone</w:t>
      </w:r>
      <w:r>
        <w:rPr>
          <w:rFonts w:ascii="Arial" w:cs="Arial" w:eastAsia="Arial" w:hAnsi="Arial"/>
          <w:sz w:val="18"/>
          <w:szCs w:val="18"/>
          <w:color w:val="auto"/>
        </w:rPr>
        <w:t xml:space="preserve">, and continued releases of content, features, and services across King’s portfolio with an ongoing focus on the Candy Crush franchise. We will also continue to invest in opportunities that we think have the potential to drive our growth over the long-term, including continuing to build on our advertising initiatives and investments in mobile titles, some of which we anticipate will launch in 2021, including </w:t>
      </w:r>
      <w:r>
        <w:rPr>
          <w:rFonts w:ascii="Arial" w:cs="Arial" w:eastAsia="Arial" w:hAnsi="Arial"/>
          <w:sz w:val="18"/>
          <w:szCs w:val="18"/>
          <w:i w:val="1"/>
          <w:iCs w:val="1"/>
          <w:color w:val="auto"/>
        </w:rPr>
        <w:t>Crash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Bandicoot: On the Run </w:t>
      </w:r>
      <w:r>
        <w:rPr>
          <w:rFonts w:ascii="Arial" w:cs="Arial" w:eastAsia="Arial" w:hAnsi="Arial"/>
          <w:sz w:val="18"/>
          <w:szCs w:val="18"/>
          <w:color w:val="auto"/>
        </w:rPr>
        <w:t>and</w:t>
      </w:r>
      <w:r>
        <w:rPr>
          <w:rFonts w:ascii="Arial" w:cs="Arial" w:eastAsia="Arial" w:hAnsi="Arial"/>
          <w:sz w:val="18"/>
          <w:szCs w:val="18"/>
          <w:i w:val="1"/>
          <w:iCs w:val="1"/>
          <w:color w:val="auto"/>
        </w:rPr>
        <w:t xml:space="preserve"> Diablo Immortal.</w:t>
      </w: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5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sets forth consolidated statements of operations data for the periods indicated (amounts in millions) and as a percentage of total net revenues, except for cost of revenues, which are presented as a percentage of associated revenues: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b w:val="1"/>
                <w:bCs w:val="1"/>
                <w:color w:val="auto"/>
                <w:w w:val="92"/>
              </w:rPr>
              <w:t>For the 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In-game, subscription, and other revenues</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revenues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88"/>
        </w:trPr>
        <w:tc>
          <w:tcPr>
            <w:tcW w:w="46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revenues—product sales: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Product costs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Software royalties, amortization, and intellectual property</w:t>
            </w: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licenses</w:t>
            </w:r>
          </w:p>
        </w:tc>
        <w:tc>
          <w:tcPr>
            <w:tcW w:w="5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Cost of revenues—in-game, subscription, and other:</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Game operations and distribution costs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4680" w:type="dxa"/>
            <w:vAlign w:val="bottom"/>
          </w:tcPr>
          <w:p>
            <w:pPr>
              <w:ind w:left="220"/>
              <w:spacing w:after="0" w:line="176" w:lineRule="exact"/>
              <w:rPr>
                <w:sz w:val="20"/>
                <w:szCs w:val="20"/>
                <w:color w:val="auto"/>
              </w:rPr>
            </w:pPr>
            <w:r>
              <w:rPr>
                <w:rFonts w:ascii="Arial" w:cs="Arial" w:eastAsia="Arial" w:hAnsi="Arial"/>
                <w:sz w:val="18"/>
                <w:szCs w:val="18"/>
                <w:color w:val="auto"/>
                <w:w w:val="98"/>
              </w:rPr>
              <w:t>Software royalties, amortization, and intellectual property</w:t>
            </w:r>
          </w:p>
        </w:tc>
        <w:tc>
          <w:tcPr>
            <w:tcW w:w="5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licenses</w:t>
            </w:r>
          </w:p>
        </w:tc>
        <w:tc>
          <w:tcPr>
            <w:tcW w:w="5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related costs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88"/>
        </w:trPr>
        <w:tc>
          <w:tcPr>
            <w:tcW w:w="4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Interest and other expense (income), net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(1)</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340" w:hanging="332"/>
        <w:spacing w:after="0" w:line="263" w:lineRule="auto"/>
        <w:tabs>
          <w:tab w:leader="none" w:pos="40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Represents the loss on extinguishment of debt we recognized in connection with our debt financing activities during the year ended December 31, 2020. Refer to </w:t>
      </w:r>
      <w:hyperlink w:anchor="page85">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further disclosures regarding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consolidated net revenues and in-game net revenues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For the Years Ended December 31,</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89"/>
              </w:rPr>
              <w:t>Increase/</w:t>
            </w:r>
          </w:p>
        </w:tc>
        <w:tc>
          <w:tcPr>
            <w:tcW w:w="16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(decrease)</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revenues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In-game net revenues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In-game net revenues primarily includes the net amount of revenue recognized for microtransactions and downloadable content during the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revenues</w:t>
      </w:r>
    </w:p>
    <w:p>
      <w:pPr>
        <w:spacing w:after="0" w:line="25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increase in consolidated net revenues for 2020, as compared to 2019, was primarily driven by an increase in revenues of $1.9 billion due to higher revenues from:</w:t>
      </w:r>
    </w:p>
    <w:p>
      <w:pPr>
        <w:spacing w:after="0" w:line="197" w:lineRule="exact"/>
        <w:rPr>
          <w:sz w:val="20"/>
          <w:szCs w:val="20"/>
          <w:color w:val="auto"/>
        </w:rPr>
      </w:pPr>
    </w:p>
    <w:p>
      <w:pPr>
        <w:ind w:left="980" w:right="60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World of Warcraft, </w:t>
      </w:r>
      <w:r>
        <w:rPr>
          <w:rFonts w:ascii="Arial" w:cs="Arial" w:eastAsia="Arial" w:hAnsi="Arial"/>
          <w:sz w:val="18"/>
          <w:szCs w:val="18"/>
          <w:color w:val="auto"/>
        </w:rPr>
        <w:t>which includes the release of</w:t>
      </w:r>
      <w:r>
        <w:rPr>
          <w:rFonts w:ascii="Arial" w:cs="Arial" w:eastAsia="Arial" w:hAnsi="Arial"/>
          <w:sz w:val="18"/>
          <w:szCs w:val="18"/>
          <w:i w:val="1"/>
          <w:iCs w:val="1"/>
          <w:color w:val="auto"/>
        </w:rPr>
        <w:t xml:space="preserve"> World of Warcraft: Shadowlands </w:t>
      </w:r>
      <w:r>
        <w:rPr>
          <w:rFonts w:ascii="Arial" w:cs="Arial" w:eastAsia="Arial" w:hAnsi="Arial"/>
          <w:sz w:val="18"/>
          <w:szCs w:val="18"/>
          <w:color w:val="auto"/>
        </w:rPr>
        <w:t>in November 2020;</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Distribution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 a decrease in revenues of $339 million due to lower revenues from:</w:t>
      </w:r>
    </w:p>
    <w:p>
      <w:pPr>
        <w:spacing w:after="0" w:line="25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 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In-game net revenues</w:t>
      </w:r>
    </w:p>
    <w:p>
      <w:pPr>
        <w:spacing w:after="0" w:line="25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increase in in-game net revenues for 2020, as compared to 2019, was primarily driven by an increase in in-game net revenues of $1.2 billion due to higher in-game net revenues from:</w:t>
      </w:r>
    </w:p>
    <w:p>
      <w:pPr>
        <w:spacing w:after="0" w:line="19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on the reportable segment net revenues and segment operating income are presented below (amounts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Year Ended December 31, 2020</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8"/>
              </w:rPr>
              <w:t>Increase / (decrease)</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King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7,900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4"/>
                <w:szCs w:val="14"/>
                <w:color w:val="auto"/>
              </w:rPr>
            </w:pPr>
          </w:p>
        </w:tc>
        <w:tc>
          <w:tcPr>
            <w:tcW w:w="660" w:type="dxa"/>
            <w:vAlign w:val="bottom"/>
            <w:vMerge w:val="restart"/>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89"/>
              </w:rPr>
              <w:t>133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11"/>
        </w:trPr>
        <w:tc>
          <w:tcPr>
            <w:tcW w:w="2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Year Ended December 31, 2019</w:t>
            </w:r>
          </w:p>
        </w:tc>
        <w:tc>
          <w:tcPr>
            <w:tcW w:w="70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Total</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5,926</w:t>
            </w: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5,969</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2,054</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consolidated net revenues: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19"/>
                <w:szCs w:val="19"/>
                <w:color w:val="auto"/>
              </w:rPr>
            </w:pP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5,969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non-reportable segments (1)</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Net effect from recognition (deferral) of deferred net revenues (2)</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 of intersegment revenues (3)</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Consolidated net revenues</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Reconciliation to consolidated income before income tax expense:</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Operating income (loss) from non-reportable segments (1)</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effect from recognition (deferral) of deferred net revenues and related cost of revenues (2)</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18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Share-based compensation expense (</w:t>
            </w:r>
            <w:hyperlink w:anchor="page96">
              <w:r>
                <w:rPr>
                  <w:rFonts w:ascii="Arial" w:cs="Arial" w:eastAsia="Arial" w:hAnsi="Arial"/>
                  <w:sz w:val="18"/>
                  <w:szCs w:val="18"/>
                  <w:u w:val="single" w:color="auto"/>
                  <w:color w:val="0000FF"/>
                </w:rPr>
                <w:t>Note 16</w:t>
              </w:r>
            </w:hyperlink>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718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Restructuring and related costs (</w:t>
            </w:r>
            <w:hyperlink w:anchor="page101">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Discrete tax-related items (4)</w:t>
            </w:r>
          </w:p>
        </w:tc>
        <w:tc>
          <w:tcPr>
            <w:tcW w:w="1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Consolidated operating income</w:t>
            </w:r>
          </w:p>
        </w:tc>
        <w:tc>
          <w:tcPr>
            <w:tcW w:w="1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extinguishment of debt</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income before income tax expense</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4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Distribution business. Also includes unallocated corporate income and expenses.</w:t>
      </w:r>
    </w:p>
    <w:p>
      <w:pPr>
        <w:spacing w:after="0" w:line="197" w:lineRule="exact"/>
        <w:rPr>
          <w:rFonts w:ascii="Arial" w:cs="Arial" w:eastAsia="Arial" w:hAnsi="Arial"/>
          <w:sz w:val="18"/>
          <w:szCs w:val="18"/>
          <w:color w:val="auto"/>
        </w:rPr>
      </w:pPr>
    </w:p>
    <w:p>
      <w:pPr>
        <w:ind w:left="340" w:right="140" w:hanging="332"/>
        <w:spacing w:after="0" w:line="25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This table reflects the net effect from the deferrals of revenues and recognition of deferred revenues, along with the related cost of revenues, on certain of our online enabled products.</w:t>
      </w:r>
    </w:p>
    <w:p>
      <w:pPr>
        <w:spacing w:after="0" w:line="214"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impact of other unusual or unique tax-related items and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Activision’s segment net revenues for 2020, as compared to 2019, was primarily due to higher revenues from:</w:t>
      </w:r>
    </w:p>
    <w:p>
      <w:pPr>
        <w:spacing w:after="0" w:line="252" w:lineRule="exact"/>
        <w:rPr>
          <w:sz w:val="20"/>
          <w:szCs w:val="20"/>
          <w:color w:val="auto"/>
        </w:rPr>
      </w:pPr>
    </w:p>
    <w:p>
      <w:pPr>
        <w:ind w:left="980" w:right="620" w:hanging="324"/>
        <w:spacing w:after="0" w:line="277"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increase was partially offset by lower revenues from </w:t>
      </w: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 xml:space="preserve">The increase in Blizzard’s segment net revenues for 2020, as compared to 2019, was primarily due to higher revenues from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which includes the release of </w:t>
      </w:r>
      <w:r>
        <w:rPr>
          <w:rFonts w:ascii="Arial" w:cs="Arial" w:eastAsia="Arial" w:hAnsi="Arial"/>
          <w:sz w:val="16"/>
          <w:szCs w:val="16"/>
          <w:i w:val="1"/>
          <w:iCs w:val="1"/>
          <w:color w:val="auto"/>
        </w:rPr>
        <w:t>World of Warcraft: Shadowlands</w:t>
      </w:r>
      <w:r>
        <w:rPr>
          <w:rFonts w:ascii="Arial" w:cs="Arial" w:eastAsia="Arial" w:hAnsi="Arial"/>
          <w:sz w:val="16"/>
          <w:szCs w:val="16"/>
          <w:color w:val="auto"/>
        </w:rPr>
        <w:t xml:space="preserve"> in November 2020. The increase was partially offset by lower revenues from </w:t>
      </w:r>
      <w:r>
        <w:rPr>
          <w:rFonts w:ascii="Arial" w:cs="Arial" w:eastAsia="Arial" w:hAnsi="Arial"/>
          <w:sz w:val="16"/>
          <w:szCs w:val="16"/>
          <w:i w:val="1"/>
          <w:iCs w:val="1"/>
          <w:color w:val="auto"/>
        </w:rPr>
        <w:t>Overwatch</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increase in King’s net revenues for 2020, as compared to 2019, was primarily due to higher revenues from advertising and in-game player purchases, primarily in the Candy Crush franchise.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Activision’s operating income for 2020, as compared to 2019, was primarily due to higher segment net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w:t>
      </w:r>
    </w:p>
    <w:p>
      <w:pPr>
        <w:spacing w:after="0" w:line="25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 of revenues and marketing costs for the Call of Duty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product development costs driven by higher personnel bonuses as a result of strong business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Blizzard’s operating income for 2020, as compared to 2019, was primarily due to:</w:t>
      </w:r>
    </w:p>
    <w:p>
      <w:pPr>
        <w:spacing w:after="0" w:line="25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segment net revenues;</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product development costs, despite an increase in personnel costs, driven by higher capitalization of software development costs from the timing of game development cycles;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general and administrative costs.</w:t>
      </w:r>
    </w:p>
    <w:p>
      <w:pPr>
        <w:spacing w:after="0" w:line="25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The increase was partially offset by higher cost of revenues, primarily from higher software amortization and higher marketing costs related to the launch of </w:t>
      </w:r>
      <w:r>
        <w:rPr>
          <w:rFonts w:ascii="Arial" w:cs="Arial" w:eastAsia="Arial" w:hAnsi="Arial"/>
          <w:sz w:val="18"/>
          <w:szCs w:val="18"/>
          <w:i w:val="1"/>
          <w:iCs w:val="1"/>
          <w:color w:val="auto"/>
        </w:rPr>
        <w:t>World of Warcraft: Shadowlands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King’s operating income for 2020, as compared to 2019, was primarily due to:</w:t>
      </w:r>
    </w:p>
    <w:p>
      <w:pPr>
        <w:spacing w:after="0" w:line="25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segment net revenues;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general and administrative costs.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 higher marketing costs, driven by the Candy Crush franchise</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Changes in foreign exchange rates had a positive impact of $61 million and a negative impact of $126 million on reportable segment net revenues for 2020 and 2019, respectively, as compared to the same periods in the previous year. The changes are primarily due to changes in the value of the U.S. dollar relative to the euro and British pound.</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consolidated net revenues by distribution channel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w w:val="96"/>
              </w:rPr>
              <w:t>For the Years Ended December 31,</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3"/>
                <w:szCs w:val="13"/>
                <w:color w:val="auto"/>
              </w:rPr>
            </w:pPr>
          </w:p>
        </w:tc>
        <w:tc>
          <w:tcPr>
            <w:tcW w:w="16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(decrease)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by distribution channel:</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Digital online channels (1)</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Retail channels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7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(2)</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7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consolidated net revenues</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7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180" w:hanging="332"/>
        <w:spacing w:after="0" w:line="277"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downloadable content, microtransactions, subscriptions, and products, as well as licensing royalties.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Online Channel Net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net revenues from digital online channels for 2020, as compared to 2019, was primarily due to higher revenues from:</w:t>
      </w:r>
    </w:p>
    <w:p>
      <w:pPr>
        <w:spacing w:after="0" w:line="252" w:lineRule="exact"/>
        <w:rPr>
          <w:sz w:val="20"/>
          <w:szCs w:val="20"/>
          <w:color w:val="auto"/>
        </w:rPr>
      </w:pPr>
    </w:p>
    <w:p>
      <w:pPr>
        <w:ind w:left="980" w:right="620" w:hanging="324"/>
        <w:spacing w:after="0" w:line="277"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release of</w:t>
      </w:r>
      <w:r>
        <w:rPr>
          <w:rFonts w:ascii="Arial" w:cs="Arial" w:eastAsia="Arial" w:hAnsi="Arial"/>
          <w:sz w:val="18"/>
          <w:szCs w:val="18"/>
          <w:i w:val="1"/>
          <w:iCs w:val="1"/>
          <w:color w:val="auto"/>
        </w:rPr>
        <w:t xml:space="preserve"> World of Warcraft: Shadowlands </w:t>
      </w:r>
      <w:r>
        <w:rPr>
          <w:rFonts w:ascii="Arial" w:cs="Arial" w:eastAsia="Arial" w:hAnsi="Arial"/>
          <w:sz w:val="18"/>
          <w:szCs w:val="18"/>
          <w:color w:val="auto"/>
        </w:rPr>
        <w:t>in November 2020;</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Call of Duty franchise catalog titles;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Candy Crush franchise, driven by higher revenues from advertising and in-game player purchases.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increase was partially offset by lower revenues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Channel Net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net revenues from retail channels for 2020, as compared to 2019, was primarily due to lower revenues from:</w:t>
      </w:r>
    </w:p>
    <w:p>
      <w:pPr>
        <w:spacing w:after="0" w:line="25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was partially offset by higher revenues from:</w:t>
      </w:r>
    </w:p>
    <w:p>
      <w:pPr>
        <w:spacing w:after="0" w:line="25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Crash Bandicoot 4: It’s About Time</w:t>
      </w:r>
      <w:r>
        <w:rPr>
          <w:rFonts w:ascii="Arial" w:cs="Arial" w:eastAsia="Arial" w:hAnsi="Arial"/>
          <w:sz w:val="18"/>
          <w:szCs w:val="18"/>
          <w:color w:val="auto"/>
        </w:rPr>
        <w:t>; which was released in October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detail our net revenues by platform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w w:val="96"/>
              </w:rPr>
              <w:t>For the Years Ended December 31,</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3"/>
                <w:szCs w:val="13"/>
                <w:color w:val="auto"/>
              </w:rPr>
            </w:pPr>
          </w:p>
        </w:tc>
        <w:tc>
          <w:tcPr>
            <w:tcW w:w="16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(decrease)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by platform:</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Console</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PC</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7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Mobile and ancillary (1)</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(2)</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7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400" w:hanging="332"/>
        <w:spacing w:after="0" w:line="277"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non-platform-specific game-related revenues, such as standalone sales of toys and accessories.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Console</w:t>
      </w:r>
    </w:p>
    <w:p>
      <w:pPr>
        <w:spacing w:after="0" w:line="25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 xml:space="preserve">The increase in net revenues from the console platform for 2020, as compared to 2019, was primarily due to higher revenues from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 October 2018.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partially offset by lower revenues from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w:t>
      </w:r>
      <w:r>
        <w:rPr>
          <w:rFonts w:ascii="Arial" w:cs="Arial" w:eastAsia="Arial" w:hAnsi="Arial"/>
          <w:sz w:val="18"/>
          <w:szCs w:val="18"/>
          <w:i w:val="1"/>
          <w:iCs w:val="1"/>
          <w:color w:val="auto"/>
        </w:rPr>
        <w:t>,</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Modern</w:t>
      </w:r>
      <w:r>
        <w:rPr>
          <w:rFonts w:ascii="Arial" w:cs="Arial" w:eastAsia="Arial" w:hAnsi="Arial"/>
          <w:sz w:val="18"/>
          <w:szCs w:val="18"/>
          <w:color w:val="auto"/>
        </w:rPr>
        <w:t xml:space="preserve"> </w:t>
      </w:r>
      <w:r>
        <w:rPr>
          <w:rFonts w:ascii="Arial" w:cs="Arial" w:eastAsia="Arial" w:hAnsi="Arial"/>
          <w:sz w:val="18"/>
          <w:szCs w:val="18"/>
          <w:i w:val="1"/>
          <w:iCs w:val="1"/>
          <w:color w:val="auto"/>
        </w:rPr>
        <w:t>Warfare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net revenues from the PC platform for 2020, as compared to 2019, was primarily due to higher revenues from:</w:t>
      </w:r>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460" w:right="2960" w:firstLine="196"/>
        <w:spacing w:after="0" w:line="532" w:lineRule="auto"/>
        <w:tabs>
          <w:tab w:leader="none" w:pos="982"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release of</w:t>
      </w:r>
      <w:r>
        <w:rPr>
          <w:rFonts w:ascii="Arial" w:cs="Arial" w:eastAsia="Arial" w:hAnsi="Arial"/>
          <w:sz w:val="18"/>
          <w:szCs w:val="18"/>
          <w:i w:val="1"/>
          <w:iCs w:val="1"/>
          <w:color w:val="auto"/>
        </w:rPr>
        <w:t xml:space="preserve"> World of Warcraft: Shadowlands </w:t>
      </w:r>
      <w:r>
        <w:rPr>
          <w:rFonts w:ascii="Arial" w:cs="Arial" w:eastAsia="Arial" w:hAnsi="Arial"/>
          <w:sz w:val="18"/>
          <w:szCs w:val="18"/>
          <w:color w:val="auto"/>
        </w:rPr>
        <w:t>in November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increase was partially offset by lower revenues from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i w:val="1"/>
          <w:iCs w:val="1"/>
          <w:color w:val="auto"/>
        </w:rPr>
        <w:t>Mobile and Ancillary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net revenues from mobile and ancillary for 2020, as compared to 2019, was primarily due to higher revenues from:</w:t>
      </w:r>
    </w:p>
    <w:p>
      <w:pPr>
        <w:spacing w:after="0" w:line="25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Candy Crush franchise, driven by higher revenues from advertising and in-game player purchases.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detail the components of cost of revenues in dollars (amounts in millions) and as a percentage of associated net revenues: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revenues—product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Product costs</w:t>
      </w:r>
    </w:p>
    <w:p>
      <w:pPr>
        <w:spacing w:after="0" w:line="23"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Software royalties, amortization, intellectual property licenses</w:t>
      </w:r>
    </w:p>
    <w:p>
      <w:pPr>
        <w:spacing w:after="0" w:line="1" w:lineRule="exact"/>
        <w:rPr>
          <w:sz w:val="20"/>
          <w:szCs w:val="20"/>
          <w:color w:val="auto"/>
        </w:rPr>
      </w:pPr>
    </w:p>
    <w:p>
      <w:pPr>
        <w:ind w:left="100" w:right="40" w:hanging="80"/>
        <w:spacing w:after="0" w:line="234" w:lineRule="auto"/>
        <w:rPr>
          <w:sz w:val="20"/>
          <w:szCs w:val="20"/>
          <w:color w:val="auto"/>
        </w:rPr>
      </w:pPr>
      <w:r>
        <w:rPr>
          <w:rFonts w:ascii="Arial" w:cs="Arial" w:eastAsia="Arial" w:hAnsi="Arial"/>
          <w:sz w:val="18"/>
          <w:szCs w:val="18"/>
          <w:color w:val="auto"/>
        </w:rPr>
        <w:t>Cost of revenues—in-game, subscription, and other: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Game operations and distribution costs</w:t>
      </w:r>
    </w:p>
    <w:p>
      <w:pPr>
        <w:spacing w:after="0" w:line="23" w:lineRule="exact"/>
        <w:rPr>
          <w:sz w:val="20"/>
          <w:szCs w:val="20"/>
          <w:color w:val="auto"/>
        </w:rPr>
      </w:pPr>
    </w:p>
    <w:p>
      <w:pPr>
        <w:ind w:left="220" w:hanging="80"/>
        <w:spacing w:after="0" w:line="234" w:lineRule="auto"/>
        <w:rPr>
          <w:sz w:val="20"/>
          <w:szCs w:val="20"/>
          <w:color w:val="auto"/>
        </w:rPr>
      </w:pPr>
      <w:r>
        <w:rPr>
          <w:rFonts w:ascii="Arial" w:cs="Arial" w:eastAsia="Arial" w:hAnsi="Arial"/>
          <w:sz w:val="18"/>
          <w:szCs w:val="18"/>
          <w:color w:val="auto"/>
        </w:rPr>
        <w:t>Software royalties, amortization, intellectual property licenses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cost of revenues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Revenues—Product Sales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2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11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associated</w:t>
            </w: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associated</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net revenues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net revenues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44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1640" w:type="dxa"/>
            <w:vAlign w:val="bottom"/>
            <w:gridSpan w:val="2"/>
          </w:tcPr>
          <w:p>
            <w:pPr>
              <w:jc w:val="right"/>
              <w:ind w:right="14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34"/>
        </w:trPr>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1,131</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w:t>
            </w:r>
          </w:p>
        </w:tc>
        <w:tc>
          <w:tcPr>
            <w:tcW w:w="1640" w:type="dxa"/>
            <w:vAlign w:val="bottom"/>
            <w:gridSpan w:val="2"/>
          </w:tcPr>
          <w:p>
            <w:pPr>
              <w:jc w:val="right"/>
              <w:ind w:right="14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405"/>
        </w:trPr>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4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-1396365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-1104900</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-590550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-187960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16" w:lineRule="exact"/>
        <w:rPr>
          <w:sz w:val="20"/>
          <w:szCs w:val="20"/>
          <w:color w:val="auto"/>
        </w:rPr>
      </w:pPr>
    </w:p>
    <w:p>
      <w:pPr>
        <w:sectPr>
          <w:pgSz w:w="11900" w:h="16838" w:orient="portrait"/>
          <w:cols w:equalWidth="0" w:num="2">
            <w:col w:w="3360" w:space="220"/>
            <w:col w:w="7660"/>
          </w:cols>
          <w:pgMar w:left="320" w:top="125" w:right="339" w:bottom="1440" w:gutter="0" w:footer="0" w:header="0"/>
          <w:type w:val="continuous"/>
        </w:sectPr>
      </w:pPr>
    </w:p>
    <w:p>
      <w:pPr>
        <w:spacing w:after="0" w:line="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product costs for 2020, as compared to 2019, was primarily due to an increase in product costs for our Distribution business as a result of higher revenues.</w:t>
      </w:r>
    </w:p>
    <w:p>
      <w:pPr>
        <w:spacing w:after="0" w:line="19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increase in software royalties, amortization, and intellectual property licenses related to product sales for 2020, as compared to 2019, was primarily due to a $32 million increase in software amortization and royalties from Activision, driven by software amortization and royalties from the 2020 releases of (1) </w:t>
      </w: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xml:space="preserve"> (2) </w:t>
      </w:r>
      <w:r>
        <w:rPr>
          <w:rFonts w:ascii="Arial" w:cs="Arial" w:eastAsia="Arial" w:hAnsi="Arial"/>
          <w:sz w:val="18"/>
          <w:szCs w:val="18"/>
          <w:i w:val="1"/>
          <w:iCs w:val="1"/>
          <w:color w:val="auto"/>
        </w:rPr>
        <w:t>Crash Bandicoot 4: It’s About Time</w:t>
      </w:r>
      <w:r>
        <w:rPr>
          <w:rFonts w:ascii="Arial" w:cs="Arial" w:eastAsia="Arial" w:hAnsi="Arial"/>
          <w:sz w:val="18"/>
          <w:szCs w:val="18"/>
          <w:color w:val="auto"/>
        </w:rPr>
        <w:t xml:space="preserve">, and (3) </w:t>
      </w:r>
      <w:r>
        <w:rPr>
          <w:rFonts w:ascii="Arial" w:cs="Arial" w:eastAsia="Arial" w:hAnsi="Arial"/>
          <w:sz w:val="18"/>
          <w:szCs w:val="18"/>
          <w:i w:val="1"/>
          <w:iCs w:val="1"/>
          <w:color w:val="auto"/>
        </w:rPr>
        <w:t>Call of Duty: Modern Warfare 2 Campaign Remastered</w:t>
      </w:r>
      <w:r>
        <w:rPr>
          <w:rFonts w:ascii="Arial" w:cs="Arial" w:eastAsia="Arial" w:hAnsi="Arial"/>
          <w:sz w:val="18"/>
          <w:szCs w:val="18"/>
          <w:color w:val="auto"/>
        </w:rPr>
        <w:t>; partially offset by lower software amortization and royalties from:</w:t>
      </w:r>
    </w:p>
    <w:p>
      <w:pPr>
        <w:spacing w:after="0" w:line="214"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Revenues—In-game, Subscription, and Other Revenues:</w:t>
      </w:r>
    </w:p>
    <w:p>
      <w:pPr>
        <w:spacing w:after="0" w:line="25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increase in game operations and distribution costs for 2020, as compared to 2019, was primarily due to (1) an increase of $114 million in service provider fees such as digital storefront fees (e.g., fees retained by Apple and Google for our sales on their platforms), payment processor fees, and server bandwidth fees, as a result of higher revenues, and (2) an increase of $64 million associated with our professional esports leagues, which includes event and production costs associated with the inaugural season of the Call of Duty League in 2020.</w:t>
      </w:r>
    </w:p>
    <w:p>
      <w:pPr>
        <w:spacing w:after="0" w:line="19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decrease in software royalties, amortization, and intellectual property licenses related to in-game, subscription, and other revenues for 2020, as compared to 2019, was primarily due to a decrease of $128 million in amortization of internally-developed franchise intangible assets acquired as part of our 2016 acquisition of King. The decrease was partially offset by an increase in software amortization and royalties from Activision of $46 million, driven by </w:t>
      </w: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76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net revenues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7"/>
              </w:rPr>
              <w:t>net revenues</w:t>
            </w: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998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increase in product development costs for 2020, as compared to 2019, was primarily due to higher development costs of $261 million, driven by higher personnel bonuses as a result of strong business performance. The increase was partially offset by a $108 million increase in capitalization of development costs, driven by the timing of Blizzard’s game development cycles.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76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net revenues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7"/>
              </w:rPr>
              <w:t>net revenues</w:t>
            </w: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1,064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sales and marketing expenses for 2020, as compared to 2019, was primarily due to an increase of $159 million in marketing spending, driven by the Call of Duty, World of Warcraft, and Candy Crush franchises.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76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net revenues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7"/>
              </w:rPr>
              <w:t>net revenues</w:t>
            </w: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general and administrative expenses for 2020 as compared to 2019, was primarily due to a $48 million increase in personnel costs as a result of higher share-based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related costs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76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7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0"/>
              </w:rPr>
              <w:t>net revenues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7"/>
              </w:rPr>
              <w:t>net revenues</w:t>
            </w: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firstLine="405"/>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During 2019, we began implementing a plan aimed at refocusing our resources on our largest opportunities and to remove unnecessary levels of complexity and duplication from certain parts of our business. Since then, we have been, and will continue focusing on these goals as we continue to execute against our plan. The restructuring and related costs incurred during 2020 relate primarily to severance costs. We do not expect to realize significant net savings in our total operating expenses as a result of our plan, as cost reductions in our selling, general and administrative activities is expected to be offset by increased investment in product development. Refer to </w:t>
      </w:r>
      <w:hyperlink w:anchor="page101">
        <w:r>
          <w:rPr>
            <w:rFonts w:ascii="Arial" w:cs="Arial" w:eastAsia="Arial" w:hAnsi="Arial"/>
            <w:sz w:val="17"/>
            <w:szCs w:val="17"/>
            <w:u w:val="single" w:color="auto"/>
            <w:color w:val="0000FF"/>
          </w:rPr>
          <w:t>Note 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rPr>
              <w:t>% of</w:t>
            </w: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net revenues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7"/>
              </w:rPr>
              <w:t>net revenues</w:t>
            </w: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7"/>
              </w:rPr>
              <w:t>—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interest and other expense (income), net, for 2020, as compared to 2019, was primarily due to:</w:t>
      </w:r>
    </w:p>
    <w:p>
      <w:pPr>
        <w:spacing w:after="0" w:line="252" w:lineRule="exact"/>
        <w:rPr>
          <w:sz w:val="20"/>
          <w:szCs w:val="20"/>
          <w:color w:val="auto"/>
        </w:rPr>
      </w:pPr>
    </w:p>
    <w:p>
      <w:pPr>
        <w:ind w:left="980" w:right="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$58 million decrease in interest income driven by lower returns on our investment portfolio as a result of interest rate cuts, reflecting actions by central banks around the world;</w:t>
      </w:r>
    </w:p>
    <w:p>
      <w:pPr>
        <w:spacing w:after="0" w:line="19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$38 million gain recognized in the prior-year period as a result of adjusting a cost-method equity investment to fair value, as compared to a $3 million gain recorded in the current year; and</w:t>
      </w:r>
    </w:p>
    <w:p>
      <w:pPr>
        <w:spacing w:after="0" w:line="19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 million gain recognized in the prior-year period from the settlement of available for sale securities, as compared to a $4 million loss recorded in the current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7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4"/>
              </w:rPr>
              <w:t>% of</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90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 of</w:t>
            </w:r>
          </w:p>
        </w:tc>
        <w:tc>
          <w:tcPr>
            <w:tcW w:w="11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74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93"/>
              </w:rPr>
              <w:t>Pretax</w:t>
            </w:r>
          </w:p>
        </w:tc>
        <w:tc>
          <w:tcPr>
            <w:tcW w:w="1380" w:type="dxa"/>
            <w:vAlign w:val="bottom"/>
            <w:gridSpan w:val="2"/>
            <w:vMerge w:val="continue"/>
          </w:tcPr>
          <w:p>
            <w:pPr>
              <w:spacing w:after="0"/>
              <w:rPr>
                <w:sz w:val="11"/>
                <w:szCs w:val="11"/>
                <w:color w:val="auto"/>
              </w:rPr>
            </w:pPr>
          </w:p>
        </w:tc>
        <w:tc>
          <w:tcPr>
            <w:tcW w:w="1900" w:type="dxa"/>
            <w:vAlign w:val="bottom"/>
            <w:gridSpan w:val="3"/>
          </w:tcPr>
          <w:p>
            <w:pPr>
              <w:jc w:val="center"/>
              <w:ind w:right="250"/>
              <w:spacing w:after="0" w:line="135" w:lineRule="exact"/>
              <w:rPr>
                <w:sz w:val="20"/>
                <w:szCs w:val="20"/>
                <w:color w:val="auto"/>
              </w:rPr>
            </w:pPr>
            <w:r>
              <w:rPr>
                <w:rFonts w:ascii="Arial" w:cs="Arial" w:eastAsia="Arial" w:hAnsi="Arial"/>
                <w:sz w:val="14"/>
                <w:szCs w:val="14"/>
                <w:b w:val="1"/>
                <w:bCs w:val="1"/>
                <w:color w:val="auto"/>
                <w:w w:val="93"/>
              </w:rPr>
              <w:t>Pretax</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17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89"/>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90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89"/>
              </w:rPr>
              <w:t>income</w:t>
            </w: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For the years ended December 31, 2020 and 2019, the Company’s income before income tax expense was $2.6 billion and $1.6 billion, respectively, and our income tax expense was $419 million (or a 16% effective tax rate) and $130 million (or an 8% effective tax rate), respectively. Our full year 2020 effective tax rate of 16% is lower than the U.S. statutory rate of 21% primarily due to a U.S. tax benefit from foreign-derived intangible income, a one-time benefit from deferred tax asset remeasurement, and excess tax benefits from share-based payments.</w:t>
      </w:r>
    </w:p>
    <w:p>
      <w:pPr>
        <w:spacing w:after="0" w:line="19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effective tax rate in 2020 was higher than in 2019, primarily due to one-time tax benefits reported in the prior year related to the intra-entity transfer of certain intellectual property rights, partially offset by changes in the Company's liability for uncertain tax positions and audit settlements.</w:t>
      </w:r>
    </w:p>
    <w:p>
      <w:pPr>
        <w:spacing w:after="0" w:line="151"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211" w:lineRule="exact"/>
        <w:rPr>
          <w:sz w:val="20"/>
          <w:szCs w:val="20"/>
          <w:color w:val="auto"/>
        </w:rPr>
      </w:pPr>
    </w:p>
    <w:p>
      <w:pPr>
        <w:ind w:right="240" w:firstLine="405"/>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Further analysis of the differences between the U.S. federal statutory rate and the consolidated effective tax rate, as well as other information about our income taxes, is provided in </w:t>
      </w:r>
      <w:hyperlink w:anchor="page103">
        <w:r>
          <w:rPr>
            <w:rFonts w:ascii="Arial" w:cs="Arial" w:eastAsia="Arial" w:hAnsi="Arial"/>
            <w:sz w:val="16"/>
            <w:szCs w:val="16"/>
            <w:u w:val="single" w:color="auto"/>
            <w:color w:val="0000FF"/>
          </w:rPr>
          <w:t>Note 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Item 8 of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52"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Changes in foreign exchange rates had a positive impact of $62 million and a negative impact of $150 million on our consolidated net revenues in 2020 and 2019, respectively, as compared to the same periods in the previous year.</w:t>
      </w:r>
    </w:p>
    <w:p>
      <w:pPr>
        <w:spacing w:after="0" w:line="19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Changes in foreign exchange rates had a positive impact of $35 million and a negative impact of $71 million on our consolidated operating income in 2020 and 2019, respectively, as compared to the same periods in the previous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2019 to 2018</w:t>
      </w:r>
    </w:p>
    <w:p>
      <w:pPr>
        <w:spacing w:after="0" w:line="256" w:lineRule="exact"/>
        <w:rPr>
          <w:sz w:val="20"/>
          <w:szCs w:val="20"/>
          <w:color w:val="auto"/>
        </w:rPr>
      </w:pPr>
    </w:p>
    <w:p>
      <w:pPr>
        <w:ind w:right="820" w:firstLine="405"/>
        <w:spacing w:after="0" w:line="277" w:lineRule="auto"/>
        <w:rPr>
          <w:rFonts w:ascii="Arial" w:cs="Arial" w:eastAsia="Arial" w:hAnsi="Arial"/>
          <w:sz w:val="18"/>
          <w:szCs w:val="18"/>
          <w:color w:val="0000FF"/>
        </w:rPr>
      </w:pPr>
      <w:hyperlink r:id="rId61">
        <w:r>
          <w:rPr>
            <w:rFonts w:ascii="Arial" w:cs="Arial" w:eastAsia="Arial" w:hAnsi="Arial"/>
            <w:sz w:val="18"/>
            <w:szCs w:val="18"/>
            <w:color w:val="auto"/>
          </w:rPr>
          <w:t xml:space="preserve">For the comparison of 2019 to 2018, refer to </w:t>
        </w:r>
        <w:r>
          <w:rPr>
            <w:rFonts w:ascii="Arial" w:cs="Arial" w:eastAsia="Arial" w:hAnsi="Arial"/>
            <w:sz w:val="18"/>
            <w:szCs w:val="18"/>
            <w:u w:val="single" w:color="auto"/>
            <w:color w:val="0000FF"/>
          </w:rPr>
          <w:t>Part II, Item 7 “Management’s Discussion and Analysis of Financial Condition and Results of</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Operations” of our Annual Report on Form 10-K for the year ended December 31, 2019</w:t>
        </w:r>
        <w:r>
          <w:rPr>
            <w:rFonts w:ascii="Arial" w:cs="Arial" w:eastAsia="Arial" w:hAnsi="Arial"/>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believe our ability to generate cash flows from operating activities is one of our fundamental financial strengths. Despite the impacts of the COVID-19 pandemic on the global economy, in the near term, we expect our business and financial condition to remain strong and to continue to generate significant operating cash flows, which, we believe, in combination with our existing balance of cash and cash equivalents and short-term investments of $8.8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potential dividend payments or share repurchases, and scheduled debt maturities (the next of which is in 2026), include our cash and cash equivalents, short-term investments, and cash flows provided by operating activities.</w:t>
      </w:r>
    </w:p>
    <w:p>
      <w:pPr>
        <w:spacing w:after="0" w:line="222"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As of December 31, 2020, the amount of cash and cash equivalents held outside of the U.S. by our foreign subsidiaries was $2.5 billion, as compared to $2.8 billion as of December 31, 2019. These cash balances are generally available for use in the U.S., subject in some cases to certain restrictions.</w:t>
      </w:r>
    </w:p>
    <w:p>
      <w:pPr>
        <w:spacing w:after="0" w:line="151"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10"/>
          </w:tcPr>
          <w:p>
            <w:pPr>
              <w:jc w:val="right"/>
              <w:ind w:right="250"/>
              <w:spacing w:after="0"/>
              <w:rPr>
                <w:sz w:val="20"/>
                <w:szCs w:val="20"/>
                <w:color w:val="auto"/>
              </w:rPr>
            </w:pPr>
            <w:r>
              <w:rPr>
                <w:rFonts w:ascii="Arial" w:cs="Arial" w:eastAsia="Arial" w:hAnsi="Arial"/>
                <w:sz w:val="16"/>
                <w:szCs w:val="16"/>
                <w:b w:val="1"/>
                <w:bCs w:val="1"/>
                <w:color w:val="auto"/>
              </w:rPr>
              <w:t>For the Years Ended December 31,</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360" w:type="dxa"/>
            <w:vAlign w:val="bottom"/>
            <w:gridSpan w:val="2"/>
            <w:vMerge w:val="restart"/>
          </w:tcPr>
          <w:p>
            <w:pPr>
              <w:jc w:val="right"/>
              <w:ind w:right="70"/>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2"/>
            <w:vMerge w:val="restart"/>
          </w:tcPr>
          <w:p>
            <w:pPr>
              <w:jc w:val="center"/>
              <w:ind w:left="675"/>
              <w:spacing w:after="0"/>
              <w:rPr>
                <w:sz w:val="20"/>
                <w:szCs w:val="20"/>
                <w:color w:val="auto"/>
              </w:rPr>
            </w:pPr>
            <w:r>
              <w:rPr>
                <w:rFonts w:ascii="Arial" w:cs="Arial" w:eastAsia="Arial" w:hAnsi="Arial"/>
                <w:sz w:val="16"/>
                <w:szCs w:val="16"/>
                <w:b w:val="1"/>
                <w:bCs w:val="1"/>
                <w:color w:val="auto"/>
                <w:w w:val="89"/>
              </w:rPr>
              <w:t>2019</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w w:val="90"/>
              </w:rPr>
              <w:t>(Decrease)</w:t>
            </w: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8,817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5,863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total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line="204" w:lineRule="exact"/>
              <w:rPr>
                <w:sz w:val="20"/>
                <w:szCs w:val="20"/>
                <w:color w:val="auto"/>
              </w:rPr>
            </w:pPr>
            <w:r>
              <w:rPr>
                <w:rFonts w:ascii="Arial" w:cs="Arial" w:eastAsia="Arial" w:hAnsi="Arial"/>
                <w:sz w:val="18"/>
                <w:szCs w:val="18"/>
                <w:color w:val="auto"/>
              </w:rPr>
              <w:t>38 %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30 %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center"/>
              <w:ind w:left="312"/>
              <w:spacing w:after="0"/>
              <w:rPr>
                <w:sz w:val="20"/>
                <w:szCs w:val="20"/>
                <w:color w:val="auto"/>
              </w:rPr>
            </w:pPr>
            <w:r>
              <w:rPr>
                <w:rFonts w:ascii="Arial" w:cs="Arial" w:eastAsia="Arial" w:hAnsi="Arial"/>
                <w:sz w:val="16"/>
                <w:szCs w:val="16"/>
                <w:b w:val="1"/>
                <w:bCs w:val="1"/>
                <w:color w:val="auto"/>
                <w:w w:val="90"/>
              </w:rPr>
              <w:t>For the Years Ended December 31,</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2"/>
            <w:vMerge w:val="restart"/>
          </w:tcPr>
          <w:p>
            <w:pPr>
              <w:jc w:val="center"/>
              <w:ind w:left="695"/>
              <w:spacing w:after="0"/>
              <w:rPr>
                <w:sz w:val="20"/>
                <w:szCs w:val="20"/>
                <w:color w:val="auto"/>
              </w:rPr>
            </w:pPr>
            <w:r>
              <w:rPr>
                <w:rFonts w:ascii="Arial" w:cs="Arial" w:eastAsia="Arial" w:hAnsi="Arial"/>
                <w:sz w:val="16"/>
                <w:szCs w:val="16"/>
                <w:b w:val="1"/>
                <w:bCs w:val="1"/>
                <w:color w:val="auto"/>
                <w:w w:val="95"/>
              </w:rPr>
              <w:t>2019</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center"/>
              <w:ind w:right="293"/>
              <w:spacing w:after="0" w:line="158" w:lineRule="exact"/>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ind w:right="293"/>
              <w:spacing w:after="0"/>
              <w:rPr>
                <w:sz w:val="20"/>
                <w:szCs w:val="20"/>
                <w:color w:val="auto"/>
              </w:rPr>
            </w:pPr>
            <w:r>
              <w:rPr>
                <w:rFonts w:ascii="Arial" w:cs="Arial" w:eastAsia="Arial" w:hAnsi="Arial"/>
                <w:sz w:val="16"/>
                <w:szCs w:val="16"/>
                <w:b w:val="1"/>
                <w:bCs w:val="1"/>
                <w:color w:val="auto"/>
                <w:w w:val="90"/>
              </w:rPr>
              <w:t>(Decrease)</w:t>
            </w:r>
          </w:p>
        </w:tc>
        <w:tc>
          <w:tcPr>
            <w:tcW w:w="0" w:type="dxa"/>
            <w:vAlign w:val="bottom"/>
          </w:tcPr>
          <w:p>
            <w:pPr>
              <w:spacing w:after="0"/>
              <w:rPr>
                <w:sz w:val="1"/>
                <w:szCs w:val="1"/>
                <w:color w:val="auto"/>
              </w:rPr>
            </w:pP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increase in cash and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primary driver of net cash flows associated with our operating activities is the income generated from the sale of our products and services. These are typically partially offset by: working capital requirements used in the development, sale, and support of our products; payments for interest on our debt; payments for tax liabilities; and payments to our workforce.</w:t>
      </w:r>
    </w:p>
    <w:p>
      <w:pPr>
        <w:spacing w:after="0" w:line="211"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Net cash provided by operating activities for 2020 was $2.25 billion, as compared to $1.83 billion for 2019. The increase was primarily due to higher net income, partially offset by higher tax payments and changes in our working capital resulting from the timing of collections and 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primary drivers of net cash flows associated with investing activities typically include capital expenditures, purchases and sales of investments, changes in restricted cash balances, and cash used for acquisitions.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cash used in investing activities for 2020 was $178 million, as compared to $22 million for 2019. The increase in cash used in investing activities was primarily due to the net purchases of available-for-sale investments of $100 million in 2020, as compared to net proceeds from maturities of available-for-sale investments of $88 million in 2019. This was partially offset by capital expenditures of $78 million in 2020, which were lower than the capital expenditures of $116 million in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52"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provided by financing activities for 2020 was $711 million, as compared to net cash used in financing activities of $237 million for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attributed to:</w:t>
      </w:r>
    </w:p>
    <w:p>
      <w:pPr>
        <w:spacing w:after="0" w:line="238" w:lineRule="exact"/>
        <w:rPr>
          <w:sz w:val="20"/>
          <w:szCs w:val="20"/>
          <w:color w:val="auto"/>
        </w:rPr>
      </w:pPr>
    </w:p>
    <w:p>
      <w:pPr>
        <w:ind w:left="980" w:right="200" w:hanging="324"/>
        <w:spacing w:after="0" w:line="259"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debt financing activities—for 2020 we had net debt proceeds of approximately $896 million resulting from the issuance of an aggregate principal amount of $2.0 billion of new notes and the early redemption of $1.05 billion of our previously outstanding notes, with no comparable activity for 2019 (refer to </w:t>
      </w:r>
      <w:hyperlink w:anchor="page85">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further discussion); and</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proceeds from issuances of common stock to employees of $170 million in 2020 as compared to $105 million in 2019.</w:t>
      </w:r>
    </w:p>
    <w:p>
      <w:pPr>
        <w:spacing w:after="0" w:line="25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cash flows provided by the activities above were partially offset by higher dividends paid, with $316 million of dividend payments in 2020, as compared to $283 million for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 Changes</w:t>
      </w:r>
    </w:p>
    <w:p>
      <w:pPr>
        <w:spacing w:after="0" w:line="252"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Changes in foreign exchange rates had a positive impact of $69 million and a negative impact of $3 million on our cash and cash equivalents for the years ended December 31, 2020 and 2019, respectively. The change is primarily due to changes in the value of the U.S. dollar relative to the euro and British pound.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At December 31, 2020 and December 31, 2019, our total outstanding debt was $3.6 billion and $2.7 billion, respectively, bearing interest at a weighted average rate of 2.87% and 3.18%, respectively.</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outstanding debt is as follows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b w:val="1"/>
                <w:bCs w:val="1"/>
                <w:color w:val="auto"/>
              </w:rPr>
              <w:t>At December 31, 2020</w:t>
            </w:r>
          </w:p>
        </w:tc>
        <w:tc>
          <w:tcPr>
            <w:tcW w:w="260" w:type="dxa"/>
            <w:vAlign w:val="bottom"/>
          </w:tcPr>
          <w:p>
            <w:pPr>
              <w:spacing w:after="0"/>
              <w:rPr>
                <w:sz w:val="16"/>
                <w:szCs w:val="16"/>
                <w:color w:val="auto"/>
              </w:rPr>
            </w:pPr>
          </w:p>
        </w:tc>
        <w:tc>
          <w:tcPr>
            <w:tcW w:w="1920" w:type="dxa"/>
            <w:vAlign w:val="bottom"/>
          </w:tcPr>
          <w:p>
            <w:pPr>
              <w:jc w:val="right"/>
              <w:ind w:right="332"/>
              <w:spacing w:after="0"/>
              <w:rPr>
                <w:sz w:val="20"/>
                <w:szCs w:val="20"/>
                <w:color w:val="auto"/>
              </w:rPr>
            </w:pPr>
            <w:r>
              <w:rPr>
                <w:rFonts w:ascii="Arial" w:cs="Arial" w:eastAsia="Arial" w:hAnsi="Arial"/>
                <w:sz w:val="14"/>
                <w:szCs w:val="14"/>
                <w:b w:val="1"/>
                <w:bCs w:val="1"/>
                <w:color w:val="auto"/>
              </w:rPr>
              <w:t>At December 31, 2019</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Notes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2022 Notes</w:t>
            </w:r>
          </w:p>
        </w:tc>
        <w:tc>
          <w:tcPr>
            <w:tcW w:w="260" w:type="dxa"/>
            <w:vAlign w:val="bottom"/>
          </w:tcPr>
          <w:p>
            <w:pPr>
              <w:spacing w:after="0"/>
              <w:rPr>
                <w:sz w:val="19"/>
                <w:szCs w:val="19"/>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2047 Notes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2050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net carrying amount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85">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further disclosures regarding our debt obligations.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On February 4, 2021, our Board of Directors declared a cash dividend of $0.47 per common share, payable on May 6, 2021, to shareholders of record at the close of business on April 15, 2021.</w:t>
      </w:r>
    </w:p>
    <w:p>
      <w:pPr>
        <w:spacing w:after="0" w:line="197"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We made capital expenditures of $78 million in 2020, as compared to $116 million in 2019. In 2021, we anticipate total capital expenditures of approximately $100 million, primarily for computer hardware, leasehold improvements, and software purchases.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72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09">
        <w:r>
          <w:rPr>
            <w:rFonts w:ascii="Arial" w:cs="Arial" w:eastAsia="Arial" w:hAnsi="Arial"/>
            <w:sz w:val="18"/>
            <w:szCs w:val="18"/>
            <w:u w:val="single" w:color="auto"/>
            <w:color w:val="0000FF"/>
          </w:rPr>
          <w:t>Note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disclosures regarding our commitments, including a table showing 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2019 to 2018</w:t>
      </w:r>
    </w:p>
    <w:p>
      <w:pPr>
        <w:spacing w:after="0" w:line="256" w:lineRule="exact"/>
        <w:rPr>
          <w:sz w:val="20"/>
          <w:szCs w:val="20"/>
          <w:color w:val="auto"/>
        </w:rPr>
      </w:pPr>
    </w:p>
    <w:p>
      <w:pPr>
        <w:ind w:right="680" w:firstLine="405"/>
        <w:spacing w:after="0" w:line="342" w:lineRule="auto"/>
        <w:rPr>
          <w:rFonts w:ascii="Arial" w:cs="Arial" w:eastAsia="Arial" w:hAnsi="Arial"/>
          <w:sz w:val="16"/>
          <w:szCs w:val="16"/>
          <w:color w:val="0000FF"/>
        </w:rPr>
      </w:pPr>
      <w:hyperlink r:id="rId61">
        <w:r>
          <w:rPr>
            <w:rFonts w:ascii="Arial" w:cs="Arial" w:eastAsia="Arial" w:hAnsi="Arial"/>
            <w:sz w:val="16"/>
            <w:szCs w:val="16"/>
            <w:color w:val="auto"/>
          </w:rPr>
          <w:t xml:space="preserve">For the comparison of 2019 to 2018, refer to </w:t>
        </w:r>
        <w:r>
          <w:rPr>
            <w:rFonts w:ascii="Arial" w:cs="Arial" w:eastAsia="Arial" w:hAnsi="Arial"/>
            <w:sz w:val="16"/>
            <w:szCs w:val="16"/>
            <w:u w:val="single" w:color="auto"/>
            <w:color w:val="0000FF"/>
          </w:rPr>
          <w:t>Part II, Item 7</w:t>
        </w:r>
        <w:r>
          <w:rPr>
            <w:rFonts w:ascii="Arial" w:cs="Arial" w:eastAsia="Arial" w:hAnsi="Arial"/>
            <w:sz w:val="16"/>
            <w:szCs w:val="16"/>
            <w:color w:val="auto"/>
          </w:rPr>
          <w:t xml:space="preserve"> </w:t>
        </w:r>
        <w:r>
          <w:rPr>
            <w:rFonts w:ascii="Arial" w:cs="Arial" w:eastAsia="Arial" w:hAnsi="Arial"/>
            <w:sz w:val="16"/>
            <w:szCs w:val="16"/>
            <w:color w:val="0000FF"/>
          </w:rPr>
          <w:t>“</w:t>
        </w:r>
        <w:r>
          <w:rPr>
            <w:rFonts w:ascii="Arial" w:cs="Arial" w:eastAsia="Arial" w:hAnsi="Arial"/>
            <w:sz w:val="16"/>
            <w:szCs w:val="16"/>
            <w:u w:val="single" w:color="auto"/>
            <w:color w:val="0000FF"/>
          </w:rPr>
          <w:t>Management’s Discussion and Analysis of Financial Condition and Results of</w:t>
        </w:r>
      </w:hyperlink>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FF"/>
          </w:rPr>
          <w:t>Operations” of our Annual Report on Form 10-K for the year ended December 31, 2019</w:t>
        </w:r>
        <w:r>
          <w:rPr>
            <w:rFonts w:ascii="Arial" w:cs="Arial" w:eastAsia="Arial" w:hAnsi="Arial"/>
            <w:sz w:val="16"/>
            <w:szCs w:val="16"/>
            <w:color w:val="000000"/>
          </w:rPr>
          <w:t>, under the subheading “Liquidity and Capital Resources.”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At December 31, 2020 and 2019,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May 2014, the Financial Accounting Standards Board issued new accounting guidance related to revenue recognition. On January 1, 2018, we adopted the new accounting standard and related amendments.</w:t>
      </w:r>
    </w:p>
    <w:p>
      <w:pPr>
        <w:spacing w:after="0" w:line="19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21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premium full games, which typically provide access to main game content after purchase;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free-to-play offerings, which allow players to download the game and engage with the associated content for free;</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in-game content for purchase to enhance gameplay (i.e.microtransactions and downloadable content) available within both our full-game and free-to-play offerings;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subscriptions to players in our World of Warcraft franchise, which provide ongoing access to the game content.</w:t>
      </w:r>
    </w:p>
    <w:p>
      <w:pPr>
        <w:spacing w:after="0" w:line="252"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When control of the promised products and services is transferred to our customers, we recognize revenue in the amount that reflects the consideration we expect to receive in exchange for these products and services.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 revenue recognition by:</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the contract, or contracts, with a customer;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the performance obligations in each contract;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each contract;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252"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Product Sales</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Product sales consist of sales of our games, including digital full-game downloads and physical products.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21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Products with Online Functionality</w:t>
      </w:r>
    </w:p>
    <w:p>
      <w:pPr>
        <w:spacing w:after="0" w:line="252"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209"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Online Hosted Software Arrangements</w:t>
      </w:r>
    </w:p>
    <w:p>
      <w:pPr>
        <w:spacing w:after="0" w:line="252"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For our online hosted software arrangements, such as titles for the Overwatch, World of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Subscription, and Other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In-game Revenues</w:t>
      </w:r>
    </w:p>
    <w:p>
      <w:pPr>
        <w:spacing w:after="0" w:line="25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In-game revenues primarily includes revenue from microtransactions and downloadable content. 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Subscription Revenues</w:t>
      </w:r>
    </w:p>
    <w:p>
      <w:pPr>
        <w:spacing w:after="0" w:line="25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Subscription revenue arrangements are mostly derived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which is only playable online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21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 xml:space="preserve">Revenues attributable to the purchase of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software by our customers, including expansion packs, are classified as “Product sales,” whereas revenues attributable to subscriptions and other in-game revenues are classified as “In-game, subscription, and other revenues.”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 Revenues</w:t>
      </w:r>
    </w:p>
    <w:p>
      <w:pPr>
        <w:spacing w:after="0" w:line="25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Other revenues primarily include revenues from software licensing and licensing of intellectual property other than software. These revenues are recognized in "In-game, subscription, and other revenues" on our consolidated statement of operations.</w:t>
      </w:r>
    </w:p>
    <w:p>
      <w:pPr>
        <w:spacing w:after="0" w:line="19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certain countries we have software licensing arrangements where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Revenues from the licensing of intellectual property other than software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219"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Service Period</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less than 12 months.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Agent Considerations</w:t>
      </w:r>
    </w:p>
    <w:p>
      <w:pPr>
        <w:spacing w:after="0" w:line="252"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our revenues should be reported gross or net of fees retained by the storefront. Key indicators that we evaluate in determining whether we are the principal in the sale (gross reporting) or an agent (net reporting) include, but are not limited to:</w:t>
      </w:r>
    </w:p>
    <w:p>
      <w:pPr>
        <w:spacing w:after="0" w:line="17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5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In accordance with Accounting Standards Codification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2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 in the period such determination is made.</w:t>
      </w:r>
    </w:p>
    <w:p>
      <w:pPr>
        <w:spacing w:after="0" w:line="214"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The calculation of tax liabilities involves significant judgment in estimating the impact of uncertainties in the application of ASC Topic 740 and complex tax laws. The accounting guidance for uncertainty in income taxes applies to all income tax positions, including the potential recovery of previously paid taxes. Resolution of these uncertainties in a manner inconsistent with management’s expectations could have a material impact on our business and results of operations in an interim period in which the uncertainties are ultimately resolved.</w:t>
      </w:r>
    </w:p>
    <w:p>
      <w:pPr>
        <w:spacing w:after="0" w:line="19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205"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We are also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76"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On December 22, 2017, the U.S. enacted the Tax Cuts and Jobs Act which also created a new minimum tax that applies to certain foreign earnings (“GILTI”). We have elected to recognize deferred taxes for temporary basis differences expected to reverse as GILTI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52"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Software development costs include direct costs incurred for internally developed products, as well as payments made to independent software developers under development agreements.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 basis.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20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211"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We evaluate the future recoverability of capitalized software development costs on a quarterly basis. For products that have been released,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91"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8" w:lineRule="exact"/>
        <w:rPr>
          <w:sz w:val="20"/>
          <w:szCs w:val="20"/>
          <w:color w:val="auto"/>
        </w:rPr>
      </w:pPr>
    </w:p>
    <w:p>
      <w:pPr>
        <w:ind w:right="260" w:firstLine="44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of the application of these and other accounting policies, see </w:t>
      </w:r>
      <w:hyperlink w:anchor="page65">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80" w:firstLine="44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regarding the accounting adoption and impacts, see </w:t>
      </w:r>
      <w:hyperlink w:anchor="page65">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8">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with a heightened risk for volatility in the future due to potential impacts of COVID-19 on global financial markets.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208"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1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fair values of our foreign currency contracts are estimated based on the prevailing exchange rates of the various hedged currencies as of the end of the period.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52" w:lineRule="exact"/>
        <w:rPr>
          <w:sz w:val="20"/>
          <w:szCs w:val="20"/>
          <w:color w:val="auto"/>
        </w:rPr>
      </w:pPr>
    </w:p>
    <w:p>
      <w:pPr>
        <w:ind w:right="20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of our accounting policies for our foreign currency forward contracts, see </w:t>
      </w:r>
      <w:hyperlink w:anchor="page65">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Foreign Currency Forward Contracts Designated as Hedges (“Cash Flow Hedges”) and Foreign Currency Forward Contracts Not Designated as Hedges</w:t>
      </w:r>
    </w:p>
    <w:p>
      <w:pPr>
        <w:spacing w:after="0" w:line="197" w:lineRule="exact"/>
        <w:rPr>
          <w:sz w:val="20"/>
          <w:szCs w:val="20"/>
          <w:color w:val="auto"/>
        </w:rPr>
      </w:pPr>
    </w:p>
    <w:p>
      <w:pPr>
        <w:ind w:right="70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82">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in Item 8 of this Annual Report on Form 10-K for disclosures regarding our Cash Flow Hedges and foreign currency forward contracts not designated as hedges.</w:t>
      </w:r>
    </w:p>
    <w:p>
      <w:pPr>
        <w:spacing w:after="0" w:line="19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absence of hedging activities for the year ended December 31, 2020, a hypothetical adverse foreign currency exchange rate movement of 10% would have resulted in a theoretical decline of our net income of approximately $191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2020, our $8.6 billion of cash and cash equivalents was comprised primarily of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As of December 31, 2020, based on the composition of our investment portfolio and recent actions by central banks around the world, including the interest rate cuts by the U.S. Federal Reserve, we anticipate investment yields may remain low, which would continue to negatively impact our future interest income. Such impact is not expected to be material to the Company’s liquidity.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1"/>
        </w:trPr>
        <w:tc>
          <w:tcPr>
            <w:tcW w:w="10840" w:type="dxa"/>
            <w:vAlign w:val="bottom"/>
          </w:tcPr>
          <w:p>
            <w:pPr>
              <w:ind w:left="6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Report of Independent Registered Public Accounting Firm</w:t>
              </w:r>
            </w:hyperlink>
          </w:p>
        </w:tc>
        <w:tc>
          <w:tcPr>
            <w:tcW w:w="100" w:type="dxa"/>
            <w:vAlign w:val="bottom"/>
          </w:tcPr>
          <w:p>
            <w:pPr>
              <w:spacing w:after="0"/>
              <w:rPr>
                <w:sz w:val="24"/>
                <w:szCs w:val="24"/>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57">
              <w:r>
                <w:rPr>
                  <w:rFonts w:ascii="Arial" w:cs="Arial" w:eastAsia="Arial" w:hAnsi="Arial"/>
                  <w:sz w:val="18"/>
                  <w:szCs w:val="18"/>
                  <w:color w:val="0000FF"/>
                  <w:w w:val="81"/>
                </w:rPr>
                <w:t>1</w:t>
              </w:r>
            </w:hyperlink>
          </w:p>
        </w:tc>
      </w:tr>
      <w:tr>
        <w:trPr>
          <w:trHeight w:val="209"/>
        </w:trPr>
        <w:tc>
          <w:tcPr>
            <w:tcW w:w="10840" w:type="dxa"/>
            <w:vAlign w:val="bottom"/>
          </w:tcPr>
          <w:p>
            <w:pPr>
              <w:ind w:left="6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Balance Sheets at December 31, 2020 and 2019</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59">
              <w:r>
                <w:rPr>
                  <w:rFonts w:ascii="Arial" w:cs="Arial" w:eastAsia="Arial" w:hAnsi="Arial"/>
                  <w:sz w:val="18"/>
                  <w:szCs w:val="18"/>
                  <w:color w:val="0000FF"/>
                  <w:w w:val="81"/>
                </w:rPr>
                <w:t>3</w:t>
              </w:r>
            </w:hyperlink>
          </w:p>
        </w:tc>
      </w:tr>
      <w:tr>
        <w:trPr>
          <w:trHeight w:val="209"/>
        </w:trPr>
        <w:tc>
          <w:tcPr>
            <w:tcW w:w="10840" w:type="dxa"/>
            <w:vAlign w:val="bottom"/>
          </w:tcPr>
          <w:p>
            <w:pPr>
              <w:ind w:left="68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Operations for the Years Ended December 31, 2020, 2019, and 2018</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0">
              <w:r>
                <w:rPr>
                  <w:rFonts w:ascii="Arial" w:cs="Arial" w:eastAsia="Arial" w:hAnsi="Arial"/>
                  <w:sz w:val="18"/>
                  <w:szCs w:val="18"/>
                  <w:color w:val="0000FF"/>
                  <w:w w:val="81"/>
                </w:rPr>
                <w:t>4</w:t>
              </w:r>
            </w:hyperlink>
          </w:p>
        </w:tc>
      </w:tr>
      <w:tr>
        <w:trPr>
          <w:trHeight w:val="210"/>
        </w:trPr>
        <w:tc>
          <w:tcPr>
            <w:tcW w:w="10840" w:type="dxa"/>
            <w:vAlign w:val="bottom"/>
          </w:tcPr>
          <w:p>
            <w:pPr>
              <w:ind w:left="68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Comprehensive Income for the Years Ended December 31, 2020, 2019, and 2018</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1">
              <w:r>
                <w:rPr>
                  <w:rFonts w:ascii="Arial" w:cs="Arial" w:eastAsia="Arial" w:hAnsi="Arial"/>
                  <w:sz w:val="18"/>
                  <w:szCs w:val="18"/>
                  <w:color w:val="0000FF"/>
                  <w:w w:val="81"/>
                </w:rPr>
                <w:t>5</w:t>
              </w:r>
            </w:hyperlink>
          </w:p>
        </w:tc>
      </w:tr>
      <w:tr>
        <w:trPr>
          <w:trHeight w:val="209"/>
        </w:trPr>
        <w:tc>
          <w:tcPr>
            <w:tcW w:w="10840" w:type="dxa"/>
            <w:vAlign w:val="bottom"/>
          </w:tcPr>
          <w:p>
            <w:pPr>
              <w:ind w:left="68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Changes in Shareholders’ Equity for the Years Ended December 31, 2020, 2019, and 2018</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2">
              <w:r>
                <w:rPr>
                  <w:rFonts w:ascii="Arial" w:cs="Arial" w:eastAsia="Arial" w:hAnsi="Arial"/>
                  <w:sz w:val="18"/>
                  <w:szCs w:val="18"/>
                  <w:color w:val="0000FF"/>
                  <w:w w:val="81"/>
                </w:rPr>
                <w:t>6</w:t>
              </w:r>
            </w:hyperlink>
          </w:p>
        </w:tc>
      </w:tr>
      <w:tr>
        <w:trPr>
          <w:trHeight w:val="209"/>
        </w:trPr>
        <w:tc>
          <w:tcPr>
            <w:tcW w:w="10840" w:type="dxa"/>
            <w:vAlign w:val="bottom"/>
          </w:tcPr>
          <w:p>
            <w:pPr>
              <w:ind w:left="68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Statements of Cash Flows for the Years Ended December 31, 2020, 2019, and 2018</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3">
              <w:r>
                <w:rPr>
                  <w:rFonts w:ascii="Arial" w:cs="Arial" w:eastAsia="Arial" w:hAnsi="Arial"/>
                  <w:sz w:val="18"/>
                  <w:szCs w:val="18"/>
                  <w:color w:val="0000FF"/>
                  <w:w w:val="81"/>
                </w:rPr>
                <w:t>7</w:t>
              </w:r>
            </w:hyperlink>
          </w:p>
        </w:tc>
      </w:tr>
      <w:tr>
        <w:trPr>
          <w:trHeight w:val="210"/>
        </w:trPr>
        <w:tc>
          <w:tcPr>
            <w:tcW w:w="10840" w:type="dxa"/>
            <w:vAlign w:val="bottom"/>
          </w:tcPr>
          <w:p>
            <w:pPr>
              <w:ind w:left="6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Notes to Consolidated Financial Statements</w:t>
              </w:r>
            </w:hyperlink>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4">
              <w:r>
                <w:rPr>
                  <w:rFonts w:ascii="Arial" w:cs="Arial" w:eastAsia="Arial" w:hAnsi="Arial"/>
                  <w:sz w:val="18"/>
                  <w:szCs w:val="18"/>
                  <w:color w:val="0000FF"/>
                  <w:w w:val="81"/>
                </w:rPr>
                <w:t>8</w:t>
              </w:r>
            </w:hyperlink>
          </w:p>
        </w:tc>
      </w:tr>
      <w:tr>
        <w:trPr>
          <w:trHeight w:val="209"/>
        </w:trPr>
        <w:tc>
          <w:tcPr>
            <w:tcW w:w="10840" w:type="dxa"/>
            <w:vAlign w:val="bottom"/>
          </w:tcPr>
          <w:p>
            <w:pPr>
              <w:ind w:left="68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Schedule II—Valuation and Qualifying Accounts at December 31, 2020, 2019, and 2018</w:t>
              </w:r>
            </w:hyperlink>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110">
              <w:r>
                <w:rPr>
                  <w:rFonts w:ascii="Arial" w:cs="Arial" w:eastAsia="Arial" w:hAnsi="Arial"/>
                  <w:sz w:val="18"/>
                  <w:szCs w:val="18"/>
                  <w:color w:val="0000FF"/>
                  <w:w w:val="86"/>
                </w:rPr>
                <w:t>54</w:t>
              </w:r>
            </w:hyperlink>
          </w:p>
        </w:tc>
      </w:tr>
    </w:tbl>
    <w:p>
      <w:pPr>
        <w:spacing w:after="0" w:line="33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 and Procedures.</w:t>
      </w:r>
    </w:p>
    <w:p>
      <w:pPr>
        <w:spacing w:after="0" w:line="252"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December 31, 2020, the end of the period covered by this report. Based on this evaluation, the principal executive officer and principal financial officer concluded that, at December 31, 2020,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2020,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2020.</w:t>
      </w:r>
    </w:p>
    <w:p>
      <w:pPr>
        <w:spacing w:after="0" w:line="203" w:lineRule="exact"/>
        <w:rPr>
          <w:sz w:val="20"/>
          <w:szCs w:val="20"/>
          <w:color w:val="auto"/>
        </w:rPr>
      </w:pPr>
    </w:p>
    <w:p>
      <w:pPr>
        <w:ind w:right="460"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211" w:lineRule="exact"/>
        <w:rPr>
          <w:sz w:val="20"/>
          <w:szCs w:val="20"/>
          <w:color w:val="auto"/>
        </w:rPr>
      </w:pPr>
    </w:p>
    <w:p>
      <w:pPr>
        <w:ind w:right="360" w:firstLine="445"/>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PricewaterhouseCoopers LLP, an independent registered public accounting firm, as stated in their report included in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quarter ended December 31, 2020. Based on this evaluation, the principal executive officer and principal financial officer concluded that, at December 31, 2020, there have not been any changes in our internal control over financial reporting during the most recent fiscal quarter that have materially affected, or are reasonably likely to materially affect, our internal control over financial reporting. Additionally, we have not experienced any material impact to our internal control over financial reporting or our disclosure controls and procedures despite the fact that most of our employees are working remotely for their health and safety during the COVID-19 pandemic. We are continually monitoring and assessing the potential impact of COVID-19 on our internal controls to minimize the impact on their design and operating effectiveness.</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The information required by this Item, other than the information regarding executive officers, which is included in Item 1 of this report, is incorporated by reference to the sections of our definitive Proxy Statement for our 2021 Annual Meeting of Shareholders entitled “Proposal 1—Election of Directors,” “Corporate Governance Matters—Board of Directors and Committees—Board Committees,” “Corporate Governance Matters—Code of Conduct,” and, if applicable, “Beneficial Ownership Matters—Delinquent Section 16(a) Reports” to be filed with the SEC.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2021 Annual Meeting of Shareholders entitled “Executive Compensation” and “Director Compensation” to be filed with the SEC.</w:t>
      </w:r>
    </w:p>
    <w:p>
      <w:pPr>
        <w:spacing w:after="0" w:line="193" w:lineRule="exact"/>
        <w:rPr>
          <w:sz w:val="20"/>
          <w:szCs w:val="20"/>
          <w:color w:val="auto"/>
        </w:rPr>
      </w:pPr>
    </w:p>
    <w:p>
      <w:pPr>
        <w:ind w:left="820" w:right="4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2021 Annual Meeting of Shareholders entitled “Beneficial Ownership Matters” and “Equity Compensation Plan Information” to be filed with the SEC.</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2021 Annual Meeting of Shareholders entitled “Corporate Governance Matters—Board of Directors and Committees” and “Certain Relationships and Related Person Transactions” to be filed with the SEC.</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2021 Annual Meeting of Shareholders entitled “Audit-Related Matters” to be filed with the SEC.</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48" w:lineRule="exact"/>
        <w:rPr>
          <w:sz w:val="20"/>
          <w:szCs w:val="20"/>
          <w:color w:val="auto"/>
        </w:rPr>
      </w:pPr>
    </w:p>
    <w:p>
      <w:pPr>
        <w:ind w:left="820" w:hanging="794"/>
        <w:spacing w:after="0" w:line="23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See Item 8.—Consolidated Financial Statements and Supplementary Data for index to Financial Statements and Financial Statement Schedule on page </w:t>
      </w:r>
      <w:hyperlink w:anchor="page55">
        <w:r>
          <w:rPr>
            <w:rFonts w:ascii="Arial" w:cs="Arial" w:eastAsia="Arial" w:hAnsi="Arial"/>
            <w:sz w:val="18"/>
            <w:szCs w:val="18"/>
            <w:u w:val="single" w:color="auto"/>
            <w:color w:val="0000FF"/>
          </w:rPr>
          <w:t>55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herein.</w:t>
      </w:r>
    </w:p>
    <w:p>
      <w:pPr>
        <w:spacing w:after="0" w:line="270" w:lineRule="exact"/>
        <w:rPr>
          <w:sz w:val="20"/>
          <w:szCs w:val="20"/>
          <w:color w:val="auto"/>
        </w:rPr>
      </w:pPr>
    </w:p>
    <w:p>
      <w:pPr>
        <w:ind w:left="820" w:right="20" w:hanging="177"/>
        <w:spacing w:after="0" w:line="22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The following financial statement schedule of Activision Blizzard for the years ended December 31, 2020, 2019,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2018 is filed as part of this report on page </w:t>
      </w:r>
      <w:r>
        <w:rPr>
          <w:rFonts w:ascii="Arial" w:cs="Arial" w:eastAsia="Arial" w:hAnsi="Arial"/>
          <w:sz w:val="18"/>
          <w:szCs w:val="18"/>
          <w:u w:val="single" w:color="auto"/>
          <w:color w:val="0000FF"/>
        </w:rPr>
        <w:t>F-</w:t>
      </w:r>
      <w:hyperlink w:anchor="page110">
        <w:r>
          <w:rPr>
            <w:rFonts w:ascii="Arial" w:cs="Arial" w:eastAsia="Arial" w:hAnsi="Arial"/>
            <w:sz w:val="18"/>
            <w:szCs w:val="18"/>
            <w:u w:val="single" w:color="auto"/>
            <w:color w:val="0000FF"/>
          </w:rPr>
          <w:t xml:space="preserve">54 </w:t>
        </w:r>
      </w:hyperlink>
      <w:r>
        <w:rPr>
          <w:rFonts w:ascii="Arial" w:cs="Arial" w:eastAsia="Arial" w:hAnsi="Arial"/>
          <w:sz w:val="18"/>
          <w:szCs w:val="18"/>
          <w:u w:val="single" w:color="auto"/>
          <w:color w:val="0000FF"/>
        </w:rPr>
        <w:t>and should be read in conjunction with the consolidated financial statements of Activision Blizzard:</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II—Valuation and Qualifying Accounts</w:t>
      </w:r>
    </w:p>
    <w:p>
      <w:pPr>
        <w:spacing w:after="0" w:line="293" w:lineRule="exact"/>
        <w:rPr>
          <w:sz w:val="20"/>
          <w:szCs w:val="20"/>
          <w:color w:val="auto"/>
        </w:rPr>
      </w:pPr>
    </w:p>
    <w:p>
      <w:pPr>
        <w:ind w:left="820" w:right="420"/>
        <w:spacing w:after="0" w:line="235"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270" w:lineRule="exact"/>
        <w:rPr>
          <w:sz w:val="20"/>
          <w:szCs w:val="20"/>
          <w:color w:val="auto"/>
        </w:rPr>
      </w:pPr>
    </w:p>
    <w:p>
      <w:pPr>
        <w:ind w:left="820" w:right="620" w:hanging="177"/>
        <w:spacing w:after="0" w:line="235"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Annual Report on Form 10-K.</w:t>
      </w:r>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Activision Blizzard,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Activision Blizzard, Inc. and its subsidiaries (the “Company”) as of December 31, 2020 and 2019, and the related consolidated statements of operations, of comprehensive income, of changes in shareholders’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5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revenues from contracts with customers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Determination of Service Period for Online Functionality</w:t>
      </w:r>
    </w:p>
    <w:p>
      <w:pPr>
        <w:spacing w:after="0" w:line="25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As described in Note 2 to the consolidated financial statements, a portion of the Company’s $8.1 billion of revenues for the year ended December 31, 2020, is recognized ratably over the estimated service period for the portion of the transaction price allocable to the online functionality, which is generally less than twelve months. When determining the estimated service period for players of the Company’s games, management considers a variety of data points including the weighted-average number of days between the players’ first and last days played online, the average total hours played, the average number of days in which the player activity stabilizes, and the weighted-average number of days between players’ first purchase date and last date played online. Management also considers known online trends, the service period of their previously released games, and the service period of their competitors’ games that are similar in nature, to the extent they are publicly available. Determining the estimated service period is subjective and requires management’s judgment.</w:t>
      </w:r>
    </w:p>
    <w:p>
      <w:pPr>
        <w:spacing w:after="0" w:line="21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determination of the service period for the online functionality is a critical audit matter are the significant judgment by management when determining the service period, which in turn led to a high degree of auditor judgment, subjectivity and effort in performing procedures to evaluate audit evidence relating to the data used in developing the service period assumption, such as the player data assessed by management for historical or comparable titles to determine the weighted-average number of days between players’ first purchase date and last date played online, as well as qualitative factors utilized by management, such as analysis of competitor information.</w:t>
      </w:r>
    </w:p>
    <w:p>
      <w:pPr>
        <w:spacing w:after="0" w:line="219"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service period for the online functionality. These procedures also included, among others, (i) testing management’s process for determining the service period, (ii) testing management’s method of analyzing player data, (iii) testing the completeness and accuracy of underlying data used in the determination of the service period estimate, and (iv) evaluating the reasonableness of the service period by comparing it to similar or historical titles and competitor information.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millions,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At December 31, 2020</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At December 31, 2019</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w w:val="92"/>
              </w:rPr>
              <w:t>Accounts receivable, net of allowances of $83 and $132, at December 31, 2020 and December 31, 2019, respectively</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Software development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assets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Software development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Deferred income taxes, net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9,764</w:t>
            </w:r>
          </w:p>
        </w:tc>
        <w:tc>
          <w:tcPr>
            <w:tcW w:w="0" w:type="dxa"/>
            <w:vAlign w:val="bottom"/>
          </w:tcPr>
          <w:p>
            <w:pPr>
              <w:spacing w:after="0"/>
              <w:rPr>
                <w:sz w:val="1"/>
                <w:szCs w:val="1"/>
                <w:color w:val="auto"/>
              </w:rPr>
            </w:pPr>
          </w:p>
        </w:tc>
      </w:tr>
      <w:tr>
        <w:trPr>
          <w:trHeight w:val="212"/>
        </w:trPr>
        <w:tc>
          <w:tcPr>
            <w:tcW w:w="808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3"/>
        </w:trPr>
        <w:tc>
          <w:tcPr>
            <w:tcW w:w="8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 net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0" w:type="dxa"/>
            <w:vAlign w:val="bottom"/>
          </w:tcPr>
          <w:p>
            <w:pPr>
              <w:spacing w:after="0"/>
              <w:rPr>
                <w:sz w:val="1"/>
                <w:szCs w:val="1"/>
                <w:color w:val="auto"/>
              </w:rPr>
            </w:pPr>
          </w:p>
        </w:tc>
      </w:tr>
      <w:tr>
        <w:trPr>
          <w:trHeight w:val="193"/>
        </w:trPr>
        <w:tc>
          <w:tcPr>
            <w:tcW w:w="8080" w:type="dxa"/>
            <w:vAlign w:val="bottom"/>
          </w:tcPr>
          <w:p>
            <w:pPr>
              <w:ind w:left="20"/>
              <w:spacing w:after="0"/>
              <w:rPr>
                <w:rFonts w:ascii="Arial" w:cs="Arial" w:eastAsia="Arial" w:hAnsi="Arial"/>
                <w:sz w:val="16"/>
                <w:szCs w:val="16"/>
                <w:color w:val="auto"/>
              </w:rPr>
            </w:pPr>
            <w:r>
              <w:rPr>
                <w:rFonts w:ascii="Arial" w:cs="Arial" w:eastAsia="Arial" w:hAnsi="Arial"/>
                <w:sz w:val="16"/>
                <w:szCs w:val="16"/>
                <w:color w:val="auto"/>
              </w:rPr>
              <w:t>Commitments and contingencies (</w:t>
            </w:r>
            <w:hyperlink w:anchor="page109">
              <w:r>
                <w:rPr>
                  <w:rFonts w:ascii="Arial" w:cs="Arial" w:eastAsia="Arial" w:hAnsi="Arial"/>
                  <w:sz w:val="16"/>
                  <w:szCs w:val="16"/>
                  <w:u w:val="single" w:color="auto"/>
                  <w:color w:val="0000FF"/>
                </w:rPr>
                <w:t>Note 22</w:t>
              </w:r>
            </w:hyperlink>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80" w:type="dxa"/>
            <w:vAlign w:val="bottom"/>
          </w:tcPr>
          <w:p>
            <w:pPr>
              <w:ind w:left="220"/>
              <w:spacing w:after="0" w:line="166" w:lineRule="exact"/>
              <w:rPr>
                <w:sz w:val="20"/>
                <w:szCs w:val="20"/>
                <w:color w:val="auto"/>
              </w:rPr>
            </w:pPr>
            <w:r>
              <w:rPr>
                <w:rFonts w:ascii="Arial" w:cs="Arial" w:eastAsia="Arial" w:hAnsi="Arial"/>
                <w:sz w:val="16"/>
                <w:szCs w:val="16"/>
                <w:color w:val="auto"/>
                <w:w w:val="91"/>
              </w:rPr>
              <w:t>Common stock, $0.000001 par value, 2,400,000,000 shares authorized, 1,202,906,087 and 1,197,436,644 shares issued</w:t>
            </w:r>
          </w:p>
        </w:tc>
        <w:tc>
          <w:tcPr>
            <w:tcW w:w="5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80" w:type="dxa"/>
            <w:vAlign w:val="bottom"/>
          </w:tcPr>
          <w:p>
            <w:pPr>
              <w:ind w:left="220"/>
              <w:spacing w:after="0"/>
              <w:rPr>
                <w:sz w:val="20"/>
                <w:szCs w:val="20"/>
                <w:color w:val="auto"/>
              </w:rPr>
            </w:pPr>
            <w:r>
              <w:rPr>
                <w:rFonts w:ascii="Arial" w:cs="Arial" w:eastAsia="Arial" w:hAnsi="Arial"/>
                <w:sz w:val="16"/>
                <w:szCs w:val="16"/>
                <w:color w:val="auto"/>
              </w:rPr>
              <w:t>at December 31, 2020 and December 31, 2019, respectively</w:t>
            </w:r>
          </w:p>
        </w:tc>
        <w:tc>
          <w:tcPr>
            <w:tcW w:w="5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Arial" w:cs="Arial" w:eastAsia="Arial" w:hAnsi="Arial"/>
                <w:sz w:val="16"/>
                <w:szCs w:val="16"/>
                <w:color w:val="auto"/>
              </w:rPr>
              <w:t>Less: Treasury stock, at cost, 428,676,471 shares at December 31, 2020 and December 31, 2019</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13"/>
        </w:trPr>
        <w:tc>
          <w:tcPr>
            <w:tcW w:w="8080" w:type="dxa"/>
            <w:vAlign w:val="bottom"/>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w w:val="98"/>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2018</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In-game, subscription, and other revenues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70"/>
        </w:trPr>
        <w:tc>
          <w:tcPr>
            <w:tcW w:w="6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revenues—product sales: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Product costs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Cost of revenues—in-game, subscription, and other: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Game operations and distribution costs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related costs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r>
        <w:trPr>
          <w:trHeight w:val="250"/>
        </w:trPr>
        <w:tc>
          <w:tcPr>
            <w:tcW w:w="6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644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Interest and other expense (income), net (</w:t>
            </w:r>
            <w:hyperlink w:anchor="page103">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2,616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0"/>
        </w:trPr>
        <w:tc>
          <w:tcPr>
            <w:tcW w:w="6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Weighted-average number of shares outstanding</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w:t>
            </w: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w w:val="98"/>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w w:val="98"/>
              </w:rPr>
              <w:t>Unrealized gains (losses) on forward contracts designated as hedges, net of tax</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investments, net of tax</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(Amounts and shares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620" w:type="dxa"/>
            <w:vAlign w:val="bottom"/>
          </w:tcPr>
          <w:p>
            <w:pPr>
              <w:spacing w:after="0"/>
              <w:rPr>
                <w:sz w:val="8"/>
                <w:szCs w:val="8"/>
                <w:color w:val="auto"/>
              </w:rPr>
            </w:pPr>
          </w:p>
        </w:tc>
        <w:tc>
          <w:tcPr>
            <w:tcW w:w="12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90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Retained</w:t>
            </w:r>
          </w:p>
        </w:tc>
        <w:tc>
          <w:tcPr>
            <w:tcW w:w="10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Comprehensive</w:t>
            </w:r>
          </w:p>
        </w:tc>
        <w:tc>
          <w:tcPr>
            <w:tcW w:w="98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4"/>
              </w:rPr>
              <w:t>(5,563)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10,747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9,462</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Cumulative impact from adoption of new revenue accounting standard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Dividends ($0.34 per common share)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11"/>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4"/>
              </w:rPr>
              <w:t>(5,563)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11,392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86"/>
        </w:trPr>
        <w:tc>
          <w:tcPr>
            <w:tcW w:w="462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6"/>
        </w:trPr>
        <w:tc>
          <w:tcPr>
            <w:tcW w:w="462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($0.37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(5,563)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7,813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12,805</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Cumulative impact from adoption of new credit loss standard</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86"/>
        </w:trPr>
        <w:tc>
          <w:tcPr>
            <w:tcW w:w="462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6"/>
        </w:trPr>
        <w:tc>
          <w:tcPr>
            <w:tcW w:w="462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($0.41 per common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1,203</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(429)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(5,563)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11,531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15,037</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2018</w:t>
            </w:r>
          </w:p>
        </w:tc>
      </w:tr>
      <w:tr>
        <w:trPr>
          <w:trHeight w:val="185"/>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6"/>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cost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capitalized software development costs and intellectual property licenses (1)</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Share-based compensation expense (2)</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Software development and intellectual property licenses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Deferred revenues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r>
      <w:tr>
        <w:trPr>
          <w:trHeight w:val="186"/>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r>
      <w:tr>
        <w:trPr>
          <w:trHeight w:val="177"/>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5"/>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maturities of available-for-sale investments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Purchases of available-for-sale investments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8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6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77"/>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5"/>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 to employees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Tax payment related to net share settlements on restricted stock units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debt issuances, net of discounts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payment for early redemption of note</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Other financing activities</w:t>
            </w:r>
          </w:p>
        </w:tc>
        <w:tc>
          <w:tcPr>
            <w:tcW w:w="8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6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r>
      <w:tr>
        <w:trPr>
          <w:trHeight w:val="17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beginning of period</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4,720</w:t>
            </w:r>
          </w:p>
        </w:tc>
      </w:tr>
      <w:tr>
        <w:trPr>
          <w:trHeight w:val="20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end of period</w:t>
            </w:r>
          </w:p>
        </w:tc>
        <w:tc>
          <w:tcPr>
            <w:tcW w:w="88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6"/>
        </w:trPr>
        <w:tc>
          <w:tcPr>
            <w:tcW w:w="6940" w:type="dxa"/>
            <w:vAlign w:val="bottom"/>
          </w:tcPr>
          <w:p>
            <w:pPr>
              <w:ind w:left="140"/>
              <w:spacing w:after="0"/>
              <w:rPr>
                <w:sz w:val="20"/>
                <w:szCs w:val="20"/>
                <w:color w:val="auto"/>
              </w:rPr>
            </w:pPr>
            <w:r>
              <w:rPr>
                <w:rFonts w:ascii="Arial" w:cs="Arial" w:eastAsia="Arial" w:hAnsi="Arial"/>
                <w:sz w:val="14"/>
                <w:szCs w:val="14"/>
                <w:color w:val="auto"/>
              </w:rPr>
              <w:t>Cash paid for income taxes, net of refunds</w:t>
            </w:r>
          </w:p>
        </w:tc>
        <w:tc>
          <w:tcPr>
            <w:tcW w:w="880" w:type="dxa"/>
            <w:vAlign w:val="bottom"/>
          </w:tcPr>
          <w:p>
            <w:pPr>
              <w:jc w:val="right"/>
              <w:ind w:right="726"/>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560</w:t>
            </w:r>
          </w:p>
        </w:tc>
      </w:tr>
      <w:tr>
        <w:trPr>
          <w:trHeight w:val="192"/>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bl>
    <w:p>
      <w:pPr>
        <w:spacing w:after="0" w:line="6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52" w:lineRule="exact"/>
        <w:rPr>
          <w:sz w:val="20"/>
          <w:szCs w:val="20"/>
          <w:color w:val="auto"/>
        </w:rPr>
      </w:pPr>
    </w:p>
    <w:p>
      <w:pPr>
        <w:ind w:right="20" w:firstLine="405"/>
        <w:spacing w:after="0" w:line="223" w:lineRule="auto"/>
        <w:rPr>
          <w:sz w:val="20"/>
          <w:szCs w:val="20"/>
          <w:color w:val="auto"/>
        </w:rPr>
      </w:pPr>
      <w:r>
        <w:rPr>
          <w:rFonts w:ascii="Arial" w:cs="Arial" w:eastAsia="Arial" w:hAnsi="Arial"/>
          <w:sz w:val="18"/>
          <w:szCs w:val="18"/>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franchise. Activision also includes the activities of the Call of Duty League</w:t>
      </w:r>
      <w:r>
        <w:rPr>
          <w:rFonts w:ascii="Arial" w:cs="Arial" w:eastAsia="Arial" w:hAnsi="Arial"/>
          <w:sz w:val="23"/>
          <w:szCs w:val="23"/>
          <w:color w:val="auto"/>
          <w:vertAlign w:val="superscript"/>
        </w:rPr>
        <w:t>TM</w:t>
      </w:r>
      <w:r>
        <w:rPr>
          <w:rFonts w:ascii="Arial" w:cs="Arial" w:eastAsia="Arial" w:hAnsi="Arial"/>
          <w:sz w:val="18"/>
          <w:szCs w:val="18"/>
          <w:color w:val="auto"/>
        </w:rPr>
        <w:t>, a global professional esports league with city-based teams.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52" w:lineRule="exact"/>
        <w:rPr>
          <w:sz w:val="20"/>
          <w:szCs w:val="20"/>
          <w:color w:val="auto"/>
        </w:rPr>
      </w:pPr>
    </w:p>
    <w:p>
      <w:pPr>
        <w:ind w:firstLine="405"/>
        <w:spacing w:after="0" w:line="205"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Blizzard Battle.net</w:t>
      </w:r>
      <w:r>
        <w:rPr>
          <w:rFonts w:ascii="Arial" w:cs="Arial" w:eastAsia="Arial" w:hAnsi="Arial"/>
          <w:sz w:val="27"/>
          <w:szCs w:val="27"/>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7"/>
          <w:szCs w:val="27"/>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7"/>
          <w:szCs w:val="27"/>
          <w:color w:val="auto"/>
          <w:vertAlign w:val="superscript"/>
        </w:rPr>
        <w:t>®</w:t>
      </w:r>
      <w:r>
        <w:rPr>
          <w:rFonts w:ascii="Arial" w:cs="Arial" w:eastAsia="Arial" w:hAnsi="Arial"/>
          <w:sz w:val="17"/>
          <w:szCs w:val="17"/>
          <w:color w:val="auto"/>
        </w:rPr>
        <w:t>, an online collectible card franchise based in the Warcraft universe; Diablo</w:t>
      </w:r>
      <w:r>
        <w:rPr>
          <w:rFonts w:ascii="Arial" w:cs="Arial" w:eastAsia="Arial" w:hAnsi="Arial"/>
          <w:sz w:val="27"/>
          <w:szCs w:val="27"/>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7"/>
          <w:szCs w:val="27"/>
          <w:color w:val="auto"/>
          <w:vertAlign w:val="superscript"/>
        </w:rPr>
        <w:t>®</w:t>
      </w:r>
      <w:r>
        <w:rPr>
          <w:rFonts w:ascii="Arial" w:cs="Arial" w:eastAsia="Arial" w:hAnsi="Arial"/>
          <w:sz w:val="17"/>
          <w:szCs w:val="17"/>
          <w:color w:val="auto"/>
        </w:rPr>
        <w:t>, a team-based first-person action franchise. Blizzard also includes the activities of the Overwatch League</w:t>
      </w:r>
      <w:r>
        <w:rPr>
          <w:rFonts w:ascii="Arial" w:cs="Arial" w:eastAsia="Arial" w:hAnsi="Arial"/>
          <w:sz w:val="22"/>
          <w:szCs w:val="22"/>
          <w:color w:val="auto"/>
          <w:vertAlign w:val="superscript"/>
        </w:rPr>
        <w:t>TM</w:t>
      </w:r>
      <w:r>
        <w:rPr>
          <w:rFonts w:ascii="Arial" w:cs="Arial" w:eastAsia="Arial" w:hAnsi="Arial"/>
          <w:sz w:val="17"/>
          <w:szCs w:val="17"/>
          <w:color w:val="auto"/>
        </w:rPr>
        <w:t>, a global professional esports league with city-based teams.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52"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King Digital Entertainment (“King”) delivers content primarily through free-to-play offerings and primarily generates revenue from in-game sales and in-game advertising on the mobile platform. King’s key product franchise is Candy Crush™, a “match three” franchise.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United States of America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prior-year amounts to conform to the current period presentation.</w:t>
      </w:r>
    </w:p>
    <w:p>
      <w:pPr>
        <w:spacing w:after="0" w:line="252"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for additional evidence relative to certain estimates or to identify matters that require additional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We consider all money market funds and highly liquid investments with original maturities of three months or less at the time of purchase to be “Cash and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ind w:right="140" w:firstLine="445"/>
        <w:spacing w:after="0" w:line="311" w:lineRule="auto"/>
        <w:rPr>
          <w:sz w:val="20"/>
          <w:szCs w:val="20"/>
          <w:color w:val="auto"/>
        </w:rPr>
      </w:pPr>
      <w:r>
        <w:rPr>
          <w:rFonts w:ascii="Arial" w:cs="Arial" w:eastAsia="Arial" w:hAnsi="Arial"/>
          <w:sz w:val="16"/>
          <w:szCs w:val="16"/>
          <w:color w:val="auto"/>
        </w:rPr>
        <w:t>Investments in debt securities designated as available-for-sale are carried at fair value, which is based on quoted market prices for such securities, if available, or is estimated on the basis of quoted market prices of financial instruments with similar characteristics. Unrealized gains and losses on the Company’s available-for-sale debt securities are excluded from earnings and are reported as a component of “Other comprehensive income (loss).”</w:t>
      </w:r>
    </w:p>
    <w:p>
      <w:pPr>
        <w:spacing w:after="0" w:line="176" w:lineRule="exact"/>
        <w:rPr>
          <w:sz w:val="20"/>
          <w:szCs w:val="20"/>
          <w:color w:val="auto"/>
        </w:rPr>
      </w:pPr>
    </w:p>
    <w:p>
      <w:pPr>
        <w:jc w:val="both"/>
        <w:ind w:right="280" w:firstLine="445"/>
        <w:spacing w:after="0" w:line="263" w:lineRule="auto"/>
        <w:rPr>
          <w:sz w:val="20"/>
          <w:szCs w:val="20"/>
          <w:color w:val="auto"/>
        </w:rPr>
      </w:pPr>
      <w:r>
        <w:rPr>
          <w:rFonts w:ascii="Arial" w:cs="Arial" w:eastAsia="Arial" w:hAnsi="Arial"/>
          <w:sz w:val="18"/>
          <w:szCs w:val="18"/>
          <w:color w:val="auto"/>
        </w:rPr>
        <w:t>Investments with original maturities greater than three months and remaining maturities of less than one year are classified within “Other current assets.” Investments with maturities beyond one year may be classified within “Other current assets” if they are highly liquid in nature and represent the investment of cash that is available for current operations.</w:t>
      </w:r>
    </w:p>
    <w:p>
      <w:pPr>
        <w:spacing w:after="0" w:line="211"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97"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Investments in equity securities which are not accounted for under the equity method and for which there is not a readily determinable fair value are carried at cost, less impairment, and adjusted for changes resulting from observable price changes in orderly transactions for identical or similar investment of the same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The carrying amounts of “Cash and cash equivalents,” “Accounts receivable, net of allowances,” “Accounts payable,” and “Accrued expenses and other liabilities” approximate fair value due to the short-term nature of these accounts. Our investments in U.S. treasuries, government agency securities, and corporate bonds, if any, are carried at fair value, which is based on quoted market prices for such securities, if available, or is estimated on the basis of quoted market prices of financial instruments with similar characteristics.</w:t>
      </w:r>
    </w:p>
    <w:p>
      <w:pPr>
        <w:spacing w:after="0" w:line="214"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transact business in various foreign currencies and have significant international sales and expenses denominated in foreign currencies, subjecting us to foreign currency risk. To mitigate our foreign currency risk resulting from our foreign currency-denominated monetary assets, liabilities,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values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hold or purchase foreign currency forward contracts for trading or speculative purposes.</w:t>
      </w:r>
    </w:p>
    <w:p>
      <w:pPr>
        <w:spacing w:after="0" w:line="25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For foreign currency forward contracts which are not designated as hedging instruments under ASC 815, we record the changes in the estimated fair value of these derivatives within “General and administrative expenses” in our consolidated statements of operations, consistent with the nature of the underlying transactions.</w:t>
      </w:r>
    </w:p>
    <w:p>
      <w:pPr>
        <w:spacing w:after="0" w:line="21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Our concentration of credit risk relates to depositors holding the Company’s cash and cash equivalents and customers with significant accounts receivable balances.</w:t>
      </w:r>
    </w:p>
    <w:p>
      <w:pPr>
        <w:spacing w:after="0" w:line="197"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97" w:lineRule="exact"/>
        <w:rPr>
          <w:sz w:val="20"/>
          <w:szCs w:val="20"/>
          <w:color w:val="auto"/>
        </w:rPr>
      </w:pPr>
    </w:p>
    <w:p>
      <w:pPr>
        <w:ind w:right="200" w:firstLine="445"/>
        <w:spacing w:after="0" w:line="286" w:lineRule="auto"/>
        <w:rPr>
          <w:sz w:val="20"/>
          <w:szCs w:val="20"/>
          <w:color w:val="auto"/>
        </w:rPr>
      </w:pPr>
      <w:r>
        <w:rPr>
          <w:rFonts w:ascii="Arial" w:cs="Arial" w:eastAsia="Arial" w:hAnsi="Arial"/>
          <w:sz w:val="17"/>
          <w:szCs w:val="17"/>
          <w:color w:val="auto"/>
        </w:rPr>
        <w:t>Our customer base includes first party digital storefronts, retailers and distributors, including mass-market retailers,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2020, Sony Interactive Entertainment, Inc. (“Sony”), Apple Inc. (“Apple”), Google Inc. (“Google”), and Microsoft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(“Microsoft”) were our most significant customers with revenues of 17%, 15%, 14%, and 11%, respectively.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2018, Apple, Google, and Sony were our most significant customers with revenues of 17%, 13%, and 11%, respectively, for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 11%, and 13%, respectively, for 2018. No other customer accounted for 10% or more of our net revenues in those periods.</w:t>
      </w:r>
    </w:p>
    <w:p>
      <w:pPr>
        <w:spacing w:after="0" w:line="23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had two customers—Microsoft and Sony—who accounted for 28% and 21%, respectively, of consolidated gross receivables at December 31, 2020, and 11% and 18%, respectively, at December 31, 2019. No other customer accounted for 10% or more of our consolidated gross receivables in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Intellectual Property Licenses</w:t>
      </w:r>
    </w:p>
    <w:p>
      <w:pPr>
        <w:spacing w:after="0" w:line="252"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Software development costs include direct costs incurred for internally developed products, as well as payments made to independent software developers under development agreements.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Significant management judgments and estimates are applied in assessing when capitalization commences for software development costs and the evaluation is performed on a product-by-product basis.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20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211"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 holder, we may obtain the right to use the intellectual property in multiple products or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21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2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evaluate the future recoverability of capitalized software development costs and intellectual property licenses on a quarterly basis. For products that have been released,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Additionally, criteria used to evaluate expected product performance may include, as appropriate: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222"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25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apply the practical expedient to expense, as incurred, costs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 Total capitalized costs to obtain a contract were immaterial as of December 31, 2020 and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Property and equipment are recorded at cost and depreciated on a straight-line basis over the estimated useful life of the asset (i.e</w:t>
      </w:r>
      <w:r>
        <w:rPr>
          <w:rFonts w:ascii="Arial" w:cs="Arial" w:eastAsia="Arial" w:hAnsi="Arial"/>
          <w:sz w:val="18"/>
          <w:szCs w:val="18"/>
          <w:i w:val="1"/>
          <w:iCs w:val="1"/>
          <w:color w:val="auto"/>
        </w:rPr>
        <w:t>.</w:t>
      </w:r>
      <w:r>
        <w:rPr>
          <w:rFonts w:ascii="Arial" w:cs="Arial" w:eastAsia="Arial" w:hAnsi="Arial"/>
          <w:sz w:val="18"/>
          <w:szCs w:val="18"/>
          <w:color w:val="auto"/>
        </w:rPr>
        <w:t>, 25 to 33 years for buildings, and 2 to 5 years for computer equipment, office furniture and other equipment).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 and Other Indefinite-Lived Assets.</w:t>
      </w:r>
    </w:p>
    <w:p>
      <w:pPr>
        <w:spacing w:after="0" w:line="25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Goodwill is considered to have an indefinite life and is carried at cost. Acquired trade names are assessed as indefinite lived assets if there are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214" w:lineRule="exact"/>
        <w:rPr>
          <w:sz w:val="20"/>
          <w:szCs w:val="20"/>
          <w:color w:val="auto"/>
        </w:rPr>
      </w:pPr>
    </w:p>
    <w:p>
      <w:pPr>
        <w:jc w:val="both"/>
        <w:ind w:right="20" w:firstLine="445"/>
        <w:spacing w:after="0" w:line="284" w:lineRule="auto"/>
        <w:rPr>
          <w:sz w:val="20"/>
          <w:szCs w:val="20"/>
          <w:color w:val="auto"/>
        </w:rPr>
      </w:pPr>
      <w:r>
        <w:rPr>
          <w:rFonts w:ascii="Arial" w:cs="Arial" w:eastAsia="Arial" w:hAnsi="Arial"/>
          <w:sz w:val="16"/>
          <w:szCs w:val="16"/>
          <w:color w:val="auto"/>
        </w:rPr>
        <w:t>Our annual goodwill impairment test is performed at the reporting unit level. As of December 31, 2020 and 2019, our reporting units were the same as our operating segments. We generally test goodwill for possible impairment first by performing a qualitative assessment to determine whether it is more likely than not that the fair value of a reporting unit is less than its carrying value. If a qualitative assessment is not used, or if the qualitative assessment is not conclusive, a quantitative impairment test is performed. If a quantitative test is performed, we determine the fair value of the related reporting unit and compare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an impairment charge is recorded for this amount under revised accounting guidance effective for the year ended December 31, 2020, and future periods.</w:t>
      </w:r>
    </w:p>
    <w:p>
      <w:pPr>
        <w:spacing w:after="0" w:line="2" w:lineRule="exact"/>
        <w:rPr>
          <w:sz w:val="20"/>
          <w:szCs w:val="20"/>
          <w:color w:val="auto"/>
        </w:rPr>
      </w:pPr>
    </w:p>
    <w:p>
      <w:pPr>
        <w:ind w:right="1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78">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on the revised accounting guidance. Based on our annual impairment assessment, no impairments of goodwill were identified for the years ended December 31, 2020, 2019, and 2018.</w:t>
      </w:r>
    </w:p>
    <w:p>
      <w:pPr>
        <w:spacing w:after="0" w:line="21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test our acquired trade names for possible impairment by applying the same process as for goodwill. In the instance when a qualitative test is not performed or is inconclusive, a quantitative test is performed by using a discounted cash flow model to estimate fair value of our acquired trade names. Based on our annual impairment assessment, no impairments of our acquired trade names were identified for the years ended December 31, 2020, 2019, and 2018.</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assumptions underlying our estimates could result in future impairment charges.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Amortizable Intangible and Other Long-lived Assets.</w:t>
      </w:r>
    </w:p>
    <w:p>
      <w:pPr>
        <w:spacing w:after="0" w:line="25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Intangible assets subject to amortization are carried at cost less accumulated amortization, and amortized over the estimated useful life in proportion to the economic benefits received.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We evaluate the recoverability of our definite-lived intangible assets and other long-lived assets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for the years ended December 31, 2020, 2019, and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February 2016, the FASB issued new guidance related to the accounting for leases. The new standard replaced all current U.S. GAAP guidance on this topic. On January 1, 2019, we adopted the new lease accounting standard.</w:t>
      </w:r>
    </w:p>
    <w:p>
      <w:pPr>
        <w:spacing w:after="0" w:line="19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are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right-of-use (“ROU”) asset also includes any lease payments made prior to the lease commencement date, initial direct costs incurred, and lease incentives received. As most of our leases do not provide an implicit rate, we generally use our incremental borrowing rate in determining the present value of future payments. The incremental borrowing rate represents an approximation of the rate that would be charged to borrow funds to purchase the leased asset over a similar term, and is based on the information available at the commencement date of the lease. For leased assets with similar lease terms and asset types, we applied a portfolio approach in determining a single incremental borrowing rate for the leased assets.</w:t>
      </w:r>
    </w:p>
    <w:p>
      <w:pPr>
        <w:spacing w:after="0" w:line="206"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In determining our lease liability, the lease term includes options to extend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203" w:lineRule="exact"/>
        <w:rPr>
          <w:sz w:val="20"/>
          <w:szCs w:val="20"/>
          <w:color w:val="auto"/>
        </w:rPr>
      </w:pPr>
    </w:p>
    <w:p>
      <w:pPr>
        <w:ind w:right="260" w:firstLine="405"/>
        <w:spacing w:after="0" w:line="327" w:lineRule="auto"/>
        <w:rPr>
          <w:sz w:val="20"/>
          <w:szCs w:val="20"/>
          <w:color w:val="auto"/>
        </w:rPr>
      </w:pPr>
      <w:r>
        <w:rPr>
          <w:rFonts w:ascii="Arial" w:cs="Arial" w:eastAsia="Arial" w:hAnsi="Arial"/>
          <w:sz w:val="15"/>
          <w:szCs w:val="15"/>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6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Operating lease ROU assets are presented in “Other assets” and operating lease liabilities are presented in “Accrued expenses and other current liabilities” and “Other liabilities” on our consolidated balance sheet.</w:t>
      </w:r>
    </w:p>
    <w:p>
      <w:pPr>
        <w:spacing w:after="0" w:line="19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Finance lease ROU assets are presented in “Property and equipment, net” and finance lease liabilities are presented in “Accrued expenses and other current liabilities” and “Other liabilities”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May 2014, the FASB issued new accounting guidance related to revenue recognition. On January 1, 2018, we adopted the new accounting standard and related amendments.</w:t>
      </w:r>
    </w:p>
    <w:p>
      <w:pPr>
        <w:spacing w:after="0" w:line="197"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21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premium full games, which typically provide access to main game content after purchase;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free-to-play offerings, which allows players to download the game and engage with the associated content for free;</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in-game content for purchase to enhance gameplay (i.e. microtransactions and downloadable content) available within both our full-game and free-to-play offerings;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subscriptions to players in our World of Warcraft franchise that provide ongoing access to the game content.</w:t>
      </w:r>
    </w:p>
    <w:p>
      <w:pPr>
        <w:spacing w:after="0" w:line="252"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When control of the promised products and services is transferred to our customers, we recognize revenue in the amount that reflects the consideration we expect to receive in exchange for these products and services.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 revenue recognition by:</w:t>
      </w:r>
    </w:p>
    <w:p>
      <w:pPr>
        <w:spacing w:after="0" w:line="25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the contract, or contracts, with a customer;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the performance obligations in each contract;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each contract;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252"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8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Product Sales</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Product sales consist of sales of our games, including digital full-game downloads and physical products.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21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Products with Online Functionality</w:t>
      </w:r>
    </w:p>
    <w:p>
      <w:pPr>
        <w:spacing w:after="0" w:line="252"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209"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Online Hosted Software Arrangements</w:t>
      </w:r>
    </w:p>
    <w:p>
      <w:pPr>
        <w:spacing w:after="0" w:line="252"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For our online hosted software arrangements, such as titles for the Overwatch, World of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Subscription, and Other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In-game Revenues</w:t>
      </w:r>
    </w:p>
    <w:p>
      <w:pPr>
        <w:spacing w:after="0" w:line="25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In-game revenues primarily includes revenues from microtransactions and downloadable content. 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Subscription Revenues</w:t>
      </w:r>
    </w:p>
    <w:p>
      <w:pPr>
        <w:spacing w:after="0" w:line="25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Subscription revenue arrangements are mostly derived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which is only playable online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21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 xml:space="preserve">Revenues attributable to the purchase of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software by our customers, including expansion packs, are classified as “Product sales,” whereas revenues attributable to subscriptions and other in-game revenues are classified as “In-game, subscription, and other revenues.”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 Revenues</w:t>
      </w:r>
    </w:p>
    <w:p>
      <w:pPr>
        <w:spacing w:after="0" w:line="25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Other revenues primarily include revenues from software licensing and licensing of intellectual property other than software. These revenues are recognized in "In-game, subscription, and other revenues" on our consolidated statement of operations.</w:t>
      </w:r>
    </w:p>
    <w:p>
      <w:pPr>
        <w:spacing w:after="0" w:line="19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certain countries we have software licensing arrangements where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20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Revenues from the licensing of intellectual property other than software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219"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Estimated Service Period</w:t>
      </w:r>
    </w:p>
    <w:p>
      <w:pPr>
        <w:spacing w:after="0" w:line="25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less than 12 months.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Agent Considerations</w:t>
      </w:r>
    </w:p>
    <w:p>
      <w:pPr>
        <w:spacing w:after="0" w:line="252"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revenues should be reported gross or net of fees retained by the storefront. Key indicators that we evaluate in determining whether we are the principal in the sale (gross reporting) or an agent (net reporting) include, but are not limited to:</w:t>
      </w:r>
    </w:p>
    <w:p>
      <w:pPr>
        <w:spacing w:after="0" w:line="176"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5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and Price Protection</w:t>
      </w:r>
    </w:p>
    <w:p>
      <w:pPr>
        <w:spacing w:after="0" w:line="252"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delivery of sell-through reports to us. We may also consider the facilitation of slow-moving inventory and other market factors.</w:t>
      </w:r>
    </w:p>
    <w:p>
      <w:pPr>
        <w:spacing w:after="0" w:line="219" w:lineRule="exact"/>
        <w:rPr>
          <w:sz w:val="20"/>
          <w:szCs w:val="20"/>
          <w:color w:val="auto"/>
        </w:rPr>
      </w:pPr>
    </w:p>
    <w:p>
      <w:pPr>
        <w:jc w:val="both"/>
        <w:ind w:right="200" w:firstLine="405"/>
        <w:spacing w:after="0" w:line="301" w:lineRule="auto"/>
        <w:rPr>
          <w:sz w:val="20"/>
          <w:szCs w:val="20"/>
          <w:color w:val="auto"/>
        </w:rPr>
      </w:pPr>
      <w:r>
        <w:rPr>
          <w:rFonts w:ascii="Arial" w:cs="Arial" w:eastAsia="Arial" w:hAnsi="Arial"/>
          <w:sz w:val="16"/>
          <w:szCs w:val="16"/>
          <w:color w:val="auto"/>
        </w:rPr>
        <w:t>Management uses judgment in estimates made with respect to potential future product returns and price protection related to current period product revenues and when establishing the allowance for returns and price protection.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Based upon historical experience, we believe that our estimates are reasonable. However, actual returns and price protection could vary from our</w:t>
      </w:r>
    </w:p>
    <w:p>
      <w:pPr>
        <w:spacing w:after="0" w:line="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allowance estimates and therefore impact the amount and timing of our revenues for any period if conditions change or if matters resolve in a manner that is inconsistent with management’s assumptions utilized in determining the allowances.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9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allowance for doubtful accounts reflects our best estimate of expected credit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21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Deferred revenue is comprised primarily of unearned revenue related to the sale of products with online functionality or online hosted arrangements. We typically invoice, and collect payment for, these sales at the beginning of the contract period and recognize revenue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84"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83">
        <w:r>
          <w:rPr>
            <w:rFonts w:ascii="Arial" w:cs="Arial" w:eastAsia="Arial" w:hAnsi="Arial"/>
            <w:sz w:val="18"/>
            <w:szCs w:val="18"/>
            <w:u w:val="single" w:color="auto"/>
            <w:color w:val="0000FF"/>
          </w:rPr>
          <w:t>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including changes in deferred revenue during the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52"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revenues consist of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revenues—product sales:</w:t>
      </w:r>
    </w:p>
    <w:p>
      <w:pPr>
        <w:spacing w:after="0" w:line="252" w:lineRule="exact"/>
        <w:rPr>
          <w:sz w:val="20"/>
          <w:szCs w:val="20"/>
          <w:color w:val="auto"/>
        </w:rPr>
      </w:pPr>
    </w:p>
    <w:p>
      <w:pPr>
        <w:ind w:left="980" w:right="220" w:hanging="324"/>
        <w:spacing w:after="0" w:line="263" w:lineRule="auto"/>
        <w:tabs>
          <w:tab w:leader="none" w:pos="10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costs”</w:t>
      </w:r>
      <w:r>
        <w:rPr>
          <w:rFonts w:ascii="Arial" w:cs="Arial" w:eastAsia="Arial" w:hAnsi="Arial"/>
          <w:sz w:val="18"/>
          <w:szCs w:val="18"/>
          <w:i w:val="1"/>
          <w:iCs w:val="1"/>
          <w:color w:val="auto"/>
        </w:rPr>
        <w:t>—</w:t>
      </w:r>
      <w:r>
        <w:rPr>
          <w:rFonts w:ascii="Arial" w:cs="Arial" w:eastAsia="Arial" w:hAnsi="Arial"/>
          <w:sz w:val="18"/>
          <w:szCs w:val="18"/>
          <w:color w:val="auto"/>
        </w:rPr>
        <w:t>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210" w:lineRule="exact"/>
        <w:rPr>
          <w:rFonts w:ascii="Arial" w:cs="Arial" w:eastAsia="Arial" w:hAnsi="Arial"/>
          <w:sz w:val="18"/>
          <w:szCs w:val="18"/>
          <w:color w:val="auto"/>
        </w:rPr>
      </w:pPr>
    </w:p>
    <w:p>
      <w:pPr>
        <w:jc w:val="both"/>
        <w:ind w:left="980" w:right="120" w:hanging="324"/>
        <w:spacing w:after="0" w:line="259" w:lineRule="auto"/>
        <w:tabs>
          <w:tab w:leader="none" w:pos="10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w:t>
      </w:r>
      <w:r>
        <w:rPr>
          <w:rFonts w:ascii="Arial" w:cs="Arial" w:eastAsia="Arial" w:hAnsi="Arial"/>
          <w:sz w:val="18"/>
          <w:szCs w:val="18"/>
          <w:i w:val="1"/>
          <w:iCs w:val="1"/>
          <w:color w:val="auto"/>
        </w:rPr>
        <w:t>—</w:t>
      </w:r>
      <w:r>
        <w:rPr>
          <w:rFonts w:ascii="Arial" w:cs="Arial" w:eastAsia="Arial" w:hAnsi="Arial"/>
          <w:sz w:val="18"/>
          <w:szCs w:val="18"/>
          <w:color w:val="auto"/>
        </w:rPr>
        <w:t>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revenues—in-game, subscription, and other revenues:</w:t>
      </w:r>
    </w:p>
    <w:p>
      <w:pPr>
        <w:spacing w:after="0" w:line="252" w:lineRule="exact"/>
        <w:rPr>
          <w:sz w:val="20"/>
          <w:szCs w:val="20"/>
          <w:color w:val="auto"/>
        </w:rPr>
      </w:pPr>
    </w:p>
    <w:p>
      <w:pPr>
        <w:ind w:left="980" w:right="340" w:hanging="324"/>
        <w:spacing w:after="0" w:line="308" w:lineRule="auto"/>
        <w:tabs>
          <w:tab w:leader="none" w:pos="10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“Game operations and distribution costs”</w:t>
      </w:r>
      <w:r>
        <w:rPr>
          <w:rFonts w:ascii="Arial" w:cs="Arial" w:eastAsia="Arial" w:hAnsi="Arial"/>
          <w:sz w:val="17"/>
          <w:szCs w:val="17"/>
          <w:i w:val="1"/>
          <w:iCs w:val="1"/>
          <w:color w:val="auto"/>
        </w:rPr>
        <w:t>—</w:t>
      </w:r>
      <w:r>
        <w:rPr>
          <w:rFonts w:ascii="Arial" w:cs="Arial" w:eastAsia="Arial" w:hAnsi="Arial"/>
          <w:sz w:val="17"/>
          <w:szCs w:val="17"/>
          <w:color w:val="auto"/>
        </w:rPr>
        <w:t>includes costs to operate our games, such as customer service, Internet bandwidth and server costs, platform provider fees, and payment provider fees, along with costs to associated with our esports activities.</w:t>
      </w:r>
    </w:p>
    <w:p>
      <w:pPr>
        <w:spacing w:after="0" w:line="173" w:lineRule="exact"/>
        <w:rPr>
          <w:rFonts w:ascii="Arial" w:cs="Arial" w:eastAsia="Arial" w:hAnsi="Arial"/>
          <w:sz w:val="17"/>
          <w:szCs w:val="17"/>
          <w:color w:val="auto"/>
        </w:rPr>
      </w:pPr>
    </w:p>
    <w:p>
      <w:pPr>
        <w:ind w:left="980" w:right="160" w:hanging="324"/>
        <w:spacing w:after="0" w:line="259" w:lineRule="auto"/>
        <w:tabs>
          <w:tab w:leader="none" w:pos="10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w:t>
      </w:r>
      <w:r>
        <w:rPr>
          <w:rFonts w:ascii="Arial" w:cs="Arial" w:eastAsia="Arial" w:hAnsi="Arial"/>
          <w:sz w:val="18"/>
          <w:szCs w:val="18"/>
          <w:i w:val="1"/>
          <w:iCs w:val="1"/>
          <w:color w:val="auto"/>
        </w:rPr>
        <w:t>—</w:t>
      </w:r>
      <w:r>
        <w:rPr>
          <w:rFonts w:ascii="Arial" w:cs="Arial" w:eastAsia="Arial" w:hAnsi="Arial"/>
          <w:sz w:val="18"/>
          <w:szCs w:val="18"/>
          <w:color w:val="auto"/>
        </w:rPr>
        <w:t>includes the amortization of capitalized software costs and royalties attributable to in-game, subscription, and other revenues. These are costs capitalized on the balance sheet until the respective games are released, at which time the capitalized costs are amortized. Also included is amortization of intangible assets recognized in purchase accounting attributable to in-game, subscription, and other revenues.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52"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We expense advertising as incurred, except for production costs associated with media advertising, which are deferred and charged to expense when the related advertisement is run for the first time. Advertising expenses for the years ended December 31, 2020, 2019, and 2018 were $746 million, $587 million, and $631 million, respectively, and are included in “Sales and marketing”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9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Tax Cuts and Jobs Act (the “U.S. Tax Reform Act”) reduced the U.S. corporate income tax rate from 35% to 21% beginning in 2018 and imposed a one-time tax on deemed repatriated earnings of foreign subsidiaries. Among other things, the U.S. Tax Reform Act also created a new minimum tax that applies to certain foreign earnings (“GILTI”). We have elected to recognize deferred taxes for temporary basis differences expected to reverse as GILTI in future years.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Excess tax benefits and tax deficiencies from share-based payments are recorded as an income tax expense or benefit in the consolidated statement of operations. The tax effects of exercised or vested equity awards are treated as discrete items in the reporting period in which they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460" w:firstLine="445"/>
        <w:spacing w:after="0" w:line="286" w:lineRule="auto"/>
        <w:rPr>
          <w:sz w:val="20"/>
          <w:szCs w:val="20"/>
          <w:color w:val="auto"/>
        </w:rPr>
      </w:pPr>
      <w:r>
        <w:rPr>
          <w:rFonts w:ascii="Arial" w:cs="Arial" w:eastAsia="Arial" w:hAnsi="Arial"/>
          <w:sz w:val="17"/>
          <w:szCs w:val="17"/>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Common Share</w:t>
      </w:r>
    </w:p>
    <w:p>
      <w:pPr>
        <w:spacing w:after="0" w:line="25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“Basic (loss) earnings per common share” is computed by dividing income (loss) available to common shareholders by the weighted-average number of common shares outstanding for the periods presented. “Diluted earnings (loss) per common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common share calculation when inclusion of such shares would be anti-dilutive, such as in a period in which a net loss is recorded.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5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account for share-based payments in accordance with ASC Subtopic 718-10.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21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projected employee stock option exercise behaviors.</w:t>
      </w:r>
    </w:p>
    <w:p>
      <w:pPr>
        <w:spacing w:after="0" w:line="211"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We generally determine the fair value of restricted stock units based on the closing market price of the Company’s common stock on the date of grant, reduced by the present value of the estimated future dividends during the vesting period. Certain restricted stock units granted to our employees vest based on the achievement of pre-established performance conditions, including those that are market-based. For performance-based restricted stock units not subject to market conditions,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99"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For share-based compensation grants that are liability classified, if any, we update our grant date valuation at each reporting period and recognize a cumulative catch-up adjustment for changes in the value related to the requisite service already rendered.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5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5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We adopted the new standard under a prospective approach during the first quarter of 2020 and it did not have a material impact on our consolidated financial statements.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January 2017, the FASB issued new guidance that eliminates Step 2 from the goodwill impairment test. Instead, if an entity forgoes a Step 0 test, that entity will be required to perform its annual or interim goodwill impairment test by (1) comparing the fair value of a reporting unit, as determined in Step 1 from the goodwill impairment test, with its carrying amount and (2) recognizing an impairment charge, if any, for the amount by which the carrying amount exceeds the reporting unit’s fair value, not to exceed the total amount of goodwill allocated to the reporting unit. We adopted the new standard under a prospective approach during the first quarter of 2020 and it did not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12529"/>
        </w:rPr>
        <w:t xml:space="preserve">In June 2016, the FASB issued new guidance related to accounting for credit losses on financial instruments. </w:t>
      </w:r>
      <w:r>
        <w:rPr>
          <w:rFonts w:ascii="Arial" w:cs="Arial" w:eastAsia="Arial" w:hAnsi="Arial"/>
          <w:sz w:val="17"/>
          <w:szCs w:val="17"/>
          <w:color w:val="000000"/>
        </w:rPr>
        <w:t>The update replaces the existing incurred</w:t>
      </w:r>
      <w:r>
        <w:rPr>
          <w:rFonts w:ascii="Arial" w:cs="Arial" w:eastAsia="Arial" w:hAnsi="Arial"/>
          <w:sz w:val="17"/>
          <w:szCs w:val="17"/>
          <w:color w:val="212529"/>
        </w:rPr>
        <w:t xml:space="preserve"> </w:t>
      </w:r>
      <w:r>
        <w:rPr>
          <w:rFonts w:ascii="Arial" w:cs="Arial" w:eastAsia="Arial" w:hAnsi="Arial"/>
          <w:sz w:val="17"/>
          <w:szCs w:val="17"/>
          <w:color w:val="000000"/>
        </w:rPr>
        <w:t>loss impairment model with a methodology that reflects a current expected credit losses model which requires the use of historical and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generally result in earlier recognition of credit losses. We adopted the new standard under a modified retrospective basis, with the cumulative effect of adoption recorded as an adjustment to retained earnings during the first quarter of 2020. The adoption of this standard did not have a material impact on our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5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212529"/>
        </w:rPr>
        <w:t>In December 2019, the FASB issued new guidance which is intended to simplify various aspects to accounting for income taxes by removing certain exceptions to the general principles in Topic 740 f</w:t>
      </w:r>
      <w:r>
        <w:rPr>
          <w:rFonts w:ascii="Arial" w:cs="Arial" w:eastAsia="Arial" w:hAnsi="Arial"/>
          <w:sz w:val="17"/>
          <w:szCs w:val="17"/>
          <w:color w:val="000000"/>
        </w:rPr>
        <w:t>or recognizing deferred taxes for investments, performing an intraperiod allocation and calculating</w:t>
      </w:r>
      <w:r>
        <w:rPr>
          <w:rFonts w:ascii="Arial" w:cs="Arial" w:eastAsia="Arial" w:hAnsi="Arial"/>
          <w:sz w:val="17"/>
          <w:szCs w:val="17"/>
          <w:color w:val="212529"/>
        </w:rPr>
        <w:t xml:space="preserve"> </w:t>
      </w:r>
      <w:r>
        <w:rPr>
          <w:rFonts w:ascii="Arial" w:cs="Arial" w:eastAsia="Arial" w:hAnsi="Arial"/>
          <w:sz w:val="17"/>
          <w:szCs w:val="17"/>
          <w:color w:val="000000"/>
        </w:rPr>
        <w:t>income taxes in interim periods</w:t>
      </w:r>
      <w:r>
        <w:rPr>
          <w:rFonts w:ascii="Arial" w:cs="Arial" w:eastAsia="Arial" w:hAnsi="Arial"/>
          <w:sz w:val="17"/>
          <w:szCs w:val="17"/>
          <w:color w:val="212529"/>
        </w:rPr>
        <w:t>. The amendment also clarifies and amends certain areas of existing guidance to reduce complexity and improve consistency</w:t>
      </w:r>
      <w:r>
        <w:rPr>
          <w:rFonts w:ascii="Arial" w:cs="Arial" w:eastAsia="Arial" w:hAnsi="Arial"/>
          <w:sz w:val="17"/>
          <w:szCs w:val="17"/>
          <w:color w:val="000000"/>
        </w:rPr>
        <w:t xml:space="preserve"> </w:t>
      </w:r>
      <w:r>
        <w:rPr>
          <w:rFonts w:ascii="Arial" w:cs="Arial" w:eastAsia="Arial" w:hAnsi="Arial"/>
          <w:sz w:val="17"/>
          <w:szCs w:val="17"/>
          <w:color w:val="212529"/>
        </w:rPr>
        <w:t>in the application of Topic 740. The new standard is effective for fiscal years beginning after December 15, 2020. Early adoption is permitted, including adoption in any interim period for which financial statements have not yet been issued. Generally the topics must be applied prospectively upon adoption, with the exception of certain topics which are required to be applied on a retrospective or modified retrospective basis. We do not expect the adoption of this standard to have a material impact on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Cash Equivalents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our cash and cash equivalents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At 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Foreign government treasury bills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Software Development and Intellectual Property Licenses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our capitalized software development costs (amounts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At December 31,</w:t>
            </w:r>
          </w:p>
        </w:tc>
        <w:tc>
          <w:tcPr>
            <w:tcW w:w="940" w:type="dxa"/>
            <w:vAlign w:val="bottom"/>
            <w:tcBorders>
              <w:bottom w:val="single" w:sz="8" w:color="auto"/>
            </w:tcBorders>
          </w:tcPr>
          <w:p>
            <w:pPr>
              <w:spacing w:after="0"/>
              <w:rPr>
                <w:sz w:val="16"/>
                <w:szCs w:val="16"/>
                <w:color w:val="auto"/>
              </w:rPr>
            </w:pPr>
          </w:p>
        </w:tc>
      </w:tr>
      <w:tr>
        <w:trPr>
          <w:trHeight w:val="210"/>
        </w:trPr>
        <w:tc>
          <w:tcPr>
            <w:tcW w:w="6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9"/>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Internally-developed software costs</w:t>
            </w:r>
          </w:p>
        </w:tc>
        <w:tc>
          <w:tcPr>
            <w:tcW w:w="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Payments made to third-party software developers</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software development costs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180" w:type="dxa"/>
            <w:vAlign w:val="bottom"/>
            <w:gridSpan w:val="6"/>
          </w:tcPr>
          <w:p>
            <w:pPr>
              <w:ind w:left="460"/>
              <w:spacing w:after="0"/>
              <w:rPr>
                <w:sz w:val="20"/>
                <w:szCs w:val="20"/>
                <w:color w:val="auto"/>
              </w:rPr>
            </w:pPr>
            <w:r>
              <w:rPr>
                <w:rFonts w:ascii="Arial" w:cs="Arial" w:eastAsia="Arial" w:hAnsi="Arial"/>
                <w:sz w:val="18"/>
                <w:szCs w:val="18"/>
                <w:color w:val="auto"/>
                <w:w w:val="94"/>
              </w:rPr>
              <w:t>As of both December 31, 2020 and December 31, 2019, capitalized intellectual property licenses were not material.</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9700" w:type="dxa"/>
            <w:vAlign w:val="bottom"/>
            <w:gridSpan w:val="8"/>
          </w:tcPr>
          <w:p>
            <w:pPr>
              <w:ind w:left="460"/>
              <w:spacing w:after="0"/>
              <w:rPr>
                <w:sz w:val="20"/>
                <w:szCs w:val="20"/>
                <w:color w:val="auto"/>
              </w:rPr>
            </w:pPr>
            <w:r>
              <w:rPr>
                <w:rFonts w:ascii="Arial" w:cs="Arial" w:eastAsia="Arial" w:hAnsi="Arial"/>
                <w:sz w:val="18"/>
                <w:szCs w:val="18"/>
                <w:color w:val="auto"/>
                <w:w w:val="92"/>
              </w:rPr>
              <w:t>Amortization of capitalized software development costs and intellectual property licenses was as follows (amounts in millions):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2"/>
        </w:trPr>
        <w:tc>
          <w:tcPr>
            <w:tcW w:w="65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24"/>
                <w:szCs w:val="24"/>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Amortization of capitalized software development costs and intellectual property licenses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was comprised of the following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At December 31,</w:t>
            </w:r>
          </w:p>
        </w:tc>
        <w:tc>
          <w:tcPr>
            <w:tcW w:w="92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other equipment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 cost of property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expense for the years ended December 31, 2020, 2019, and 2018 was $117 million, $124 million, and $138 million,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At December 31, 2020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useful</w:t>
            </w: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14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Internally-developed franchises</w:t>
            </w:r>
          </w:p>
        </w:tc>
        <w:tc>
          <w:tcPr>
            <w:tcW w:w="2020" w:type="dxa"/>
            <w:vAlign w:val="bottom"/>
            <w:gridSpan w:val="2"/>
          </w:tcPr>
          <w:p>
            <w:pPr>
              <w:ind w:left="760"/>
              <w:spacing w:after="0"/>
              <w:rPr>
                <w:sz w:val="20"/>
                <w:szCs w:val="20"/>
                <w:color w:val="auto"/>
              </w:rPr>
            </w:pPr>
            <w:r>
              <w:rPr>
                <w:rFonts w:ascii="Arial" w:cs="Arial" w:eastAsia="Arial" w:hAnsi="Arial"/>
                <w:sz w:val="18"/>
                <w:szCs w:val="18"/>
                <w:color w:val="auto"/>
              </w:rPr>
              <w:t>3 - 11 years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software</w:t>
            </w:r>
          </w:p>
        </w:tc>
        <w:tc>
          <w:tcPr>
            <w:tcW w:w="2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2 - 5 years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7 years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1 - 10 years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Activision trademark</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Acquired trade names</w:t>
            </w:r>
          </w:p>
        </w:tc>
        <w:tc>
          <w:tcPr>
            <w:tcW w:w="20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gridSpan w:val="2"/>
            <w:vMerge w:val="restart"/>
          </w:tcPr>
          <w:p>
            <w:pPr>
              <w:ind w:left="720"/>
              <w:spacing w:after="0"/>
              <w:rPr>
                <w:sz w:val="20"/>
                <w:szCs w:val="20"/>
                <w:color w:val="auto"/>
              </w:rPr>
            </w:pPr>
            <w:r>
              <w:rPr>
                <w:rFonts w:ascii="Arial" w:cs="Arial" w:eastAsia="Arial" w:hAnsi="Arial"/>
                <w:sz w:val="18"/>
                <w:szCs w:val="18"/>
                <w:color w:val="auto"/>
              </w:rPr>
              <w:t>F-23</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4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At December 31, 2019</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0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020" w:type="dxa"/>
            <w:vAlign w:val="bottom"/>
            <w:gridSpan w:val="3"/>
          </w:tcPr>
          <w:p>
            <w:pPr>
              <w:ind w:left="780"/>
              <w:spacing w:after="0" w:line="135" w:lineRule="exact"/>
              <w:rPr>
                <w:sz w:val="20"/>
                <w:szCs w:val="20"/>
                <w:color w:val="auto"/>
              </w:rPr>
            </w:pPr>
            <w:r>
              <w:rPr>
                <w:rFonts w:ascii="Arial" w:cs="Arial" w:eastAsia="Arial" w:hAnsi="Arial"/>
                <w:sz w:val="14"/>
                <w:szCs w:val="14"/>
                <w:b w:val="1"/>
                <w:bCs w:val="1"/>
                <w:color w:val="auto"/>
              </w:rPr>
              <w:t>useful</w:t>
            </w: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lives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Internally-developed franchises</w:t>
            </w:r>
          </w:p>
        </w:tc>
        <w:tc>
          <w:tcPr>
            <w:tcW w:w="900" w:type="dxa"/>
            <w:vAlign w:val="bottom"/>
          </w:tcPr>
          <w:p>
            <w:pPr>
              <w:ind w:left="76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- 11 years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software</w:t>
            </w:r>
          </w:p>
        </w:tc>
        <w:tc>
          <w:tcPr>
            <w:tcW w:w="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900" w:type="dxa"/>
            <w:vAlign w:val="bottom"/>
          </w:tcPr>
          <w:p>
            <w:pPr>
              <w:ind w:left="76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- 10 years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 years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Activision trademark</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Acquired trade names</w:t>
            </w:r>
          </w:p>
        </w:tc>
        <w:tc>
          <w:tcPr>
            <w:tcW w:w="2020" w:type="dxa"/>
            <w:vAlign w:val="bottom"/>
            <w:tcBorders>
              <w:bottom w:val="single" w:sz="8" w:color="CCEEFF"/>
            </w:tcBorders>
            <w:gridSpan w:val="3"/>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Amortization expense of intangible assets was $80 million, $204 million, and $371 million for the years ended December 31, 2020, 2019, and 2018, respectively.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2020, future amortization of definite-lived intangible assets is estimated as follows (amounts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Goodwill</w:t>
            </w: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0" w:type="dxa"/>
            <w:vAlign w:val="bottom"/>
            <w:gridSpan w:val="8"/>
          </w:tcPr>
          <w:p>
            <w:pPr>
              <w:ind w:left="460"/>
              <w:spacing w:after="0"/>
              <w:rPr>
                <w:sz w:val="20"/>
                <w:szCs w:val="20"/>
                <w:color w:val="auto"/>
              </w:rPr>
            </w:pPr>
            <w:r>
              <w:rPr>
                <w:rFonts w:ascii="Arial" w:cs="Arial" w:eastAsia="Arial" w:hAnsi="Arial"/>
                <w:sz w:val="18"/>
                <w:szCs w:val="18"/>
                <w:color w:val="auto"/>
                <w:w w:val="93"/>
              </w:rPr>
              <w:t>The changes in the carrying amount of goodwill by operating segment are as follows (amounts 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6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Blizzard</w:t>
            </w:r>
          </w:p>
        </w:tc>
        <w:tc>
          <w:tcPr>
            <w:tcW w:w="44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King</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6,897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080" w:type="dxa"/>
            <w:vAlign w:val="bottom"/>
            <w:tcBorders>
              <w:top w:val="single" w:sz="8" w:color="auto"/>
              <w:bottom w:val="single" w:sz="8" w:color="auto"/>
            </w:tcBorders>
            <w:shd w:val="clear" w:color="auto" w:fill="CCEEFF"/>
          </w:tcPr>
          <w:p>
            <w:pPr>
              <w:jc w:val="right"/>
              <w:ind w:right="895"/>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6,898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2,676</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Other</w:t>
            </w: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Borders>
              <w:top w:val="single" w:sz="8" w:color="CCEEFF"/>
              <w:bottom w:val="single" w:sz="8" w:color="CCEEFF"/>
            </w:tcBorders>
            <w:vMerge w:val="continue"/>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2020, 2019, and 2018, there were no accumulated impairment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9. Other Assets and Liabilities</w:t>
      </w:r>
    </w:p>
    <w:p>
      <w:pPr>
        <w:spacing w:after="0" w:line="256"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Included in “Accrued expenses and other liabilities” in our consolidated balance sheets are accrued payroll-related costs of $406 million and $395 million at December 31, 2020 and 2019, respectively, and the current portion of income taxes payable of $100 million and $436 million at December 31,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1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7" w:lineRule="exact"/>
        <w:rPr>
          <w:rFonts w:ascii="Arial" w:cs="Arial" w:eastAsia="Arial" w:hAnsi="Arial"/>
          <w:sz w:val="18"/>
          <w:szCs w:val="18"/>
          <w:color w:val="auto"/>
        </w:rPr>
      </w:pPr>
    </w:p>
    <w:p>
      <w:pPr>
        <w:ind w:left="980" w:right="34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52"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left="77"/>
              <w:spacing w:after="0"/>
              <w:rPr>
                <w:sz w:val="20"/>
                <w:szCs w:val="20"/>
                <w:color w:val="auto"/>
              </w:rPr>
            </w:pPr>
            <w:r>
              <w:rPr>
                <w:rFonts w:ascii="Arial" w:cs="Arial" w:eastAsia="Arial" w:hAnsi="Arial"/>
                <w:sz w:val="14"/>
                <w:szCs w:val="14"/>
                <w:b w:val="1"/>
                <w:bCs w:val="1"/>
                <w:color w:val="auto"/>
                <w:w w:val="93"/>
              </w:rPr>
              <w:t>Fair Value Measurements at December 31, 2020 Using</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4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ind w:left="8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treasury bills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7"/>
              </w:rPr>
              <w:t>U.S. treasuries and government agency</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recurring fair value measurements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Foreign currency forward contracts not</w:t>
            </w:r>
          </w:p>
        </w:tc>
        <w:tc>
          <w:tcPr>
            <w:tcW w:w="300" w:type="dxa"/>
            <w:vAlign w:val="bottom"/>
            <w:vMerge w:val="restart"/>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designated as hedges</w:t>
            </w: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forward</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designated as hedges</w:t>
            </w: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891"/>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left="77"/>
              <w:spacing w:after="0"/>
              <w:rPr>
                <w:sz w:val="20"/>
                <w:szCs w:val="20"/>
                <w:color w:val="auto"/>
              </w:rPr>
            </w:pPr>
            <w:r>
              <w:rPr>
                <w:rFonts w:ascii="Arial" w:cs="Arial" w:eastAsia="Arial" w:hAnsi="Arial"/>
                <w:sz w:val="14"/>
                <w:szCs w:val="14"/>
                <w:b w:val="1"/>
                <w:bCs w:val="1"/>
                <w:color w:val="auto"/>
                <w:w w:val="93"/>
              </w:rPr>
              <w:t>Fair Value Measurements at December 31, 2019 Using</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4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ind w:left="8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treasury bills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7"/>
              </w:rPr>
              <w:t>U.S. treasuries and government agency</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recurring fair value measurements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Foreign currency forward contracts not</w:t>
            </w:r>
          </w:p>
        </w:tc>
        <w:tc>
          <w:tcPr>
            <w:tcW w:w="300" w:type="dxa"/>
            <w:vAlign w:val="bottom"/>
            <w:vMerge w:val="restart"/>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5"/>
                <w:szCs w:val="15"/>
                <w:color w:val="auto"/>
              </w:rPr>
            </w:pPr>
          </w:p>
        </w:tc>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designated as hedges</w:t>
            </w: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forward</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designated as hedges</w:t>
            </w: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total gross notional amounts and fair values of our Cash Flow Hedges, all of which have remaining maturities of 11 months or less, are as follows (amounts in millions):</w:t>
      </w:r>
    </w:p>
    <w:p>
      <w:pPr>
        <w:sectPr>
          <w:pgSz w:w="11900" w:h="16838" w:orient="portrait"/>
          <w:cols w:equalWidth="0" w:num="1">
            <w:col w:w="11240"/>
          </w:cols>
          <w:pgMar w:left="320" w:top="125" w:right="339" w:bottom="1440" w:gutter="0" w:footer="0" w:header="0"/>
        </w:sectPr>
      </w:pPr>
    </w:p>
    <w:p>
      <w:pPr>
        <w:spacing w:after="0" w:line="81"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23495</wp:posOffset>
            </wp:positionV>
            <wp:extent cx="2211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2" w:lineRule="exact"/>
        <w:rPr>
          <w:sz w:val="20"/>
          <w:szCs w:val="20"/>
          <w:color w:val="auto"/>
        </w:rPr>
      </w:pPr>
    </w:p>
    <w:p>
      <w:pPr>
        <w:ind w:left="4340"/>
        <w:spacing w:after="0"/>
        <w:tabs>
          <w:tab w:leader="none" w:pos="594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22371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32" w:lineRule="exact"/>
        <w:rPr>
          <w:sz w:val="20"/>
          <w:szCs w:val="20"/>
          <w:color w:val="auto"/>
        </w:rPr>
      </w:pPr>
    </w:p>
    <w:p>
      <w:pPr>
        <w:sectPr>
          <w:pgSz w:w="11900" w:h="16838" w:orient="portrait"/>
          <w:cols w:equalWidth="0" w:num="2">
            <w:col w:w="7360" w:space="720"/>
            <w:col w:w="31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3"/>
        </w:trPr>
        <w:tc>
          <w:tcPr>
            <w:tcW w:w="2740" w:type="dxa"/>
            <w:vAlign w:val="bottom"/>
          </w:tcPr>
          <w:p>
            <w:pPr>
              <w:spacing w:after="0"/>
              <w:rPr>
                <w:sz w:val="20"/>
                <w:szCs w:val="20"/>
                <w:color w:val="auto"/>
              </w:rPr>
            </w:pPr>
            <w:r>
              <w:rPr>
                <w:rFonts w:ascii="Arial" w:cs="Arial" w:eastAsia="Arial" w:hAnsi="Arial"/>
                <w:sz w:val="18"/>
                <w:szCs w:val="18"/>
                <w:b w:val="1"/>
                <w:bCs w:val="1"/>
                <w:color w:val="auto"/>
              </w:rPr>
              <w:t>Foreign Currency:</w:t>
            </w: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Buy USD, Sell Euro</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3"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The amounts of pre-tax net realized gains (losses) associated with our Cash Flow Hedges that were reclassified out of “Accumulated other comprehensive income (loss)” and into earnings are as follows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For the Years Ended 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Borders>
              <w:bottom w:val="single" w:sz="8" w:color="auto"/>
            </w:tcBorders>
          </w:tcPr>
          <w:p>
            <w:pPr>
              <w:spacing w:after="0"/>
              <w:rPr>
                <w:sz w:val="16"/>
                <w:szCs w:val="16"/>
                <w:color w:val="auto"/>
              </w:rPr>
            </w:pPr>
          </w:p>
        </w:tc>
      </w:tr>
      <w:tr>
        <w:trPr>
          <w:trHeight w:val="187"/>
        </w:trPr>
        <w:tc>
          <w:tcPr>
            <w:tcW w:w="26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Statement of Operations Classification</w:t>
            </w:r>
          </w:p>
        </w:tc>
      </w:tr>
      <w:tr>
        <w:trPr>
          <w:trHeight w:val="224"/>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 revenues</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5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total gross notional amounts and fair values of our foreign currency forward contracts not designated as hedges are as follows (amounts in millions):</w:t>
      </w:r>
    </w:p>
    <w:p>
      <w:pPr>
        <w:sectPr>
          <w:pgSz w:w="11900" w:h="16838" w:orient="portrait"/>
          <w:cols w:equalWidth="0" w:num="1">
            <w:col w:w="11240"/>
          </w:cols>
          <w:pgMar w:left="320" w:top="125" w:right="339" w:bottom="1440" w:gutter="0" w:footer="0" w:header="0"/>
          <w:type w:val="continuous"/>
        </w:sectPr>
      </w:pPr>
    </w:p>
    <w:p>
      <w:pPr>
        <w:spacing w:after="0" w:line="81"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23495</wp:posOffset>
            </wp:positionV>
            <wp:extent cx="2168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2" w:lineRule="exact"/>
        <w:rPr>
          <w:sz w:val="20"/>
          <w:szCs w:val="20"/>
          <w:color w:val="auto"/>
        </w:rPr>
      </w:pPr>
    </w:p>
    <w:p>
      <w:pPr>
        <w:ind w:left="4500"/>
        <w:spacing w:after="0"/>
        <w:tabs>
          <w:tab w:leader="none" w:pos="606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23495</wp:posOffset>
            </wp:positionV>
            <wp:extent cx="2185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32" w:lineRule="exact"/>
        <w:rPr>
          <w:sz w:val="20"/>
          <w:szCs w:val="20"/>
          <w:color w:val="auto"/>
        </w:rPr>
      </w:pPr>
    </w:p>
    <w:p>
      <w:pPr>
        <w:sectPr>
          <w:pgSz w:w="11900" w:h="16838" w:orient="portrait"/>
          <w:cols w:equalWidth="0" w:num="2">
            <w:col w:w="7420" w:space="720"/>
            <w:col w:w="31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Foreign Currency:</w:t>
            </w: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Buy USD, Sell GBP</w:t>
            </w:r>
          </w:p>
        </w:tc>
        <w:tc>
          <w:tcPr>
            <w:tcW w:w="20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During the years ended December 31, 2020, 2019, and 2018, pre-tax net gains and losses associated with these forward contracts were recorded in “General and administrative expenses” and were not material.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Revenues</w:t>
      </w:r>
    </w:p>
    <w:p>
      <w:pPr>
        <w:spacing w:after="0" w:line="25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December 31, 2019 and December 31, 2020, were $1.4 billion and $1.7 billion, respectively. For the year ended December 31, 2020,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years ended December 31, 2020, December 31, 2019, and December 31, 2018, $1.3 billion, $1.5 billion, and $1.7 billion of revenues, respectively, were recognized that were included in the deferred revenues balance at the beginning of the period.</w:t>
      </w:r>
    </w:p>
    <w:p>
      <w:pPr>
        <w:spacing w:after="0" w:line="204" w:lineRule="exact"/>
        <w:rPr>
          <w:sz w:val="20"/>
          <w:szCs w:val="20"/>
          <w:color w:val="auto"/>
        </w:rPr>
      </w:pPr>
    </w:p>
    <w:p>
      <w:pPr>
        <w:ind w:right="300" w:firstLine="405"/>
        <w:spacing w:after="0" w:line="275" w:lineRule="auto"/>
        <w:rPr>
          <w:sz w:val="20"/>
          <w:szCs w:val="20"/>
          <w:color w:val="auto"/>
        </w:rPr>
      </w:pPr>
      <w:r>
        <w:rPr>
          <w:rFonts w:ascii="Arial" w:cs="Arial" w:eastAsia="Arial" w:hAnsi="Arial"/>
          <w:sz w:val="17"/>
          <w:szCs w:val="17"/>
          <w:color w:val="auto"/>
        </w:rPr>
        <w:t>As of December 31, 2020, the aggregate amount of contracted revenues allocated to our unsatisfied performance obligations is $2.5 billion, which includes our deferred revenues balances and amounts to be invoiced and recognized as revenue in future periods. We expect to recognize approximately $1.9 billion over the next 12 months, $0.4 billion in the subsequent 12-month period, and the remainder thereafter. This balance does not include an estimate for variable consideration arising from sales-based royalty license revenue in excess of the contractual minimum guarantee or any estimated amounts of variable consideration that are subject to constraint in accordance with the new revenue standard.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lease arrangements are primarily for: (1) corporate, administrative, and development studio offices; and (2) data centers and server equipment. Our existing leases have remaining lease terms ranging from one to nine years. In certain instances, such leases include one or more options to renew, with renewal terms that generally extend the lease term by one to five years for each option. The exercise of lease renewal options is generally at our sole discretion. All of our existing leases are classified as operating leases.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420"/>
              <w:spacing w:after="0"/>
              <w:rPr>
                <w:sz w:val="20"/>
                <w:szCs w:val="20"/>
                <w:color w:val="auto"/>
              </w:rPr>
            </w:pPr>
            <w:r>
              <w:rPr>
                <w:rFonts w:ascii="Arial" w:cs="Arial" w:eastAsia="Arial" w:hAnsi="Arial"/>
                <w:sz w:val="18"/>
                <w:szCs w:val="18"/>
                <w:color w:val="auto"/>
              </w:rPr>
              <w:t>Components of our lease costs are as follows (amounts in millions):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7"/>
        </w:trPr>
        <w:tc>
          <w:tcPr>
            <w:tcW w:w="678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Year Ended December 31,</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9"/>
        </w:trPr>
        <w:tc>
          <w:tcPr>
            <w:tcW w:w="6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Operating lease costs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lease costs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 prior to our adoption of the new lease standard was $75 million for the year ended December 31, 2018.</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information related to our operating leases is as follows (amounts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Year Ended December 31,</w:t>
            </w:r>
          </w:p>
        </w:tc>
        <w:tc>
          <w:tcPr>
            <w:tcW w:w="1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0"/>
        </w:trPr>
        <w:tc>
          <w:tcPr>
            <w:tcW w:w="6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Operating Cash Flows Information</w:t>
            </w: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30"/>
              <w:spacing w:after="0"/>
              <w:rPr>
                <w:sz w:val="20"/>
                <w:szCs w:val="20"/>
                <w:color w:val="auto"/>
              </w:rPr>
            </w:pPr>
            <w:r>
              <w:rPr>
                <w:rFonts w:ascii="Arial" w:cs="Arial" w:eastAsia="Arial" w:hAnsi="Arial"/>
                <w:sz w:val="18"/>
                <w:szCs w:val="18"/>
                <w:color w:val="auto"/>
              </w:rPr>
              <w:t>80</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ROU assets obtained in exchange for new lease obligations</w:t>
            </w: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380" w:type="dxa"/>
            <w:vAlign w:val="bottom"/>
            <w:gridSpan w:val="2"/>
          </w:tcPr>
          <w:p>
            <w:pPr>
              <w:ind w:left="300"/>
              <w:spacing w:after="0"/>
              <w:rPr>
                <w:sz w:val="20"/>
                <w:szCs w:val="20"/>
                <w:color w:val="auto"/>
              </w:rPr>
            </w:pPr>
            <w:r>
              <w:rPr>
                <w:rFonts w:ascii="Arial" w:cs="Arial" w:eastAsia="Arial" w:hAnsi="Arial"/>
                <w:sz w:val="18"/>
                <w:szCs w:val="18"/>
                <w:b w:val="1"/>
                <w:bCs w:val="1"/>
                <w:color w:val="auto"/>
              </w:rPr>
              <w:t>At December 31, 2020</w:t>
            </w: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At December 31, 2019</w:t>
            </w: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Lease terms and discount rates</w:t>
            </w:r>
          </w:p>
        </w:tc>
        <w:tc>
          <w:tcPr>
            <w:tcW w:w="2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Remaining lease term</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4.48 years</w:t>
            </w:r>
          </w:p>
        </w:tc>
        <w:tc>
          <w:tcPr>
            <w:tcW w:w="2300" w:type="dxa"/>
            <w:vAlign w:val="bottom"/>
          </w:tcPr>
          <w:p>
            <w:pPr>
              <w:jc w:val="right"/>
              <w:spacing w:after="0"/>
              <w:rPr>
                <w:sz w:val="20"/>
                <w:szCs w:val="20"/>
                <w:color w:val="auto"/>
              </w:rPr>
            </w:pPr>
            <w:r>
              <w:rPr>
                <w:rFonts w:ascii="Arial" w:cs="Arial" w:eastAsia="Arial" w:hAnsi="Arial"/>
                <w:sz w:val="18"/>
                <w:szCs w:val="18"/>
                <w:color w:val="auto"/>
              </w:rPr>
              <w:t>5.00 years</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Future undiscounted lease payments for our operating lease liabilities, and a reconciliation of these payments to our operating lease liabilities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 (amounts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2021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060" w:type="dxa"/>
            <w:vAlign w:val="bottom"/>
          </w:tcPr>
          <w:p>
            <w:pPr>
              <w:ind w:left="140"/>
              <w:spacing w:after="0"/>
              <w:rPr>
                <w:sz w:val="20"/>
                <w:szCs w:val="20"/>
                <w:color w:val="auto"/>
              </w:rPr>
            </w:pPr>
            <w:r>
              <w:rPr>
                <w:rFonts w:ascii="Arial" w:cs="Arial" w:eastAsia="Arial" w:hAnsi="Arial"/>
                <w:sz w:val="18"/>
                <w:szCs w:val="18"/>
                <w:color w:val="auto"/>
              </w:rPr>
              <w:t>2025</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future lease payments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imputed interest</w:t>
            </w: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06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1"/>
        </w:trPr>
        <w:tc>
          <w:tcPr>
            <w:tcW w:w="9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Operating lease ROU assets and liabilities recorded on our consolidated balance sheet as of December 31, 2020 and December 31, 2019, were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 2020</w:t>
            </w:r>
          </w:p>
        </w:tc>
        <w:tc>
          <w:tcPr>
            <w:tcW w:w="180" w:type="dxa"/>
            <w:vAlign w:val="bottom"/>
          </w:tcPr>
          <w:p>
            <w:pPr>
              <w:spacing w:after="0"/>
              <w:rPr>
                <w:sz w:val="20"/>
                <w:szCs w:val="20"/>
                <w:color w:val="auto"/>
              </w:rPr>
            </w:pPr>
          </w:p>
        </w:tc>
        <w:tc>
          <w:tcPr>
            <w:tcW w:w="210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 2019</w:t>
            </w: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 Sheet Classification</w:t>
            </w: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25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2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20"/>
        <w:spacing w:after="0" w:line="289" w:lineRule="auto"/>
        <w:rPr>
          <w:sz w:val="20"/>
          <w:szCs w:val="20"/>
          <w:color w:val="auto"/>
        </w:rPr>
      </w:pPr>
      <w:r>
        <w:rPr>
          <w:rFonts w:ascii="Arial" w:cs="Arial" w:eastAsia="Arial" w:hAnsi="Arial"/>
          <w:sz w:val="18"/>
          <w:szCs w:val="18"/>
          <w:color w:val="auto"/>
        </w:rPr>
        <w:t>Accrued expenses and other current liabilities Other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liabilities</w:t>
      </w:r>
    </w:p>
    <w:p>
      <w:pPr>
        <w:spacing w:after="0" w:line="250" w:lineRule="exact"/>
        <w:rPr>
          <w:sz w:val="20"/>
          <w:szCs w:val="20"/>
          <w:color w:val="auto"/>
        </w:rPr>
      </w:pPr>
    </w:p>
    <w:p>
      <w:pPr>
        <w:sectPr>
          <w:pgSz w:w="11900" w:h="16838" w:orient="portrait"/>
          <w:cols w:equalWidth="0" w:num="2">
            <w:col w:w="7000" w:space="120"/>
            <w:col w:w="4120"/>
          </w:cols>
          <w:pgMar w:left="320" w:top="125"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As of December 31, 2020 and December 31, 2019, we had $1.5 billion available under a revolving credit facility (the “Revolver”) pursuant to a credit agreement entered into on October 11, 2013 (as amended thereafter and from time to time, the “Credit Agreement”). To date, we have not drawn on the Revolver.</w:t>
      </w:r>
    </w:p>
    <w:p>
      <w:pPr>
        <w:spacing w:after="0" w:line="21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Revolver is scheduled to mature on August 24, 2023. Borrowings under the Revolver will bear interest, at the Company’s option, at either (1) 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base rate will be subject to an effective floor of 1.00%. The applicable interest margin for borrowings under the Revolver will range from 0.875% to 1.375% for LIBOR borrowings and from 0% to 0.375% for base rate borrowings and will be determined by reference to a pricing grid based on the Company’s credit ratings. Up to $50 million of the Revolver may be used for letters of credit.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Credit Agreement, we are subject to a financial covenant requiring the Company’s Consolidated Total Net</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Debt Ratio (as defined in the Credit Agreement) not to exceed 3.75:1.00 (or, at the Company’s option and for a limited period of time upon the consummation of a Qualifying Acquisition (as defined in the Credit Agreement), 4.25:1.00. The Credit Agreement contains covenants customary for transactions of this type for issuer with similar credit ratings. These include those restricting liens, debt of non-guarantor subsidiaries and certain fundamental changes, in each case with exceptions, including exceptions for secured debt and debt of non-guarantor subsidiaries of the Company, in each case up to an amount not exceeding 7.5% of Total Assets (as defined in the Credit Agreement). We were in compliance with the terms of the Credit Agreement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52"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As of December 31, 2020 and December 31, 2019, we had $3.7 billion and $2.7 billion, respectively, of gross unsecured senior notes outstanding. A summary of our outstanding unsecured notes is as follows (amounts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December 31, 2020</w:t>
            </w:r>
          </w:p>
        </w:tc>
        <w:tc>
          <w:tcPr>
            <w:tcW w:w="160" w:type="dxa"/>
            <w:vAlign w:val="bottom"/>
          </w:tcPr>
          <w:p>
            <w:pPr>
              <w:spacing w:after="0"/>
              <w:rPr>
                <w:sz w:val="16"/>
                <w:szCs w:val="16"/>
                <w:color w:val="auto"/>
              </w:rPr>
            </w:pPr>
          </w:p>
        </w:tc>
        <w:tc>
          <w:tcPr>
            <w:tcW w:w="190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At December 31, 2019</w:t>
            </w: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Unsecured Senior Notes</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Semi-Annual Interest</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Principal</w:t>
            </w:r>
          </w:p>
        </w:tc>
        <w:tc>
          <w:tcPr>
            <w:tcW w:w="860" w:type="dxa"/>
            <w:vAlign w:val="bottom"/>
            <w:tcBorders>
              <w:top w:val="single" w:sz="8" w:color="auto"/>
            </w:tcBorders>
          </w:tcPr>
          <w:p>
            <w:pPr>
              <w:jc w:val="center"/>
              <w:ind w:right="74"/>
              <w:spacing w:after="0" w:line="13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Principal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27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Payments Due On</w:t>
            </w: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24"/>
        </w:trPr>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Notes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 15 &amp; Sept. 15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 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2022 Notes</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2.60%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2022</w:t>
            </w:r>
          </w:p>
        </w:tc>
        <w:tc>
          <w:tcPr>
            <w:tcW w:w="160" w:type="dxa"/>
            <w:vAlign w:val="bottom"/>
          </w:tcPr>
          <w:p>
            <w:pPr>
              <w:spacing w:after="0"/>
              <w:rPr>
                <w:sz w:val="19"/>
                <w:szCs w:val="19"/>
                <w:color w:val="auto"/>
              </w:rPr>
            </w:pPr>
          </w:p>
        </w:tc>
        <w:tc>
          <w:tcPr>
            <w:tcW w:w="10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 2026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2027 Notes</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3.40%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2047 Notes</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gross long-term debt</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70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8"/>
                <w:szCs w:val="18"/>
                <w:color w:val="auto"/>
                <w:w w:val="90"/>
              </w:rPr>
              <w:t>Unamortized discount and deferred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Total net carrying amount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On August 5, 2020, we issued the 2030 Notes and 2050 Notes in a public underwritten offering, for an aggregate principal amount of $2.0 billion in new debt. In connection with the issuance, we incurred approximately $26 million of debt discount and financing costs that were capitalized and recorded within “Long-term debt, net” in our consolidated balance sheet.</w:t>
      </w:r>
    </w:p>
    <w:p>
      <w:pPr>
        <w:spacing w:after="0" w:line="21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September 4, 2020, we redeemed all of our outstanding 2021 Notes and 2022 Notes at a redemption price equal to 100% of their respective principal amounts plus (1) a “make-whole” premium of $28 million and (2) accrued and unpaid interest to the redemption date. The redemption of the 2021 Notes and 2022 Notes resulted in a “Loss on extinguishment of debt” recorded in the consolidated statement of operations of $31 million.</w:t>
      </w:r>
    </w:p>
    <w:p>
      <w:pPr>
        <w:spacing w:after="0" w:line="192" w:lineRule="exact"/>
        <w:rPr>
          <w:sz w:val="20"/>
          <w:szCs w:val="20"/>
          <w:color w:val="auto"/>
        </w:rPr>
      </w:pPr>
    </w:p>
    <w:p>
      <w:pPr>
        <w:jc w:val="both"/>
        <w:ind w:right="520" w:firstLine="405"/>
        <w:spacing w:after="0" w:line="263" w:lineRule="auto"/>
        <w:rPr>
          <w:sz w:val="20"/>
          <w:szCs w:val="20"/>
          <w:color w:val="auto"/>
        </w:rPr>
      </w:pPr>
      <w:r>
        <w:rPr>
          <w:rFonts w:ascii="Arial" w:cs="Arial" w:eastAsia="Arial" w:hAnsi="Arial"/>
          <w:sz w:val="18"/>
          <w:szCs w:val="18"/>
          <w:color w:val="auto"/>
        </w:rPr>
        <w:t>We may redeem some or all of each class of the unsecured senior notes. Any such redemption will be at a price equal to 100% of the aggregate principal amount thereof plus accrued and unpaid interest as well as, for a redemption prior to the permitted redemption date for that class of notes, a “make-whole” premium.</w:t>
      </w:r>
    </w:p>
    <w:p>
      <w:pPr>
        <w:spacing w:after="0" w:line="21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Upon the occurrence of certain change of control events, we will be required to offer to repurchase the notes outstanding at a purchase price equal to 101% of the principal amount thereof, plus accrued and unpaid interest. These repurchase requirements are considered clearly and closely related to the unsecured notes and are not accounted for separately upon issuance.</w:t>
      </w:r>
    </w:p>
    <w:p>
      <w:pPr>
        <w:spacing w:after="0" w:line="211"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The outstanding notes are general senior obligations of the Company and rank pari passu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The notes contain customary covenants that place restrictions in certain circumstances on, among other things, the incurrence of secured debt, entry into sale or leaseback transactions, and certain merger or consolidation transactions. We were in compliance with the terms of the notes outstanding as of December 31, 2020.</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we have no contractual principal repayments of our long-term debt within the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were as follows (amounts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For the Year Ended December 31, 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Unrealized gain (loss)</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Unrealized gain (loss)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3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on forward</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contracts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into earnings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3"/>
        </w:trPr>
        <w:tc>
          <w:tcPr>
            <w:tcW w:w="5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Unrealized gain (loss)</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Unrealized gain (loss)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3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on forward</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contracts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into earnings</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Operating Segments and Geographic Regions</w:t>
      </w:r>
    </w:p>
    <w:p>
      <w:pPr>
        <w:spacing w:after="0" w:line="25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on the reportable segment net revenues and segment operating income are presented below (amounts in millions):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 2020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Activision</w:t>
            </w:r>
          </w:p>
        </w:tc>
        <w:tc>
          <w:tcPr>
            <w:tcW w:w="2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3,942</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7,900</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4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3,418</w:t>
            </w:r>
          </w:p>
        </w:tc>
      </w:tr>
      <w:tr>
        <w:trPr>
          <w:trHeight w:val="270"/>
        </w:trPr>
        <w:tc>
          <w:tcPr>
            <w:tcW w:w="4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 2019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Activision</w:t>
            </w:r>
          </w:p>
        </w:tc>
        <w:tc>
          <w:tcPr>
            <w:tcW w:w="2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5,926</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4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3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2,054</w:t>
            </w:r>
          </w:p>
        </w:tc>
      </w:tr>
    </w:tbl>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 2018</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Activision</w:t>
            </w:r>
          </w:p>
        </w:tc>
        <w:tc>
          <w:tcPr>
            <w:tcW w:w="2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2,238</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4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3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2,446</w:t>
            </w:r>
          </w:p>
        </w:tc>
      </w:tr>
    </w:tbl>
    <w:p>
      <w:pPr>
        <w:spacing w:after="0" w:line="305"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consolidated net revenues:</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non-reportable segments (1)</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effect from recognition (deferral) of deferred net revenues (2)</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 of intersegment revenues (3)</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Consolidated net revenues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Reconciliation to consolidated income before income tax expense:</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Operating income from non-reportable segments (1)</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Net effect from recognition (deferral) of deferred net revenues and related cost of</w:t>
            </w:r>
          </w:p>
        </w:tc>
        <w:tc>
          <w:tcPr>
            <w:tcW w:w="10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 (2)</w:t>
            </w:r>
          </w:p>
        </w:tc>
        <w:tc>
          <w:tcPr>
            <w:tcW w:w="10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Share-based compensation expense (</w:t>
            </w:r>
            <w:hyperlink w:anchor="page96">
              <w:r>
                <w:rPr>
                  <w:rFonts w:ascii="Arial" w:cs="Arial" w:eastAsia="Arial" w:hAnsi="Arial"/>
                  <w:sz w:val="18"/>
                  <w:szCs w:val="18"/>
                  <w:u w:val="single" w:color="auto"/>
                  <w:color w:val="0000FF"/>
                </w:rPr>
                <w:t>Note 16</w:t>
              </w:r>
            </w:hyperlink>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Restructuring and related costs (</w:t>
            </w:r>
            <w:hyperlink w:anchor="page101">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Discrete tax-related items (4)</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Consolidated operating income</w:t>
            </w:r>
          </w:p>
        </w:tc>
        <w:tc>
          <w:tcPr>
            <w:tcW w:w="10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income before income tax expense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420" w:hanging="332"/>
        <w:spacing w:after="0" w:line="277"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Distribution business. Also includes unallocated corporate income and expenses.</w:t>
      </w:r>
    </w:p>
    <w:p>
      <w:pPr>
        <w:spacing w:after="0" w:line="197" w:lineRule="exact"/>
        <w:rPr>
          <w:rFonts w:ascii="Arial" w:cs="Arial" w:eastAsia="Arial" w:hAnsi="Arial"/>
          <w:sz w:val="18"/>
          <w:szCs w:val="18"/>
          <w:color w:val="auto"/>
        </w:rPr>
      </w:pPr>
    </w:p>
    <w:p>
      <w:pPr>
        <w:ind w:left="340" w:right="580" w:hanging="332"/>
        <w:spacing w:after="0" w:line="277"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net effect from recognition (deferral) of deferred net revenues, along with related cost of revenues, on certain of our online-enabled products.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impact of other unusual or unique tax-related items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Net revenues by distribution channel, including a reconciliation to each of our reportable segment’s net revenues, were as follows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2020</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2019</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F-33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2018</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890"/>
              <w:spacing w:after="0"/>
              <w:rPr>
                <w:sz w:val="20"/>
                <w:szCs w:val="20"/>
                <w:color w:val="auto"/>
              </w:rPr>
            </w:pPr>
            <w:r>
              <w:rPr>
                <w:rFonts w:ascii="Arial" w:cs="Arial" w:eastAsia="Arial" w:hAnsi="Arial"/>
                <w:sz w:val="18"/>
                <w:szCs w:val="18"/>
                <w:color w:val="auto"/>
                <w:w w:val="93"/>
              </w:rPr>
              <w:t>(53)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3"/>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890"/>
              <w:spacing w:after="0"/>
              <w:rPr>
                <w:sz w:val="20"/>
                <w:szCs w:val="20"/>
                <w:color w:val="auto"/>
              </w:rPr>
            </w:pPr>
            <w:r>
              <w:rPr>
                <w:rFonts w:ascii="Arial" w:cs="Arial" w:eastAsia="Arial" w:hAnsi="Arial"/>
                <w:sz w:val="18"/>
                <w:szCs w:val="18"/>
                <w:color w:val="auto"/>
                <w:w w:val="93"/>
              </w:rPr>
              <w:t>(53)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180" w:hanging="332"/>
        <w:spacing w:after="0" w:line="277"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downloadable content, microtransactions, subscriptions, and products, as well as licensing royalties.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Geographic information presented below is based on the location of the paying customer. Net revenues by geographic region, including a reconciliation to each of our reportable segment’s net revenues, were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Year Ended December 31, 2020</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Year Ended December 31, 2019</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F-35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Year Ended December 31, 2018</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158"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The Company’s net revenues in the U.S. were 48%, 46%, and 46% of consolidated net revenues for the years ended December 31, 2020, 2019, and 2018, respectively. The Company’s net revenues in the United Kingdom (“U.K.”) for each of the years ended December 31, 2020, 2019, and 2018 were 12% of consolidated net revenues. No other country’s net revenues exceeded 10% of consolidated net revenues for the years ended December 31, 2020, 2019, or 2018.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revenues by platform, including a reconciliation to each of our reportable segment’s net revenues, were as follows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2020</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ind w:left="960"/>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0"/>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ind w:left="960"/>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0"/>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F-37</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2019</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F-38</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December 31, 2018</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20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420" w:hanging="332"/>
        <w:spacing w:after="0" w:line="277" w:lineRule="auto"/>
        <w:tabs>
          <w:tab w:leader="none" w:pos="3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 specific game-related revenues, such as standalone sales of physical merchandise and accessories.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60"/>
              <w:spacing w:after="0"/>
              <w:rPr>
                <w:sz w:val="20"/>
                <w:szCs w:val="20"/>
                <w:color w:val="auto"/>
              </w:rPr>
            </w:pPr>
            <w:r>
              <w:rPr>
                <w:rFonts w:ascii="Arial" w:cs="Arial" w:eastAsia="Arial" w:hAnsi="Arial"/>
                <w:sz w:val="18"/>
                <w:szCs w:val="18"/>
                <w:color w:val="auto"/>
              </w:rPr>
              <w:t>Long-lived assets by geographic region were as follows (amounts in millions):</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6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At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 by geographic region:</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Americas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 by geographic region</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40" w:hanging="332"/>
        <w:spacing w:after="0" w:line="277" w:lineRule="auto"/>
        <w:tabs>
          <w:tab w:leader="none" w:pos="2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consist of property, plant, and equipment assets, and our lease right-of-use assets; all other long-term assets are not allocated by location.</w:t>
      </w:r>
    </w:p>
    <w:p>
      <w:pPr>
        <w:spacing w:after="0" w:line="197"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For information regarding significant customers, see “Concentration of Credit Risk” in </w:t>
      </w:r>
      <w:hyperlink w:anchor="page65">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Payments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 Blizzard Equity Incentive Plans</w:t>
      </w:r>
    </w:p>
    <w:p>
      <w:pPr>
        <w:spacing w:after="0" w:line="252"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performance shares, and other performance- or value-based awards structured by the Compensation Committee within parameters set forth in the 2014 Plan. As of the effective date of the 2014 Plan, we had ceased making awards under our prior equity incentive plans (collectively, the “Prior Plans”), although such plans remain in effect to the extent that they continue to govern outstanding awards.</w:t>
      </w:r>
    </w:p>
    <w:p>
      <w:pPr>
        <w:spacing w:after="0" w:line="18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While the Compensation Committee has broad discretion to create equity incentives, our current share-based compensation program generally utilizes a combination of options and restricted stock units. The majority of our options have time-based vesting schedules, generally vesting annually over a period of three years to five years, and expire 10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years to five years, and may also be contingent on the achievement of specified performance measures, including those which are market-based. Achievement against such performance measures typically results in vesting of amounts that are different than the target shares at grant based on over- or under-achievement against the performance targets. Typically, performance-based RSU’s provide for vesting up to 125% of the grant date target shares if performance targets are sufficiently overachieved (and will be cancelled without the vesting of any shares if the threshold level of performance measures is not met), but in certain instances performance-based RSU’s can vest up to 500% of the grant date target amount based on achievement against the performance targets.</w:t>
      </w:r>
    </w:p>
    <w:p>
      <w:pPr>
        <w:spacing w:after="0" w:line="209"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 (iii) 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2020, we had approximately 20 million shares of our common stock reserved for future issuance under the 2014 Plan. Shares issued in connection with awards made under the 2014 Plan are generally issued as new stock issuances.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Valuation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252" w:lineRule="exact"/>
        <w:rPr>
          <w:sz w:val="20"/>
          <w:szCs w:val="20"/>
          <w:color w:val="auto"/>
        </w:rPr>
      </w:pPr>
    </w:p>
    <w:p>
      <w:pPr>
        <w:ind w:right="340" w:firstLine="445"/>
        <w:spacing w:after="0" w:line="286" w:lineRule="auto"/>
        <w:rPr>
          <w:sz w:val="20"/>
          <w:szCs w:val="20"/>
          <w:color w:val="auto"/>
        </w:rPr>
      </w:pPr>
      <w:r>
        <w:rPr>
          <w:rFonts w:ascii="Arial" w:cs="Arial" w:eastAsia="Arial" w:hAnsi="Arial"/>
          <w:sz w:val="17"/>
          <w:szCs w:val="17"/>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cancellations, exercise, and post-vesting termination behavior. Statistical methods are used to estimate employee termination rates.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600" w:firstLine="445"/>
        <w:spacing w:after="0" w:line="277" w:lineRule="auto"/>
        <w:rPr>
          <w:sz w:val="20"/>
          <w:szCs w:val="20"/>
          <w:color w:val="auto"/>
        </w:rPr>
      </w:pPr>
      <w:r>
        <w:rPr>
          <w:rFonts w:ascii="Arial" w:cs="Arial" w:eastAsia="Arial" w:hAnsi="Arial"/>
          <w:sz w:val="18"/>
          <w:szCs w:val="18"/>
          <w:color w:val="auto"/>
        </w:rPr>
        <w:t>The following table presents the weighted-average assumptions, weighted average grant date fair value, and the range of expected stock price volatility: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Employee Stock Options</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600" w:type="dxa"/>
            <w:vAlign w:val="bottom"/>
            <w:tcBorders>
              <w:bottom w:val="single" w:sz="8" w:color="auto"/>
            </w:tcBorders>
          </w:tcPr>
          <w:p>
            <w:pPr>
              <w:spacing w:after="0"/>
              <w:rPr>
                <w:sz w:val="16"/>
                <w:szCs w:val="16"/>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2018</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32.37 %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0.76 %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21.03</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Stock price volatility range:</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31.72 %</w:t>
            </w: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High</w:t>
            </w: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38.17 %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36.73 %</w:t>
            </w:r>
          </w:p>
        </w:tc>
      </w:tr>
    </w:tbl>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Expected life</w:t>
      </w:r>
    </w:p>
    <w:p>
      <w:pPr>
        <w:spacing w:after="0" w:line="252"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expected life of employee stock options is a derived output of the binomial-lattice model and represents the weighted-average period the stock options are expected to remain outstanding. A binomial-lattice model assumes that employees will exercise their options when the stock price equals or exceeds an exercise multiple. The exercise multiple is based on historical employee exercise behaviors.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Volatility</w:t>
      </w:r>
    </w:p>
    <w:p>
      <w:pPr>
        <w:spacing w:after="0" w:line="25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Risk-free interest rate</w:t>
      </w:r>
    </w:p>
    <w:p>
      <w:pPr>
        <w:spacing w:after="0" w:line="25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As is the case for volatility, the risk-free interest rate is assumed to change during the option’s contractual term. The risk-free interest rate, which is based on U.S. Treasury yield curves, reflects the expected movement in the interest rate from one time period to the next.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Dividend yield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expected dividend yield assumption is based on our historical and expected future amount of dividend payouts.</w:t>
      </w:r>
    </w:p>
    <w:p>
      <w:pPr>
        <w:spacing w:after="0" w:line="25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Share-based compensation expense recognized is based on awards ultimately expected to vest and therefore has been reduced for estimated forfeitures. Forfeitures are estimated at the time of grant based on historical experience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Restricted Stock Units (“RSUs”)</w:t>
      </w:r>
    </w:p>
    <w:p>
      <w:pPr>
        <w:spacing w:after="0" w:line="25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fair value of the Company’s RSU awards granted are generally based upon the closing price of the Company’s stock on the date of grant reduced by the present value of dividends expected to be paid on our common stock prior to vesting. We also grant market-based RSU awards, from time to time, whose fair value is determined using a Monte Carlo simulation. Such market-based RSU awards include performance conditions based on our own stock price, and may also include performance conditions that compare our stock price performance to an index, such as the S&amp;P 500 Total Shareholder Return index. The Monte Carlo model simulates performance of our stock, as well as any applicable stock index performance, over the performance measurement period to determine the performance payout, with the resulting achievement discounted back to the valuation date, at the risk-free rate, to arrive at the fair value of the awards. Additionally, the Monte Carlo simulation provides an output of the service period to achieve the market condition in instances where such market condition can impact the vesting date of the market-based RSU. The valuation assumptions utilized in the Monte Carlo model are generally consistent with those discussed in the valuation of stock options above. The weighted average risk free interest rate, volatility, and dividend yield utilized in the Monte Carlo model for market-based RSU awards in 2020 were 0.11%, 37.39%, and 0.47%,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 of Fair Value Estimates</w:t>
      </w:r>
    </w:p>
    <w:p>
      <w:pPr>
        <w:spacing w:after="0" w:line="25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These inputs include, but are not limited to, expected stock price volatility, risk-free rate, dividend yield, and employee termination rates.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2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9"/>
              </w:rPr>
              <w:t>Number of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remaining</w:t>
            </w: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 (in</w:t>
            </w:r>
          </w:p>
        </w:tc>
        <w:tc>
          <w:tcPr>
            <w:tcW w:w="120" w:type="dxa"/>
            <w:vAlign w:val="bottom"/>
          </w:tcPr>
          <w:p>
            <w:pPr>
              <w:spacing w:after="0"/>
              <w:rPr>
                <w:sz w:val="11"/>
                <w:szCs w:val="11"/>
                <w:color w:val="auto"/>
              </w:rPr>
            </w:pPr>
          </w:p>
        </w:tc>
        <w:tc>
          <w:tcPr>
            <w:tcW w:w="122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3"/>
              </w:rPr>
              <w:t>intrinsic value (in</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320" w:type="dxa"/>
            <w:vAlign w:val="bottom"/>
          </w:tcPr>
          <w:p>
            <w:pPr>
              <w:jc w:val="right"/>
              <w:ind w:right="1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stock option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stock options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Outstanding stock options 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Exercisable at December 31,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3,710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aggregate intrinsic values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$174 million, $80 million, and $196 million for the years ended December 31, 2020, 2019, and 2018, respectively. The total grant date fair value of options that vested during the years ended December 31, 2020, 2019, and 2018 was $62 million, $94 million, and $45 million, respectively.</w:t>
      </w:r>
    </w:p>
    <w:p>
      <w:pPr>
        <w:spacing w:after="0" w:line="219"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At December 31, 2020, $66 million of total unrecognized compensation cost related to stock options is expected to be recognized over a weighted-average period of 1.25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252"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188"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4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date fair value per</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RSU</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Certain of our performance-based RSUs did not have an accounting grant date as of December 31, 2020, as there is not a mutual understanding between the Company and the employee of the performance terms. Generally, these performance terms relate to operating income performance for future years where the performance goals have not yet been set. As of December 31, 2020, based on the target potential shares that could be earned, there were 2.4 million performance-based RSUs outstanding for which the accounting grant date had not been set, of which 1.4 million were 2020 grants. Accordingly, no grant date fair value was established and the weighted average grant date fair values calculated above excludes these RSUs.</w:t>
      </w:r>
    </w:p>
    <w:p>
      <w:pPr>
        <w:spacing w:after="0" w:line="188"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At December 31, 2020, approximately $170 million of total unrecognized compensation cost was related to RSUs and is expected to be recognized over a weighted-average period of 0.75 years. Of the total unrecognized compensation cost, $154 million was related to performance-based RSUs, which is expected to be recognized over a weighted-average period of 0.75 years. The total grant date fair value of RSUs that vested during the years ended December 31, 2020, 2019, and 2018 was $82 million, $147 million, and $120 million, respectively.</w:t>
      </w:r>
    </w:p>
    <w:p>
      <w:pPr>
        <w:spacing w:after="0" w:line="198" w:lineRule="exact"/>
        <w:rPr>
          <w:sz w:val="20"/>
          <w:szCs w:val="20"/>
          <w:color w:val="auto"/>
        </w:rPr>
      </w:pPr>
    </w:p>
    <w:p>
      <w:pPr>
        <w:ind w:right="980" w:firstLine="445"/>
        <w:spacing w:after="0" w:line="277" w:lineRule="auto"/>
        <w:rPr>
          <w:sz w:val="20"/>
          <w:szCs w:val="20"/>
          <w:color w:val="auto"/>
        </w:rPr>
      </w:pPr>
      <w:r>
        <w:rPr>
          <w:rFonts w:ascii="Arial" w:cs="Arial" w:eastAsia="Arial" w:hAnsi="Arial"/>
          <w:sz w:val="18"/>
          <w:szCs w:val="18"/>
          <w:color w:val="auto"/>
        </w:rPr>
        <w:t>The income tax benefit from stock option exercises and RSU vestings was $61 million, $47 million, and $94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 following table sets forth the total share-based compensation expense included in our consolidated statements of operations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For the Years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155"/>
        </w:trPr>
        <w:tc>
          <w:tcPr>
            <w:tcW w:w="6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Cost of revenues—product sales: Software royalties, amortization, and intellectual property</w:t>
            </w:r>
          </w:p>
        </w:tc>
        <w:tc>
          <w:tcPr>
            <w:tcW w:w="90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90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20"/>
              <w:spacing w:after="0" w:line="176" w:lineRule="exact"/>
              <w:rPr>
                <w:sz w:val="20"/>
                <w:szCs w:val="20"/>
                <w:color w:val="auto"/>
              </w:rPr>
            </w:pPr>
            <w:r>
              <w:rPr>
                <w:rFonts w:ascii="Arial" w:cs="Arial" w:eastAsia="Arial" w:hAnsi="Arial"/>
                <w:sz w:val="18"/>
                <w:szCs w:val="18"/>
                <w:color w:val="auto"/>
                <w:w w:val="96"/>
              </w:rPr>
              <w:t>Cost of revenues—in-game, subscription, and other: Game Operations and Distribution</w:t>
            </w:r>
          </w:p>
        </w:tc>
        <w:tc>
          <w:tcPr>
            <w:tcW w:w="9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Costs</w:t>
            </w: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Cost of revenues—in-game, subscription, and other: Software royalties, amortization, and</w:t>
            </w:r>
          </w:p>
        </w:tc>
        <w:tc>
          <w:tcPr>
            <w:tcW w:w="9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 licenses</w:t>
            </w:r>
          </w:p>
        </w:tc>
        <w:tc>
          <w:tcPr>
            <w:tcW w:w="9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740" w:type="dxa"/>
            <w:vAlign w:val="bottom"/>
            <w:shd w:val="clear" w:color="auto" w:fill="BFE4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BFE4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6740" w:type="dxa"/>
            <w:vAlign w:val="bottom"/>
            <w:shd w:val="clear" w:color="auto" w:fill="BFE4FF"/>
          </w:tcPr>
          <w:p>
            <w:pPr>
              <w:ind w:left="20"/>
              <w:spacing w:after="0"/>
              <w:rPr>
                <w:sz w:val="20"/>
                <w:szCs w:val="20"/>
                <w:color w:val="auto"/>
              </w:rPr>
            </w:pPr>
            <w:r>
              <w:rPr>
                <w:rFonts w:ascii="Arial" w:cs="Arial" w:eastAsia="Arial" w:hAnsi="Arial"/>
                <w:sz w:val="18"/>
                <w:szCs w:val="18"/>
                <w:color w:val="auto"/>
              </w:rPr>
              <w:t>Share-based compensation expense before income taxes</w:t>
            </w:r>
          </w:p>
        </w:tc>
        <w:tc>
          <w:tcPr>
            <w:tcW w:w="900" w:type="dxa"/>
            <w:vAlign w:val="bottom"/>
            <w:shd w:val="clear" w:color="auto" w:fill="BFE4FF"/>
          </w:tcPr>
          <w:p>
            <w:pPr>
              <w:spacing w:after="0"/>
              <w:rPr>
                <w:sz w:val="19"/>
                <w:szCs w:val="19"/>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BFE4FF"/>
          </w:tcPr>
          <w:p>
            <w:pPr>
              <w:spacing w:after="0"/>
              <w:rPr>
                <w:sz w:val="19"/>
                <w:szCs w:val="19"/>
                <w:color w:val="auto"/>
              </w:rPr>
            </w:pPr>
          </w:p>
        </w:tc>
        <w:tc>
          <w:tcPr>
            <w:tcW w:w="5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benefit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BFE4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share-based compensation expense, net of income tax benefit</w:t>
            </w:r>
          </w:p>
        </w:tc>
        <w:tc>
          <w:tcPr>
            <w:tcW w:w="900" w:type="dxa"/>
            <w:vAlign w:val="bottom"/>
            <w:tcBorders>
              <w:bottom w:val="single" w:sz="8" w:color="auto"/>
            </w:tcBorders>
            <w:shd w:val="clear" w:color="auto" w:fill="BFE4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auto"/>
            </w:tcBorders>
            <w:shd w:val="clear" w:color="auto" w:fill="BFE4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74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25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2019, we began implementing a plan aimed at refocusing our resources on our largest opportunities and removing unnecessary levels of complexity from certain parts of our business. We have been:</w:t>
      </w:r>
    </w:p>
    <w:p>
      <w:pPr>
        <w:spacing w:after="0" w:line="197" w:lineRule="exact"/>
        <w:rPr>
          <w:sz w:val="20"/>
          <w:szCs w:val="20"/>
          <w:color w:val="auto"/>
        </w:rPr>
      </w:pPr>
    </w:p>
    <w:p>
      <w:pPr>
        <w:ind w:left="980" w:right="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increasing our investment in development for our largest, internally-owned franchises—across upfront releases, in-game content, mobile, and geographic expansion;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certain non-development and administrative-related costs across our business; and</w:t>
      </w:r>
    </w:p>
    <w:p>
      <w:pPr>
        <w:spacing w:after="0" w:line="252" w:lineRule="exact"/>
        <w:rPr>
          <w:rFonts w:ascii="Arial" w:cs="Arial" w:eastAsia="Arial" w:hAnsi="Arial"/>
          <w:sz w:val="18"/>
          <w:szCs w:val="18"/>
          <w:color w:val="auto"/>
        </w:rPr>
      </w:pPr>
    </w:p>
    <w:p>
      <w:pPr>
        <w:ind w:left="980" w:right="560" w:hanging="324"/>
        <w:spacing w:after="0" w:line="342" w:lineRule="auto"/>
        <w:tabs>
          <w:tab w:leader="none" w:pos="9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5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Since initial implementation in 2019, we have expanded the scope of certain actions within our plan that are aimed at integrating our global and regional functions to allow continued focus on investing in our largest, internally-owned franchises and to provide us with the ability to better leverage our scale across the organization. The restructuring actions remain in progress as we continue to focus on these goals and will continue into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summarizes accrued restructuring and related costs included in “Accrued expenses and other liabilities” in our consolidated balance sheet (amounts in millions) related to this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Severance and employee</w:t>
            </w:r>
          </w:p>
        </w:tc>
        <w:tc>
          <w:tcPr>
            <w:tcW w:w="12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Facilities and related</w:t>
            </w:r>
          </w:p>
        </w:tc>
        <w:tc>
          <w:tcPr>
            <w:tcW w:w="320" w:type="dxa"/>
            <w:vAlign w:val="bottom"/>
          </w:tcPr>
          <w:p>
            <w:pPr>
              <w:spacing w:after="0"/>
              <w:rPr>
                <w:sz w:val="17"/>
                <w:szCs w:val="17"/>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Other costs</w:t>
            </w:r>
          </w:p>
        </w:tc>
        <w:tc>
          <w:tcPr>
            <w:tcW w:w="440" w:type="dxa"/>
            <w:vAlign w:val="bottom"/>
          </w:tcPr>
          <w:p>
            <w:pPr>
              <w:spacing w:after="0"/>
              <w:rPr>
                <w:sz w:val="17"/>
                <w:szCs w:val="17"/>
                <w:color w:val="auto"/>
              </w:rPr>
            </w:pPr>
          </w:p>
        </w:tc>
        <w:tc>
          <w:tcPr>
            <w:tcW w:w="14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related costs</w:t>
            </w:r>
          </w:p>
        </w:tc>
        <w:tc>
          <w:tcPr>
            <w:tcW w:w="120" w:type="dxa"/>
            <w:vAlign w:val="bottom"/>
          </w:tcPr>
          <w:p>
            <w:pPr>
              <w:spacing w:after="0"/>
              <w:rPr>
                <w:sz w:val="19"/>
                <w:szCs w:val="19"/>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costs</w:t>
            </w:r>
          </w:p>
        </w:tc>
        <w:tc>
          <w:tcPr>
            <w:tcW w:w="32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Costs charged to expense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Non-cash charge adjustment (1)</w:t>
            </w:r>
          </w:p>
        </w:tc>
        <w:tc>
          <w:tcPr>
            <w:tcW w:w="3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Costs charged to expense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Non-cash charge adjustment (1)</w:t>
            </w:r>
          </w:p>
        </w:tc>
        <w:tc>
          <w:tcPr>
            <w:tcW w:w="3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 charges incurred through</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30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40" w:hanging="332"/>
        <w:spacing w:after="0" w:line="277"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Adjustments relate to non-cash charges included in “Costs charged to expense” for the write-down of assets from canceled projects and the write-down of assets for our lease facilities, inclusive of lease right-of-use assets and associated fixed assets, that were vacated.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420"/>
              <w:spacing w:after="0"/>
              <w:rPr>
                <w:sz w:val="20"/>
                <w:szCs w:val="20"/>
                <w:color w:val="auto"/>
              </w:rPr>
            </w:pPr>
            <w:r>
              <w:rPr>
                <w:rFonts w:ascii="Arial" w:cs="Arial" w:eastAsia="Arial" w:hAnsi="Arial"/>
                <w:sz w:val="18"/>
                <w:szCs w:val="18"/>
                <w:color w:val="auto"/>
              </w:rPr>
              <w:t>Total restructuring and related costs by segment are (amounts in millions):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7"/>
        </w:trPr>
        <w:tc>
          <w:tcPr>
            <w:tcW w:w="678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Year Ended December 31,</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Year Ended December 31,</w:t>
            </w:r>
          </w:p>
        </w:tc>
      </w:tr>
      <w:tr>
        <w:trPr>
          <w:trHeight w:val="230"/>
        </w:trPr>
        <w:tc>
          <w:tcPr>
            <w:tcW w:w="6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Blizzard</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(1)</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Includes charges for operating segments managed outside the reportable segments and our corporate and administrative functions.</w:t>
      </w:r>
    </w:p>
    <w:p>
      <w:pPr>
        <w:spacing w:after="0" w:line="25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 ended December 31, 2020, we incurred additional restructuring charges that are not included in the plan discussed above. Such amounts were not material.</w:t>
      </w:r>
    </w:p>
    <w:p>
      <w:pPr>
        <w:spacing w:after="0" w:line="197"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During the year ended December 31, 2019, we also recorded $5 million to write-down inventory as a result of changes to certain of our consumer product activities as part of our restructuring actions, whereby those activities will now operate under a licensing business model rather than being direct sales. This write-down is recorded within “Cost of revenues—product sales: Product costs” in our consolidated statement of operations.</w:t>
      </w:r>
    </w:p>
    <w:p>
      <w:pPr>
        <w:spacing w:after="0" w:line="17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expect to incur total aggregate pre-tax restructuring charges of approximately $310 million associated with the plan, of which the remaining charges that have not yet been incurred are expected to largely be incurred within the next 12 months. The charges associated with the plan are expected to relate to severance and employee-related costs (approximately 60% of the aggregate charge), facilities and related costs (approximately 20% of the aggregate charge), and other costs (approximately 20% of the aggregate charge), including charges for restructuring related fees and the write-down of assets. A substantial majority (approximately 70%) of the total pre-tax charge associated with the restructuring is expected to be paid in cash using amounts on hand, and such cash outlays are largely expected to be completed by the end of 2021. We do not expect to realize significant net savings in our total operating expenses as a result of our plan, as cost reductions in our selling, general and administrative activities is expected to be offset by increased investment in product development.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The total charges incurred through December 31, 2020 and total expected pre-tax restructuring charges related to the plan by segment, inclusive of amounts already incurred and inclusive of the inventory write-down discussed above, are presented below (amounts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Charges Incurred Through</w:t>
            </w:r>
          </w:p>
        </w:tc>
        <w:tc>
          <w:tcPr>
            <w:tcW w:w="200" w:type="dxa"/>
            <w:vAlign w:val="bottom"/>
          </w:tcPr>
          <w:p>
            <w:pPr>
              <w:spacing w:after="0"/>
              <w:rPr>
                <w:sz w:val="17"/>
                <w:szCs w:val="17"/>
                <w:color w:val="auto"/>
              </w:rPr>
            </w:pPr>
          </w:p>
        </w:tc>
        <w:tc>
          <w:tcPr>
            <w:tcW w:w="26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Total Charges Expected as of</w:t>
            </w:r>
          </w:p>
        </w:tc>
      </w:tr>
      <w:tr>
        <w:trPr>
          <w:trHeight w:val="229"/>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2020</w:t>
            </w:r>
          </w:p>
        </w:tc>
        <w:tc>
          <w:tcPr>
            <w:tcW w:w="200" w:type="dxa"/>
            <w:vAlign w:val="bottom"/>
          </w:tcPr>
          <w:p>
            <w:pPr>
              <w:spacing w:after="0"/>
              <w:rPr>
                <w:sz w:val="19"/>
                <w:szCs w:val="19"/>
                <w:color w:val="auto"/>
              </w:rPr>
            </w:pPr>
          </w:p>
        </w:tc>
        <w:tc>
          <w:tcPr>
            <w:tcW w:w="2640" w:type="dxa"/>
            <w:vAlign w:val="bottom"/>
          </w:tcPr>
          <w:p>
            <w:pPr>
              <w:jc w:val="right"/>
              <w:ind w:right="6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Blizzard</w:t>
            </w:r>
          </w:p>
        </w:tc>
        <w:tc>
          <w:tcPr>
            <w:tcW w:w="1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(1)</w:t>
            </w: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Includes charges for operating segments managed outside the reportable segments and our corporate and administrative functions.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and Other Expense (Income),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and other expense (income), net is comprised of the following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7"/>
              </w:rPr>
              <w:t>For the Years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6"/>
        </w:trPr>
        <w:tc>
          <w:tcPr>
            <w:tcW w:w="5420" w:type="dxa"/>
            <w:vAlign w:val="bottom"/>
          </w:tcPr>
          <w:p>
            <w:pPr>
              <w:ind w:left="20"/>
              <w:spacing w:after="0" w:line="176" w:lineRule="exact"/>
              <w:rPr>
                <w:sz w:val="20"/>
                <w:szCs w:val="20"/>
                <w:color w:val="auto"/>
              </w:rPr>
            </w:pPr>
            <w:r>
              <w:rPr>
                <w:rFonts w:ascii="Arial" w:cs="Arial" w:eastAsia="Arial" w:hAnsi="Arial"/>
                <w:sz w:val="18"/>
                <w:szCs w:val="18"/>
                <w:color w:val="auto"/>
              </w:rPr>
              <w:t>Interest expense from debt and amortization of debt discount and</w:t>
            </w:r>
          </w:p>
        </w:tc>
        <w:tc>
          <w:tcPr>
            <w:tcW w:w="13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3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equity investment</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Domestic and foreign income (loss) before income taxes and details of the income tax expense (benefit) are as follows (amounts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2018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Domestic</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23"/>
        </w:trPr>
        <w:tc>
          <w:tcPr>
            <w:tcW w:w="67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Current: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Federal</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67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The items accounting for the difference between income taxes computed at the U.S. federal statutory income tax rate and the income tax expense (benefit) at the effective tax rate for each of the years are as follows (amounts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provision at statutory rate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2</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Change in tax reserves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settlements</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1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Excess tax benefits related to share-based payments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rPr>
              <w:t>(3)</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Reform Act</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1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Intra-entity IP Transfer</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Company’s tax rate is affected by the tax rates in the jurisdictions in which the Company operates, some of which have a statutory tax rate less than the U.S. rate and the relative amount of income earned in each jurisdiction.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October 2019, we completed an intra-entity transfer of certain intellectual property rights to one of our subsidiaries in the U.K., aligning the ownership of these rights with our evolving business. The transfer did not result in a taxable gain; however, our U.K. subsidiary received a step-up in tax basis based on the fair value of the transferred intellectual property rights. Such fair value was determined based on our expectations of future cash flows, long-term growth rates, and discount rates. We recorded a one-time benefit of $230 million in the quarter ended December 31, 2019 for the recognition of a $1.1 billion deferred tax asset in the U.K. related to the amortizable tax basis in the transferred intellectual property, net of uncertain tax positions and a valuation allowance, partially offset by a related $920 million deferred tax liability for U.S. taxes on foreign earnings. The U.K. amortizable tax basis will be recovered over a period of three years to 25 years and the related deferred tax asset was measured using the enacted U.K. corporate tax rates for the years in which the amortization will be realized. We recorded a valuation allowance of $110 million in 2019 for the portion of the deferred tax asset for which it is more-likely-than-not that a benefit will not be realized. We will update the measurement and realizability analysis going forward and record the impact from any change in determination in the period of the change.</w:t>
      </w:r>
    </w:p>
    <w:p>
      <w:pPr>
        <w:spacing w:after="0" w:line="212"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the year ended December 31, 2020, we completed an intra-entity transfer of certain intellectual property rights to the U.S. to better align the profits related to these rights with our evolving business activities. As a result, a significant portion of these earnings began qualifying for preferential treatment as foreign-derived intangible income during 2020. The transfer resulted in a one-time benefit of $31 million in connection with the remeasurement of a U.S. deferred tax asset related to foreign earnings.</w:t>
      </w:r>
    </w:p>
    <w:p>
      <w:pPr>
        <w:spacing w:after="0" w:line="21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June 27, 2018, we entered into a closing agreement with the Internal Revenue Service (“IRS”) to resolve certain intercompany transfer pricing arrangements for tax periods starting in 2009 (the “Closing Agreement”). The primary adjustments related to the Closing Agreement were recognized in the second quarter of 2018 and consisted of a tax expense of $70 million and a reduction in unrecognized tax benefits of $437 million. In addition, we recognized $185 million of tax benefits related to other tax adjustments resulting from the changes in U.S. tax attributes and taxable income caused by the primary adjustments. The Closing Agreement resulted in federal and state cash tax payments totaling approximately $345 million, of which federal tax payments of $334 million were made in October 2018.</w:t>
      </w:r>
    </w:p>
    <w:p>
      <w:pPr>
        <w:spacing w:after="0" w:line="21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December 22, 2017, the U.S. Tax Reform Act was enacted. The U.S. Tax Reform Act, among other things, reduced the U.S. corporate income tax rate from 35% to 21%, beginning in 2018, and implemented the Transition Tax. In the fourth quarter of 2018, we completed our analysis of the effect of the U.S. Tax Reform Act and recorded a net tax benefit of $340 million. This is primarily related to adoption of GILTI deferred tax accounting and remeasurement of deferred tax assets and liabilities partially offset by tax expense related to Transition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200" w:firstLine="445"/>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8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attributes carryforwards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Capitalized software development expenses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deferred taxes on foreign earnings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As of December 31, 2020, we had gross tax credit carryforwards of $227 million for state purposes. The tax credit carryforwards are included in deferred tax assets net of unrealized tax benefits that would apply upon the realization of uncertain tax positions. In addition, we had foreign net operating loss carryforwards of $46 million at December 31, 2020, most of which carry forward indefinitely.</w:t>
      </w:r>
    </w:p>
    <w:p>
      <w:pPr>
        <w:spacing w:after="0" w:line="21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of December 31, 2020 and December 31, 2019, we maintained a valuation allowance related to our California research and development credit carryforwards of $107 million and $71 million, respectively. We will reassess this determination quarterly and record a tax benefit if and when future evidence allows for a partial or full release of this valuation allowance.</w:t>
      </w:r>
    </w:p>
    <w:p>
      <w:pPr>
        <w:spacing w:after="0" w:line="20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we remeasured the U.K. deferred tax asset related to previously transferred intellectual property rights and corresponding U.S. deferred tax liability due to the change in the U.K.'s corporate income tax rate during 2020. As of December 31, 2020, the U.K. deferred tax asset net of valuation allowance is $1.1 billion and the corresponding U.S. deferred tax liability is $881 million.</w:t>
      </w:r>
    </w:p>
    <w:p>
      <w:pPr>
        <w:spacing w:after="0" w:line="211"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Activision Blizzard’s tax years after 2008 remain open to examination by certain major taxing jurisdictions to which we are subject. The Internal Revenue Service is currently examining our federal tax returns for the 2012 through 2016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In December 2017, we received a Notice of Reassessment from the French Tax Authority (the “FTA”) related to transfer pricing for intercompany transactions involving one of our French subsidiaries for the 2011 through 2013 tax years. The total assessment, including penalties and interest, was approximately €571 million (approximately $638 million). In December 2019, the Company reached a settlement with the FTA for the 2011 through 2018 tax years, resulting in the recognition of $54 million of tax expense in the period ended December 31, 2019 and a tax payment of €161 million (approximately $179 million), including interest and penalties, in January 2020.</w:t>
      </w:r>
    </w:p>
    <w:p>
      <w:pPr>
        <w:spacing w:after="0" w:line="21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19"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As of December 31, 2020, we had $1.2 billion of gross unrecognized tax benefits, $706 million of which would affect our effective tax rate, if recognized. A reconciliation of total gross unrecognized tax benefits is as follows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Gross increase for tax positions taken during a prior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 for tax positions taken during a prior year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Gross increase for tax positions taken during the current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with taxing authorities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December 31</w:t>
            </w: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As of December 31, 2020, 2019, and 2018, we had approximately $93 million, $72 million, and $87 million, respectively, of accrued interest and penalties related to uncertain tax positions. For the years ended December 31, 2020, 2019, and 2018, we recorded $19 million, $14 million, and $11 million, respectively, of interest expense related to uncertain tax positions.</w:t>
      </w:r>
    </w:p>
    <w:p>
      <w:pPr>
        <w:spacing w:after="0" w:line="2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Computation of Basic/Diluted Earnings Per Common Share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Consolidated net income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2,197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Denominator for basic earnings per common share—weighted-average common</w:t>
            </w:r>
          </w:p>
        </w:tc>
        <w:tc>
          <w:tcPr>
            <w:tcW w:w="10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outstanding</w:t>
            </w:r>
          </w:p>
        </w:tc>
        <w:tc>
          <w:tcPr>
            <w:tcW w:w="10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stock options and awards under the treasury stock method</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Denominator for diluted earnings per common share—weighted-average common</w:t>
            </w:r>
          </w:p>
        </w:tc>
        <w:tc>
          <w:tcPr>
            <w:tcW w:w="10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shares outstanding plus dilutive common shares under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shares excluded from the computation of diluted earnings per share were as follows (amounts in millions):</w:t>
      </w:r>
    </w:p>
    <w:p>
      <w:pPr>
        <w:spacing w:after="0" w:line="140"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For the 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11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66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with performance measures not yet met</w:t>
            </w: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Anti-dilutive employee stock options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Programs</w:t>
      </w:r>
    </w:p>
    <w:p>
      <w:pPr>
        <w:spacing w:after="0" w:line="252"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of $4 billion of our common stock during the two-year period from February 14, 2021 until the earlier of February 13, 2023 and a determination by the Board of Directors to discontinue the repurchase program. To date, we have not repurchased any shares under this program.</w:t>
      </w:r>
    </w:p>
    <w:p>
      <w:pPr>
        <w:spacing w:after="0" w:line="19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On January 31, 2019, our Board of Directors authorized a stock repurchase program under which we were authorized to repurchase up to $1.5 billion of our common stock from February 14, 2019 until the earlier of February 13, 2021 and a determination by the Board of Directors to discontinue the repurchase program. We did not repurchase any shares under this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On February 4, 2021, our Board of Directors declared a cash dividend of $0.47 per common share. Such dividend is payable on May 6, 2021, to shareholders of record at the close of business on April 15,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On February 6, 2020, our Board of Directors declared a cash dividend of $0.41 per common share. On May 6, 2020, made an aggregate cash dividend payment of $316 million to shareholders of record at the close of business on April 15, 2020.</w:t>
      </w:r>
    </w:p>
    <w:p>
      <w:pPr>
        <w:spacing w:after="0" w:line="19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97"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Obligations</w:t>
      </w:r>
    </w:p>
    <w:p>
      <w:pPr>
        <w:spacing w:after="0" w:line="252"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In the normal course of business, we enter into contractual arrangements with third parties for non-cancelable operating lease agreements for our offices, for the development of products which may include obtaining rights to intellectual property, and for hosting services to support our games and our administrative functions. Under these agreements, we commit to provide specified payments to a lessor, developer, or hosting provider, as the case may be, based upon contractual arrangements. The payments to third-party developers are generally conditioned upon the achievement by the developers of contractually specified development milestones. Further, these payments to third-party developers typically are deemed to be advances and, as such, are recoupable against future royalties earned by the developer based on sales of the related game. Additionally, we also enter into arrangements in which we commit to spend specified amounts for marketing to support and promote our content and services. Assuming all contractual provisions are met, the total future minimum commitments for these and other contractual arrangements in place at December 31, 2020, are scheduled to be paid as follows (amounts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Contractual Obligations (1)</w:t>
            </w:r>
          </w:p>
        </w:tc>
        <w:tc>
          <w:tcPr>
            <w:tcW w:w="1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Facility and</w:t>
            </w:r>
          </w:p>
        </w:tc>
        <w:tc>
          <w:tcPr>
            <w:tcW w:w="160" w:type="dxa"/>
            <w:vAlign w:val="bottom"/>
          </w:tcPr>
          <w:p>
            <w:pPr>
              <w:spacing w:after="0"/>
              <w:rPr>
                <w:sz w:val="11"/>
                <w:szCs w:val="11"/>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7"/>
              </w:rPr>
              <w:t>Developer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Long-Term Debt</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Equipment</w:t>
            </w: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Marketing</w:t>
            </w: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Hosting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Obligations (2)</w:t>
            </w: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years ending December 31,</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5,057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23"/>
        </w:trPr>
        <w:tc>
          <w:tcPr>
            <w:tcW w:w="40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5,586</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60" w:hanging="332"/>
        <w:spacing w:after="0" w:line="259"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2020, we had $466 million of net unrecognized tax benefits included in “Other liabilities,” in our consolidated balance sheet.</w:t>
      </w:r>
    </w:p>
    <w:p>
      <w:pPr>
        <w:spacing w:after="0" w:line="213" w:lineRule="exact"/>
        <w:rPr>
          <w:rFonts w:ascii="Arial" w:cs="Arial" w:eastAsia="Arial" w:hAnsi="Arial"/>
          <w:sz w:val="18"/>
          <w:szCs w:val="18"/>
          <w:color w:val="auto"/>
        </w:rPr>
      </w:pPr>
    </w:p>
    <w:p>
      <w:pPr>
        <w:ind w:left="340" w:right="260"/>
        <w:spacing w:after="0" w:line="308" w:lineRule="auto"/>
        <w:rPr>
          <w:rFonts w:ascii="Arial" w:cs="Arial" w:eastAsia="Arial" w:hAnsi="Arial"/>
          <w:sz w:val="18"/>
          <w:szCs w:val="18"/>
          <w:color w:val="auto"/>
        </w:rPr>
      </w:pPr>
      <w:r>
        <w:rPr>
          <w:rFonts w:ascii="Arial" w:cs="Arial" w:eastAsia="Arial" w:hAnsi="Arial"/>
          <w:sz w:val="17"/>
          <w:szCs w:val="17"/>
          <w:color w:val="auto"/>
        </w:rPr>
        <w:t>Additionally, at December 31, 2020, we have a remaining net Transition Tax liability of $153 million associated with the U.S. Tax Reform Act. The remaining Transition Tax liability is payable over the next six years and is not reflected in our Contractual Obligations table above.</w:t>
      </w:r>
    </w:p>
    <w:p>
      <w:pPr>
        <w:spacing w:after="0" w:line="173" w:lineRule="exact"/>
        <w:rPr>
          <w:rFonts w:ascii="Arial" w:cs="Arial" w:eastAsia="Arial" w:hAnsi="Arial"/>
          <w:sz w:val="18"/>
          <w:szCs w:val="18"/>
          <w:color w:val="auto"/>
        </w:rPr>
      </w:pPr>
    </w:p>
    <w:p>
      <w:pPr>
        <w:ind w:left="340" w:right="460" w:hanging="332"/>
        <w:spacing w:after="0" w:line="279" w:lineRule="auto"/>
        <w:tabs>
          <w:tab w:leader="none" w:pos="33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Long-term debt obligations represent our obligations related to the contractual principal repayments and interest payments for our outstanding unsecured notes, which are subject to fixed interest rates, as of December 31, 2020. There was no outstanding balance under our Revolver as of December 31, 2020. We have calculated the expected interest obligation based on the outstanding principal balance and interest rate applicable at December 31, 2020. Refer to </w:t>
      </w:r>
      <w:hyperlink w:anchor="page85">
        <w:r>
          <w:rPr>
            <w:rFonts w:ascii="Arial" w:cs="Arial" w:eastAsia="Arial" w:hAnsi="Arial"/>
            <w:sz w:val="17"/>
            <w:szCs w:val="17"/>
            <w:u w:val="single" w:color="auto"/>
            <w:color w:val="0000FF"/>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on our debt obligations.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are party to routine claims, suits, investigations, audits, and other proceedings arising in the ordinary course of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660" w:firstLine="44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w:t>
      </w:r>
      <w:hyperlink w:anchor="page85">
        <w:r>
          <w:rPr>
            <w:rFonts w:ascii="Arial" w:cs="Arial" w:eastAsia="Arial" w:hAnsi="Arial"/>
            <w:sz w:val="18"/>
            <w:szCs w:val="18"/>
            <w:u w:val="single" w:color="auto"/>
            <w:color w:val="0000FF"/>
          </w:rPr>
          <w:t>Note 13</w:t>
        </w:r>
      </w:hyperlink>
      <w:r>
        <w:rPr>
          <w:rFonts w:ascii="Arial" w:cs="Arial" w:eastAsia="Arial" w:hAnsi="Arial"/>
          <w:sz w:val="18"/>
          <w:szCs w:val="18"/>
          <w:color w:val="auto"/>
        </w:rPr>
        <w:t>, a portion of our Revolver can be used to issue letters of credit of up to $50 million, subject to the availability of the Revolver. At December 31, 2020, we did not have any letters of credit issued or outstanding under the Revolver.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Col. B</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5"/>
              </w:rPr>
              <w:t>Col. 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Col. C</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Col. D</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Col. A Description</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88"/>
        </w:trPr>
        <w:tc>
          <w:tcPr>
            <w:tcW w:w="5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Additions(A)</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Deductions(B)</w:t>
            </w:r>
          </w:p>
        </w:tc>
        <w:tc>
          <w:tcPr>
            <w:tcW w:w="18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Allowances for sales returns and price protection and other</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allowances</w:t>
            </w: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At December 31, 2019</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Allowances for sales returns and price protection and other</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w:t>
            </w: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December 31, 2018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Allowances for sales returns and price protection and other</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allowances</w:t>
            </w: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640" w:hanging="332"/>
        <w:spacing w:after="0" w:line="277" w:lineRule="auto"/>
        <w:tabs>
          <w:tab w:leader="none" w:pos="3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increases and reversals of allowances for sales returns, price protection, and valuation allowance for deferred tax assets due to normal reserving terms.</w:t>
      </w:r>
    </w:p>
    <w:p>
      <w:pPr>
        <w:spacing w:after="0" w:line="197" w:lineRule="exact"/>
        <w:rPr>
          <w:rFonts w:ascii="Arial" w:cs="Arial" w:eastAsia="Arial" w:hAnsi="Arial"/>
          <w:sz w:val="18"/>
          <w:szCs w:val="18"/>
          <w:color w:val="auto"/>
        </w:rPr>
      </w:pPr>
    </w:p>
    <w:p>
      <w:pPr>
        <w:ind w:left="340" w:right="120" w:hanging="332"/>
        <w:spacing w:after="0" w:line="277" w:lineRule="auto"/>
        <w:tabs>
          <w:tab w:leader="none" w:pos="3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actual write-offs and utilization of allowances for sales returns, price protection, and releases of income tax valuation allowances and foreign currency translation and other adjustments.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(1) may have been qualified by disclosures made to such other party or parties, (2) were made only as of the date of such agreements or such other date(s) as may be specified in such agreements and are subject to more recent developments, which may not be fully reflected in the Company’s public disclosure, (3) may reflect the allocation of risk among the parties to such agreements, and (4)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88" w:lineRule="exact"/>
        <w:rPr>
          <w:sz w:val="20"/>
          <w:szCs w:val="20"/>
          <w:color w:val="auto"/>
        </w:rPr>
      </w:pPr>
    </w:p>
    <w:p>
      <w:pPr>
        <w:ind w:left="260"/>
        <w:spacing w:after="0"/>
        <w:tabs>
          <w:tab w:leader="none" w:pos="62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Exhibit</w:t>
      </w:r>
    </w:p>
    <w:p>
      <w:pPr>
        <w:spacing w:after="0" w:line="36" w:lineRule="exact"/>
        <w:rPr>
          <w:sz w:val="20"/>
          <w:szCs w:val="20"/>
          <w:color w:val="auto"/>
        </w:rPr>
      </w:pPr>
    </w:p>
    <w:p>
      <w:pPr>
        <w:ind w:left="1740" w:right="640" w:hanging="462"/>
        <w:spacing w:after="0" w:line="235"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4">
        <w:r>
          <w:rPr>
            <w:rFonts w:ascii="Arial" w:cs="Arial" w:eastAsia="Arial" w:hAnsi="Arial"/>
            <w:sz w:val="18"/>
            <w:szCs w:val="18"/>
            <w:u w:val="single" w:color="auto"/>
            <w:color w:val="0000FF"/>
          </w:rPr>
          <w:t>Third Amended and Restated Certificate of Incorporation of Activision Blizzard, Inc., dated June 5, 2014 (incorporated by</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reference to Exhibit 3.1 of the Company’s Form 8-K, filed June 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-256540</wp:posOffset>
            </wp:positionV>
            <wp:extent cx="60432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ind w:left="1740" w:right="200" w:hanging="46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46">
        <w:r>
          <w:rPr>
            <w:rFonts w:ascii="Arial" w:cs="Arial" w:eastAsia="Arial" w:hAnsi="Arial"/>
            <w:sz w:val="18"/>
            <w:szCs w:val="18"/>
            <w:u w:val="single" w:color="auto"/>
            <w:color w:val="0000FF"/>
          </w:rPr>
          <w:t>Fourth Amended and Restated Bylaws of Activision Blizzard, Inc., adopted as of February 1, 2018 (incorporated by reference to</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Exhibit 3.1 of the Company’s Form 8-K/A, filed March 21, 2018).</w:t>
        </w:r>
      </w:hyperlink>
    </w:p>
    <w:p>
      <w:pPr>
        <w:spacing w:after="0" w:line="1" w:lineRule="exact"/>
        <w:rPr>
          <w:sz w:val="20"/>
          <w:szCs w:val="20"/>
          <w:color w:val="auto"/>
        </w:rPr>
      </w:pPr>
    </w:p>
    <w:p>
      <w:pPr>
        <w:ind w:left="1740" w:right="140" w:hanging="462"/>
        <w:spacing w:after="0" w:line="299" w:lineRule="auto"/>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147">
        <w:r>
          <w:rPr>
            <w:rFonts w:ascii="Arial" w:cs="Arial" w:eastAsia="Arial" w:hAnsi="Arial"/>
            <w:sz w:val="16"/>
            <w:szCs w:val="16"/>
            <w:u w:val="single" w:color="auto"/>
            <w:color w:val="0000FF"/>
          </w:rPr>
          <w:t>Indenture, dated as of September 19, 2016, among Activision Blizzard, Inc., the guarantors named therein and Wells Fargo Bank,</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National Association, as trustee, with respect to the Company’s 2.300% Unsecured Senior Notes due 2021 and the Company’s</w:t>
        </w:r>
      </w:hyperlink>
    </w:p>
    <w:p>
      <w:pPr>
        <w:spacing w:after="0" w:line="1" w:lineRule="exact"/>
        <w:rPr>
          <w:sz w:val="20"/>
          <w:szCs w:val="20"/>
          <w:color w:val="auto"/>
        </w:rPr>
      </w:pPr>
    </w:p>
    <w:p>
      <w:pPr>
        <w:ind w:left="1740"/>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3.400% Unsecured Senior Notes due 2026 (incorporated by reference to Exhibit 4.1 of the Company’s Form 8-K, filed September</w:t>
        </w:r>
      </w:hyperlink>
    </w:p>
    <w:p>
      <w:pPr>
        <w:spacing w:after="0" w:line="32" w:lineRule="exact"/>
        <w:rPr>
          <w:sz w:val="20"/>
          <w:szCs w:val="20"/>
          <w:color w:val="auto"/>
        </w:rPr>
      </w:pPr>
    </w:p>
    <w:p>
      <w:pPr>
        <w:ind w:left="174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19, 2016).</w:t>
        </w:r>
      </w:hyperlink>
    </w:p>
    <w:p>
      <w:pPr>
        <w:spacing w:after="0" w:line="211" w:lineRule="exact"/>
        <w:rPr>
          <w:sz w:val="20"/>
          <w:szCs w:val="20"/>
          <w:color w:val="auto"/>
        </w:rPr>
      </w:pPr>
    </w:p>
    <w:p>
      <w:pPr>
        <w:ind w:left="1740" w:right="460" w:hanging="462"/>
        <w:spacing w:after="0" w:line="235"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48">
        <w:r>
          <w:rPr>
            <w:rFonts w:ascii="Arial" w:cs="Arial" w:eastAsia="Arial" w:hAnsi="Arial"/>
            <w:sz w:val="18"/>
            <w:szCs w:val="18"/>
            <w:u w:val="single" w:color="auto"/>
            <w:color w:val="0000FF"/>
          </w:rPr>
          <w:t>Base Indenture, dated as of May 26, 2017, between Activision Blizzard, Inc. and Wells Fargo Bank, National Association, as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trustee (incorporated by reference to Exhibit 4.1 of the Company’s Form 8-K, filed May 26, 2017).</w:t>
        </w:r>
      </w:hyperlink>
    </w:p>
    <w:p>
      <w:pPr>
        <w:ind w:left="1740" w:right="420" w:hanging="46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49">
        <w:r>
          <w:rPr>
            <w:rFonts w:ascii="Arial" w:cs="Arial" w:eastAsia="Arial" w:hAnsi="Arial"/>
            <w:sz w:val="18"/>
            <w:szCs w:val="18"/>
            <w:u w:val="single" w:color="auto"/>
            <w:color w:val="0000FF"/>
          </w:rPr>
          <w:t>First Supplemental Indenture, dated as of May 26, 2017, between Activision Blizzard, Inc. and Wells Fargo Bank, National</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Association, as trustee, with respect to the Company’s 2.600% Unsecured Senior Notes due 2022, the Company’s 3.400%</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Unsecured Senior Notes due September 2027 and the Company’s 4.500% Unsecured Senior Notes due 2047 (incorporated by</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reference to Exhibit 4.2 of the Company’s Form 8-K, filed May 26, 2017).</w:t>
        </w:r>
      </w:hyperlink>
    </w:p>
    <w:p>
      <w:pPr>
        <w:spacing w:after="0" w:line="1" w:lineRule="exact"/>
        <w:rPr>
          <w:rFonts w:ascii="Arial" w:cs="Arial" w:eastAsia="Arial" w:hAnsi="Arial"/>
          <w:sz w:val="18"/>
          <w:szCs w:val="18"/>
          <w:u w:val="single" w:color="auto"/>
          <w:color w:val="0000FF"/>
        </w:rPr>
      </w:pPr>
    </w:p>
    <w:p>
      <w:pPr>
        <w:ind w:left="1740" w:right="140" w:hanging="462"/>
        <w:spacing w:after="0" w:line="252" w:lineRule="auto"/>
        <w:tabs>
          <w:tab w:leader="none" w:pos="1720" w:val="left"/>
        </w:tabs>
        <w:rPr>
          <w:rFonts w:ascii="Arial" w:cs="Arial" w:eastAsia="Arial" w:hAnsi="Arial"/>
          <w:sz w:val="16"/>
          <w:szCs w:val="16"/>
          <w:color w:val="0000FF"/>
        </w:rPr>
      </w:pPr>
      <w:r>
        <w:rPr>
          <w:rFonts w:ascii="Arial" w:cs="Arial" w:eastAsia="Arial" w:hAnsi="Arial"/>
          <w:sz w:val="18"/>
          <w:szCs w:val="18"/>
          <w:color w:val="auto"/>
        </w:rPr>
        <w:t>4.4</w:t>
      </w:r>
      <w:r>
        <w:rPr>
          <w:sz w:val="20"/>
          <w:szCs w:val="20"/>
          <w:color w:val="auto"/>
        </w:rPr>
        <w:tab/>
      </w:r>
      <w:hyperlink r:id="rId150">
        <w:r>
          <w:rPr>
            <w:rFonts w:ascii="Arial" w:cs="Arial" w:eastAsia="Arial" w:hAnsi="Arial"/>
            <w:sz w:val="16"/>
            <w:szCs w:val="16"/>
            <w:u w:val="single" w:color="auto"/>
            <w:color w:val="0000FF"/>
          </w:rPr>
          <w:t>Second Supplemental Indenture, dated August 10, 2020, between Activision Blizzard, Inc. and Wells Fargo Bank, National</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Association, as trustee, with respect to the Company’s 1.350% Unsecured Senior Notes due 2030, and the Company’s 2.500%</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Unsecured Senior Notes Due 2050 (incorporated by reference to Exhibit 4.2 of the Company’s Form 8-K, filed August 10, 2020)</w:t>
        </w:r>
        <w:r>
          <w:rPr>
            <w:rFonts w:ascii="Arial" w:cs="Arial" w:eastAsia="Arial" w:hAnsi="Arial"/>
            <w:sz w:val="16"/>
            <w:szCs w:val="16"/>
            <w:color w:val="0000FF"/>
          </w:rPr>
          <w:t>.</w:t>
        </w:r>
      </w:hyperlink>
    </w:p>
    <w:p>
      <w:pPr>
        <w:spacing w:after="0" w:line="1" w:lineRule="exact"/>
        <w:rPr>
          <w:rFonts w:ascii="Arial" w:cs="Arial" w:eastAsia="Arial" w:hAnsi="Arial"/>
          <w:sz w:val="16"/>
          <w:szCs w:val="16"/>
          <w:u w:val="single" w:color="auto"/>
          <w:color w:val="0000FF"/>
        </w:rPr>
      </w:pPr>
    </w:p>
    <w:p>
      <w:pPr>
        <w:ind w:left="1740" w:right="180" w:hanging="46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149">
        <w:r>
          <w:rPr>
            <w:rFonts w:ascii="Arial" w:cs="Arial" w:eastAsia="Arial" w:hAnsi="Arial"/>
            <w:sz w:val="18"/>
            <w:szCs w:val="18"/>
            <w:u w:val="single" w:color="auto"/>
            <w:color w:val="0000FF"/>
          </w:rPr>
          <w:t>Form of certificate for the Company’s 3.400% Unsecured Senior Notes due 2027 (incorporated by reference to Exhibit 4.2 of the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Company’s Form 8-K, filed May 26, 2017).</w:t>
        </w:r>
      </w:hyperlink>
    </w:p>
    <w:p>
      <w:pPr>
        <w:spacing w:after="0" w:line="1" w:lineRule="exact"/>
        <w:rPr>
          <w:sz w:val="20"/>
          <w:szCs w:val="20"/>
          <w:color w:val="auto"/>
        </w:rPr>
      </w:pPr>
    </w:p>
    <w:p>
      <w:pPr>
        <w:ind w:left="1740" w:right="180" w:hanging="46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150">
        <w:r>
          <w:rPr>
            <w:rFonts w:ascii="Arial" w:cs="Arial" w:eastAsia="Arial" w:hAnsi="Arial"/>
            <w:sz w:val="18"/>
            <w:szCs w:val="18"/>
            <w:u w:val="single" w:color="auto"/>
            <w:color w:val="0000FF"/>
          </w:rPr>
          <w:t>Form of certificate for the Company’s 1.350% Unsecured Senior Notes due 2030 (incorporated by reference to Exhibit 4.2 of the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Company’s Form 8-K, filed August 10, 2020).</w:t>
        </w:r>
      </w:hyperlink>
    </w:p>
    <w:p>
      <w:pPr>
        <w:spacing w:after="0" w:line="1" w:lineRule="exact"/>
        <w:rPr>
          <w:sz w:val="20"/>
          <w:szCs w:val="20"/>
          <w:color w:val="auto"/>
        </w:rPr>
      </w:pPr>
    </w:p>
    <w:p>
      <w:pPr>
        <w:ind w:left="1740" w:right="180" w:hanging="46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149">
        <w:r>
          <w:rPr>
            <w:rFonts w:ascii="Arial" w:cs="Arial" w:eastAsia="Arial" w:hAnsi="Arial"/>
            <w:sz w:val="18"/>
            <w:szCs w:val="18"/>
            <w:u w:val="single" w:color="auto"/>
            <w:color w:val="0000FF"/>
          </w:rPr>
          <w:t>Form of certificate for the Company’s 4.500% Unsecured Senior Notes due 2047 (incorporated by reference to Exhibit 4.2 of the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Company’s Form 8-K, filed May 26, 2017).</w:t>
        </w:r>
      </w:hyperlink>
    </w:p>
    <w:p>
      <w:pPr>
        <w:spacing w:after="0" w:line="1" w:lineRule="exact"/>
        <w:rPr>
          <w:sz w:val="20"/>
          <w:szCs w:val="20"/>
          <w:color w:val="auto"/>
        </w:rPr>
      </w:pPr>
    </w:p>
    <w:p>
      <w:pPr>
        <w:ind w:left="1740" w:right="140" w:hanging="46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150">
        <w:r>
          <w:rPr>
            <w:rFonts w:ascii="Arial" w:cs="Arial" w:eastAsia="Arial" w:hAnsi="Arial"/>
            <w:sz w:val="18"/>
            <w:szCs w:val="18"/>
            <w:u w:val="single" w:color="auto"/>
            <w:color w:val="0000FF"/>
          </w:rPr>
          <w:t>Form of certificate for the Company’s 2.500% Unsecured Senior Notes Due 2050 (incorporated by reference to Exhibit 4.2 of the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Company’s Form 8-K, filed August 10, 2020).</w:t>
        </w:r>
      </w:hyperlink>
    </w:p>
    <w:p>
      <w:pPr>
        <w:ind w:left="128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151">
        <w:r>
          <w:rPr>
            <w:rFonts w:ascii="Arial" w:cs="Arial" w:eastAsia="Arial" w:hAnsi="Arial"/>
            <w:sz w:val="16"/>
            <w:szCs w:val="16"/>
            <w:u w:val="single" w:color="auto"/>
            <w:color w:val="0000FF"/>
          </w:rPr>
          <w:t>Description of Securities (incorporated by reference to Exhibit 4.7 of the Company’s Form 10-K for the year ended December 31,</w:t>
        </w:r>
      </w:hyperlink>
    </w:p>
    <w:p>
      <w:pPr>
        <w:spacing w:after="0" w:line="1" w:lineRule="exact"/>
        <w:rPr>
          <w:sz w:val="20"/>
          <w:szCs w:val="20"/>
          <w:color w:val="auto"/>
        </w:rPr>
      </w:pPr>
    </w:p>
    <w:p>
      <w:pPr>
        <w:ind w:left="174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2019).</w:t>
        </w:r>
      </w:hyperlink>
    </w:p>
    <w:p>
      <w:pPr>
        <w:spacing w:after="0" w:line="7" w:lineRule="exact"/>
        <w:rPr>
          <w:sz w:val="20"/>
          <w:szCs w:val="20"/>
          <w:color w:val="auto"/>
        </w:rPr>
      </w:pPr>
    </w:p>
    <w:p>
      <w:pPr>
        <w:ind w:left="1740" w:right="220" w:hanging="64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52">
        <w:r>
          <w:rPr>
            <w:rFonts w:ascii="Arial" w:cs="Arial" w:eastAsia="Arial" w:hAnsi="Arial"/>
            <w:sz w:val="18"/>
            <w:szCs w:val="18"/>
            <w:u w:val="single" w:color="auto"/>
            <w:color w:val="0000FF"/>
          </w:rPr>
          <w:t>Activision Blizzard, Inc. Amended and Restated 2008 Incentive Plan, as amended and restated on June 7, 2012 (incorporated by</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reference to Exhibit 10.1 of the Company’s Form 8-K filed June 12, 2012).</w:t>
        </w:r>
      </w:hyperlink>
    </w:p>
    <w:p>
      <w:pPr>
        <w:spacing w:after="0" w:line="1" w:lineRule="exact"/>
        <w:rPr>
          <w:sz w:val="20"/>
          <w:szCs w:val="20"/>
          <w:color w:val="auto"/>
        </w:rPr>
      </w:pPr>
    </w:p>
    <w:p>
      <w:pPr>
        <w:ind w:left="1740" w:hanging="64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53">
        <w:r>
          <w:rPr>
            <w:rFonts w:ascii="Arial" w:cs="Arial" w:eastAsia="Arial" w:hAnsi="Arial"/>
            <w:sz w:val="18"/>
            <w:szCs w:val="18"/>
            <w:u w:val="single" w:color="auto"/>
            <w:color w:val="0000FF"/>
          </w:rPr>
          <w:t>Activision Blizzard, Inc. 2014 Incentive Plan, amended and restated as of March 2, 2017 (incorporated by reference to Exhibit 10.1</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of the Company’s Form 10-Q filed May 4, 2017).</w:t>
        </w:r>
      </w:hyperlink>
    </w:p>
    <w:p>
      <w:pPr>
        <w:spacing w:after="0" w:line="1" w:lineRule="exact"/>
        <w:rPr>
          <w:sz w:val="20"/>
          <w:szCs w:val="20"/>
          <w:color w:val="auto"/>
        </w:rPr>
      </w:pPr>
    </w:p>
    <w:p>
      <w:pPr>
        <w:ind w:left="1740" w:hanging="64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54">
        <w:r>
          <w:rPr>
            <w:rFonts w:ascii="Arial" w:cs="Arial" w:eastAsia="Arial" w:hAnsi="Arial"/>
            <w:sz w:val="18"/>
            <w:szCs w:val="18"/>
            <w:u w:val="single" w:color="auto"/>
            <w:color w:val="0000FF"/>
          </w:rPr>
          <w:t>Activision Blizzard, Inc. KDE Equity Incentive Plan, amended as of November 1, 2016 (incorporated by reference to Exhibit 10.14</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of the Company’s Form 10-K for the year ended December 31, 2016).</w:t>
        </w:r>
      </w:hyperlink>
    </w:p>
    <w:p>
      <w:pPr>
        <w:spacing w:after="0" w:line="1" w:lineRule="exact"/>
        <w:rPr>
          <w:sz w:val="20"/>
          <w:szCs w:val="20"/>
          <w:color w:val="auto"/>
        </w:rPr>
      </w:pPr>
    </w:p>
    <w:p>
      <w:pPr>
        <w:ind w:left="1740" w:right="120" w:hanging="64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55">
        <w:r>
          <w:rPr>
            <w:rFonts w:ascii="Arial" w:cs="Arial" w:eastAsia="Arial" w:hAnsi="Arial"/>
            <w:sz w:val="18"/>
            <w:szCs w:val="18"/>
            <w:u w:val="single" w:color="auto"/>
            <w:color w:val="0000FF"/>
          </w:rPr>
          <w:t>Form of Notice of Stock Option Award for grants to unaffiliated directors pursuant to the Activision Blizzard, Inc. 2008 Incentive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Plan (effective as of November 12, 2008) (incorporated by reference to Exhibit 10.44 of the Company’s Form 10-K for the year</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ended December 31, 2008).</w:t>
        </w:r>
      </w:hyperlink>
    </w:p>
    <w:p>
      <w:pPr>
        <w:spacing w:after="0" w:line="1" w:lineRule="exact"/>
        <w:rPr>
          <w:rFonts w:ascii="Arial" w:cs="Arial" w:eastAsia="Arial" w:hAnsi="Arial"/>
          <w:sz w:val="18"/>
          <w:szCs w:val="18"/>
          <w:u w:val="single" w:color="auto"/>
          <w:color w:val="0000FF"/>
        </w:rPr>
      </w:pPr>
    </w:p>
    <w:p>
      <w:pPr>
        <w:ind w:left="1740" w:right="180" w:hanging="64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56">
        <w:r>
          <w:rPr>
            <w:rFonts w:ascii="Arial" w:cs="Arial" w:eastAsia="Arial" w:hAnsi="Arial"/>
            <w:sz w:val="18"/>
            <w:szCs w:val="18"/>
            <w:u w:val="single" w:color="auto"/>
            <w:color w:val="0000FF"/>
          </w:rPr>
          <w:t>Form of Notice of Stock Option Award for grants to persons other than directors pursuant to the Activision Blizzard, Inc. 2008</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Incentive Plan (effective as of November 12, 2008) (incorporated by reference to Exhibit 10.45 of the Company’s Form 10-K for</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the year ended December 31, 2008).</w:t>
        </w:r>
      </w:hyperlink>
    </w:p>
    <w:p>
      <w:pPr>
        <w:spacing w:after="0" w:line="1" w:lineRule="exact"/>
        <w:rPr>
          <w:rFonts w:ascii="Arial" w:cs="Arial" w:eastAsia="Arial" w:hAnsi="Arial"/>
          <w:sz w:val="18"/>
          <w:szCs w:val="18"/>
          <w:u w:val="single" w:color="auto"/>
          <w:color w:val="0000FF"/>
        </w:rPr>
      </w:pPr>
    </w:p>
    <w:p>
      <w:pPr>
        <w:jc w:val="both"/>
        <w:ind w:left="1740" w:right="60" w:hanging="64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57">
        <w:r>
          <w:rPr>
            <w:rFonts w:ascii="Arial" w:cs="Arial" w:eastAsia="Arial" w:hAnsi="Arial"/>
            <w:sz w:val="18"/>
            <w:szCs w:val="18"/>
            <w:u w:val="single" w:color="auto"/>
            <w:color w:val="0000FF"/>
          </w:rPr>
          <w:t>Form of Notice of Stock Option Award for grants to unaffiliated directors pursuant to the Activision Blizzard, Inc. 2008 Incentive</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Plan (effective as of March 6, 2013) (incorporated by reference to Exhibit 10.5 of the Company’s Form 10-Q for the quarter ended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March 31, 2013).</w:t>
        </w:r>
      </w:hyperlink>
    </w:p>
    <w:p>
      <w:pPr>
        <w:spacing w:after="0" w:line="1" w:lineRule="exact"/>
        <w:rPr>
          <w:rFonts w:ascii="Arial" w:cs="Arial" w:eastAsia="Arial" w:hAnsi="Arial"/>
          <w:sz w:val="18"/>
          <w:szCs w:val="18"/>
          <w:u w:val="single" w:color="auto"/>
          <w:color w:val="0000FF"/>
        </w:rPr>
      </w:pPr>
    </w:p>
    <w:p>
      <w:pPr>
        <w:jc w:val="both"/>
        <w:ind w:left="1740" w:right="340" w:hanging="64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58">
        <w:r>
          <w:rPr>
            <w:rFonts w:ascii="Arial" w:cs="Arial" w:eastAsia="Arial" w:hAnsi="Arial"/>
            <w:sz w:val="18"/>
            <w:szCs w:val="18"/>
            <w:u w:val="single" w:color="auto"/>
            <w:color w:val="0000FF"/>
          </w:rPr>
          <w:t>Form of Notice of Stock Option Award for grants to persons other than directors pursuant to the Activision Blizzard, Inc. 2008</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Incentive Plan (effective as of March 6, 2013) (incorporated by reference to Exhibit 10.6 of the Company’s Form10-Q for the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quarter ended March 31, 2013).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tabs>
          <w:tab w:leader="none" w:pos="62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Exhibit</w:t>
      </w:r>
    </w:p>
    <w:p>
      <w:pPr>
        <w:spacing w:after="0" w:line="34" w:lineRule="exact"/>
        <w:rPr>
          <w:sz w:val="20"/>
          <w:szCs w:val="20"/>
          <w:color w:val="auto"/>
        </w:rPr>
      </w:pPr>
    </w:p>
    <w:p>
      <w:pPr>
        <w:ind w:left="110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60">
        <w:r>
          <w:rPr>
            <w:rFonts w:ascii="Arial" w:cs="Arial" w:eastAsia="Arial" w:hAnsi="Arial"/>
            <w:sz w:val="16"/>
            <w:szCs w:val="16"/>
            <w:u w:val="single" w:color="auto"/>
            <w:color w:val="0000FF"/>
          </w:rPr>
          <w:t>Form of Notice of Stock Option Award for grants pursuant to the Activision Blizzard, Inc. 2014 Incentive Plan (effective as of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-128905</wp:posOffset>
            </wp:positionV>
            <wp:extent cx="60432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ind w:left="174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5, 2014) (incorporated by reference to Exhibit 10.1 of the Company’s Form 10-Q for the quarter ended June 30, 2014).</w:t>
        </w:r>
      </w:hyperlink>
    </w:p>
    <w:p>
      <w:pPr>
        <w:spacing w:after="0" w:line="7" w:lineRule="exact"/>
        <w:rPr>
          <w:sz w:val="20"/>
          <w:szCs w:val="20"/>
          <w:color w:val="auto"/>
        </w:rPr>
      </w:pPr>
    </w:p>
    <w:p>
      <w:pPr>
        <w:ind w:left="1740" w:right="20" w:hanging="64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62">
        <w:r>
          <w:rPr>
            <w:rFonts w:ascii="Arial" w:cs="Arial" w:eastAsia="Arial" w:hAnsi="Arial"/>
            <w:sz w:val="18"/>
            <w:szCs w:val="18"/>
            <w:u w:val="single" w:color="auto"/>
            <w:color w:val="0000FF"/>
          </w:rPr>
          <w:t>Form of Notice of Restricted Share Unit Award for grants to persons other than non-affiliated directors pursuant to the Activision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Blizzard, Inc. 2014 Incentive Plan (effective as of June 5, 2014) (incorporated by reference to Exhibit 10.2 of the Company’s Form</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10-Q for the quarter ended June 30, 2014).</w:t>
        </w:r>
      </w:hyperlink>
    </w:p>
    <w:p>
      <w:pPr>
        <w:spacing w:after="0" w:line="1" w:lineRule="exact"/>
        <w:rPr>
          <w:rFonts w:ascii="Arial" w:cs="Arial" w:eastAsia="Arial" w:hAnsi="Arial"/>
          <w:sz w:val="18"/>
          <w:szCs w:val="18"/>
          <w:u w:val="single" w:color="auto"/>
          <w:color w:val="0000FF"/>
        </w:rPr>
      </w:pPr>
    </w:p>
    <w:p>
      <w:pPr>
        <w:ind w:left="1740" w:right="40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63">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Incentive Plan (effective as of June 5, 2014) (incorporated by reference to Exhibit 10.4 of the Company’s Form 10-Q for the</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quarter ended June 30, 2014).</w:t>
        </w:r>
      </w:hyperlink>
    </w:p>
    <w:p>
      <w:pPr>
        <w:spacing w:after="0" w:line="1" w:lineRule="exact"/>
        <w:rPr>
          <w:rFonts w:ascii="Arial" w:cs="Arial" w:eastAsia="Arial" w:hAnsi="Arial"/>
          <w:sz w:val="18"/>
          <w:szCs w:val="18"/>
          <w:u w:val="single" w:color="auto"/>
          <w:color w:val="0000FF"/>
        </w:rPr>
      </w:pPr>
    </w:p>
    <w:p>
      <w:pPr>
        <w:ind w:left="1740" w:right="140" w:hanging="725"/>
        <w:spacing w:after="0" w:line="264" w:lineRule="auto"/>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64">
        <w:r>
          <w:rPr>
            <w:rFonts w:ascii="Arial" w:cs="Arial" w:eastAsia="Arial" w:hAnsi="Arial"/>
            <w:sz w:val="16"/>
            <w:szCs w:val="16"/>
            <w:u w:val="single" w:color="auto"/>
            <w:color w:val="0000FF"/>
          </w:rPr>
          <w:t>Form of Notice of Restricted Share Award for grants pursuant to the Activision Blizzard, Inc. 2014 Incentive Plan (effective as of</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June 5, 2014) (incorporated by reference to Exhibit 10.5 of the Company’s Form 10-Q for the quarter ended June 30, 2014).</w:t>
        </w:r>
      </w:hyperlink>
    </w:p>
    <w:p>
      <w:pPr>
        <w:ind w:left="1740" w:right="16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65">
        <w:r>
          <w:rPr>
            <w:rFonts w:ascii="Arial" w:cs="Arial" w:eastAsia="Arial" w:hAnsi="Arial"/>
            <w:sz w:val="18"/>
            <w:szCs w:val="18"/>
            <w:u w:val="single" w:color="auto"/>
            <w:color w:val="0000FF"/>
          </w:rPr>
          <w:t>Form of Notice of Restricted Share Unit Award for grants to persons other than non-affiliated directors pursuant to the Activision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Blizzard, Inc. 2014 Incentive Plan (effective as of July 29, 2014) (incorporated by reference to Exhibit 10.1 of the Company’s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Form 10-Q for the quarter ended September 30, 2014).</w:t>
        </w:r>
      </w:hyperlink>
    </w:p>
    <w:p>
      <w:pPr>
        <w:spacing w:after="0" w:line="1" w:lineRule="exact"/>
        <w:rPr>
          <w:rFonts w:ascii="Arial" w:cs="Arial" w:eastAsia="Arial" w:hAnsi="Arial"/>
          <w:sz w:val="18"/>
          <w:szCs w:val="18"/>
          <w:u w:val="single" w:color="auto"/>
          <w:color w:val="0000FF"/>
        </w:rPr>
      </w:pPr>
    </w:p>
    <w:p>
      <w:pPr>
        <w:ind w:left="1740" w:right="10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66">
        <w:r>
          <w:rPr>
            <w:rFonts w:ascii="Arial" w:cs="Arial" w:eastAsia="Arial" w:hAnsi="Arial"/>
            <w:sz w:val="18"/>
            <w:szCs w:val="18"/>
            <w:u w:val="single" w:color="auto"/>
            <w:color w:val="0000FF"/>
          </w:rPr>
          <w:t>Form of Notice of Restricted Share Unit Award for grants to non-affiliated directors pursuant to the Activision Blizzard, Inc. 2014</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Incentive Plan (effective as of July 29, 2014) (incorporated by reference to Exhibit 10.2 of the Company’s Form 10-Q for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quarter ended September 30, 2014).</w:t>
        </w:r>
      </w:hyperlink>
    </w:p>
    <w:p>
      <w:pPr>
        <w:spacing w:after="0" w:line="1" w:lineRule="exact"/>
        <w:rPr>
          <w:rFonts w:ascii="Arial" w:cs="Arial" w:eastAsia="Arial" w:hAnsi="Arial"/>
          <w:sz w:val="18"/>
          <w:szCs w:val="18"/>
          <w:u w:val="single" w:color="auto"/>
          <w:color w:val="0000FF"/>
        </w:rPr>
      </w:pPr>
    </w:p>
    <w:p>
      <w:pPr>
        <w:jc w:val="both"/>
        <w:ind w:left="1740" w:right="40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67">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Incentive Plan (effective as of July 29, 2014) (incorporated by reference to Exhibit 10.3 of the Company’s Form 10-Q for the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quarter ended September 30, 2014).</w:t>
        </w:r>
      </w:hyperlink>
    </w:p>
    <w:p>
      <w:pPr>
        <w:spacing w:after="0" w:line="1" w:lineRule="exact"/>
        <w:rPr>
          <w:rFonts w:ascii="Arial" w:cs="Arial" w:eastAsia="Arial" w:hAnsi="Arial"/>
          <w:sz w:val="18"/>
          <w:szCs w:val="18"/>
          <w:u w:val="single" w:color="auto"/>
          <w:color w:val="0000FF"/>
        </w:rPr>
      </w:pPr>
    </w:p>
    <w:p>
      <w:pPr>
        <w:ind w:left="1740" w:right="12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68">
        <w:r>
          <w:rPr>
            <w:rFonts w:ascii="Arial" w:cs="Arial" w:eastAsia="Arial" w:hAnsi="Arial"/>
            <w:sz w:val="18"/>
            <w:szCs w:val="18"/>
            <w:u w:val="single" w:color="auto"/>
            <w:color w:val="0000FF"/>
          </w:rPr>
          <w:t>Form of Notice of Stock Option Award for grants to U.S. employees pursuant to the Activision Blizzard, Inc. 2014 Incentive Plan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(effective as of November 1, 2016) (incorporated by reference to Exhibit 10.44 of the Company’s Form 10-K for the year ended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December 31, 2016).</w:t>
        </w:r>
      </w:hyperlink>
    </w:p>
    <w:p>
      <w:pPr>
        <w:spacing w:after="0" w:line="1" w:lineRule="exact"/>
        <w:rPr>
          <w:rFonts w:ascii="Arial" w:cs="Arial" w:eastAsia="Arial" w:hAnsi="Arial"/>
          <w:sz w:val="18"/>
          <w:szCs w:val="18"/>
          <w:u w:val="single" w:color="auto"/>
          <w:color w:val="0000FF"/>
        </w:rPr>
      </w:pPr>
    </w:p>
    <w:p>
      <w:pPr>
        <w:ind w:left="1740" w:right="16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69">
        <w:r>
          <w:rPr>
            <w:rFonts w:ascii="Arial" w:cs="Arial" w:eastAsia="Arial" w:hAnsi="Arial"/>
            <w:sz w:val="18"/>
            <w:szCs w:val="18"/>
            <w:u w:val="single" w:color="auto"/>
            <w:color w:val="0000FF"/>
          </w:rPr>
          <w:t>Form of Notice of Stock Option Award for grants to non-U.S. employees pursuant to the Activision Blizzard, Inc. 2014 Incentive</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Plan (effective as of November 1, 2016) (incorporated by reference to Exhibit 10.45 of the Company’s Form 10-K for the year</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ended December 31, 2016).</w:t>
        </w:r>
      </w:hyperlink>
    </w:p>
    <w:p>
      <w:pPr>
        <w:spacing w:after="0" w:line="1" w:lineRule="exact"/>
        <w:rPr>
          <w:rFonts w:ascii="Arial" w:cs="Arial" w:eastAsia="Arial" w:hAnsi="Arial"/>
          <w:sz w:val="18"/>
          <w:szCs w:val="18"/>
          <w:u w:val="single" w:color="auto"/>
          <w:color w:val="0000FF"/>
        </w:rPr>
      </w:pPr>
    </w:p>
    <w:p>
      <w:pPr>
        <w:ind w:left="174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70">
        <w:r>
          <w:rPr>
            <w:rFonts w:ascii="Arial" w:cs="Arial" w:eastAsia="Arial" w:hAnsi="Arial"/>
            <w:sz w:val="18"/>
            <w:szCs w:val="18"/>
            <w:u w:val="single" w:color="auto"/>
            <w:color w:val="0000FF"/>
          </w:rPr>
          <w:t>Form of Notice of Restricted Share Unit Award for grants to non-U.S. employees pursuant to the Activision Blizzard, Inc. 2014</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Incentive Plan (effective as of November 1, 2016) (incorporated by reference to Exhibit 10.46 of the Company’s Form 10-K for the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year ended December 31, 2016).</w:t>
        </w:r>
      </w:hyperlink>
    </w:p>
    <w:p>
      <w:pPr>
        <w:spacing w:after="0" w:line="1" w:lineRule="exact"/>
        <w:rPr>
          <w:rFonts w:ascii="Arial" w:cs="Arial" w:eastAsia="Arial" w:hAnsi="Arial"/>
          <w:sz w:val="18"/>
          <w:szCs w:val="18"/>
          <w:u w:val="single" w:color="auto"/>
          <w:color w:val="0000FF"/>
        </w:rPr>
      </w:pPr>
    </w:p>
    <w:p>
      <w:pPr>
        <w:ind w:left="1740" w:right="260" w:hanging="732"/>
        <w:spacing w:after="0" w:line="264" w:lineRule="auto"/>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71">
        <w:r>
          <w:rPr>
            <w:rFonts w:ascii="Arial" w:cs="Arial" w:eastAsia="Arial" w:hAnsi="Arial"/>
            <w:sz w:val="16"/>
            <w:szCs w:val="16"/>
            <w:u w:val="single" w:color="auto"/>
            <w:color w:val="0000FF"/>
          </w:rPr>
          <w:t>Form of Notice of Stock Option Award for grants pursuant to the Activision Blizzard, Inc. 2014 Incentive Plan (effective as of</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March 2, 2017) (incorporated by reference to Exhibit 10.2 of the Company’s Form 10-Q for the quarter ended March 31, 2017).</w:t>
        </w:r>
      </w:hyperlink>
    </w:p>
    <w:p>
      <w:pPr>
        <w:jc w:val="both"/>
        <w:ind w:left="1740" w:right="38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72">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Incentive Plan (effective as of March 2, 2017) (incorporated by reference to Exhibit 10.3 of the Company’s Form 10-Q for the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quarter ended March 31, 2017).</w:t>
        </w:r>
      </w:hyperlink>
    </w:p>
    <w:p>
      <w:pPr>
        <w:spacing w:after="0" w:line="1" w:lineRule="exact"/>
        <w:rPr>
          <w:rFonts w:ascii="Arial" w:cs="Arial" w:eastAsia="Arial" w:hAnsi="Arial"/>
          <w:sz w:val="18"/>
          <w:szCs w:val="18"/>
          <w:u w:val="single" w:color="auto"/>
          <w:color w:val="0000FF"/>
        </w:rPr>
      </w:pPr>
    </w:p>
    <w:p>
      <w:pPr>
        <w:jc w:val="both"/>
        <w:ind w:left="1740" w:right="36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73">
        <w:r>
          <w:rPr>
            <w:rFonts w:ascii="Arial" w:cs="Arial" w:eastAsia="Arial" w:hAnsi="Arial"/>
            <w:sz w:val="18"/>
            <w:szCs w:val="18"/>
            <w:u w:val="single" w:color="auto"/>
            <w:color w:val="0000FF"/>
          </w:rPr>
          <w:t>Form of Notice of Stock Option Award for grants pursuant to the Activision Blizzard, Inc. 2014 Incentive Plan (effective as of</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October 26, 2018) (incorporated by reference to Exhibit 10.21 of the Company’s Form 10-K for the year ended December 31,</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2018).</w:t>
        </w:r>
      </w:hyperlink>
    </w:p>
    <w:p>
      <w:pPr>
        <w:spacing w:after="0" w:line="1" w:lineRule="exact"/>
        <w:rPr>
          <w:rFonts w:ascii="Arial" w:cs="Arial" w:eastAsia="Arial" w:hAnsi="Arial"/>
          <w:sz w:val="18"/>
          <w:szCs w:val="18"/>
          <w:u w:val="single" w:color="auto"/>
          <w:color w:val="0000FF"/>
        </w:rPr>
      </w:pPr>
    </w:p>
    <w:p>
      <w:pPr>
        <w:ind w:left="1740" w:right="18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74">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Incentive Plan (effective as of November 26, 2018) (incorporated by reference to Exhibit 10.20 of the Company’s Form 10-K for</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the year ended December 31, 2018).</w:t>
        </w:r>
      </w:hyperlink>
    </w:p>
    <w:p>
      <w:pPr>
        <w:spacing w:after="0" w:line="1" w:lineRule="exact"/>
        <w:rPr>
          <w:rFonts w:ascii="Arial" w:cs="Arial" w:eastAsia="Arial" w:hAnsi="Arial"/>
          <w:sz w:val="18"/>
          <w:szCs w:val="18"/>
          <w:u w:val="single" w:color="auto"/>
          <w:color w:val="0000FF"/>
        </w:rPr>
      </w:pPr>
    </w:p>
    <w:p>
      <w:pPr>
        <w:jc w:val="both"/>
        <w:ind w:left="1740" w:right="32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75">
        <w:r>
          <w:rPr>
            <w:rFonts w:ascii="Arial" w:cs="Arial" w:eastAsia="Arial" w:hAnsi="Arial"/>
            <w:sz w:val="18"/>
            <w:szCs w:val="18"/>
            <w:u w:val="single" w:color="auto"/>
            <w:color w:val="0000FF"/>
          </w:rPr>
          <w:t>Form of Notice of Stock Option Award for grants pursuant to the Activision Blizzard, Inc. 2014 Incentive Plan (effective as of</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November 4, 2019) (incorporated by reference to Exhibit 10.22 to the Company’s Form 10-K for the year ended December 31,</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2019).</w:t>
        </w:r>
      </w:hyperlink>
    </w:p>
    <w:p>
      <w:pPr>
        <w:spacing w:after="0" w:line="1" w:lineRule="exact"/>
        <w:rPr>
          <w:rFonts w:ascii="Arial" w:cs="Arial" w:eastAsia="Arial" w:hAnsi="Arial"/>
          <w:sz w:val="18"/>
          <w:szCs w:val="18"/>
          <w:u w:val="single" w:color="auto"/>
          <w:color w:val="0000FF"/>
        </w:rPr>
      </w:pPr>
    </w:p>
    <w:p>
      <w:pPr>
        <w:ind w:left="1740" w:hanging="732"/>
        <w:spacing w:after="0" w:line="22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76">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Incentive Plan (effective as of November 4, 2019) (incorporated by reference to Exhibit 10.23 to the Company’s Form 10-K for the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year ended December 31, 2019).</w:t>
        </w:r>
      </w:hyperlink>
    </w:p>
    <w:p>
      <w:pPr>
        <w:sectPr>
          <w:pgSz w:w="11900" w:h="16838" w:orient="portrait"/>
          <w:cols w:equalWidth="0" w:num="1">
            <w:col w:w="11200"/>
          </w:cols>
          <w:pgMar w:left="320" w:top="125" w:right="379" w:bottom="1440" w:gutter="0" w:footer="0" w:header="0"/>
        </w:sectPr>
      </w:pPr>
    </w:p>
    <w:p>
      <w:pPr>
        <w:spacing w:after="0" w:line="1" w:lineRule="exact"/>
        <w:rPr>
          <w:rFonts w:ascii="Arial" w:cs="Arial" w:eastAsia="Arial" w:hAnsi="Arial"/>
          <w:sz w:val="18"/>
          <w:szCs w:val="18"/>
          <w:u w:val="single" w:color="auto"/>
          <w:color w:val="0000FF"/>
        </w:rPr>
      </w:pPr>
    </w:p>
    <w:p>
      <w:pPr>
        <w:ind w:left="1000"/>
        <w:spacing w:after="0"/>
        <w:rPr>
          <w:sz w:val="20"/>
          <w:szCs w:val="20"/>
          <w:color w:val="auto"/>
        </w:rPr>
      </w:pPr>
      <w:r>
        <w:rPr>
          <w:rFonts w:ascii="Arial" w:cs="Arial" w:eastAsia="Arial" w:hAnsi="Arial"/>
          <w:sz w:val="17"/>
          <w:szCs w:val="17"/>
          <w:color w:val="auto"/>
        </w:rPr>
        <w:t>10.24*</w:t>
      </w:r>
    </w:p>
    <w:p>
      <w:pPr>
        <w:spacing w:after="0" w:line="263" w:lineRule="exact"/>
        <w:rPr>
          <w:rFonts w:ascii="Arial" w:cs="Arial" w:eastAsia="Arial" w:hAnsi="Arial"/>
          <w:sz w:val="18"/>
          <w:szCs w:val="18"/>
          <w:u w:val="single" w:color="auto"/>
          <w:color w:val="0000FF"/>
        </w:rPr>
      </w:pPr>
    </w:p>
    <w:p>
      <w:pPr>
        <w:ind w:left="1000"/>
        <w:spacing w:after="0"/>
        <w:rPr>
          <w:sz w:val="20"/>
          <w:szCs w:val="20"/>
          <w:color w:val="auto"/>
        </w:rPr>
      </w:pPr>
      <w:r>
        <w:rPr>
          <w:rFonts w:ascii="Arial" w:cs="Arial" w:eastAsia="Arial" w:hAnsi="Arial"/>
          <w:sz w:val="17"/>
          <w:szCs w:val="17"/>
          <w:color w:val="auto"/>
        </w:rPr>
        <w:t>10.25*</w:t>
      </w:r>
    </w:p>
    <w:p>
      <w:pPr>
        <w:spacing w:after="0" w:line="264" w:lineRule="exact"/>
        <w:rPr>
          <w:rFonts w:ascii="Arial" w:cs="Arial" w:eastAsia="Arial" w:hAnsi="Arial"/>
          <w:sz w:val="18"/>
          <w:szCs w:val="18"/>
          <w:u w:val="single" w:color="auto"/>
          <w:color w:val="0000FF"/>
        </w:rPr>
      </w:pPr>
    </w:p>
    <w:p>
      <w:pPr>
        <w:ind w:left="1000"/>
        <w:spacing w:after="0"/>
        <w:rPr>
          <w:sz w:val="20"/>
          <w:szCs w:val="20"/>
          <w:color w:val="auto"/>
        </w:rPr>
      </w:pPr>
      <w:r>
        <w:rPr>
          <w:rFonts w:ascii="Arial" w:cs="Arial" w:eastAsia="Arial" w:hAnsi="Arial"/>
          <w:sz w:val="17"/>
          <w:szCs w:val="17"/>
          <w:color w:val="auto"/>
        </w:rPr>
        <w:t>10.26*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300"/>
        <w:spacing w:after="0" w:line="261" w:lineRule="auto"/>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Form of Notice of Stock Option Awards for grants pursuant to the Activision Blizzard, Inc. 2014 Incentive Plan (effective as of</w:t>
        </w:r>
      </w:hyperlink>
      <w:r>
        <w:rPr>
          <w:rFonts w:ascii="Arial" w:cs="Arial" w:eastAsia="Arial" w:hAnsi="Arial"/>
          <w:sz w:val="18"/>
          <w:szCs w:val="18"/>
          <w:u w:val="single" w:color="auto"/>
          <w:color w:val="0000FF"/>
        </w:rPr>
        <w:t xml:space="preserve"> </w:t>
      </w:r>
      <w:hyperlink w:anchor="page117">
        <w:r>
          <w:rPr>
            <w:rFonts w:ascii="Arial" w:cs="Arial" w:eastAsia="Arial" w:hAnsi="Arial"/>
            <w:sz w:val="18"/>
            <w:szCs w:val="18"/>
            <w:u w:val="single" w:color="auto"/>
            <w:color w:val="0000FF"/>
          </w:rPr>
          <w:t>November 18, 2020).</w:t>
        </w:r>
      </w:hyperlink>
    </w:p>
    <w:p>
      <w:pPr>
        <w:spacing w:after="0" w:line="9" w:lineRule="exact"/>
        <w:rPr>
          <w:sz w:val="20"/>
          <w:szCs w:val="20"/>
          <w:color w:val="auto"/>
        </w:rPr>
      </w:pPr>
    </w:p>
    <w:p>
      <w:pPr>
        <w:ind w:right="400"/>
        <w:spacing w:after="0" w:line="258" w:lineRule="auto"/>
        <w:rPr>
          <w:rFonts w:ascii="Arial" w:cs="Arial" w:eastAsia="Arial" w:hAnsi="Arial"/>
          <w:sz w:val="18"/>
          <w:szCs w:val="18"/>
          <w:color w:val="0000FF"/>
        </w:rPr>
      </w:pPr>
      <w:hyperlink w:anchor="page133">
        <w:r>
          <w:rPr>
            <w:rFonts w:ascii="Arial" w:cs="Arial" w:eastAsia="Arial" w:hAnsi="Arial"/>
            <w:sz w:val="18"/>
            <w:szCs w:val="18"/>
            <w:u w:val="single" w:color="auto"/>
            <w:color w:val="0000FF"/>
          </w:rPr>
          <w:t>Form of Notice of Performance-Vesting Restricted Share Unit Award for grants pursuant to the Activision Blizzard, Inc. 2014</w:t>
        </w:r>
      </w:hyperlink>
      <w:r>
        <w:rPr>
          <w:rFonts w:ascii="Arial" w:cs="Arial" w:eastAsia="Arial" w:hAnsi="Arial"/>
          <w:sz w:val="18"/>
          <w:szCs w:val="18"/>
          <w:u w:val="single" w:color="auto"/>
          <w:color w:val="0000FF"/>
        </w:rPr>
        <w:t xml:space="preserve"> </w:t>
      </w:r>
      <w:hyperlink w:anchor="page133">
        <w:r>
          <w:rPr>
            <w:rFonts w:ascii="Arial" w:cs="Arial" w:eastAsia="Arial" w:hAnsi="Arial"/>
            <w:sz w:val="18"/>
            <w:szCs w:val="18"/>
            <w:u w:val="single" w:color="auto"/>
            <w:color w:val="0000FF"/>
          </w:rPr>
          <w:t>Incentive Plan (effective as of December 4</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hyperlink>
    </w:p>
    <w:p>
      <w:pPr>
        <w:ind w:right="40"/>
        <w:spacing w:after="0" w:line="235"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Amended and Restated CEO Recognition Program (incorporated by reference to Exhibit 10.6 of the Company’s Form 10-Q for the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quarter ended June 30, 2014).</w:t>
        </w:r>
      </w:hyperlink>
    </w:p>
    <w:p>
      <w:pPr>
        <w:spacing w:after="0" w:line="1" w:lineRule="exact"/>
        <w:rPr>
          <w:sz w:val="20"/>
          <w:szCs w:val="20"/>
          <w:color w:val="auto"/>
        </w:rPr>
      </w:pPr>
    </w:p>
    <w:p>
      <w:pPr>
        <w:sectPr>
          <w:pgSz w:w="11900" w:h="16838" w:orient="portrait"/>
          <w:cols w:equalWidth="0" w:num="2">
            <w:col w:w="1500" w:space="240"/>
            <w:col w:w="9460"/>
          </w:cols>
          <w:pgMar w:left="320" w:top="125" w:right="379" w:bottom="1440" w:gutter="0" w:footer="0" w:header="0"/>
          <w:type w:val="continuous"/>
        </w:sectPr>
      </w:pPr>
    </w:p>
    <w:p>
      <w:pPr>
        <w:ind w:left="1740" w:right="2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78">
        <w:r>
          <w:rPr>
            <w:rFonts w:ascii="Arial" w:cs="Arial" w:eastAsia="Arial" w:hAnsi="Arial"/>
            <w:sz w:val="18"/>
            <w:szCs w:val="18"/>
            <w:u w:val="single" w:color="auto"/>
            <w:color w:val="0000FF"/>
          </w:rPr>
          <w:t>Activision Blizzard, Inc. Corporate Annual Incentive Plan (incorporated by reference to Exhibit 10.1 of the Company’s Form 10-Q</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for the quarter ended September 30, 2015).</w:t>
        </w:r>
      </w:hyperlink>
    </w:p>
    <w:p>
      <w:pPr>
        <w:spacing w:after="0" w:line="1" w:lineRule="exact"/>
        <w:rPr>
          <w:sz w:val="20"/>
          <w:szCs w:val="20"/>
          <w:color w:val="auto"/>
        </w:rPr>
      </w:pPr>
    </w:p>
    <w:p>
      <w:pPr>
        <w:ind w:left="1740" w:right="4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79">
        <w:r>
          <w:rPr>
            <w:rFonts w:ascii="Arial" w:cs="Arial" w:eastAsia="Arial" w:hAnsi="Arial"/>
            <w:sz w:val="18"/>
            <w:szCs w:val="18"/>
            <w:u w:val="single" w:color="auto"/>
            <w:color w:val="0000FF"/>
          </w:rPr>
          <w:t>Employment Agreement, dated as of November 1, 2016, between Chris B. Walther and the Company (incorporated by reference to</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Exhibit 10.2 of the Company’s Form 10-Q for the quartered ended March 31, 2019).</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tabs>
          <w:tab w:leader="none" w:pos="62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Exhibit</w:t>
      </w:r>
    </w:p>
    <w:p>
      <w:pPr>
        <w:spacing w:after="0" w:line="34" w:lineRule="exact"/>
        <w:rPr>
          <w:sz w:val="20"/>
          <w:szCs w:val="20"/>
          <w:color w:val="auto"/>
        </w:rPr>
      </w:pPr>
    </w:p>
    <w:p>
      <w:pPr>
        <w:ind w:left="100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81">
        <w:r>
          <w:rPr>
            <w:rFonts w:ascii="Arial" w:cs="Arial" w:eastAsia="Arial" w:hAnsi="Arial"/>
            <w:sz w:val="16"/>
            <w:szCs w:val="16"/>
            <w:u w:val="single" w:color="auto"/>
            <w:color w:val="0000FF"/>
          </w:rPr>
          <w:t>Employment Agreement, dated February 25, 2019, between Dennis Durkin and the Company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-128905</wp:posOffset>
            </wp:positionV>
            <wp:extent cx="60432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ind w:left="174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10.24 of the Company’s Form 10-K for the year ended December 31, 2018).</w:t>
        </w:r>
      </w:hyperlink>
    </w:p>
    <w:p>
      <w:pPr>
        <w:spacing w:after="0" w:line="7" w:lineRule="exact"/>
        <w:rPr>
          <w:sz w:val="20"/>
          <w:szCs w:val="20"/>
          <w:color w:val="auto"/>
        </w:rPr>
      </w:pPr>
    </w:p>
    <w:p>
      <w:pPr>
        <w:ind w:left="1740" w:right="10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83">
        <w:r>
          <w:rPr>
            <w:rFonts w:ascii="Arial" w:cs="Arial" w:eastAsia="Arial" w:hAnsi="Arial"/>
            <w:sz w:val="18"/>
            <w:szCs w:val="18"/>
            <w:u w:val="single" w:color="auto"/>
            <w:color w:val="0000FF"/>
          </w:rPr>
          <w:t>Employment Agreement, dated as of November 22, 2016, between Robert A. Kotick and the Company (incorporated by reference</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to Exhibit 10.1 of the Company’s Form 8-K, filed November 25, 2016).</w:t>
        </w:r>
      </w:hyperlink>
    </w:p>
    <w:p>
      <w:pPr>
        <w:spacing w:after="0" w:line="1" w:lineRule="exact"/>
        <w:rPr>
          <w:sz w:val="20"/>
          <w:szCs w:val="20"/>
          <w:color w:val="auto"/>
        </w:rPr>
      </w:pPr>
    </w:p>
    <w:p>
      <w:pPr>
        <w:ind w:left="1740" w:right="76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84">
        <w:r>
          <w:rPr>
            <w:rFonts w:ascii="Arial" w:cs="Arial" w:eastAsia="Arial" w:hAnsi="Arial"/>
            <w:sz w:val="18"/>
            <w:szCs w:val="18"/>
            <w:u w:val="single" w:color="auto"/>
            <w:color w:val="0000FF"/>
          </w:rPr>
          <w:t>Form of Notice of Performance Share Unit Award to Robert A. Kotick (incorporated by reference to Exhibit 10.26 of the</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Company’s Form 10-K for the year ended December 31, 2018).</w:t>
        </w:r>
      </w:hyperlink>
    </w:p>
    <w:p>
      <w:pPr>
        <w:spacing w:after="0" w:line="1" w:lineRule="exact"/>
        <w:rPr>
          <w:sz w:val="20"/>
          <w:szCs w:val="20"/>
          <w:color w:val="auto"/>
        </w:rPr>
      </w:pPr>
    </w:p>
    <w:p>
      <w:pPr>
        <w:ind w:left="1740" w:right="28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85">
        <w:r>
          <w:rPr>
            <w:rFonts w:ascii="Arial" w:cs="Arial" w:eastAsia="Arial" w:hAnsi="Arial"/>
            <w:sz w:val="18"/>
            <w:szCs w:val="18"/>
            <w:u w:val="single" w:color="auto"/>
            <w:color w:val="0000FF"/>
          </w:rPr>
          <w:t>Form of Notice of 2018 Stock Option Award to Robert A. Kotick (incorporated by reference to Exhibit 10.27 of the Company’s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Form 10-K for the year ended December 31, 2018).</w:t>
        </w:r>
      </w:hyperlink>
    </w:p>
    <w:p>
      <w:pPr>
        <w:spacing w:after="0" w:line="1" w:lineRule="exact"/>
        <w:rPr>
          <w:sz w:val="20"/>
          <w:szCs w:val="20"/>
          <w:color w:val="auto"/>
        </w:rPr>
      </w:pPr>
    </w:p>
    <w:p>
      <w:pPr>
        <w:ind w:left="1740" w:right="28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86">
        <w:r>
          <w:rPr>
            <w:rFonts w:ascii="Arial" w:cs="Arial" w:eastAsia="Arial" w:hAnsi="Arial"/>
            <w:sz w:val="18"/>
            <w:szCs w:val="18"/>
            <w:u w:val="single" w:color="auto"/>
            <w:color w:val="0000FF"/>
          </w:rPr>
          <w:t>Form of Notice of 2019 Stock Option Award to Robert A. Kotick (incorporated by reference to Exhibit 10.31 to the Company’s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Form 10-K for the year ended December 31, 2019).</w:t>
        </w:r>
      </w:hyperlink>
    </w:p>
    <w:p>
      <w:pPr>
        <w:spacing w:after="0" w:line="1" w:lineRule="exact"/>
        <w:rPr>
          <w:sz w:val="20"/>
          <w:szCs w:val="20"/>
          <w:color w:val="auto"/>
        </w:rPr>
      </w:pPr>
    </w:p>
    <w:p>
      <w:pPr>
        <w:ind w:left="1740" w:right="20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87">
        <w:r>
          <w:rPr>
            <w:rFonts w:ascii="Arial" w:cs="Arial" w:eastAsia="Arial" w:hAnsi="Arial"/>
            <w:sz w:val="18"/>
            <w:szCs w:val="18"/>
            <w:u w:val="single" w:color="auto"/>
            <w:color w:val="0000FF"/>
          </w:rPr>
          <w:t>Employment Agreement, dated as of July 24, 2019, between Claudine Naughton and the Company (incorporated by reference to</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Exhibit 10.33 to the Company’s Form 10-K for the year ended December 31, 2019).</w:t>
        </w:r>
      </w:hyperlink>
    </w:p>
    <w:p>
      <w:pPr>
        <w:spacing w:after="0" w:line="1" w:lineRule="exact"/>
        <w:rPr>
          <w:sz w:val="20"/>
          <w:szCs w:val="20"/>
          <w:color w:val="auto"/>
        </w:rPr>
      </w:pPr>
    </w:p>
    <w:p>
      <w:pPr>
        <w:ind w:left="1740" w:right="100" w:hanging="73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88">
        <w:r>
          <w:rPr>
            <w:rFonts w:ascii="Arial" w:cs="Arial" w:eastAsia="Arial" w:hAnsi="Arial"/>
            <w:sz w:val="18"/>
            <w:szCs w:val="18"/>
            <w:u w:val="single" w:color="auto"/>
            <w:color w:val="0000FF"/>
          </w:rPr>
          <w:t>Employment Agreement, dated March 9, 2020, between Activision Blizzard, Inc. and Daniel Alegre (incorporated by reference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Exhibit 10.1 of the Company’s Form 8-K, filed March 11, 2020).</w:t>
        </w:r>
      </w:hyperlink>
    </w:p>
    <w:p>
      <w:pPr>
        <w:spacing w:after="0" w:line="1" w:lineRule="exact"/>
        <w:rPr>
          <w:sz w:val="20"/>
          <w:szCs w:val="20"/>
          <w:color w:val="auto"/>
        </w:rPr>
      </w:pPr>
    </w:p>
    <w:p>
      <w:pPr>
        <w:ind w:left="1740" w:right="380" w:hanging="732"/>
        <w:spacing w:after="0" w:line="248" w:lineRule="auto"/>
        <w:tabs>
          <w:tab w:leader="none" w:pos="172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189">
        <w:r>
          <w:rPr>
            <w:rFonts w:ascii="Arial" w:cs="Arial" w:eastAsia="Arial" w:hAnsi="Arial"/>
            <w:sz w:val="17"/>
            <w:szCs w:val="17"/>
            <w:u w:val="single" w:color="auto"/>
            <w:color w:val="0000FF"/>
          </w:rPr>
          <w:t>Non-Affiliated Director Compensation Program and Stock Ownership Guidelines, as amended and restated as of May 1, 2018</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(incorporated by reference to Exhibit 10.1 of the Company’s Form 10-Q for the quarter ended June 30, 2018).</w:t>
        </w:r>
      </w:hyperlink>
    </w:p>
    <w:p>
      <w:pPr>
        <w:spacing w:after="0" w:line="1" w:lineRule="exact"/>
        <w:rPr>
          <w:sz w:val="20"/>
          <w:szCs w:val="20"/>
          <w:color w:val="auto"/>
        </w:rPr>
      </w:pPr>
    </w:p>
    <w:p>
      <w:pPr>
        <w:ind w:left="1740" w:right="120" w:hanging="642"/>
        <w:spacing w:after="0" w:line="226" w:lineRule="auto"/>
        <w:tabs>
          <w:tab w:leader="none" w:pos="172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190">
        <w:r>
          <w:rPr>
            <w:rFonts w:ascii="Arial" w:cs="Arial" w:eastAsia="Arial" w:hAnsi="Arial"/>
            <w:sz w:val="17"/>
            <w:szCs w:val="17"/>
            <w:u w:val="single" w:color="auto"/>
            <w:color w:val="0000FF"/>
          </w:rPr>
          <w:t>Credit Agreement, dated as of October 11, 2013, among the Company, as borrower, certain subsidiaries of the Company, as</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guarantors, a group of lenders, Bank of America, N.A., as administrative agent and collateral agent for the lenders, J.P. Morgan</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Securities LLC, as syndication agent, Bank of America Merrill Lynch and J.P. Morgan Securities LLC, as joint lead arrangers and</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joint bookrunners, and Goldman Sachs &amp; Co., HSBC Securities (USA) Inc., Mitsubishi UFJ Securities (USA), Inc., Mizuho</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Securities USA Inc., RBC Capital Markets, SunTrust Bank and U.S. Bank National Association, as co-documentation agents</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(incorporated by reference to Exhibit 10.1 of the Company’s Form 8-K, filed October 18, 2013).</w:t>
        </w:r>
      </w:hyperlink>
    </w:p>
    <w:p>
      <w:pPr>
        <w:spacing w:after="0" w:line="3" w:lineRule="exact"/>
        <w:rPr>
          <w:rFonts w:ascii="Arial" w:cs="Arial" w:eastAsia="Arial" w:hAnsi="Arial"/>
          <w:sz w:val="17"/>
          <w:szCs w:val="17"/>
          <w:u w:val="single" w:color="auto"/>
          <w:color w:val="0000FF"/>
        </w:rPr>
      </w:pPr>
    </w:p>
    <w:p>
      <w:pPr>
        <w:ind w:left="1740" w:right="10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91">
        <w:r>
          <w:rPr>
            <w:rFonts w:ascii="Arial" w:cs="Arial" w:eastAsia="Arial" w:hAnsi="Arial"/>
            <w:sz w:val="18"/>
            <w:szCs w:val="18"/>
            <w:u w:val="single" w:color="auto"/>
            <w:color w:val="0000FF"/>
          </w:rPr>
          <w:t>First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filed November 3, 2015).</w:t>
        </w:r>
      </w:hyperlink>
    </w:p>
    <w:p>
      <w:pPr>
        <w:spacing w:after="0" w:line="1" w:lineRule="exact"/>
        <w:rPr>
          <w:rFonts w:ascii="Arial" w:cs="Arial" w:eastAsia="Arial" w:hAnsi="Arial"/>
          <w:sz w:val="18"/>
          <w:szCs w:val="18"/>
          <w:u w:val="single" w:color="auto"/>
          <w:color w:val="0000FF"/>
        </w:rPr>
      </w:pPr>
    </w:p>
    <w:p>
      <w:pPr>
        <w:ind w:left="174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92">
        <w:r>
          <w:rPr>
            <w:rFonts w:ascii="Arial" w:cs="Arial" w:eastAsia="Arial" w:hAnsi="Arial"/>
            <w:sz w:val="18"/>
            <w:szCs w:val="18"/>
            <w:u w:val="single" w:color="auto"/>
            <w:color w:val="0000FF"/>
          </w:rPr>
          <w:t>Second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filed November 17, 2015).</w:t>
        </w:r>
      </w:hyperlink>
    </w:p>
    <w:p>
      <w:pPr>
        <w:spacing w:after="0" w:line="1" w:lineRule="exact"/>
        <w:rPr>
          <w:rFonts w:ascii="Arial" w:cs="Arial" w:eastAsia="Arial" w:hAnsi="Arial"/>
          <w:sz w:val="18"/>
          <w:szCs w:val="18"/>
          <w:u w:val="single" w:color="auto"/>
          <w:color w:val="0000FF"/>
        </w:rPr>
      </w:pPr>
    </w:p>
    <w:p>
      <w:pPr>
        <w:ind w:left="1740" w:right="14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93">
        <w:r>
          <w:rPr>
            <w:rFonts w:ascii="Arial" w:cs="Arial" w:eastAsia="Arial" w:hAnsi="Arial"/>
            <w:sz w:val="18"/>
            <w:szCs w:val="18"/>
            <w:u w:val="single" w:color="auto"/>
            <w:color w:val="0000FF"/>
          </w:rPr>
          <w:t>Third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filed December 14, 2015).</w:t>
        </w:r>
      </w:hyperlink>
    </w:p>
    <w:p>
      <w:pPr>
        <w:spacing w:after="0" w:line="1" w:lineRule="exact"/>
        <w:rPr>
          <w:rFonts w:ascii="Arial" w:cs="Arial" w:eastAsia="Arial" w:hAnsi="Arial"/>
          <w:sz w:val="18"/>
          <w:szCs w:val="18"/>
          <w:u w:val="single" w:color="auto"/>
          <w:color w:val="0000FF"/>
        </w:rPr>
      </w:pPr>
    </w:p>
    <w:p>
      <w:pPr>
        <w:ind w:left="1740" w:right="6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194">
        <w:r>
          <w:rPr>
            <w:rFonts w:ascii="Arial" w:cs="Arial" w:eastAsia="Arial" w:hAnsi="Arial"/>
            <w:sz w:val="18"/>
            <w:szCs w:val="18"/>
            <w:u w:val="single" w:color="auto"/>
            <w:color w:val="0000FF"/>
          </w:rPr>
          <w:t>Fourth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filed April 1, 2016).</w:t>
        </w:r>
      </w:hyperlink>
    </w:p>
    <w:p>
      <w:pPr>
        <w:spacing w:after="0" w:line="1" w:lineRule="exact"/>
        <w:rPr>
          <w:rFonts w:ascii="Arial" w:cs="Arial" w:eastAsia="Arial" w:hAnsi="Arial"/>
          <w:sz w:val="18"/>
          <w:szCs w:val="18"/>
          <w:u w:val="single" w:color="auto"/>
          <w:color w:val="0000FF"/>
        </w:rPr>
      </w:pPr>
    </w:p>
    <w:p>
      <w:pPr>
        <w:ind w:left="1740" w:right="10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195">
        <w:r>
          <w:rPr>
            <w:rFonts w:ascii="Arial" w:cs="Arial" w:eastAsia="Arial" w:hAnsi="Arial"/>
            <w:sz w:val="18"/>
            <w:szCs w:val="18"/>
            <w:u w:val="single" w:color="auto"/>
            <w:color w:val="0000FF"/>
          </w:rPr>
          <w:t>Fifth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filed August 24, 2016).</w:t>
        </w:r>
      </w:hyperlink>
    </w:p>
    <w:p>
      <w:pPr>
        <w:spacing w:after="0" w:line="1" w:lineRule="exact"/>
        <w:rPr>
          <w:rFonts w:ascii="Arial" w:cs="Arial" w:eastAsia="Arial" w:hAnsi="Arial"/>
          <w:sz w:val="18"/>
          <w:szCs w:val="18"/>
          <w:u w:val="single" w:color="auto"/>
          <w:color w:val="0000FF"/>
        </w:rPr>
      </w:pPr>
    </w:p>
    <w:p>
      <w:pPr>
        <w:ind w:left="1740" w:right="10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196">
        <w:r>
          <w:rPr>
            <w:rFonts w:ascii="Arial" w:cs="Arial" w:eastAsia="Arial" w:hAnsi="Arial"/>
            <w:sz w:val="18"/>
            <w:szCs w:val="18"/>
            <w:u w:val="single" w:color="auto"/>
            <w:color w:val="0000FF"/>
          </w:rPr>
          <w:t>Sixth Amendment to the Credit Agreement, dated as of October 11, 2013, by and among Activision Blizzard, Inc., the guarantors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from time to time party thereto, the lenders from time to time party thereto, Bank of America, N.A., as administrative agent and</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collateral agent, and the several other agents party thereto (incorporated by reference to Exhibit 10.1 of the Company’s Form 8-K,</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filed February 6, 2017).</w:t>
        </w:r>
      </w:hyperlink>
    </w:p>
    <w:p>
      <w:pPr>
        <w:spacing w:after="0" w:line="1" w:lineRule="exact"/>
        <w:rPr>
          <w:rFonts w:ascii="Arial" w:cs="Arial" w:eastAsia="Arial" w:hAnsi="Arial"/>
          <w:sz w:val="18"/>
          <w:szCs w:val="18"/>
          <w:u w:val="single" w:color="auto"/>
          <w:color w:val="0000FF"/>
        </w:rPr>
      </w:pPr>
    </w:p>
    <w:p>
      <w:pPr>
        <w:ind w:left="1740" w:right="180" w:hanging="642"/>
        <w:spacing w:after="0" w:line="219"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97">
        <w:r>
          <w:rPr>
            <w:rFonts w:ascii="Arial" w:cs="Arial" w:eastAsia="Arial" w:hAnsi="Arial"/>
            <w:sz w:val="18"/>
            <w:szCs w:val="18"/>
            <w:u w:val="single" w:color="auto"/>
            <w:color w:val="0000FF"/>
          </w:rPr>
          <w:t>Seventh Amendment to the Credit Agreement, dated as of October 11, 2013, by and among Activision Blizzard, Inc., the</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guarantors from time to time party thereto, the lenders from time to time party thereto, Bank of America, N.A., as administrative</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agent and collateral agent, and the several other agents party thereto (incorporated by reference to Exhibit 10.1 of the Company’s</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Form 8-K, filed August 29, 2018).</w:t>
        </w:r>
      </w:hyperlink>
    </w:p>
    <w:p>
      <w:pPr>
        <w:spacing w:after="0" w:line="1" w:lineRule="exact"/>
        <w:rPr>
          <w:rFonts w:ascii="Arial" w:cs="Arial" w:eastAsia="Arial" w:hAnsi="Arial"/>
          <w:sz w:val="18"/>
          <w:szCs w:val="18"/>
          <w:u w:val="single" w:color="auto"/>
          <w:color w:val="0000FF"/>
        </w:rPr>
      </w:pPr>
    </w:p>
    <w:p>
      <w:pPr>
        <w:ind w:left="118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49">
        <w:r>
          <w:rPr>
            <w:rFonts w:ascii="Arial" w:cs="Arial" w:eastAsia="Arial" w:hAnsi="Arial"/>
            <w:sz w:val="16"/>
            <w:szCs w:val="16"/>
            <w:u w:val="single" w:color="auto"/>
            <w:color w:val="0000FF"/>
          </w:rPr>
          <w:t>Subsidiaries of the Company.</w:t>
        </w:r>
      </w:hyperlink>
    </w:p>
    <w:p>
      <w:pPr>
        <w:spacing w:after="0" w:line="23" w:lineRule="exact"/>
        <w:rPr>
          <w:rFonts w:ascii="Arial" w:cs="Arial" w:eastAsia="Arial" w:hAnsi="Arial"/>
          <w:sz w:val="18"/>
          <w:szCs w:val="18"/>
          <w:u w:val="single" w:color="auto"/>
          <w:color w:val="0000FF"/>
        </w:rPr>
      </w:pPr>
    </w:p>
    <w:p>
      <w:pPr>
        <w:ind w:left="118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50">
        <w:r>
          <w:rPr>
            <w:rFonts w:ascii="Arial" w:cs="Arial" w:eastAsia="Arial" w:hAnsi="Arial"/>
            <w:sz w:val="16"/>
            <w:szCs w:val="16"/>
            <w:u w:val="single" w:color="auto"/>
            <w:color w:val="0000FF"/>
          </w:rPr>
          <w:t>Consent of Independent Registered Public Accounting Firm (PricewaterhouseCoopers LLP).</w:t>
        </w:r>
      </w:hyperlink>
    </w:p>
    <w:p>
      <w:pPr>
        <w:spacing w:after="0" w:line="23" w:lineRule="exact"/>
        <w:rPr>
          <w:rFonts w:ascii="Arial" w:cs="Arial" w:eastAsia="Arial" w:hAnsi="Arial"/>
          <w:sz w:val="18"/>
          <w:szCs w:val="18"/>
          <w:u w:val="single" w:color="auto"/>
          <w:color w:val="0000FF"/>
        </w:rPr>
      </w:pPr>
    </w:p>
    <w:p>
      <w:pPr>
        <w:ind w:left="1180"/>
        <w:spacing w:after="0"/>
        <w:tabs>
          <w:tab w:leader="none" w:pos="172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115">
        <w:r>
          <w:rPr>
            <w:rFonts w:ascii="Arial" w:cs="Arial" w:eastAsia="Arial" w:hAnsi="Arial"/>
            <w:sz w:val="16"/>
            <w:szCs w:val="16"/>
            <w:u w:val="single" w:color="auto"/>
            <w:color w:val="0000FF"/>
          </w:rPr>
          <w:t>Power of Attorney of each Executive Officer and Director signing this report (included in the signature page hereto).</w:t>
        </w:r>
      </w:hyperlink>
    </w:p>
    <w:p>
      <w:pPr>
        <w:spacing w:after="0" w:line="23" w:lineRule="exact"/>
        <w:rPr>
          <w:rFonts w:ascii="Arial" w:cs="Arial" w:eastAsia="Arial" w:hAnsi="Arial"/>
          <w:sz w:val="18"/>
          <w:szCs w:val="18"/>
          <w:u w:val="single" w:color="auto"/>
          <w:color w:val="0000FF"/>
        </w:rPr>
      </w:pPr>
    </w:p>
    <w:p>
      <w:pPr>
        <w:ind w:left="1740" w:right="140" w:hanging="552"/>
        <w:spacing w:after="0" w:line="234" w:lineRule="auto"/>
        <w:tabs>
          <w:tab w:leader="none" w:pos="172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51">
        <w:r>
          <w:rPr>
            <w:rFonts w:ascii="Arial" w:cs="Arial" w:eastAsia="Arial" w:hAnsi="Arial"/>
            <w:sz w:val="18"/>
            <w:szCs w:val="18"/>
            <w:u w:val="single" w:color="auto"/>
            <w:color w:val="0000FF"/>
          </w:rPr>
          <w:t>Certification of Robert A. Kotick pursuant to Rule 13a-14(a) under the Securities and Exchange Act of 1934, as adopted pursuant</w:t>
        </w:r>
      </w:hyperlink>
      <w:r>
        <w:rPr>
          <w:rFonts w:ascii="Arial" w:cs="Arial" w:eastAsia="Arial" w:hAnsi="Arial"/>
          <w:sz w:val="18"/>
          <w:szCs w:val="18"/>
          <w:u w:val="single" w:color="auto"/>
          <w:color w:val="0000FF"/>
        </w:rPr>
        <w:t xml:space="preserve"> </w:t>
      </w:r>
      <w:hyperlink w:anchor="page151">
        <w:r>
          <w:rPr>
            <w:rFonts w:ascii="Arial" w:cs="Arial" w:eastAsia="Arial" w:hAnsi="Arial"/>
            <w:sz w:val="18"/>
            <w:szCs w:val="18"/>
            <w:u w:val="single" w:color="auto"/>
            <w:color w:val="0000FF"/>
          </w:rPr>
          <w:t>to Section 302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Exhibit Number</w:t>
            </w:r>
          </w:p>
        </w:tc>
        <w:tc>
          <w:tcPr>
            <w:tcW w:w="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Exhibit</w:t>
            </w:r>
          </w:p>
        </w:tc>
      </w:tr>
      <w:tr>
        <w:trPr>
          <w:trHeight w:val="189"/>
        </w:trPr>
        <w:tc>
          <w:tcPr>
            <w:tcW w:w="1460" w:type="dxa"/>
            <w:vAlign w:val="bottom"/>
          </w:tcPr>
          <w:p>
            <w:pPr>
              <w:jc w:val="right"/>
              <w:ind w:right="132"/>
              <w:spacing w:after="0" w:line="189"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6"/>
                <w:szCs w:val="16"/>
                <w:color w:val="auto"/>
              </w:rPr>
            </w:pPr>
          </w:p>
        </w:tc>
        <w:tc>
          <w:tcPr>
            <w:tcW w:w="9500" w:type="dxa"/>
            <w:vAlign w:val="bottom"/>
            <w:gridSpan w:val="3"/>
          </w:tcPr>
          <w:p>
            <w:pPr>
              <w:spacing w:after="0" w:line="189" w:lineRule="exact"/>
              <w:rPr>
                <w:rFonts w:ascii="Arial" w:cs="Arial" w:eastAsia="Arial" w:hAnsi="Arial"/>
                <w:sz w:val="18"/>
                <w:szCs w:val="18"/>
                <w:color w:val="0000FF"/>
                <w:w w:val="92"/>
              </w:rPr>
            </w:pPr>
            <w:hyperlink w:anchor="page152">
              <w:r>
                <w:rPr>
                  <w:rFonts w:ascii="Arial" w:cs="Arial" w:eastAsia="Arial" w:hAnsi="Arial"/>
                  <w:sz w:val="18"/>
                  <w:szCs w:val="18"/>
                  <w:color w:val="0000FF"/>
                  <w:w w:val="92"/>
                </w:rPr>
                <w:t>Certification of Dennis Durkin pursuant to Rule 13a-14(a) under the Securities and Exchange Act of 1934, as adopted pursuant to</w:t>
              </w:r>
            </w:hyperlink>
          </w:p>
        </w:tc>
      </w:tr>
      <w:tr>
        <w:trPr>
          <w:trHeight w:val="156"/>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52">
              <w:r>
                <w:rPr>
                  <w:rFonts w:ascii="Arial" w:cs="Arial" w:eastAsia="Arial" w:hAnsi="Arial"/>
                  <w:sz w:val="18"/>
                  <w:szCs w:val="18"/>
                  <w:color w:val="0000FF"/>
                  <w:w w:val="90"/>
                </w:rPr>
                <w:t>Section 302 of the Sarbanes-Oxley Act of 2002.</w:t>
              </w:r>
            </w:hyperlink>
          </w:p>
        </w:tc>
        <w:tc>
          <w:tcPr>
            <w:tcW w:w="58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249"/>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9500" w:type="dxa"/>
            <w:vAlign w:val="bottom"/>
            <w:gridSpan w:val="3"/>
          </w:tcPr>
          <w:p>
            <w:pPr>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Certification of Robert A. Kotick pursuant to Section 906 of the Sarbanes-Oxley Act of 2002.</w:t>
              </w:r>
            </w:hyperlink>
          </w:p>
        </w:tc>
      </w:tr>
      <w:tr>
        <w:trPr>
          <w:trHeight w:val="230"/>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9500" w:type="dxa"/>
            <w:vAlign w:val="bottom"/>
            <w:gridSpan w:val="3"/>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Certification of Dennis Durkin pursuant to Section 906 of the Sarbanes-Oxley Act of 2002.</w:t>
              </w:r>
            </w:hyperlink>
          </w:p>
        </w:tc>
      </w:tr>
      <w:tr>
        <w:trPr>
          <w:trHeight w:val="176"/>
        </w:trPr>
        <w:tc>
          <w:tcPr>
            <w:tcW w:w="1460" w:type="dxa"/>
            <w:vAlign w:val="bottom"/>
          </w:tcPr>
          <w:p>
            <w:pPr>
              <w:jc w:val="right"/>
              <w:ind w:right="132"/>
              <w:spacing w:after="0" w:line="17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5"/>
                <w:szCs w:val="15"/>
                <w:color w:val="auto"/>
              </w:rPr>
            </w:pPr>
          </w:p>
        </w:tc>
        <w:tc>
          <w:tcPr>
            <w:tcW w:w="9500" w:type="dxa"/>
            <w:vAlign w:val="bottom"/>
            <w:gridSpan w:val="3"/>
          </w:tcPr>
          <w:p>
            <w:pPr>
              <w:spacing w:after="0" w:line="176" w:lineRule="exact"/>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r>
      <w:tr>
        <w:trPr>
          <w:trHeight w:val="229"/>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30"/>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29"/>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230"/>
        </w:trPr>
        <w:tc>
          <w:tcPr>
            <w:tcW w:w="1460" w:type="dxa"/>
            <w:vAlign w:val="bottom"/>
          </w:tcPr>
          <w:p>
            <w:pPr>
              <w:jc w:val="right"/>
              <w:ind w:right="132"/>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0"/>
                <w:szCs w:val="20"/>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Document.</w:t>
            </w:r>
          </w:p>
        </w:tc>
      </w:tr>
    </w:tbl>
    <w:p>
      <w:pPr>
        <w:ind w:left="1740" w:hanging="508"/>
        <w:spacing w:after="0"/>
        <w:tabs>
          <w:tab w:leader="none" w:pos="1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a management contract or compensatory plan, contract or arrangement in which a director or executive officer of the Company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ACTIVISION BLIZZARD, INC.</w:t>
      </w:r>
    </w:p>
    <w:p>
      <w:pPr>
        <w:ind w:left="20"/>
        <w:spacing w:after="0" w:line="182" w:lineRule="auto"/>
        <w:tabs>
          <w:tab w:leader="none" w:pos="2640" w:val="left"/>
        </w:tabs>
        <w:rPr>
          <w:sz w:val="20"/>
          <w:szCs w:val="20"/>
          <w:color w:val="auto"/>
        </w:rPr>
      </w:pPr>
      <w:r>
        <w:rPr>
          <w:rFonts w:ascii="Arial" w:cs="Arial" w:eastAsia="Arial" w:hAnsi="Arial"/>
          <w:sz w:val="32"/>
          <w:szCs w:val="32"/>
          <w:color w:val="auto"/>
          <w:vertAlign w:val="superscript"/>
        </w:rPr>
        <w:t>By:</w:t>
      </w:r>
      <w:r>
        <w:rPr>
          <w:sz w:val="20"/>
          <w:szCs w:val="20"/>
          <w:color w:val="auto"/>
        </w:rPr>
        <w:tab/>
      </w:r>
      <w:r>
        <w:rPr>
          <w:rFonts w:ascii="Arial" w:cs="Arial" w:eastAsia="Arial" w:hAnsi="Arial"/>
          <w:sz w:val="16"/>
          <w:szCs w:val="16"/>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26035</wp:posOffset>
            </wp:positionV>
            <wp:extent cx="38404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9"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Robert A. Kotick</w:t>
      </w:r>
    </w:p>
    <w:p>
      <w:pPr>
        <w:jc w:val="center"/>
        <w:ind w:right="3980"/>
        <w:spacing w:after="0" w:line="203" w:lineRule="auto"/>
        <w:rPr>
          <w:sz w:val="20"/>
          <w:szCs w:val="20"/>
          <w:color w:val="auto"/>
        </w:rPr>
      </w:pPr>
      <w:r>
        <w:rPr>
          <w:rFonts w:ascii="Arial" w:cs="Arial" w:eastAsia="Arial" w:hAnsi="Arial"/>
          <w:sz w:val="18"/>
          <w:szCs w:val="18"/>
          <w:i w:val="1"/>
          <w:iCs w:val="1"/>
          <w:color w:val="auto"/>
        </w:rPr>
        <w:t>Director and Chief Executive Officer of Activision Blizzard, Inc.</w:t>
      </w:r>
    </w:p>
    <w:p>
      <w:pPr>
        <w:jc w:val="center"/>
        <w:ind w:right="4020"/>
        <w:spacing w:after="0"/>
        <w:rPr>
          <w:sz w:val="20"/>
          <w:szCs w:val="20"/>
          <w:color w:val="auto"/>
        </w:rPr>
      </w:pPr>
      <w:r>
        <w:rPr>
          <w:rFonts w:ascii="Arial" w:cs="Arial" w:eastAsia="Arial" w:hAnsi="Arial"/>
          <w:sz w:val="18"/>
          <w:szCs w:val="18"/>
          <w:i w:val="1"/>
          <w:iCs w:val="1"/>
          <w:color w:val="auto"/>
        </w:rPr>
        <w:t>(Principal Executive Officer)</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36"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Each individual whose signature appears below constitutes and appoints Robert A. Kotick and Dennis Durkin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27"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/s/ ROBERT A. KOTICK</w:t>
            </w:r>
          </w:p>
        </w:tc>
        <w:tc>
          <w:tcPr>
            <w:tcW w:w="3420" w:type="dxa"/>
            <w:vAlign w:val="bottom"/>
          </w:tcPr>
          <w:p>
            <w:pPr>
              <w:ind w:left="20"/>
              <w:spacing w:after="0"/>
              <w:rPr>
                <w:sz w:val="20"/>
                <w:szCs w:val="20"/>
                <w:color w:val="auto"/>
              </w:rPr>
            </w:pPr>
            <w:r>
              <w:rPr>
                <w:rFonts w:ascii="Arial" w:cs="Arial" w:eastAsia="Arial" w:hAnsi="Arial"/>
                <w:sz w:val="18"/>
                <w:szCs w:val="18"/>
                <w:color w:val="auto"/>
              </w:rPr>
              <w:t>Director, Chief Executive Officer (Principal</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Executive Officer)</w:t>
            </w: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(Robert A. Kotick)</w:t>
            </w:r>
          </w:p>
        </w:tc>
        <w:tc>
          <w:tcPr>
            <w:tcW w:w="34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5360" w:type="dxa"/>
            <w:vAlign w:val="bottom"/>
          </w:tcPr>
          <w:p>
            <w:pPr>
              <w:jc w:val="center"/>
              <w:spacing w:after="0" w:line="203" w:lineRule="exact"/>
              <w:rPr>
                <w:sz w:val="20"/>
                <w:szCs w:val="20"/>
                <w:color w:val="auto"/>
              </w:rPr>
            </w:pPr>
            <w:r>
              <w:rPr>
                <w:rFonts w:ascii="Arial" w:cs="Arial" w:eastAsia="Arial" w:hAnsi="Arial"/>
                <w:sz w:val="18"/>
                <w:szCs w:val="18"/>
                <w:color w:val="auto"/>
                <w:w w:val="97"/>
              </w:rPr>
              <w:t>/s/ DENNIS DURKIN</w:t>
            </w:r>
          </w:p>
        </w:tc>
        <w:tc>
          <w:tcPr>
            <w:tcW w:w="3420" w:type="dxa"/>
            <w:vAlign w:val="bottom"/>
          </w:tcPr>
          <w:p>
            <w:pPr>
              <w:ind w:left="20"/>
              <w:spacing w:after="0" w:line="203" w:lineRule="exact"/>
              <w:rPr>
                <w:sz w:val="20"/>
                <w:szCs w:val="20"/>
                <w:color w:val="auto"/>
              </w:rPr>
            </w:pPr>
            <w:r>
              <w:rPr>
                <w:rFonts w:ascii="Arial" w:cs="Arial" w:eastAsia="Arial" w:hAnsi="Arial"/>
                <w:sz w:val="18"/>
                <w:szCs w:val="18"/>
                <w:color w:val="auto"/>
              </w:rPr>
              <w:t>Chief Financial Officer</w:t>
            </w:r>
          </w:p>
        </w:tc>
        <w:tc>
          <w:tcPr>
            <w:tcW w:w="1540" w:type="dxa"/>
            <w:vAlign w:val="bottom"/>
          </w:tcPr>
          <w:p>
            <w:pPr>
              <w:ind w:left="220"/>
              <w:spacing w:after="0" w:line="203" w:lineRule="exact"/>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(Dennis Durkin)</w:t>
            </w:r>
          </w:p>
        </w:tc>
        <w:tc>
          <w:tcPr>
            <w:tcW w:w="34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5360" w:type="dxa"/>
            <w:vAlign w:val="bottom"/>
          </w:tcPr>
          <w:p>
            <w:pPr>
              <w:jc w:val="center"/>
              <w:spacing w:after="0" w:line="203" w:lineRule="exact"/>
              <w:rPr>
                <w:sz w:val="20"/>
                <w:szCs w:val="20"/>
                <w:color w:val="auto"/>
              </w:rPr>
            </w:pPr>
            <w:r>
              <w:rPr>
                <w:rFonts w:ascii="Arial" w:cs="Arial" w:eastAsia="Arial" w:hAnsi="Arial"/>
                <w:sz w:val="18"/>
                <w:szCs w:val="18"/>
                <w:color w:val="auto"/>
                <w:w w:val="90"/>
              </w:rPr>
              <w:t>/s/ JESSE YANG</w:t>
            </w:r>
          </w:p>
        </w:tc>
        <w:tc>
          <w:tcPr>
            <w:tcW w:w="3420" w:type="dxa"/>
            <w:vAlign w:val="bottom"/>
          </w:tcPr>
          <w:p>
            <w:pPr>
              <w:ind w:left="20"/>
              <w:spacing w:after="0" w:line="203" w:lineRule="exact"/>
              <w:rPr>
                <w:sz w:val="20"/>
                <w:szCs w:val="20"/>
                <w:color w:val="auto"/>
              </w:rPr>
            </w:pPr>
            <w:r>
              <w:rPr>
                <w:rFonts w:ascii="Arial" w:cs="Arial" w:eastAsia="Arial" w:hAnsi="Arial"/>
                <w:sz w:val="18"/>
                <w:szCs w:val="18"/>
                <w:color w:val="auto"/>
              </w:rPr>
              <w:t>Chief Accounting Officer</w:t>
            </w:r>
          </w:p>
        </w:tc>
        <w:tc>
          <w:tcPr>
            <w:tcW w:w="1540" w:type="dxa"/>
            <w:vAlign w:val="bottom"/>
          </w:tcPr>
          <w:p>
            <w:pPr>
              <w:ind w:left="220"/>
              <w:spacing w:after="0" w:line="203" w:lineRule="exact"/>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6"/>
              </w:rPr>
              <w:t>(Jesse Yang)</w:t>
            </w:r>
          </w:p>
        </w:tc>
        <w:tc>
          <w:tcPr>
            <w:tcW w:w="34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REVETA BOWERS</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89"/>
              </w:rPr>
              <w:t>(Reveta Bowers)</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J. CORTI</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3"/>
              </w:rPr>
              <w:t>(Robert J. Corti)</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HENDRIK J. HARTONG III</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4"/>
              </w:rPr>
              <w:t>(Hendrik J. Hartong III)</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BRIAN G. KELLY</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Chairman of the Board and 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8"/>
              </w:rPr>
              <w:t>(Brian G. Kelly)</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BARRY MEYER</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4"/>
              </w:rPr>
              <w:t>(Barry Meyer)</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J. MORGADO</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1"/>
              </w:rPr>
              <w:t>(Robert J. Morgado)</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PETER NOLAN</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89"/>
              </w:rPr>
              <w:t>(Peter Nolan)</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DAWN OSTROFF</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5"/>
              </w:rPr>
              <w:t>(Dawn Ostroff)</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CASEY WASSERMAN</w:t>
            </w: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23, 2021</w:t>
            </w: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87"/>
              </w:rPr>
              <w:t>(Casey Wasserman)</w:t>
            </w:r>
          </w:p>
        </w:tc>
        <w:tc>
          <w:tcPr>
            <w:tcW w:w="342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E-5</w:t>
      </w:r>
    </w:p>
    <w:p>
      <w:pPr>
        <w:sectPr>
          <w:pgSz w:w="11900" w:h="16838" w:orient="portrait"/>
          <w:cols w:equalWidth="0" w:num="1">
            <w:col w:w="11180"/>
          </w:cols>
          <w:pgMar w:left="320" w:top="125" w:right="39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ACTIVISION BLIZZARD,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Stock Option AWARD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an option to purchase Common Shares of Activision Blizzard, Inc. (the “Company”),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7480" w:type="dxa"/>
            <w:vAlign w:val="bottom"/>
            <w:gridSpan w:val="5"/>
          </w:tcPr>
          <w:p>
            <w:pPr>
              <w:ind w:left="120"/>
              <w:spacing w:after="0"/>
              <w:rPr>
                <w:sz w:val="20"/>
                <w:szCs w:val="20"/>
                <w:color w:val="auto"/>
              </w:rPr>
            </w:pPr>
            <w:r>
              <w:rPr>
                <w:rFonts w:ascii="Arial" w:cs="Arial" w:eastAsia="Arial" w:hAnsi="Arial"/>
                <w:sz w:val="22"/>
                <w:szCs w:val="22"/>
                <w:color w:val="auto"/>
              </w:rPr>
              <w:t xml:space="preserve">Your name: </w:t>
            </w:r>
            <w:r>
              <w:rPr>
                <w:rFonts w:ascii="Arial" w:cs="Arial" w:eastAsia="Arial" w:hAnsi="Arial"/>
                <w:sz w:val="22"/>
                <w:szCs w:val="22"/>
                <w:b w:val="1"/>
                <w:bCs w:val="1"/>
                <w:color w:val="auto"/>
              </w:rPr>
              <w:t>[  ]</w:t>
            </w:r>
          </w:p>
        </w:tc>
      </w:tr>
      <w:tr>
        <w:trPr>
          <w:trHeight w:val="20"/>
        </w:trPr>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7480" w:type="dxa"/>
            <w:vAlign w:val="bottom"/>
            <w:gridSpan w:val="5"/>
          </w:tcPr>
          <w:p>
            <w:pPr>
              <w:ind w:left="120"/>
              <w:spacing w:after="0"/>
              <w:rPr>
                <w:sz w:val="20"/>
                <w:szCs w:val="20"/>
                <w:color w:val="auto"/>
              </w:rPr>
            </w:pPr>
            <w:r>
              <w:rPr>
                <w:rFonts w:ascii="Arial" w:cs="Arial" w:eastAsia="Arial" w:hAnsi="Arial"/>
                <w:sz w:val="22"/>
                <w:szCs w:val="22"/>
                <w:color w:val="auto"/>
                <w:w w:val="89"/>
              </w:rPr>
              <w:t xml:space="preserve">Total number of Shares purchasable upon exercise of the Stock Option awarded: </w:t>
            </w:r>
            <w:r>
              <w:rPr>
                <w:rFonts w:ascii="Arial" w:cs="Arial" w:eastAsia="Arial" w:hAnsi="Arial"/>
                <w:sz w:val="22"/>
                <w:szCs w:val="22"/>
                <w:b w:val="1"/>
                <w:bCs w:val="1"/>
                <w:color w:val="auto"/>
                <w:w w:val="89"/>
              </w:rPr>
              <w:t>[  ]</w:t>
            </w:r>
          </w:p>
        </w:tc>
      </w:tr>
      <w:tr>
        <w:trPr>
          <w:trHeight w:val="20"/>
        </w:trPr>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Exercise Price: US$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________</w:t>
      </w:r>
      <w:r>
        <w:rPr>
          <w:rFonts w:ascii="Arial" w:cs="Arial" w:eastAsia="Arial" w:hAnsi="Arial"/>
          <w:sz w:val="22"/>
          <w:szCs w:val="22"/>
          <w:b w:val="1"/>
          <w:bCs w:val="1"/>
          <w:color w:val="auto"/>
        </w:rPr>
        <w:t>]</w:t>
      </w:r>
      <w:r>
        <w:rPr>
          <w:rFonts w:ascii="Arial" w:cs="Arial" w:eastAsia="Arial" w:hAnsi="Arial"/>
          <w:sz w:val="22"/>
          <w:szCs w:val="22"/>
          <w:color w:val="auto"/>
        </w:rPr>
        <w:t xml:space="preserv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1500" w:type="dxa"/>
            <w:vAlign w:val="bottom"/>
            <w:gridSpan w:val="3"/>
          </w:tcPr>
          <w:p>
            <w:pPr>
              <w:ind w:left="120"/>
              <w:spacing w:after="0"/>
              <w:rPr>
                <w:sz w:val="20"/>
                <w:szCs w:val="20"/>
                <w:color w:val="auto"/>
              </w:rPr>
            </w:pPr>
            <w:r>
              <w:rPr>
                <w:rFonts w:ascii="Arial" w:cs="Arial" w:eastAsia="Arial" w:hAnsi="Arial"/>
                <w:sz w:val="22"/>
                <w:szCs w:val="22"/>
                <w:color w:val="auto"/>
                <w:w w:val="89"/>
              </w:rPr>
              <w:t xml:space="preserve">Date of Grant: </w:t>
            </w:r>
            <w:r>
              <w:rPr>
                <w:rFonts w:ascii="Arial" w:cs="Arial" w:eastAsia="Arial" w:hAnsi="Arial"/>
                <w:sz w:val="22"/>
                <w:szCs w:val="22"/>
                <w:b w:val="1"/>
                <w:bCs w:val="1"/>
                <w:color w:val="auto"/>
                <w:w w:val="89"/>
              </w:rPr>
              <w:t>[</w:t>
            </w:r>
          </w:p>
        </w:tc>
        <w:tc>
          <w:tcPr>
            <w:tcW w:w="220" w:type="dxa"/>
            <w:vAlign w:val="bottom"/>
            <w:tcBorders>
              <w:bottom w:val="single" w:sz="8" w:color="auto"/>
            </w:tcBorders>
            <w:gridSpan w:val="2"/>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1720" w:type="dxa"/>
            <w:vAlign w:val="bottom"/>
            <w:gridSpan w:val="5"/>
          </w:tcPr>
          <w:p>
            <w:pPr>
              <w:ind w:left="120"/>
              <w:spacing w:after="0"/>
              <w:rPr>
                <w:sz w:val="20"/>
                <w:szCs w:val="20"/>
                <w:color w:val="auto"/>
              </w:rPr>
            </w:pPr>
            <w:r>
              <w:rPr>
                <w:rFonts w:ascii="Arial" w:cs="Arial" w:eastAsia="Arial" w:hAnsi="Arial"/>
                <w:sz w:val="22"/>
                <w:szCs w:val="22"/>
                <w:color w:val="auto"/>
                <w:w w:val="92"/>
              </w:rPr>
              <w:t xml:space="preserve">Expiration Date: </w:t>
            </w:r>
            <w:r>
              <w:rPr>
                <w:rFonts w:ascii="Arial" w:cs="Arial" w:eastAsia="Arial" w:hAnsi="Arial"/>
                <w:sz w:val="22"/>
                <w:szCs w:val="22"/>
                <w:b w:val="1"/>
                <w:bCs w:val="1"/>
                <w:color w:val="auto"/>
                <w:w w:val="92"/>
              </w:rPr>
              <w:t>[</w:t>
            </w:r>
          </w:p>
        </w:tc>
        <w:tc>
          <w:tcPr>
            <w:tcW w:w="260" w:type="dxa"/>
            <w:vAlign w:val="bottom"/>
            <w:gridSpan w:val="2"/>
          </w:tcPr>
          <w:p>
            <w:pPr>
              <w:jc w:val="right"/>
              <w:spacing w:after="0"/>
              <w:rPr>
                <w:sz w:val="20"/>
                <w:szCs w:val="20"/>
                <w:color w:val="auto"/>
              </w:rPr>
            </w:pPr>
            <w:r>
              <w:rPr>
                <w:rFonts w:ascii="Arial" w:cs="Arial" w:eastAsia="Arial" w:hAnsi="Arial"/>
                <w:sz w:val="22"/>
                <w:szCs w:val="22"/>
                <w:b w:val="1"/>
                <w:bCs w:val="1"/>
                <w:color w:val="auto"/>
              </w:rPr>
              <w:t>]</w:t>
            </w: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1680" w:type="dxa"/>
            <w:vAlign w:val="bottom"/>
            <w:gridSpan w:val="4"/>
          </w:tcPr>
          <w:p>
            <w:pPr>
              <w:ind w:left="120"/>
              <w:spacing w:after="0"/>
              <w:rPr>
                <w:sz w:val="20"/>
                <w:szCs w:val="20"/>
                <w:color w:val="auto"/>
              </w:rPr>
            </w:pPr>
            <w:r>
              <w:rPr>
                <w:rFonts w:ascii="Arial" w:cs="Arial" w:eastAsia="Arial" w:hAnsi="Arial"/>
                <w:sz w:val="22"/>
                <w:szCs w:val="22"/>
                <w:color w:val="auto"/>
              </w:rPr>
              <w:t xml:space="preserve">Grant ID: </w:t>
            </w:r>
            <w:r>
              <w:rPr>
                <w:rFonts w:ascii="Arial" w:cs="Arial" w:eastAsia="Arial" w:hAnsi="Arial"/>
                <w:sz w:val="22"/>
                <w:szCs w:val="22"/>
                <w:b w:val="1"/>
                <w:bCs w:val="1"/>
                <w:color w:val="auto"/>
              </w:rPr>
              <w:t>[  ]</w:t>
            </w: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Your Award of the Stock Option is governed by the terms and conditions set forth in:</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this Notice of Stock Option Award;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the Stock Option Award Terms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right="340" w:hanging="328"/>
        <w:spacing w:after="0" w:line="263" w:lineRule="auto"/>
        <w:tabs>
          <w:tab w:leader="none" w:pos="655"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the Appendix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which may include special terms and conditions relating to your country of work and/or residence (the “</w:t>
      </w:r>
      <w:r>
        <w:rPr>
          <w:rFonts w:ascii="Arial" w:cs="Arial" w:eastAsia="Arial" w:hAnsi="Arial"/>
          <w:sz w:val="22"/>
          <w:szCs w:val="22"/>
          <w:u w:val="single" w:color="auto"/>
          <w:color w:val="auto"/>
        </w:rPr>
        <w:t>Appendix</w:t>
      </w:r>
      <w:r>
        <w:rPr>
          <w:rFonts w:ascii="Arial" w:cs="Arial" w:eastAsia="Arial" w:hAnsi="Arial"/>
          <w:sz w:val="22"/>
          <w:szCs w:val="22"/>
          <w:color w:val="auto"/>
        </w:rPr>
        <w:t>”); and</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Company’s 2014 Incentive Plan, the receipt of a copy of which you hereby acknowledge.</w:t>
      </w:r>
    </w:p>
    <w:p>
      <w:pPr>
        <w:spacing w:after="0" w:line="179" w:lineRule="exact"/>
        <w:rPr>
          <w:rFonts w:ascii="Arial" w:cs="Arial" w:eastAsia="Arial" w:hAnsi="Arial"/>
          <w:sz w:val="22"/>
          <w:szCs w:val="22"/>
          <w:color w:val="auto"/>
        </w:rPr>
      </w:pPr>
    </w:p>
    <w:p>
      <w:pPr>
        <w:ind w:left="340" w:right="100" w:hanging="332"/>
        <w:spacing w:after="0" w:line="248" w:lineRule="auto"/>
        <w:tabs>
          <w:tab w:leader="none" w:pos="335"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Schedule for Vesting</w:t>
      </w:r>
      <w:r>
        <w:rPr>
          <w:rFonts w:ascii="Arial" w:cs="Arial" w:eastAsia="Arial" w:hAnsi="Arial"/>
          <w:sz w:val="22"/>
          <w:szCs w:val="22"/>
          <w:color w:val="auto"/>
        </w:rPr>
        <w:t>: Except as otherwise provided pursuant to the Stock Option Award Terms attached hereto as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as supplemented, modified, or replaced by the special terms and conditions, if any, set forth under your country of work and/or residence in the Appendix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(together, the “</w:t>
      </w:r>
      <w:r>
        <w:rPr>
          <w:rFonts w:ascii="Arial" w:cs="Arial" w:eastAsia="Arial" w:hAnsi="Arial"/>
          <w:sz w:val="22"/>
          <w:szCs w:val="22"/>
          <w:u w:val="single" w:color="auto"/>
          <w:color w:val="auto"/>
        </w:rPr>
        <w:t>Award Terms</w:t>
      </w:r>
      <w:r>
        <w:rPr>
          <w:rFonts w:ascii="Arial" w:cs="Arial" w:eastAsia="Arial" w:hAnsi="Arial"/>
          <w:sz w:val="22"/>
          <w:szCs w:val="22"/>
          <w:color w:val="auto"/>
        </w:rPr>
        <w:t>”), the Stock Option awarded to you shall vest and become exercisable as follows, provided you remain continuously employed by the Company or one of its Subsidiaries through the applicable vesting date:</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560" w:type="dxa"/>
            <w:vAlign w:val="bottom"/>
            <w:vMerge w:val="restart"/>
          </w:tcPr>
          <w:p>
            <w:pPr>
              <w:ind w:left="280"/>
              <w:spacing w:after="0"/>
              <w:rPr>
                <w:sz w:val="20"/>
                <w:szCs w:val="20"/>
                <w:color w:val="auto"/>
              </w:rPr>
            </w:pPr>
            <w:r>
              <w:rPr>
                <w:rFonts w:ascii="Arial" w:cs="Arial" w:eastAsia="Arial" w:hAnsi="Arial"/>
                <w:sz w:val="20"/>
                <w:szCs w:val="20"/>
                <w:b w:val="1"/>
                <w:bCs w:val="1"/>
                <w:color w:val="auto"/>
              </w:rPr>
              <w:t>Date of Vesting</w:t>
            </w:r>
          </w:p>
        </w:tc>
        <w:tc>
          <w:tcPr>
            <w:tcW w:w="4120" w:type="dxa"/>
            <w:vAlign w:val="bottom"/>
          </w:tcPr>
          <w:p>
            <w:pPr>
              <w:jc w:val="center"/>
              <w:ind w:left="901"/>
              <w:spacing w:after="0"/>
              <w:rPr>
                <w:sz w:val="20"/>
                <w:szCs w:val="20"/>
                <w:color w:val="auto"/>
              </w:rPr>
            </w:pPr>
            <w:r>
              <w:rPr>
                <w:rFonts w:ascii="Arial" w:cs="Arial" w:eastAsia="Arial" w:hAnsi="Arial"/>
                <w:sz w:val="20"/>
                <w:szCs w:val="20"/>
                <w:b w:val="1"/>
                <w:bCs w:val="1"/>
                <w:color w:val="auto"/>
                <w:w w:val="87"/>
              </w:rPr>
              <w:t>No. of Shares Vesting at Vesting Date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4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860" w:type="dxa"/>
            <w:vAlign w:val="bottom"/>
            <w:tcBorders>
              <w:bottom w:val="single" w:sz="8" w:color="auto"/>
            </w:tcBorders>
          </w:tcPr>
          <w:p>
            <w:pPr>
              <w:spacing w:after="0"/>
              <w:rPr>
                <w:sz w:val="23"/>
                <w:szCs w:val="23"/>
                <w:color w:val="auto"/>
              </w:rPr>
            </w:pPr>
          </w:p>
        </w:tc>
        <w:tc>
          <w:tcPr>
            <w:tcW w:w="340" w:type="dxa"/>
            <w:vAlign w:val="bottom"/>
          </w:tcPr>
          <w:p>
            <w:pPr>
              <w:jc w:val="right"/>
              <w:ind w:right="152"/>
              <w:spacing w:after="0"/>
              <w:rPr>
                <w:sz w:val="20"/>
                <w:szCs w:val="20"/>
                <w:color w:val="auto"/>
              </w:rPr>
            </w:pPr>
            <w:r>
              <w:rPr>
                <w:rFonts w:ascii="Arial" w:cs="Arial" w:eastAsia="Arial" w:hAnsi="Arial"/>
                <w:sz w:val="22"/>
                <w:szCs w:val="22"/>
                <w:b w:val="1"/>
                <w:bCs w:val="1"/>
                <w:color w:val="auto"/>
                <w:w w:val="81"/>
              </w:rPr>
              <w:t>]</w:t>
            </w:r>
          </w:p>
        </w:tc>
        <w:tc>
          <w:tcPr>
            <w:tcW w:w="2560" w:type="dxa"/>
            <w:vAlign w:val="bottom"/>
          </w:tcPr>
          <w:p>
            <w:pPr>
              <w:spacing w:after="0"/>
              <w:rPr>
                <w:sz w:val="23"/>
                <w:szCs w:val="23"/>
                <w:color w:val="auto"/>
              </w:rPr>
            </w:pPr>
          </w:p>
        </w:tc>
        <w:tc>
          <w:tcPr>
            <w:tcW w:w="4120" w:type="dxa"/>
            <w:vAlign w:val="bottom"/>
          </w:tcPr>
          <w:p>
            <w:pPr>
              <w:jc w:val="center"/>
              <w:ind w:left="921"/>
              <w:spacing w:after="0"/>
              <w:rPr>
                <w:sz w:val="20"/>
                <w:szCs w:val="20"/>
                <w:color w:val="auto"/>
              </w:rPr>
            </w:pPr>
            <w:r>
              <w:rPr>
                <w:rFonts w:ascii="Arial" w:cs="Arial" w:eastAsia="Arial" w:hAnsi="Arial"/>
                <w:sz w:val="20"/>
                <w:szCs w:val="20"/>
                <w:b w:val="1"/>
                <w:bCs w:val="1"/>
                <w:color w:val="auto"/>
                <w:w w:val="88"/>
              </w:rPr>
              <w:t>[________________]</w:t>
            </w:r>
          </w:p>
        </w:tc>
        <w:tc>
          <w:tcPr>
            <w:tcW w:w="0" w:type="dxa"/>
            <w:vAlign w:val="bottom"/>
          </w:tcPr>
          <w:p>
            <w:pPr>
              <w:spacing w:after="0"/>
              <w:rPr>
                <w:sz w:val="1"/>
                <w:szCs w:val="1"/>
                <w:color w:val="auto"/>
              </w:rPr>
            </w:pPr>
          </w:p>
        </w:tc>
      </w:tr>
      <w:tr>
        <w:trPr>
          <w:trHeight w:val="290"/>
        </w:trPr>
        <w:tc>
          <w:tcPr>
            <w:tcW w:w="8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860" w:type="dxa"/>
            <w:vAlign w:val="bottom"/>
            <w:tcBorders>
              <w:bottom w:val="single" w:sz="8" w:color="auto"/>
            </w:tcBorders>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22"/>
                <w:szCs w:val="22"/>
                <w:b w:val="1"/>
                <w:bCs w:val="1"/>
                <w:color w:val="auto"/>
                <w:w w:val="81"/>
              </w:rPr>
              <w:t>]</w:t>
            </w:r>
          </w:p>
        </w:tc>
        <w:tc>
          <w:tcPr>
            <w:tcW w:w="2560" w:type="dxa"/>
            <w:vAlign w:val="bottom"/>
          </w:tcPr>
          <w:p>
            <w:pPr>
              <w:spacing w:after="0"/>
              <w:rPr>
                <w:sz w:val="24"/>
                <w:szCs w:val="24"/>
                <w:color w:val="auto"/>
              </w:rPr>
            </w:pPr>
          </w:p>
        </w:tc>
        <w:tc>
          <w:tcPr>
            <w:tcW w:w="4120" w:type="dxa"/>
            <w:vAlign w:val="bottom"/>
          </w:tcPr>
          <w:p>
            <w:pPr>
              <w:jc w:val="center"/>
              <w:ind w:left="921"/>
              <w:spacing w:after="0"/>
              <w:rPr>
                <w:sz w:val="20"/>
                <w:szCs w:val="20"/>
                <w:color w:val="auto"/>
              </w:rPr>
            </w:pPr>
            <w:r>
              <w:rPr>
                <w:rFonts w:ascii="Arial" w:cs="Arial" w:eastAsia="Arial" w:hAnsi="Arial"/>
                <w:sz w:val="20"/>
                <w:szCs w:val="20"/>
                <w:b w:val="1"/>
                <w:bCs w:val="1"/>
                <w:color w:val="auto"/>
                <w:w w:val="88"/>
              </w:rPr>
              <w:t>[________________]</w:t>
            </w:r>
          </w:p>
        </w:tc>
        <w:tc>
          <w:tcPr>
            <w:tcW w:w="0" w:type="dxa"/>
            <w:vAlign w:val="bottom"/>
          </w:tcPr>
          <w:p>
            <w:pPr>
              <w:spacing w:after="0"/>
              <w:rPr>
                <w:sz w:val="1"/>
                <w:szCs w:val="1"/>
                <w:color w:val="auto"/>
              </w:rPr>
            </w:pPr>
          </w:p>
        </w:tc>
      </w:tr>
      <w:tr>
        <w:trPr>
          <w:trHeight w:val="290"/>
        </w:trPr>
        <w:tc>
          <w:tcPr>
            <w:tcW w:w="8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860" w:type="dxa"/>
            <w:vAlign w:val="bottom"/>
            <w:tcBorders>
              <w:bottom w:val="single" w:sz="8" w:color="auto"/>
            </w:tcBorders>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22"/>
                <w:szCs w:val="22"/>
                <w:b w:val="1"/>
                <w:bCs w:val="1"/>
                <w:color w:val="auto"/>
                <w:w w:val="81"/>
              </w:rPr>
              <w:t>]</w:t>
            </w:r>
          </w:p>
        </w:tc>
        <w:tc>
          <w:tcPr>
            <w:tcW w:w="2560" w:type="dxa"/>
            <w:vAlign w:val="bottom"/>
          </w:tcPr>
          <w:p>
            <w:pPr>
              <w:spacing w:after="0"/>
              <w:rPr>
                <w:sz w:val="24"/>
                <w:szCs w:val="24"/>
                <w:color w:val="auto"/>
              </w:rPr>
            </w:pPr>
          </w:p>
        </w:tc>
        <w:tc>
          <w:tcPr>
            <w:tcW w:w="4120" w:type="dxa"/>
            <w:vAlign w:val="bottom"/>
          </w:tcPr>
          <w:p>
            <w:pPr>
              <w:jc w:val="center"/>
              <w:ind w:left="921"/>
              <w:spacing w:after="0"/>
              <w:rPr>
                <w:sz w:val="20"/>
                <w:szCs w:val="20"/>
                <w:color w:val="auto"/>
              </w:rPr>
            </w:pPr>
            <w:r>
              <w:rPr>
                <w:rFonts w:ascii="Arial" w:cs="Arial" w:eastAsia="Arial" w:hAnsi="Arial"/>
                <w:sz w:val="20"/>
                <w:szCs w:val="20"/>
                <w:b w:val="1"/>
                <w:bCs w:val="1"/>
                <w:color w:val="auto"/>
                <w:w w:val="88"/>
              </w:rPr>
              <w:t>[________________]</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2" w:right="339" w:bottom="1440" w:gutter="0" w:footer="0" w:header="0"/>
        </w:sectPr>
      </w:pPr>
    </w:p>
    <w:bookmarkStart w:id="117" w:name="page118"/>
    <w:bookmarkEnd w:id="117"/>
    <w:p>
      <w:pPr>
        <w:ind w:left="332" w:right="480" w:hanging="332"/>
        <w:spacing w:after="0" w:line="263" w:lineRule="auto"/>
        <w:tabs>
          <w:tab w:leader="none" w:pos="32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Stock Option is not intended to be an “incentive stock option,” as such term is defined in Section 422 of the Internal Revenue Code of 1986, as amended from time to time.</w:t>
      </w:r>
    </w:p>
    <w:p>
      <w:pPr>
        <w:spacing w:after="0" w:line="134" w:lineRule="exact"/>
        <w:rPr>
          <w:rFonts w:ascii="Arial" w:cs="Arial" w:eastAsia="Arial" w:hAnsi="Arial"/>
          <w:sz w:val="22"/>
          <w:szCs w:val="22"/>
          <w:color w:val="auto"/>
        </w:rPr>
      </w:pPr>
    </w:p>
    <w:p>
      <w:pPr>
        <w:ind w:left="312" w:hanging="312"/>
        <w:spacing w:after="0"/>
        <w:tabs>
          <w:tab w:leader="none" w:pos="312"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54" w:lineRule="exact"/>
        <w:rPr>
          <w:rFonts w:ascii="Arial" w:cs="Arial" w:eastAsia="Arial" w:hAnsi="Arial"/>
          <w:sz w:val="19"/>
          <w:szCs w:val="19"/>
          <w:color w:val="auto"/>
        </w:rPr>
      </w:pPr>
    </w:p>
    <w:p>
      <w:pPr>
        <w:ind w:left="332" w:hanging="332"/>
        <w:spacing w:after="0" w:line="263" w:lineRule="auto"/>
        <w:tabs>
          <w:tab w:leader="none" w:pos="327"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By accepting the Award, you agree to be bound by the terms and conditions set forth in the 2014 Incentive Plan, this Notice of Stock Option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Stock Option Award and the Award Terms.</w:t>
      </w:r>
    </w:p>
    <w:p>
      <w:pPr>
        <w:sectPr>
          <w:pgSz w:w="11900" w:h="16838" w:orient="portrait"/>
          <w:cols w:equalWidth="0" w:num="1">
            <w:col w:w="11212"/>
          </w:cols>
          <w:pgMar w:left="328" w:top="1428" w:right="359" w:bottom="1440" w:gutter="0" w:footer="0" w:header="0"/>
        </w:sectPr>
      </w:pPr>
    </w:p>
    <w:bookmarkStart w:id="118" w:name="page119"/>
    <w:bookmarkEnd w:id="118"/>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ACTIVISION BLIZZARD,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2014 Incentive Plan</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Stock Option award terms</w:t>
      </w:r>
    </w:p>
    <w:p>
      <w:pPr>
        <w:spacing w:after="0" w:line="25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0"/>
          <w:numId w:val="58"/>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the award described on the Grant Notice.</w:t>
      </w:r>
    </w:p>
    <w:p>
      <w:pPr>
        <w:spacing w:after="0" w:line="220" w:lineRule="exact"/>
        <w:rPr>
          <w:sz w:val="20"/>
          <w:szCs w:val="20"/>
          <w:color w:val="auto"/>
        </w:rPr>
      </w:pPr>
    </w:p>
    <w:p>
      <w:pPr>
        <w:ind w:right="20" w:firstLine="1296"/>
        <w:spacing w:after="0" w:line="288"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the Holder and any entity in 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53"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b w:val="1"/>
          <w:bCs w:val="1"/>
          <w:color w:val="auto"/>
        </w:rPr>
        <w:t xml:space="preserve">“Common Shares” </w:t>
      </w:r>
      <w:r>
        <w:rPr>
          <w:rFonts w:ascii="Arial" w:cs="Arial" w:eastAsia="Arial" w:hAnsi="Arial"/>
          <w:sz w:val="22"/>
          <w:szCs w:val="22"/>
          <w:color w:val="auto"/>
        </w:rPr>
        <w:t>means the shares of common stock, par value $0.000001 per share, of the Company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security into which such Common Shares may be changed by reason of any transaction or event of the type referred to in Section 9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Activision Blizzard, Inc. and any successor thereto.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Group” </w:t>
      </w:r>
      <w:r>
        <w:rPr>
          <w:rFonts w:ascii="Arial" w:cs="Arial" w:eastAsia="Arial" w:hAnsi="Arial"/>
          <w:sz w:val="22"/>
          <w:szCs w:val="22"/>
          <w:color w:val="auto"/>
        </w:rPr>
        <w:t>means the Company and its Subsidiaries.</w:t>
      </w:r>
    </w:p>
    <w:p>
      <w:pPr>
        <w:spacing w:after="0" w:line="220" w:lineRule="exact"/>
        <w:rPr>
          <w:sz w:val="20"/>
          <w:szCs w:val="20"/>
          <w:color w:val="auto"/>
        </w:rPr>
      </w:pPr>
    </w:p>
    <w:p>
      <w:pPr>
        <w:ind w:right="1000" w:firstLine="1296"/>
        <w:spacing w:after="0" w:line="349" w:lineRule="auto"/>
        <w:rPr>
          <w:sz w:val="20"/>
          <w:szCs w:val="20"/>
          <w:color w:val="auto"/>
        </w:rPr>
      </w:pPr>
      <w:r>
        <w:rPr>
          <w:rFonts w:ascii="Arial" w:cs="Arial" w:eastAsia="Arial" w:hAnsi="Arial"/>
          <w:sz w:val="19"/>
          <w:szCs w:val="19"/>
          <w:b w:val="1"/>
          <w:bCs w:val="1"/>
          <w:color w:val="auto"/>
        </w:rPr>
        <w:t xml:space="preserve">“Company-Sponsored Equity Account” </w:t>
      </w:r>
      <w:r>
        <w:rPr>
          <w:rFonts w:ascii="Arial" w:cs="Arial" w:eastAsia="Arial" w:hAnsi="Arial"/>
          <w:sz w:val="19"/>
          <w:szCs w:val="19"/>
          <w:color w:val="auto"/>
        </w:rPr>
        <w:t>means an account that is created with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in connection with the administration of the Company’s equity plans and programs, including the Plan.</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“Date of Grant” </w:t>
      </w:r>
      <w:r>
        <w:rPr>
          <w:rFonts w:ascii="Arial" w:cs="Arial" w:eastAsia="Arial" w:hAnsi="Arial"/>
          <w:sz w:val="22"/>
          <w:szCs w:val="22"/>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160"/>
          </w:cols>
          <w:pgMar w:left="320" w:top="1165" w:right="419" w:bottom="1440" w:gutter="0" w:footer="0" w:header="0"/>
        </w:sectPr>
      </w:pPr>
    </w:p>
    <w:bookmarkStart w:id="119" w:name="page120"/>
    <w:bookmarkEnd w:id="119"/>
    <w:p>
      <w:pPr>
        <w:ind w:right="40" w:firstLine="1296"/>
        <w:spacing w:after="0" w:line="249"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shall mean (i) the Holder is receiving benefits under any long-term disability plan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Group then in effect or (ii) if the Holder is an employee who works and/or resides in the U.S. and is then party to an agreement or offer letter with any entity in the Company Group which contains a definition of “disability” or otherwise provides a method for determining whether the Holder is disabled, shall have the meaning given to such term in, or otherwise be determined in accordance with, such employment agreement or offer letter.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the Subsidiary of the Company which employs the Holder.</w:t>
      </w:r>
    </w:p>
    <w:p>
      <w:pPr>
        <w:spacing w:after="0" w:line="220" w:lineRule="exact"/>
        <w:rPr>
          <w:sz w:val="20"/>
          <w:szCs w:val="20"/>
          <w:color w:val="auto"/>
        </w:rPr>
      </w:pPr>
    </w:p>
    <w:p>
      <w:pPr>
        <w:ind w:right="80" w:firstLine="1296"/>
        <w:spacing w:after="0" w:line="293"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w:t>
      </w:r>
      <w:r>
        <w:rPr>
          <w:rFonts w:ascii="Arial" w:cs="Arial" w:eastAsia="Arial" w:hAnsi="Arial"/>
          <w:sz w:val="21"/>
          <w:szCs w:val="21"/>
          <w:b w:val="1"/>
          <w:bCs w:val="1"/>
          <w:color w:val="auto"/>
        </w:rPr>
        <w:t xml:space="preserve"> </w:t>
      </w:r>
      <w:r>
        <w:rPr>
          <w:rFonts w:ascii="Arial" w:cs="Arial" w:eastAsia="Arial" w:hAnsi="Arial"/>
          <w:sz w:val="21"/>
          <w:szCs w:val="21"/>
          <w:color w:val="auto"/>
        </w:rPr>
        <w:t>and administer accounts for participants in the Company’s equity plans and programs, including the Plan.</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means the Exercise Price set forth on the Grant Notice.</w:t>
      </w:r>
    </w:p>
    <w:p>
      <w:pPr>
        <w:spacing w:after="0" w:line="220"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or any comparable U.S. federal securities law and all applicable state securities laws, and (B) for employees who work and/or reside outside the U.S., any laws applicable to the Holder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Stock Options)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“Expiration Date” </w:t>
      </w:r>
      <w:r>
        <w:rPr>
          <w:rFonts w:ascii="Arial" w:cs="Arial" w:eastAsia="Arial" w:hAnsi="Arial"/>
          <w:sz w:val="22"/>
          <w:szCs w:val="22"/>
          <w:color w:val="auto"/>
        </w:rPr>
        <w:t>means the Expiration Date set forth on the Grant Notice.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“Grant Notice” </w:t>
      </w:r>
      <w:r>
        <w:rPr>
          <w:rFonts w:ascii="Arial" w:cs="Arial" w:eastAsia="Arial" w:hAnsi="Arial"/>
          <w:sz w:val="22"/>
          <w:szCs w:val="22"/>
          <w:color w:val="auto"/>
        </w:rPr>
        <w:t>means the Notice of Stock Option Award to which the Award Terms are attached.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the recipient of the Award named on the Grant Notice.</w:t>
      </w:r>
    </w:p>
    <w:p>
      <w:pPr>
        <w:spacing w:after="0" w:line="220" w:lineRule="exact"/>
        <w:rPr>
          <w:sz w:val="20"/>
          <w:szCs w:val="20"/>
          <w:color w:val="auto"/>
        </w:rPr>
      </w:pPr>
    </w:p>
    <w:p>
      <w:pPr>
        <w:ind w:right="940" w:firstLine="1296"/>
        <w:spacing w:after="0" w:line="269" w:lineRule="auto"/>
        <w:rPr>
          <w:sz w:val="20"/>
          <w:szCs w:val="20"/>
          <w:color w:val="auto"/>
        </w:rPr>
      </w:pPr>
      <w:r>
        <w:rPr>
          <w:rFonts w:ascii="Arial" w:cs="Arial" w:eastAsia="Arial" w:hAnsi="Arial"/>
          <w:sz w:val="22"/>
          <w:szCs w:val="22"/>
          <w:b w:val="1"/>
          <w:bCs w:val="1"/>
          <w:color w:val="auto"/>
        </w:rPr>
        <w:t xml:space="preserve">“Option” </w:t>
      </w:r>
      <w:r>
        <w:rPr>
          <w:rFonts w:ascii="Arial" w:cs="Arial" w:eastAsia="Arial" w:hAnsi="Arial"/>
          <w:sz w:val="22"/>
          <w:szCs w:val="22"/>
          <w:color w:val="auto"/>
        </w:rPr>
        <w:t>means the Stock Option to purchase Common Shares awarded to the Holder on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described in the Grant 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Activision Blizzard, Inc. 2014 Incentive Plan, as amended from time to time.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means Section 409A of the Code and the guidance and regulations promulgated thereunder.</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U.S. Securities Act of 1933,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“Shares” </w:t>
      </w:r>
      <w:r>
        <w:rPr>
          <w:rFonts w:ascii="Arial" w:cs="Arial" w:eastAsia="Arial" w:hAnsi="Arial"/>
          <w:sz w:val="22"/>
          <w:szCs w:val="22"/>
          <w:color w:val="auto"/>
        </w:rPr>
        <w:t>means the Common Shares purchasable upon exercise of the Stock Option.</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40"/>
          </w:cols>
          <w:pgMar w:left="320" w:top="1165" w:right="339" w:bottom="1440" w:gutter="0" w:footer="0" w:header="0"/>
        </w:sectPr>
      </w:pPr>
    </w:p>
    <w:bookmarkStart w:id="120" w:name="page121"/>
    <w:bookmarkEnd w:id="120"/>
    <w:p>
      <w:pPr>
        <w:ind w:left="1300"/>
        <w:spacing w:after="0"/>
        <w:rPr>
          <w:sz w:val="20"/>
          <w:szCs w:val="20"/>
          <w:color w:val="auto"/>
        </w:rPr>
      </w:pPr>
      <w:r>
        <w:rPr>
          <w:rFonts w:ascii="Arial" w:cs="Arial" w:eastAsia="Arial" w:hAnsi="Arial"/>
          <w:sz w:val="22"/>
          <w:szCs w:val="22"/>
          <w:b w:val="1"/>
          <w:bCs w:val="1"/>
          <w:color w:val="auto"/>
        </w:rPr>
        <w:t xml:space="preserve">“U.S.” </w:t>
      </w:r>
      <w:r>
        <w:rPr>
          <w:rFonts w:ascii="Arial" w:cs="Arial" w:eastAsia="Arial" w:hAnsi="Arial"/>
          <w:sz w:val="22"/>
          <w:szCs w:val="22"/>
          <w:color w:val="auto"/>
        </w:rPr>
        <w:t>means the United States of America.</w:t>
      </w:r>
    </w:p>
    <w:p>
      <w:pPr>
        <w:spacing w:after="0" w:line="220" w:lineRule="exact"/>
        <w:rPr>
          <w:sz w:val="20"/>
          <w:szCs w:val="20"/>
          <w:color w:val="auto"/>
        </w:rPr>
      </w:pPr>
    </w:p>
    <w:p>
      <w:pPr>
        <w:ind w:right="140" w:firstLine="1296"/>
        <w:spacing w:after="0" w:line="274"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w:t>
      </w:r>
      <w:r>
        <w:rPr>
          <w:rFonts w:ascii="Arial" w:cs="Arial" w:eastAsia="Arial" w:hAnsi="Arial"/>
          <w:sz w:val="21"/>
          <w:szCs w:val="21"/>
          <w:b w:val="1"/>
          <w:bCs w:val="1"/>
          <w:color w:val="auto"/>
        </w:rPr>
        <w:t xml:space="preserve"> </w:t>
      </w:r>
      <w:r>
        <w:rPr>
          <w:rFonts w:ascii="Arial" w:cs="Arial" w:eastAsia="Arial" w:hAnsi="Arial"/>
          <w:sz w:val="21"/>
          <w:szCs w:val="21"/>
          <w:color w:val="auto"/>
        </w:rPr>
        <w:t>social security and Medicare), payroll tax, state and local income taxes, fringe benefits tax, and payment on account, required or permitted under any applicable law to be withheld from amounts otherwise payable to the Holder.</w:t>
      </w:r>
    </w:p>
    <w:p>
      <w:pPr>
        <w:spacing w:after="0" w:line="16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capitalized term used but not otherwise defined herein shall have the meaning ascribed to such term 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Expiration</w:t>
      </w:r>
      <w:r>
        <w:rPr>
          <w:rFonts w:ascii="Arial" w:cs="Arial" w:eastAsia="Arial" w:hAnsi="Arial"/>
          <w:sz w:val="19"/>
          <w:szCs w:val="19"/>
          <w:color w:val="auto"/>
        </w:rPr>
        <w:t>. The Stock Option shall expire on the Expiration Date and, after such expiration, shall no longer be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exercisable.</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Vesting and Exercise</w:t>
      </w:r>
      <w:r>
        <w:rPr>
          <w:rFonts w:ascii="Arial" w:cs="Arial" w:eastAsia="Arial" w:hAnsi="Arial"/>
          <w:sz w:val="22"/>
          <w:szCs w:val="22"/>
          <w:color w:val="auto"/>
        </w:rPr>
        <w:t>.</w:t>
      </w:r>
    </w:p>
    <w:p>
      <w:pPr>
        <w:spacing w:after="0" w:line="220" w:lineRule="exact"/>
        <w:rPr>
          <w:sz w:val="20"/>
          <w:szCs w:val="20"/>
          <w:color w:val="auto"/>
        </w:rPr>
      </w:pPr>
    </w:p>
    <w:p>
      <w:pPr>
        <w:ind w:right="120" w:firstLine="1092"/>
        <w:spacing w:after="0" w:line="263"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otherwise set forth in these Award Terms, the Stock Option shall vest, and thereupon become exercisable, in accordance with the “Schedule for Vesting” set forth on the Grant Notice.</w:t>
      </w:r>
    </w:p>
    <w:p>
      <w:pPr>
        <w:spacing w:after="0" w:line="175" w:lineRule="exact"/>
        <w:rPr>
          <w:sz w:val="20"/>
          <w:szCs w:val="20"/>
          <w:color w:val="auto"/>
        </w:rPr>
      </w:pPr>
    </w:p>
    <w:p>
      <w:pPr>
        <w:ind w:firstLine="1032"/>
        <w:spacing w:after="0" w:line="250"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Exercisable Only by the Holder</w:t>
      </w:r>
      <w:r>
        <w:rPr>
          <w:rFonts w:ascii="Arial" w:cs="Arial" w:eastAsia="Arial" w:hAnsi="Arial"/>
          <w:sz w:val="22"/>
          <w:szCs w:val="22"/>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88" w:lineRule="exact"/>
        <w:rPr>
          <w:sz w:val="20"/>
          <w:szCs w:val="20"/>
          <w:color w:val="auto"/>
        </w:rPr>
      </w:pPr>
    </w:p>
    <w:p>
      <w:pPr>
        <w:ind w:right="120" w:firstLine="972"/>
        <w:spacing w:after="0" w:line="248"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Procedure for Exercise</w:t>
      </w:r>
      <w:r>
        <w:rPr>
          <w:rFonts w:ascii="Arial" w:cs="Arial" w:eastAsia="Arial" w:hAnsi="Arial"/>
          <w:sz w:val="22"/>
          <w:szCs w:val="22"/>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92" w:lineRule="exact"/>
        <w:rPr>
          <w:sz w:val="20"/>
          <w:szCs w:val="20"/>
          <w:color w:val="auto"/>
        </w:rPr>
      </w:pPr>
    </w:p>
    <w:p>
      <w:pPr>
        <w:ind w:firstLine="984"/>
        <w:spacing w:after="0" w:line="287"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Payment of Exercise Price</w:t>
      </w:r>
      <w:r>
        <w:rPr>
          <w:rFonts w:ascii="Arial" w:cs="Arial" w:eastAsia="Arial" w:hAnsi="Arial"/>
          <w:sz w:val="19"/>
          <w:szCs w:val="19"/>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through the withholding of Shares otherwise deliverable upon exercise, (iv) for U.S. taxpayers only, by tendering previously owned Common Shares (valued at their Market Value per Share as of the date of tender), or (v) any combination of (i), (ii), (iii) or (for U.S. employees only) (iv) above or any other manner permitted pursuant to the Plan.</w:t>
      </w: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A-3</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20"/>
          </w:cols>
          <w:pgMar w:left="320" w:top="1165" w:right="359" w:bottom="1440" w:gutter="0" w:footer="0" w:header="0"/>
        </w:sectPr>
      </w:pPr>
    </w:p>
    <w:bookmarkStart w:id="121" w:name="page122"/>
    <w:bookmarkEnd w:id="121"/>
    <w:p>
      <w:pPr>
        <w:ind w:left="1060"/>
        <w:spacing w:after="0"/>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No Fractional Shares</w:t>
      </w:r>
      <w:r>
        <w:rPr>
          <w:rFonts w:ascii="Arial" w:cs="Arial" w:eastAsia="Arial" w:hAnsi="Arial"/>
          <w:sz w:val="22"/>
          <w:szCs w:val="22"/>
          <w:color w:val="auto"/>
        </w:rPr>
        <w:t>. In no event may the Stock Option be exercised for a fraction of a Share.</w:t>
      </w:r>
    </w:p>
    <w:p>
      <w:pPr>
        <w:spacing w:after="0" w:line="220" w:lineRule="exact"/>
        <w:rPr>
          <w:sz w:val="20"/>
          <w:szCs w:val="20"/>
          <w:color w:val="auto"/>
        </w:rPr>
      </w:pPr>
    </w:p>
    <w:p>
      <w:pPr>
        <w:ind w:right="40" w:firstLine="984"/>
        <w:spacing w:after="0" w:line="250" w:lineRule="auto"/>
        <w:rPr>
          <w:sz w:val="20"/>
          <w:szCs w:val="20"/>
          <w:color w:val="auto"/>
        </w:rPr>
      </w:pPr>
      <w:r>
        <w:rPr>
          <w:rFonts w:ascii="Arial" w:cs="Arial" w:eastAsia="Arial" w:hAnsi="Arial"/>
          <w:sz w:val="22"/>
          <w:szCs w:val="22"/>
          <w:color w:val="auto"/>
        </w:rPr>
        <w:t>(vi)</w:t>
      </w:r>
      <w:r>
        <w:rPr>
          <w:rFonts w:ascii="Arial" w:cs="Arial" w:eastAsia="Arial" w:hAnsi="Arial"/>
          <w:sz w:val="22"/>
          <w:szCs w:val="22"/>
          <w:u w:val="single" w:color="auto"/>
          <w:color w:val="auto"/>
        </w:rPr>
        <w:t>No Adjustment for Dividends or Other Rights</w:t>
      </w:r>
      <w:r>
        <w:rPr>
          <w:rFonts w:ascii="Arial" w:cs="Arial" w:eastAsia="Arial" w:hAnsi="Arial"/>
          <w:sz w:val="22"/>
          <w:szCs w:val="22"/>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88" w:lineRule="exact"/>
        <w:rPr>
          <w:sz w:val="20"/>
          <w:szCs w:val="20"/>
          <w:color w:val="auto"/>
        </w:rPr>
      </w:pPr>
    </w:p>
    <w:p>
      <w:pPr>
        <w:ind w:firstLine="924"/>
        <w:spacing w:after="0" w:line="292" w:lineRule="auto"/>
        <w:rPr>
          <w:sz w:val="20"/>
          <w:szCs w:val="20"/>
          <w:color w:val="auto"/>
        </w:rPr>
      </w:pPr>
      <w:r>
        <w:rPr>
          <w:rFonts w:ascii="Arial" w:cs="Arial" w:eastAsia="Arial" w:hAnsi="Arial"/>
          <w:sz w:val="19"/>
          <w:szCs w:val="19"/>
          <w:color w:val="auto"/>
        </w:rPr>
        <w:t>(vii)</w:t>
      </w:r>
      <w:r>
        <w:rPr>
          <w:rFonts w:ascii="Arial" w:cs="Arial" w:eastAsia="Arial" w:hAnsi="Arial"/>
          <w:sz w:val="19"/>
          <w:szCs w:val="19"/>
          <w:u w:val="single" w:color="auto"/>
          <w:color w:val="auto"/>
        </w:rPr>
        <w:t>Issuance and Delivery of Shares</w:t>
      </w:r>
      <w:r>
        <w:rPr>
          <w:rFonts w:ascii="Arial" w:cs="Arial" w:eastAsia="Arial" w:hAnsi="Arial"/>
          <w:sz w:val="19"/>
          <w:szCs w:val="19"/>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51" w:lineRule="exact"/>
        <w:rPr>
          <w:sz w:val="20"/>
          <w:szCs w:val="20"/>
          <w:color w:val="auto"/>
        </w:rPr>
      </w:pPr>
    </w:p>
    <w:p>
      <w:pPr>
        <w:ind w:right="160" w:firstLine="864"/>
        <w:spacing w:after="0" w:line="250"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u w:val="single" w:color="auto"/>
          <w:color w:val="auto"/>
        </w:rPr>
        <w:t>Partial Exercise</w:t>
      </w:r>
      <w:r>
        <w:rPr>
          <w:rFonts w:ascii="Arial" w:cs="Arial" w:eastAsia="Arial" w:hAnsi="Arial"/>
          <w:sz w:val="22"/>
          <w:szCs w:val="22"/>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8"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20" w:lineRule="exact"/>
        <w:rPr>
          <w:sz w:val="20"/>
          <w:szCs w:val="20"/>
          <w:color w:val="auto"/>
        </w:rPr>
      </w:pPr>
    </w:p>
    <w:p>
      <w:pPr>
        <w:ind w:firstLine="984"/>
        <w:spacing w:after="0" w:line="248" w:lineRule="auto"/>
        <w:rPr>
          <w:sz w:val="20"/>
          <w:szCs w:val="20"/>
          <w:color w:val="auto"/>
        </w:rPr>
      </w:pPr>
      <w:r>
        <w:rPr>
          <w:rFonts w:ascii="Arial" w:cs="Arial" w:eastAsia="Arial" w:hAnsi="Arial"/>
          <w:sz w:val="22"/>
          <w:szCs w:val="22"/>
          <w:color w:val="auto"/>
        </w:rPr>
        <w:t>(ix)</w:t>
      </w:r>
      <w:r>
        <w:rPr>
          <w:rFonts w:ascii="Arial" w:cs="Arial" w:eastAsia="Arial" w:hAnsi="Arial"/>
          <w:sz w:val="22"/>
          <w:szCs w:val="22"/>
          <w:u w:val="single" w:color="auto"/>
          <w:color w:val="auto"/>
        </w:rPr>
        <w:t>Cause</w:t>
      </w:r>
      <w:r>
        <w:rPr>
          <w:rFonts w:ascii="Arial" w:cs="Arial" w:eastAsia="Arial" w:hAnsi="Arial"/>
          <w:sz w:val="22"/>
          <w:szCs w:val="22"/>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 (iii) be immediately cancelled.</w:t>
      </w:r>
    </w:p>
    <w:p>
      <w:pPr>
        <w:spacing w:after="0" w:line="192" w:lineRule="exact"/>
        <w:rPr>
          <w:sz w:val="20"/>
          <w:szCs w:val="20"/>
          <w:color w:val="auto"/>
        </w:rPr>
      </w:pPr>
    </w:p>
    <w:p>
      <w:pPr>
        <w:ind w:firstLine="1044"/>
        <w:spacing w:after="0" w:line="289" w:lineRule="auto"/>
        <w:rPr>
          <w:sz w:val="20"/>
          <w:szCs w:val="20"/>
          <w:color w:val="auto"/>
        </w:rPr>
      </w:pPr>
      <w:r>
        <w:rPr>
          <w:rFonts w:ascii="Arial" w:cs="Arial" w:eastAsia="Arial" w:hAnsi="Arial"/>
          <w:sz w:val="19"/>
          <w:szCs w:val="19"/>
          <w:color w:val="auto"/>
        </w:rPr>
        <w:t>(x)</w:t>
      </w:r>
      <w:r>
        <w:rPr>
          <w:rFonts w:ascii="Arial" w:cs="Arial" w:eastAsia="Arial" w:hAnsi="Arial"/>
          <w:sz w:val="19"/>
          <w:szCs w:val="19"/>
          <w:u w:val="single" w:color="auto"/>
          <w:color w:val="auto"/>
        </w:rPr>
        <w:t>Death or Disability</w:t>
      </w:r>
      <w:r>
        <w:rPr>
          <w:rFonts w:ascii="Arial" w:cs="Arial" w:eastAsia="Arial" w:hAnsi="Arial"/>
          <w:sz w:val="19"/>
          <w:szCs w:val="19"/>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A-4</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20"/>
          </w:cols>
          <w:pgMar w:left="320" w:top="1171" w:right="359" w:bottom="1440" w:gutter="0" w:footer="0" w:header="0"/>
        </w:sectPr>
      </w:pPr>
    </w:p>
    <w:bookmarkStart w:id="122" w:name="page123"/>
    <w:bookmarkEnd w:id="122"/>
    <w:p>
      <w:pPr>
        <w:ind w:right="60" w:firstLine="984"/>
        <w:spacing w:after="0" w:line="258" w:lineRule="auto"/>
        <w:rPr>
          <w:sz w:val="20"/>
          <w:szCs w:val="20"/>
          <w:color w:val="auto"/>
        </w:rPr>
      </w:pPr>
      <w:r>
        <w:rPr>
          <w:rFonts w:ascii="Arial" w:cs="Arial" w:eastAsia="Arial" w:hAnsi="Arial"/>
          <w:sz w:val="21"/>
          <w:szCs w:val="21"/>
          <w:color w:val="auto"/>
        </w:rPr>
        <w:t>(xi)</w:t>
      </w: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82"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20" w:lineRule="exact"/>
        <w:rPr>
          <w:sz w:val="20"/>
          <w:szCs w:val="20"/>
          <w:color w:val="auto"/>
        </w:rPr>
      </w:pPr>
    </w:p>
    <w:p>
      <w:pPr>
        <w:ind w:firstLine="924"/>
        <w:spacing w:after="0" w:line="287" w:lineRule="auto"/>
        <w:rPr>
          <w:sz w:val="20"/>
          <w:szCs w:val="20"/>
          <w:color w:val="auto"/>
        </w:rPr>
      </w:pPr>
      <w:r>
        <w:rPr>
          <w:rFonts w:ascii="Arial" w:cs="Arial" w:eastAsia="Arial" w:hAnsi="Arial"/>
          <w:sz w:val="19"/>
          <w:szCs w:val="19"/>
          <w:color w:val="auto"/>
        </w:rPr>
        <w:t>(xii)Regardless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if any,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 Option to reduce or eliminate the Holder’s liability for Withholding Taxes or achieve any particular tax result. Further, if the Holder is or becomes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59" w:lineRule="exact"/>
        <w:rPr>
          <w:sz w:val="20"/>
          <w:szCs w:val="20"/>
          <w:color w:val="auto"/>
        </w:rPr>
      </w:pPr>
    </w:p>
    <w:p>
      <w:pPr>
        <w:ind w:right="40" w:firstLine="864"/>
        <w:spacing w:after="0" w:line="288" w:lineRule="auto"/>
        <w:rPr>
          <w:sz w:val="20"/>
          <w:szCs w:val="20"/>
          <w:color w:val="auto"/>
        </w:rPr>
      </w:pPr>
      <w:r>
        <w:rPr>
          <w:rFonts w:ascii="Arial" w:cs="Arial" w:eastAsia="Arial" w:hAnsi="Arial"/>
          <w:sz w:val="19"/>
          <w:szCs w:val="19"/>
          <w:color w:val="auto"/>
        </w:rPr>
        <w:t>(xiii)Prior to any relevant taxable or tax withholding event, as applicable, the Holder agrees to make adequate arrangements satisfactory to the Company and/or the Employer to satisfy all Withholding Taxes resulting from the exercise (in whole or in part) of the Stock Option, the issuance or transfer of any Shares upon exercise of the Stock Option or otherwise in connection with the Award at the time such Withholding Taxes become due. In this regard, the Holder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w:t>
      </w: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A-5</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40"/>
          </w:cols>
          <w:pgMar w:left="320" w:top="1171" w:right="339" w:bottom="1440" w:gutter="0" w:footer="0" w:header="0"/>
        </w:sectPr>
      </w:pPr>
    </w:p>
    <w:bookmarkStart w:id="123" w:name="page124"/>
    <w:bookmarkEnd w:id="123"/>
    <w:p>
      <w:pPr>
        <w:jc w:val="both"/>
        <w:ind w:right="80"/>
        <w:spacing w:after="0" w:line="288" w:lineRule="auto"/>
        <w:rPr>
          <w:sz w:val="20"/>
          <w:szCs w:val="20"/>
          <w:color w:val="auto"/>
        </w:rPr>
      </w:pPr>
      <w:r>
        <w:rPr>
          <w:rFonts w:ascii="Arial" w:cs="Arial" w:eastAsia="Arial" w:hAnsi="Arial"/>
          <w:sz w:val="19"/>
          <w:szCs w:val="19"/>
          <w:color w:val="auto"/>
        </w:rPr>
        <w:t>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w:t>
      </w:r>
    </w:p>
    <w:p>
      <w:pPr>
        <w:spacing w:after="0" w:line="1" w:lineRule="exact"/>
        <w:rPr>
          <w:sz w:val="20"/>
          <w:szCs w:val="20"/>
          <w:color w:val="auto"/>
        </w:rPr>
      </w:pPr>
    </w:p>
    <w:p>
      <w:pPr>
        <w:ind w:right="20" w:firstLine="8"/>
        <w:spacing w:after="0" w:line="245" w:lineRule="auto"/>
        <w:tabs>
          <w:tab w:leader="none" w:pos="366" w:val="left"/>
        </w:tabs>
        <w:numPr>
          <w:ilvl w:val="0"/>
          <w:numId w:val="62"/>
        </w:numPr>
        <w:rPr>
          <w:rFonts w:ascii="Arial" w:cs="Arial" w:eastAsia="Arial" w:hAnsi="Arial"/>
          <w:sz w:val="22"/>
          <w:szCs w:val="22"/>
          <w:color w:val="auto"/>
        </w:rPr>
      </w:pPr>
      <w:r>
        <w:rPr>
          <w:rFonts w:ascii="Arial" w:cs="Arial" w:eastAsia="Arial" w:hAnsi="Arial"/>
          <w:sz w:val="22"/>
          <w:szCs w:val="22"/>
          <w:color w:val="auto"/>
        </w:rPr>
        <w:t>by any combination of (i), (ii) 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93" w:lineRule="exact"/>
        <w:rPr>
          <w:sz w:val="20"/>
          <w:szCs w:val="20"/>
          <w:color w:val="auto"/>
        </w:rPr>
      </w:pPr>
    </w:p>
    <w:p>
      <w:pPr>
        <w:ind w:right="20" w:firstLine="876"/>
        <w:spacing w:after="0" w:line="258" w:lineRule="auto"/>
        <w:rPr>
          <w:sz w:val="20"/>
          <w:szCs w:val="20"/>
          <w:color w:val="auto"/>
        </w:rPr>
      </w:pPr>
      <w:r>
        <w:rPr>
          <w:rFonts w:ascii="Arial" w:cs="Arial" w:eastAsia="Arial" w:hAnsi="Arial"/>
          <w:sz w:val="21"/>
          <w:szCs w:val="21"/>
          <w:color w:val="auto"/>
        </w:rPr>
        <w:t>(xiv)The Company Group may withhold or account for Withholding Taxes contemplated by this Section 5 by reference to applicable withholding rates, including minimum or maximum applicable statutory rates in the Holder’s jurisdiction(s) of employment and/or residency, and if the Company Group withholds more than the amount necessary to satisfy the liability, the Holder may receive a refund of any over-withheld amount in cash and will have no entitlement to the equivalent Shares. If the Company Group withholds less than the amount necessary to satisfy the liability, the Holder may be required to pay any additional Withholding Taxes directly to the applicable tax authority or to the Company and/or the Employer.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No fractional Shares will be withheld or issued pursuant to the exercise of the Stock Option and the issuance of Withholding Taxes thereunder.</w:t>
      </w:r>
    </w:p>
    <w:p>
      <w:pPr>
        <w:spacing w:after="0" w:line="179" w:lineRule="exact"/>
        <w:rPr>
          <w:sz w:val="20"/>
          <w:szCs w:val="20"/>
          <w:color w:val="auto"/>
        </w:rPr>
      </w:pPr>
    </w:p>
    <w:p>
      <w:pPr>
        <w:ind w:right="60" w:firstLine="656"/>
        <w:spacing w:after="0" w:line="269"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Deemed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By accepting the Award, the Holder is deemed to be bound by the terms and conditions</w:t>
      </w:r>
      <w:r>
        <w:rPr>
          <w:rFonts w:ascii="Arial" w:cs="Arial" w:eastAsia="Arial" w:hAnsi="Arial"/>
          <w:sz w:val="22"/>
          <w:szCs w:val="22"/>
          <w:color w:val="auto"/>
        </w:rPr>
        <w:t xml:space="preserve"> </w:t>
      </w:r>
      <w:r>
        <w:rPr>
          <w:rFonts w:ascii="Arial" w:cs="Arial" w:eastAsia="Arial" w:hAnsi="Arial"/>
          <w:sz w:val="22"/>
          <w:szCs w:val="22"/>
          <w:b w:val="1"/>
          <w:bCs w:val="1"/>
          <w:color w:val="auto"/>
        </w:rPr>
        <w:t>set forth in the Plan, the Grant Notice and these Award Terms.</w:t>
      </w:r>
    </w:p>
    <w:p>
      <w:pPr>
        <w:spacing w:after="0" w:line="167" w:lineRule="exact"/>
        <w:rPr>
          <w:rFonts w:ascii="Arial" w:cs="Arial" w:eastAsia="Arial" w:hAnsi="Arial"/>
          <w:sz w:val="22"/>
          <w:szCs w:val="22"/>
          <w:color w:val="auto"/>
        </w:rPr>
      </w:pPr>
    </w:p>
    <w:p>
      <w:pPr>
        <w:ind w:right="100" w:firstLine="656"/>
        <w:spacing w:after="0" w:line="287" w:lineRule="auto"/>
        <w:tabs>
          <w:tab w:leader="none" w:pos="129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Reservation of Shares</w:t>
      </w:r>
      <w:r>
        <w:rPr>
          <w:rFonts w:ascii="Arial" w:cs="Arial" w:eastAsia="Arial" w:hAnsi="Arial"/>
          <w:sz w:val="21"/>
          <w:szCs w:val="21"/>
          <w:color w:val="auto"/>
        </w:rPr>
        <w:t>. The Company shall at all times reserve for issuance or delivery upon exercise of the Stock Option such number of Common Shares as shall be required for issuance or delivery upon exercise thereof.</w:t>
      </w:r>
    </w:p>
    <w:p>
      <w:pPr>
        <w:spacing w:after="0" w:line="151" w:lineRule="exact"/>
        <w:rPr>
          <w:rFonts w:ascii="Arial" w:cs="Arial" w:eastAsia="Arial" w:hAnsi="Arial"/>
          <w:sz w:val="21"/>
          <w:szCs w:val="21"/>
          <w:color w:val="auto"/>
        </w:rPr>
      </w:pPr>
    </w:p>
    <w:p>
      <w:pPr>
        <w:ind w:firstLine="656"/>
        <w:spacing w:after="0" w:line="287"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w:t>
      </w: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A-6</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20"/>
          </w:cols>
          <w:pgMar w:left="320" w:top="1171" w:right="35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accounting principles and interpretations thereof, or (iii) to prevent the Award from becoming subject to Section 409A.</w:t>
      </w:r>
    </w:p>
    <w:p>
      <w:pPr>
        <w:spacing w:after="0" w:line="231" w:lineRule="exact"/>
        <w:rPr>
          <w:sz w:val="20"/>
          <w:szCs w:val="20"/>
          <w:color w:val="auto"/>
        </w:rPr>
      </w:pPr>
    </w:p>
    <w:p>
      <w:pPr>
        <w:ind w:right="20" w:firstLine="656"/>
        <w:spacing w:after="0" w:line="289"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6" w:lineRule="exact"/>
        <w:rPr>
          <w:rFonts w:ascii="Arial" w:cs="Arial" w:eastAsia="Arial" w:hAnsi="Arial"/>
          <w:sz w:val="19"/>
          <w:szCs w:val="19"/>
          <w:color w:val="auto"/>
        </w:rPr>
      </w:pPr>
    </w:p>
    <w:p>
      <w:pPr>
        <w:ind w:right="20" w:firstLine="656"/>
        <w:spacing w:after="0" w:line="287"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U.S. Securities and Exchange Commission,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656"/>
        <w:spacing w:after="0" w:line="292" w:lineRule="auto"/>
        <w:tabs>
          <w:tab w:leader="none" w:pos="128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Subject to the terms of the Plan, and only with the Company’s consent, the Holder may transfer all or part of the Stock Option for estate planning purposes or pursuant to a domestic relations order (or a comparable order under applicable local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A-7</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40"/>
          </w:cols>
          <w:pgMar w:left="320" w:top="1171" w:right="339" w:bottom="1440" w:gutter="0" w:footer="0" w:header="0"/>
        </w:sectPr>
      </w:pPr>
    </w:p>
    <w:bookmarkStart w:id="125" w:name="page126"/>
    <w:bookmarkEnd w:id="125"/>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 and Regulations and Company Policies and Procedures</w:t>
      </w:r>
      <w:r>
        <w:rPr>
          <w:rFonts w:ascii="Arial" w:cs="Arial" w:eastAsia="Arial" w:hAnsi="Arial"/>
          <w:sz w:val="22"/>
          <w:szCs w:val="22"/>
          <w:color w:val="auto"/>
        </w:rPr>
        <w:t>.</w:t>
      </w:r>
    </w:p>
    <w:p>
      <w:pPr>
        <w:spacing w:after="0" w:line="220" w:lineRule="exact"/>
        <w:rPr>
          <w:sz w:val="20"/>
          <w:szCs w:val="20"/>
          <w:color w:val="auto"/>
        </w:rPr>
      </w:pPr>
    </w:p>
    <w:p>
      <w:pPr>
        <w:ind w:right="280" w:firstLine="936"/>
        <w:spacing w:after="0" w:line="253" w:lineRule="auto"/>
        <w:rPr>
          <w:sz w:val="20"/>
          <w:szCs w:val="20"/>
          <w:color w:val="auto"/>
        </w:rPr>
      </w:pPr>
      <w:r>
        <w:rPr>
          <w:rFonts w:ascii="Arial" w:cs="Arial" w:eastAsia="Arial" w:hAnsi="Arial"/>
          <w:sz w:val="22"/>
          <w:szCs w:val="22"/>
          <w:color w:val="auto"/>
        </w:rPr>
        <w:t>(xv)The Holder is responsible for complying with (i) any federal, state, and local tax, social insurance, national insurance contributions, payroll tax, payment on account or other tax liabilities applicable to the Holder in connection with the Award and (ii) all Exercise Rules and Regulations.</w:t>
      </w:r>
    </w:p>
    <w:p>
      <w:pPr>
        <w:spacing w:after="0" w:line="185" w:lineRule="exact"/>
        <w:rPr>
          <w:sz w:val="20"/>
          <w:szCs w:val="20"/>
          <w:color w:val="auto"/>
        </w:rPr>
      </w:pPr>
    </w:p>
    <w:p>
      <w:pPr>
        <w:ind w:right="340" w:firstLine="876"/>
        <w:spacing w:after="0" w:line="253" w:lineRule="auto"/>
        <w:rPr>
          <w:sz w:val="20"/>
          <w:szCs w:val="20"/>
          <w:color w:val="auto"/>
        </w:rPr>
      </w:pPr>
      <w:r>
        <w:rPr>
          <w:rFonts w:ascii="Arial" w:cs="Arial" w:eastAsia="Arial" w:hAnsi="Arial"/>
          <w:sz w:val="22"/>
          <w:szCs w:val="22"/>
          <w:color w:val="auto"/>
        </w:rPr>
        <w:t>(xvi)The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85" w:lineRule="exact"/>
        <w:rPr>
          <w:sz w:val="20"/>
          <w:szCs w:val="20"/>
          <w:color w:val="auto"/>
        </w:rPr>
      </w:pPr>
    </w:p>
    <w:p>
      <w:pPr>
        <w:ind w:right="200" w:firstLine="816"/>
        <w:spacing w:after="0" w:line="271" w:lineRule="auto"/>
        <w:rPr>
          <w:sz w:val="20"/>
          <w:szCs w:val="20"/>
          <w:color w:val="auto"/>
        </w:rPr>
      </w:pPr>
      <w:r>
        <w:rPr>
          <w:rFonts w:ascii="Arial" w:cs="Arial" w:eastAsia="Arial" w:hAnsi="Arial"/>
          <w:sz w:val="21"/>
          <w:szCs w:val="21"/>
          <w:color w:val="auto"/>
        </w:rPr>
        <w:t>(xvii)If and when the Holder is an “executive officer” of the Company within the meaning of the Executive Stock Ownership Guidelines, the Award will be subject to the terms and conditions of the Executive Stock Ownership Guidelines and the limitations contained therein on the ability of the Holder to transfer any Vested Shares.</w:t>
      </w:r>
    </w:p>
    <w:p>
      <w:pPr>
        <w:spacing w:after="0" w:line="167" w:lineRule="exact"/>
        <w:rPr>
          <w:sz w:val="20"/>
          <w:szCs w:val="20"/>
          <w:color w:val="auto"/>
        </w:rPr>
      </w:pPr>
    </w:p>
    <w:p>
      <w:pPr>
        <w:ind w:firstLine="656"/>
        <w:spacing w:after="0" w:line="287"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A-8</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20"/>
          </w:cols>
          <w:pgMar w:left="320" w:top="1171" w:right="359" w:bottom="1440" w:gutter="0" w:footer="0" w:header="0"/>
        </w:sectPr>
      </w:pPr>
    </w:p>
    <w:bookmarkStart w:id="126" w:name="page127"/>
    <w:bookmarkEnd w:id="126"/>
    <w:p>
      <w:pPr>
        <w:ind w:right="500" w:firstLine="656"/>
        <w:spacing w:after="0" w:line="263"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The Company may, if determined by it based on the advice of counsel to be appropriate, cause any certificate evidencing Shares to bear a legend substantially as follows:</w:t>
      </w:r>
    </w:p>
    <w:p>
      <w:pPr>
        <w:spacing w:after="0" w:line="175" w:lineRule="exact"/>
        <w:rPr>
          <w:sz w:val="20"/>
          <w:szCs w:val="20"/>
          <w:color w:val="auto"/>
        </w:rPr>
      </w:pPr>
    </w:p>
    <w:p>
      <w:pPr>
        <w:ind w:left="660" w:right="400"/>
        <w:spacing w:after="0" w:line="250" w:lineRule="auto"/>
        <w:rPr>
          <w:sz w:val="20"/>
          <w:szCs w:val="20"/>
          <w:color w:val="auto"/>
        </w:rPr>
      </w:pPr>
      <w:r>
        <w:rPr>
          <w:rFonts w:ascii="Arial" w:cs="Arial" w:eastAsia="Arial" w:hAnsi="Arial"/>
          <w:sz w:val="22"/>
          <w:szCs w:val="22"/>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8" w:lineRule="exact"/>
        <w:rPr>
          <w:sz w:val="20"/>
          <w:szCs w:val="20"/>
          <w:color w:val="auto"/>
        </w:rPr>
      </w:pPr>
    </w:p>
    <w:p>
      <w:pPr>
        <w:jc w:val="both"/>
        <w:ind w:right="360" w:firstLine="656"/>
        <w:spacing w:after="0" w:line="265" w:lineRule="auto"/>
        <w:tabs>
          <w:tab w:leader="none" w:pos="1296"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the Holder’s employment or service relationship at any time.</w:t>
      </w:r>
    </w:p>
    <w:p>
      <w:pPr>
        <w:spacing w:after="0" w:line="175" w:lineRule="exact"/>
        <w:rPr>
          <w:rFonts w:ascii="Arial" w:cs="Arial" w:eastAsia="Arial" w:hAnsi="Arial"/>
          <w:sz w:val="21"/>
          <w:szCs w:val="21"/>
          <w:color w:val="auto"/>
        </w:rPr>
      </w:pPr>
    </w:p>
    <w:p>
      <w:pPr>
        <w:ind w:right="120" w:firstLine="656"/>
        <w:spacing w:after="0" w:line="250" w:lineRule="auto"/>
        <w:tabs>
          <w:tab w:leader="none" w:pos="129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7" w:lineRule="exact"/>
        <w:rPr>
          <w:rFonts w:ascii="Arial" w:cs="Arial" w:eastAsia="Arial" w:hAnsi="Arial"/>
          <w:sz w:val="22"/>
          <w:szCs w:val="22"/>
          <w:color w:val="auto"/>
        </w:rPr>
      </w:pPr>
    </w:p>
    <w:p>
      <w:pPr>
        <w:ind w:right="280" w:firstLine="656"/>
        <w:spacing w:after="0" w:line="312"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Venue and Governing Law</w:t>
      </w:r>
      <w:r>
        <w:rPr>
          <w:rFonts w:ascii="Arial" w:cs="Arial" w:eastAsia="Arial" w:hAnsi="Arial"/>
          <w:sz w:val="22"/>
          <w:szCs w:val="22"/>
          <w:color w:val="auto"/>
        </w:rPr>
        <w:t>.</w:t>
      </w:r>
    </w:p>
    <w:p>
      <w:pPr>
        <w:spacing w:after="0" w:line="220" w:lineRule="exact"/>
        <w:rPr>
          <w:sz w:val="20"/>
          <w:szCs w:val="20"/>
          <w:color w:val="auto"/>
        </w:rPr>
      </w:pPr>
    </w:p>
    <w:p>
      <w:pPr>
        <w:ind w:firstLine="756"/>
        <w:spacing w:after="0" w:line="246" w:lineRule="auto"/>
        <w:rPr>
          <w:sz w:val="20"/>
          <w:szCs w:val="20"/>
          <w:color w:val="auto"/>
        </w:rPr>
      </w:pPr>
      <w:r>
        <w:rPr>
          <w:rFonts w:ascii="Arial" w:cs="Arial" w:eastAsia="Arial" w:hAnsi="Arial"/>
          <w:sz w:val="22"/>
          <w:szCs w:val="22"/>
          <w:color w:val="auto"/>
        </w:rPr>
        <w:t xml:space="preserve">(xviii)For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parties have entered into another agreement providing for a different venue or forum (e.g., a dispute resolution agreement), then the terms of such agreement will control for purposes of this provision.</w:t>
      </w:r>
    </w:p>
    <w:p>
      <w:pPr>
        <w:spacing w:after="0" w:line="196" w:lineRule="exact"/>
        <w:rPr>
          <w:sz w:val="20"/>
          <w:szCs w:val="20"/>
          <w:color w:val="auto"/>
        </w:rPr>
      </w:pPr>
    </w:p>
    <w:p>
      <w:pPr>
        <w:ind w:right="40" w:firstLine="876"/>
        <w:spacing w:after="0" w:line="253" w:lineRule="auto"/>
        <w:rPr>
          <w:sz w:val="20"/>
          <w:szCs w:val="20"/>
          <w:color w:val="auto"/>
        </w:rPr>
      </w:pPr>
      <w:r>
        <w:rPr>
          <w:rFonts w:ascii="Arial" w:cs="Arial" w:eastAsia="Arial" w:hAnsi="Arial"/>
          <w:sz w:val="22"/>
          <w:szCs w:val="22"/>
          <w:color w:val="auto"/>
        </w:rPr>
        <w:t>(xix)To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85" w:lineRule="exact"/>
        <w:rPr>
          <w:sz w:val="20"/>
          <w:szCs w:val="20"/>
          <w:color w:val="auto"/>
        </w:rPr>
      </w:pPr>
    </w:p>
    <w:p>
      <w:pPr>
        <w:ind w:right="20" w:firstLine="656"/>
        <w:spacing w:after="0" w:line="250"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A-9</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080"/>
          </w:cols>
          <w:pgMar w:left="320" w:top="1171" w:right="499" w:bottom="1440" w:gutter="0" w:footer="0" w:header="0"/>
        </w:sectPr>
      </w:pPr>
    </w:p>
    <w:bookmarkStart w:id="127" w:name="page128"/>
    <w:bookmarkEnd w:id="127"/>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Delivery of Notices and Other Documents</w:t>
      </w:r>
      <w:r>
        <w:rPr>
          <w:rFonts w:ascii="Arial" w:cs="Arial" w:eastAsia="Arial" w:hAnsi="Arial"/>
          <w:sz w:val="22"/>
          <w:szCs w:val="22"/>
          <w:color w:val="auto"/>
        </w:rPr>
        <w:t>.</w:t>
      </w:r>
    </w:p>
    <w:p>
      <w:pPr>
        <w:spacing w:after="0" w:line="220" w:lineRule="exact"/>
        <w:rPr>
          <w:sz w:val="20"/>
          <w:szCs w:val="20"/>
          <w:color w:val="auto"/>
        </w:rPr>
      </w:pPr>
    </w:p>
    <w:p>
      <w:pPr>
        <w:ind w:right="80" w:firstLine="936"/>
        <w:spacing w:after="0" w:line="263" w:lineRule="auto"/>
        <w:rPr>
          <w:sz w:val="20"/>
          <w:szCs w:val="20"/>
          <w:color w:val="auto"/>
        </w:rPr>
      </w:pPr>
      <w:r>
        <w:rPr>
          <w:rFonts w:ascii="Arial" w:cs="Arial" w:eastAsia="Arial" w:hAnsi="Arial"/>
          <w:sz w:val="21"/>
          <w:szCs w:val="21"/>
          <w:color w:val="auto"/>
        </w:rPr>
        <w:t>(xx)Any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the Holder may designate in writing from time to time. Notices shall be effective upon delivery.</w:t>
      </w:r>
    </w:p>
    <w:p>
      <w:pPr>
        <w:spacing w:after="0" w:line="175" w:lineRule="exact"/>
        <w:rPr>
          <w:sz w:val="20"/>
          <w:szCs w:val="20"/>
          <w:color w:val="auto"/>
        </w:rPr>
      </w:pPr>
    </w:p>
    <w:p>
      <w:pPr>
        <w:ind w:right="40" w:firstLine="876"/>
        <w:spacing w:after="0" w:line="289" w:lineRule="auto"/>
        <w:rPr>
          <w:sz w:val="20"/>
          <w:szCs w:val="20"/>
          <w:color w:val="auto"/>
        </w:rPr>
      </w:pPr>
      <w:r>
        <w:rPr>
          <w:rFonts w:ascii="Arial" w:cs="Arial" w:eastAsia="Arial" w:hAnsi="Arial"/>
          <w:sz w:val="19"/>
          <w:szCs w:val="19"/>
          <w:color w:val="auto"/>
        </w:rPr>
        <w:t>(xxi)Any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service contract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57" w:lineRule="exact"/>
        <w:rPr>
          <w:sz w:val="20"/>
          <w:szCs w:val="20"/>
          <w:color w:val="auto"/>
        </w:rPr>
      </w:pPr>
    </w:p>
    <w:p>
      <w:pPr>
        <w:ind w:right="140" w:firstLine="656"/>
        <w:spacing w:after="0" w:line="263"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Conflict with Plan</w:t>
      </w:r>
      <w:r>
        <w:rPr>
          <w:rFonts w:ascii="Arial" w:cs="Arial" w:eastAsia="Arial" w:hAnsi="Arial"/>
          <w:sz w:val="22"/>
          <w:szCs w:val="22"/>
          <w:color w:val="auto"/>
        </w:rPr>
        <w:t>. In the event of any conflict between the terms the Grant Notice or these Award Terms and the terms of the Plan, the terms of the Plan shall control.</w:t>
      </w:r>
    </w:p>
    <w:p>
      <w:pPr>
        <w:spacing w:after="0" w:line="174" w:lineRule="exact"/>
        <w:rPr>
          <w:rFonts w:ascii="Arial" w:cs="Arial" w:eastAsia="Arial" w:hAnsi="Arial"/>
          <w:sz w:val="22"/>
          <w:szCs w:val="22"/>
          <w:color w:val="auto"/>
        </w:rPr>
      </w:pPr>
    </w:p>
    <w:p>
      <w:pPr>
        <w:ind w:right="100" w:firstLine="656"/>
        <w:spacing w:after="0" w:line="247"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anything to the contrary contained herein, the Stock Option shall be subject to any additional terms and conditions set forth in the Appendix for the Holder’s country of work and/or residence, which constitute a part of these Award Terms. Moreover, if the Holder relocates his or her work and/or residence to one of the countries included in the Appendix, the additional terms and conditions for such country will apply to the Holder, to the extent the Company determines that the application of such terms and conditions is necessary or advisable in order to comply with applicable local law or facilitate the administration of the Plan.</w:t>
      </w:r>
    </w:p>
    <w:p>
      <w:pPr>
        <w:spacing w:after="0" w:line="192" w:lineRule="exact"/>
        <w:rPr>
          <w:rFonts w:ascii="Arial" w:cs="Arial" w:eastAsia="Arial" w:hAnsi="Arial"/>
          <w:sz w:val="22"/>
          <w:szCs w:val="22"/>
          <w:color w:val="auto"/>
        </w:rPr>
      </w:pPr>
    </w:p>
    <w:p>
      <w:pPr>
        <w:ind w:firstLine="656"/>
        <w:spacing w:after="0" w:line="302"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Holder’s participation in the Plan, on the Stock Option and on any Shares acquired under the Plan, to the extent the Company determines it is necessary or advisable in order to comply with applicable local law or facilitate the administration of the Plan, and to require the Holder to sign any additional agreements or undertakings that may be necessary to accomplish the foregoing.</w:t>
      </w:r>
    </w:p>
    <w:p>
      <w:pPr>
        <w:spacing w:after="0" w:line="142" w:lineRule="exact"/>
        <w:rPr>
          <w:rFonts w:ascii="Arial" w:cs="Arial" w:eastAsia="Arial" w:hAnsi="Arial"/>
          <w:sz w:val="19"/>
          <w:szCs w:val="19"/>
          <w:color w:val="auto"/>
        </w:rPr>
      </w:pPr>
    </w:p>
    <w:p>
      <w:pPr>
        <w:ind w:firstLine="656"/>
        <w:spacing w:after="0" w:line="253" w:lineRule="auto"/>
        <w:tabs>
          <w:tab w:leader="none" w:pos="113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A-10</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20"/>
          </w:cols>
          <w:pgMar w:left="320" w:top="1171" w:right="3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9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Appendix</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ACTIVISION BLIZZARD,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Incentive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AWARD TERMS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TERMS AND CONDITIONS BY COUNTRY</w:t>
      </w:r>
    </w:p>
    <w:p>
      <w:pPr>
        <w:spacing w:after="0" w:line="200" w:lineRule="exact"/>
        <w:rPr>
          <w:sz w:val="20"/>
          <w:szCs w:val="20"/>
          <w:color w:val="auto"/>
        </w:rPr>
      </w:pPr>
    </w:p>
    <w:p>
      <w:pPr>
        <w:spacing w:after="0" w:line="269"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Capitalized terms used but not defined herein shall have the meanings given to such terms in the Plan or the Award Terms, as the case may be.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This Appendix includes special terms and conditions applicable to Holders who work and/or reside in the countries covered by the Appendix. These terms and conditions are in addition to or, if so indicated, in place of, the terms and conditions set forth in the Award Terms.</w:t>
      </w:r>
    </w:p>
    <w:p>
      <w:pPr>
        <w:spacing w:after="0" w:line="18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If the Holder is a citizen or resident of a country other than the one in which he or she is currently residing and/or working, transferred or transfers employment and/or residency after the Stock Option was granted or is considered a resident of another country for local law purposes (</w:t>
      </w:r>
      <w:r>
        <w:rPr>
          <w:rFonts w:ascii="Arial" w:cs="Arial" w:eastAsia="Arial" w:hAnsi="Arial"/>
          <w:sz w:val="22"/>
          <w:szCs w:val="22"/>
          <w:i w:val="1"/>
          <w:iCs w:val="1"/>
          <w:color w:val="auto"/>
        </w:rPr>
        <w:t>i.e</w:t>
      </w:r>
      <w:r>
        <w:rPr>
          <w:rFonts w:ascii="Arial" w:cs="Arial" w:eastAsia="Arial" w:hAnsi="Arial"/>
          <w:sz w:val="22"/>
          <w:szCs w:val="22"/>
          <w:color w:val="auto"/>
        </w:rPr>
        <w:t>., the Holder is a “mobile employee”), the Company shall have the sole discretion to determine to what extent the special terms and conditions shall apply to the Holder.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the Holder should be aware with respect to his or her participation in the Plan. The information is based on the exchange control, securities and other laws in effect in the countries to which this Appendix refers as of October 2020. Such laws are often complex and change frequently. As a result, the Company strongly recommends that the Holder not rely on the notifications herein as the only source of information relating to the consequences of participation in the Plan because the information may be out of date at the time Shares are purchased upon exercise of the Stock Option or Shares purchased under the Plan are sold.</w:t>
      </w:r>
    </w:p>
    <w:p>
      <w:pPr>
        <w:spacing w:after="0" w:line="176"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In addition, the notifications are general in nature and may not apply to the particular situation of the Holder, and the Company is not in a position to assure the Holder of any particular result. Accordingly, each Holder should seek appropriate professional advice as to how the relevant laws in his or her country may apply to his or her situation. Finally, if the Holder is a mobile</w:t>
      </w:r>
    </w:p>
    <w:p>
      <w:pPr>
        <w:sectPr>
          <w:pgSz w:w="11900" w:h="16838" w:orient="portrait"/>
          <w:cols w:equalWidth="0" w:num="1">
            <w:col w:w="11220"/>
          </w:cols>
          <w:pgMar w:left="320" w:top="1422" w:right="359" w:bottom="1440" w:gutter="0" w:footer="0" w:header="0"/>
        </w:sectPr>
      </w:pPr>
    </w:p>
    <w:bookmarkStart w:id="129" w:name="page130"/>
    <w:bookmarkEnd w:id="129"/>
    <w:p>
      <w:pPr>
        <w:ind w:left="4320" w:right="1419" w:hanging="4320"/>
        <w:spacing w:after="0" w:line="263" w:lineRule="auto"/>
        <w:rPr>
          <w:sz w:val="20"/>
          <w:szCs w:val="20"/>
          <w:color w:val="auto"/>
        </w:rPr>
      </w:pPr>
      <w:r>
        <w:rPr>
          <w:rFonts w:ascii="Arial" w:cs="Arial" w:eastAsia="Arial" w:hAnsi="Arial"/>
          <w:sz w:val="22"/>
          <w:szCs w:val="22"/>
          <w:color w:val="auto"/>
        </w:rPr>
        <w:t>employee, the information contained herein may not be applicable to the Holder in the same manner. [</w:t>
      </w:r>
      <w:r>
        <w:rPr>
          <w:rFonts w:ascii="Arial" w:cs="Arial" w:eastAsia="Arial" w:hAnsi="Arial"/>
          <w:sz w:val="22"/>
          <w:szCs w:val="22"/>
          <w:i w:val="1"/>
          <w:iCs w:val="1"/>
          <w:color w:val="auto"/>
        </w:rPr>
        <w:t>Non-relevant pages omitted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0139"/>
          </w:cols>
          <w:pgMar w:left="320" w:top="1428" w:right="1440" w:bottom="1440" w:gutter="0" w:footer="0" w:header="0"/>
        </w:sectPr>
      </w:pPr>
    </w:p>
    <w:bookmarkStart w:id="130" w:name="page131"/>
    <w:bookmarkEnd w:id="130"/>
    <w:p>
      <w:pPr>
        <w:ind w:left="3660"/>
        <w:spacing w:after="0"/>
        <w:rPr>
          <w:sz w:val="20"/>
          <w:szCs w:val="20"/>
          <w:color w:val="auto"/>
        </w:rPr>
      </w:pPr>
      <w:r>
        <w:rPr>
          <w:rFonts w:ascii="Arial" w:cs="Arial" w:eastAsia="Arial" w:hAnsi="Arial"/>
          <w:sz w:val="22"/>
          <w:szCs w:val="22"/>
          <w:b w:val="1"/>
          <w:bCs w:val="1"/>
          <w:color w:val="auto"/>
        </w:rPr>
        <w:t>Appendix for the United States of America</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Activision Blizzard,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2014 Incentive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 Option Award Terms</w:t>
      </w:r>
    </w:p>
    <w:p>
      <w:pPr>
        <w:spacing w:after="0" w:line="229"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For U.S. Holders only, the following terms shall have the meanings set forth below:</w:t>
      </w:r>
    </w:p>
    <w:p>
      <w:pPr>
        <w:spacing w:after="0" w:line="214" w:lineRule="exact"/>
        <w:rPr>
          <w:sz w:val="20"/>
          <w:szCs w:val="20"/>
          <w:color w:val="auto"/>
        </w:rPr>
      </w:pPr>
    </w:p>
    <w:p>
      <w:pPr>
        <w:ind w:firstLine="1296"/>
        <w:spacing w:after="0" w:line="315" w:lineRule="auto"/>
        <w:rPr>
          <w:sz w:val="20"/>
          <w:szCs w:val="20"/>
          <w:color w:val="auto"/>
        </w:rPr>
      </w:pPr>
      <w:r>
        <w:rPr>
          <w:rFonts w:ascii="Arial" w:cs="Arial" w:eastAsia="Arial" w:hAnsi="Arial"/>
          <w:sz w:val="19"/>
          <w:szCs w:val="19"/>
          <w:b w:val="1"/>
          <w:bCs w:val="1"/>
          <w:color w:val="auto"/>
        </w:rPr>
        <w:t xml:space="preserve">“Employment Violation” </w:t>
      </w:r>
      <w:r>
        <w:rPr>
          <w:rFonts w:ascii="Arial" w:cs="Arial" w:eastAsia="Arial" w:hAnsi="Arial"/>
          <w:sz w:val="19"/>
          <w:szCs w:val="19"/>
          <w:color w:val="auto"/>
        </w:rPr>
        <w:t>means any material breach by the Holder of his or her employment agreement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entity in the Company Group for so long as the terms of such employment agreement shall apply to the Holder (with any breach of the post-termination obligations contained therein deemed to be material for purposes of this definition).</w:t>
      </w:r>
    </w:p>
    <w:p>
      <w:pPr>
        <w:spacing w:after="0" w:line="152" w:lineRule="exact"/>
        <w:rPr>
          <w:sz w:val="20"/>
          <w:szCs w:val="20"/>
          <w:color w:val="auto"/>
        </w:rPr>
      </w:pPr>
    </w:p>
    <w:p>
      <w:pPr>
        <w:ind w:right="20" w:firstLine="1296"/>
        <w:spacing w:after="0" w:line="256" w:lineRule="auto"/>
        <w:rPr>
          <w:sz w:val="20"/>
          <w:szCs w:val="20"/>
          <w:color w:val="auto"/>
        </w:rPr>
      </w:pPr>
      <w:r>
        <w:rPr>
          <w:rFonts w:ascii="Arial" w:cs="Arial" w:eastAsia="Arial" w:hAnsi="Arial"/>
          <w:sz w:val="22"/>
          <w:szCs w:val="22"/>
          <w:b w:val="1"/>
          <w:bCs w:val="1"/>
          <w:color w:val="auto"/>
        </w:rPr>
        <w:t xml:space="preserve">“Look-back Period” </w:t>
      </w:r>
      <w:r>
        <w:rPr>
          <w:rFonts w:ascii="Arial" w:cs="Arial" w:eastAsia="Arial" w:hAnsi="Arial"/>
          <w:sz w:val="22"/>
          <w:szCs w:val="22"/>
          <w:color w:val="auto"/>
        </w:rPr>
        <w:t>means, with respect to any Employment Violation by the Holder, the period beginning on</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which is 12 months prior to the date of such Employment Violation by the Holder and ending on the date of computation of the Recapture Amount with respect to such Employment Violation.</w:t>
      </w:r>
    </w:p>
    <w:p>
      <w:pPr>
        <w:spacing w:after="0" w:line="203" w:lineRule="exact"/>
        <w:rPr>
          <w:sz w:val="20"/>
          <w:szCs w:val="20"/>
          <w:color w:val="auto"/>
        </w:rPr>
      </w:pPr>
    </w:p>
    <w:p>
      <w:pPr>
        <w:ind w:right="20" w:firstLine="1296"/>
        <w:spacing w:after="0" w:line="256" w:lineRule="auto"/>
        <w:rPr>
          <w:sz w:val="20"/>
          <w:szCs w:val="20"/>
          <w:color w:val="auto"/>
        </w:rPr>
      </w:pPr>
      <w:r>
        <w:rPr>
          <w:rFonts w:ascii="Arial" w:cs="Arial" w:eastAsia="Arial" w:hAnsi="Arial"/>
          <w:sz w:val="22"/>
          <w:szCs w:val="22"/>
          <w:b w:val="1"/>
          <w:bCs w:val="1"/>
          <w:color w:val="auto"/>
        </w:rPr>
        <w:t xml:space="preserve">“Recapture Amount” </w:t>
      </w:r>
      <w:r>
        <w:rPr>
          <w:rFonts w:ascii="Arial" w:cs="Arial" w:eastAsia="Arial" w:hAnsi="Arial"/>
          <w:sz w:val="22"/>
          <w:szCs w:val="22"/>
          <w:color w:val="auto"/>
        </w:rPr>
        <w:t>means, with respect to any Employment Violation by the Holder, the gross gain realized or</w:t>
      </w:r>
      <w:r>
        <w:rPr>
          <w:rFonts w:ascii="Arial" w:cs="Arial" w:eastAsia="Arial" w:hAnsi="Arial"/>
          <w:sz w:val="22"/>
          <w:szCs w:val="22"/>
          <w:b w:val="1"/>
          <w:bCs w:val="1"/>
          <w:color w:val="auto"/>
        </w:rPr>
        <w:t xml:space="preserve"> </w:t>
      </w:r>
      <w:r>
        <w:rPr>
          <w:rFonts w:ascii="Arial" w:cs="Arial" w:eastAsia="Arial" w:hAnsi="Arial"/>
          <w:sz w:val="22"/>
          <w:szCs w:val="22"/>
          <w:color w:val="auto"/>
        </w:rPr>
        <w:t>unrealized by the Holder upon all exercises of the Stock Option during the Look-back Period with respect to such Employment Violation, which gain shall be calculated as the sum of:</w:t>
      </w:r>
    </w:p>
    <w:p>
      <w:pPr>
        <w:spacing w:after="0" w:line="182" w:lineRule="exact"/>
        <w:rPr>
          <w:sz w:val="20"/>
          <w:szCs w:val="20"/>
          <w:color w:val="auto"/>
        </w:rPr>
      </w:pPr>
    </w:p>
    <w:p>
      <w:pPr>
        <w:ind w:left="660" w:right="420" w:firstLine="644"/>
        <w:spacing w:after="0" w:line="302" w:lineRule="auto"/>
        <w:tabs>
          <w:tab w:leader="none" w:pos="1782"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Company and/or the Employer has satisfied any Withholding Taxes resulting from the exercise (in whole or in part) of the Stock Option, the issuance or transfer of any Shares upon exercise of the Stock Option or otherwise in connection with the Award during the Look-back Period by selling Shares on the Holder’s behalf or withholding Shares otherwise deliverable, the amount of the Withholding Taxes so satisfied; plus</w:t>
      </w:r>
    </w:p>
    <w:p>
      <w:pPr>
        <w:spacing w:after="0" w:line="142" w:lineRule="exact"/>
        <w:rPr>
          <w:rFonts w:ascii="Arial" w:cs="Arial" w:eastAsia="Arial" w:hAnsi="Arial"/>
          <w:sz w:val="19"/>
          <w:szCs w:val="19"/>
          <w:color w:val="auto"/>
        </w:rPr>
      </w:pPr>
    </w:p>
    <w:p>
      <w:pPr>
        <w:ind w:left="660" w:right="240" w:firstLine="644"/>
        <w:spacing w:after="0" w:line="253" w:lineRule="auto"/>
        <w:tabs>
          <w:tab w:leader="none" w:pos="1788"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85" w:lineRule="exact"/>
        <w:rPr>
          <w:rFonts w:ascii="Arial" w:cs="Arial" w:eastAsia="Arial" w:hAnsi="Arial"/>
          <w:sz w:val="22"/>
          <w:szCs w:val="22"/>
          <w:color w:val="auto"/>
        </w:rPr>
      </w:pPr>
    </w:p>
    <w:p>
      <w:pPr>
        <w:ind w:left="660" w:right="20" w:firstLine="644"/>
        <w:spacing w:after="0" w:line="297" w:lineRule="auto"/>
        <w:tabs>
          <w:tab w:leader="none" w:pos="1848"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 (as of December 2020)</w:t>
      </w:r>
    </w:p>
    <w:p>
      <w:pPr>
        <w:sectPr>
          <w:pgSz w:w="11900" w:h="16838" w:orient="portrait"/>
          <w:cols w:equalWidth="0" w:num="1">
            <w:col w:w="11200"/>
          </w:cols>
          <w:pgMar w:left="320" w:top="1422" w:right="379" w:bottom="1440" w:gutter="0" w:footer="0" w:header="0"/>
        </w:sectPr>
      </w:pPr>
    </w:p>
    <w:bookmarkStart w:id="131" w:name="page132"/>
    <w:bookmarkEnd w:id="131"/>
    <w:p>
      <w:pPr>
        <w:ind w:left="660"/>
        <w:spacing w:after="0" w:line="271" w:lineRule="auto"/>
        <w:rPr>
          <w:sz w:val="20"/>
          <w:szCs w:val="20"/>
          <w:color w:val="auto"/>
        </w:rPr>
      </w:pPr>
      <w:r>
        <w:rPr>
          <w:rFonts w:ascii="Arial" w:cs="Arial" w:eastAsia="Arial" w:hAnsi="Arial"/>
          <w:sz w:val="21"/>
          <w:szCs w:val="21"/>
          <w:color w:val="auto"/>
        </w:rPr>
        <w:t>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194" w:lineRule="exact"/>
        <w:rPr>
          <w:sz w:val="20"/>
          <w:szCs w:val="20"/>
          <w:color w:val="auto"/>
        </w:rPr>
      </w:pPr>
    </w:p>
    <w:p>
      <w:pPr>
        <w:ind w:right="80" w:firstLine="656"/>
        <w:spacing w:after="0" w:line="297" w:lineRule="auto"/>
        <w:tabs>
          <w:tab w:leader="none" w:pos="1296"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the Holder and any entity in the Company Group in effect at the time and the terms of the Plan, the terms of the Plan shall control.</w:t>
      </w:r>
    </w:p>
    <w:p>
      <w:pPr>
        <w:spacing w:after="0" w:line="146" w:lineRule="exact"/>
        <w:rPr>
          <w:rFonts w:ascii="Arial" w:cs="Arial" w:eastAsia="Arial" w:hAnsi="Arial"/>
          <w:sz w:val="19"/>
          <w:szCs w:val="19"/>
          <w:color w:val="auto"/>
        </w:rPr>
      </w:pPr>
    </w:p>
    <w:p>
      <w:pPr>
        <w:ind w:right="20" w:firstLine="656"/>
        <w:spacing w:after="0" w:line="288" w:lineRule="auto"/>
        <w:tabs>
          <w:tab w:leader="none" w:pos="1296"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Employment Violation</w:t>
      </w:r>
      <w:r>
        <w:rPr>
          <w:rFonts w:ascii="Arial" w:cs="Arial" w:eastAsia="Arial" w:hAnsi="Arial"/>
          <w:sz w:val="19"/>
          <w:szCs w:val="19"/>
          <w:color w:val="auto"/>
        </w:rPr>
        <w:t>. The terms of this Section 3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w:t>
      </w:r>
    </w:p>
    <w:p>
      <w:pPr>
        <w:ind w:firstLine="8"/>
        <w:spacing w:after="0" w:line="243" w:lineRule="auto"/>
        <w:tabs>
          <w:tab w:leader="none" w:pos="3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payment by the Holder to the Company of the Recapture Amount with respect to such Employment Violation;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C-2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w:t>
      </w:r>
    </w:p>
    <w:p>
      <w:pPr>
        <w:sectPr>
          <w:pgSz w:w="11900" w:h="16838" w:orient="portrait"/>
          <w:cols w:equalWidth="0" w:num="1">
            <w:col w:w="11220"/>
          </w:cols>
          <w:pgMar w:left="320" w:top="1428"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ACTIVISION BLIZZARD,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PERFORMANCE-VESTING RESTRICTED SHARE UNIT AWARD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You have been awarded Restricted Share Units of Activision Blizzard, Inc. (the “Company”),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1300" w:type="dxa"/>
            <w:vAlign w:val="bottom"/>
            <w:gridSpan w:val="2"/>
          </w:tcPr>
          <w:p>
            <w:pPr>
              <w:ind w:left="120"/>
              <w:spacing w:after="0"/>
              <w:rPr>
                <w:sz w:val="20"/>
                <w:szCs w:val="20"/>
                <w:color w:val="auto"/>
              </w:rPr>
            </w:pPr>
            <w:r>
              <w:rPr>
                <w:rFonts w:ascii="Arial" w:cs="Arial" w:eastAsia="Arial" w:hAnsi="Arial"/>
                <w:sz w:val="22"/>
                <w:szCs w:val="22"/>
                <w:color w:val="auto"/>
                <w:w w:val="89"/>
              </w:rPr>
              <w:t xml:space="preserve">Your name: </w:t>
            </w:r>
            <w:r>
              <w:rPr>
                <w:rFonts w:ascii="Arial" w:cs="Arial" w:eastAsia="Arial" w:hAnsi="Arial"/>
                <w:sz w:val="22"/>
                <w:szCs w:val="22"/>
                <w:b w:val="1"/>
                <w:bCs w:val="1"/>
                <w:color w:val="auto"/>
                <w:w w:val="89"/>
              </w:rPr>
              <w:t>[</w:t>
            </w:r>
          </w:p>
        </w:tc>
        <w:tc>
          <w:tcPr>
            <w:tcW w:w="420" w:type="dxa"/>
            <w:vAlign w:val="bottom"/>
            <w:gridSpan w:val="3"/>
          </w:tcPr>
          <w:p>
            <w:pPr>
              <w:jc w:val="right"/>
              <w:ind w:right="180"/>
              <w:spacing w:after="0"/>
              <w:rPr>
                <w:sz w:val="20"/>
                <w:szCs w:val="20"/>
                <w:color w:val="auto"/>
              </w:rPr>
            </w:pPr>
            <w:r>
              <w:rPr>
                <w:rFonts w:ascii="Arial" w:cs="Arial" w:eastAsia="Arial" w:hAnsi="Arial"/>
                <w:sz w:val="22"/>
                <w:szCs w:val="22"/>
                <w:b w:val="1"/>
                <w:bCs w:val="1"/>
                <w:color w:val="auto"/>
              </w:rPr>
              <w:t>]</w:t>
            </w: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780" w:type="dxa"/>
            <w:vAlign w:val="bottom"/>
            <w:gridSpan w:val="10"/>
          </w:tcPr>
          <w:p>
            <w:pPr>
              <w:ind w:left="120"/>
              <w:spacing w:after="0"/>
              <w:rPr>
                <w:sz w:val="20"/>
                <w:szCs w:val="20"/>
                <w:color w:val="auto"/>
              </w:rPr>
            </w:pPr>
            <w:r>
              <w:rPr>
                <w:rFonts w:ascii="Arial" w:cs="Arial" w:eastAsia="Arial" w:hAnsi="Arial"/>
                <w:sz w:val="22"/>
                <w:szCs w:val="22"/>
                <w:color w:val="auto"/>
                <w:w w:val="90"/>
              </w:rPr>
              <w:t xml:space="preserve">Total number of Restricted Share Units awarded: </w:t>
            </w:r>
            <w:r>
              <w:rPr>
                <w:rFonts w:ascii="Arial" w:cs="Arial" w:eastAsia="Arial" w:hAnsi="Arial"/>
                <w:sz w:val="22"/>
                <w:szCs w:val="22"/>
                <w:b w:val="1"/>
                <w:bCs w:val="1"/>
                <w:color w:val="auto"/>
                <w:w w:val="90"/>
              </w:rPr>
              <w:t>[  ]</w:t>
            </w:r>
          </w:p>
        </w:tc>
      </w:tr>
      <w:tr>
        <w:trPr>
          <w:trHeight w:val="425"/>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4480" w:type="dxa"/>
            <w:vAlign w:val="bottom"/>
            <w:gridSpan w:val="8"/>
          </w:tcPr>
          <w:p>
            <w:pPr>
              <w:ind w:left="120"/>
              <w:spacing w:after="0"/>
              <w:rPr>
                <w:sz w:val="20"/>
                <w:szCs w:val="20"/>
                <w:color w:val="auto"/>
              </w:rPr>
            </w:pPr>
            <w:r>
              <w:rPr>
                <w:rFonts w:ascii="Arial" w:cs="Arial" w:eastAsia="Arial" w:hAnsi="Arial"/>
                <w:sz w:val="22"/>
                <w:szCs w:val="22"/>
                <w:color w:val="auto"/>
              </w:rPr>
              <w:t xml:space="preserve">Your business unit, for vesting purposes: </w:t>
            </w:r>
            <w:r>
              <w:rPr>
                <w:rFonts w:ascii="Arial" w:cs="Arial" w:eastAsia="Arial" w:hAnsi="Arial"/>
                <w:sz w:val="22"/>
                <w:szCs w:val="22"/>
                <w:b w:val="1"/>
                <w:bCs w:val="1"/>
                <w:color w:val="auto"/>
              </w:rPr>
              <w:t>[  ]</w:t>
            </w: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3780" w:type="dxa"/>
            <w:vAlign w:val="bottom"/>
            <w:gridSpan w:val="6"/>
          </w:tcPr>
          <w:p>
            <w:pPr>
              <w:ind w:left="120"/>
              <w:spacing w:after="0"/>
              <w:rPr>
                <w:sz w:val="20"/>
                <w:szCs w:val="20"/>
                <w:color w:val="auto"/>
              </w:rPr>
            </w:pPr>
            <w:r>
              <w:rPr>
                <w:rFonts w:ascii="Arial" w:cs="Arial" w:eastAsia="Arial" w:hAnsi="Arial"/>
                <w:sz w:val="22"/>
                <w:szCs w:val="22"/>
                <w:color w:val="auto"/>
              </w:rPr>
              <w:t xml:space="preserve">Date of Grant: </w:t>
            </w:r>
            <w:r>
              <w:rPr>
                <w:rFonts w:ascii="Arial" w:cs="Arial" w:eastAsia="Arial" w:hAnsi="Arial"/>
                <w:sz w:val="22"/>
                <w:szCs w:val="22"/>
                <w:b w:val="1"/>
                <w:bCs w:val="1"/>
                <w:color w:val="auto"/>
              </w:rPr>
              <w:t>[  ]</w:t>
            </w:r>
          </w:p>
        </w:tc>
        <w:tc>
          <w:tcPr>
            <w:tcW w:w="200" w:type="dxa"/>
            <w:vAlign w:val="bottom"/>
            <w:tcBorders>
              <w:top w:val="single" w:sz="8" w:color="auto"/>
            </w:tcBorders>
          </w:tcPr>
          <w:p>
            <w:pPr>
              <w:spacing w:after="0"/>
              <w:rPr>
                <w:sz w:val="24"/>
                <w:szCs w:val="24"/>
                <w:color w:val="auto"/>
              </w:rPr>
            </w:pPr>
          </w:p>
        </w:tc>
        <w:tc>
          <w:tcPr>
            <w:tcW w:w="800" w:type="dxa"/>
            <w:vAlign w:val="bottom"/>
            <w:gridSpan w:val="3"/>
          </w:tcPr>
          <w:p>
            <w:pPr>
              <w:spacing w:after="0"/>
              <w:rPr>
                <w:sz w:val="24"/>
                <w:szCs w:val="24"/>
                <w:color w:val="auto"/>
              </w:rPr>
            </w:pPr>
          </w:p>
        </w:tc>
      </w:tr>
      <w:tr>
        <w:trPr>
          <w:trHeight w:val="412"/>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1300" w:type="dxa"/>
            <w:vAlign w:val="bottom"/>
            <w:gridSpan w:val="2"/>
          </w:tcPr>
          <w:p>
            <w:pPr>
              <w:ind w:left="120"/>
              <w:spacing w:after="0"/>
              <w:rPr>
                <w:sz w:val="20"/>
                <w:szCs w:val="20"/>
                <w:color w:val="auto"/>
              </w:rPr>
            </w:pPr>
            <w:r>
              <w:rPr>
                <w:rFonts w:ascii="Arial" w:cs="Arial" w:eastAsia="Arial" w:hAnsi="Arial"/>
                <w:sz w:val="22"/>
                <w:szCs w:val="22"/>
                <w:color w:val="auto"/>
              </w:rPr>
              <w:t xml:space="preserve">Grant ID: </w:t>
            </w:r>
            <w:r>
              <w:rPr>
                <w:rFonts w:ascii="Arial" w:cs="Arial" w:eastAsia="Arial" w:hAnsi="Arial"/>
                <w:sz w:val="22"/>
                <w:szCs w:val="22"/>
                <w:b w:val="1"/>
                <w:bCs w:val="1"/>
                <w:color w:val="auto"/>
              </w:rPr>
              <w:t>[</w:t>
            </w:r>
          </w:p>
        </w:tc>
        <w:tc>
          <w:tcPr>
            <w:tcW w:w="18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Your Award of Restricted Share Units is governed by the terms and conditions set forth in:</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this Notice of Performance-Vesting Restricted Share Unit Award;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the Performance-Vesting Restricted Share Unit Award Terms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660" w:right="340" w:hanging="328"/>
        <w:spacing w:after="0" w:line="263" w:lineRule="auto"/>
        <w:tabs>
          <w:tab w:leader="none" w:pos="655"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the Appendix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which may include special terms and conditions relating to your country of work and/or residence (the “Appendix”); and</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Company’s 2014 Incentive Plan, the receipt of a copy of which you hereby acknowledge.</w:t>
      </w:r>
    </w:p>
    <w:p>
      <w:pPr>
        <w:spacing w:after="0" w:line="179" w:lineRule="exact"/>
        <w:rPr>
          <w:rFonts w:ascii="Arial" w:cs="Arial" w:eastAsia="Arial" w:hAnsi="Arial"/>
          <w:sz w:val="22"/>
          <w:szCs w:val="22"/>
          <w:color w:val="auto"/>
        </w:rPr>
      </w:pPr>
    </w:p>
    <w:p>
      <w:pPr>
        <w:ind w:left="340" w:right="60" w:hanging="332"/>
        <w:spacing w:after="0" w:line="263" w:lineRule="auto"/>
        <w:tabs>
          <w:tab w:leader="none" w:pos="335"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Performance-Vesting Restricted Share Unit Award Terms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Performance-Vesting Restricted Share Units shall vest in accordance with the Performance-Vesting Restricted Share Unit Vesting Schedule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“Vesting Schedule”).</w:t>
      </w:r>
    </w:p>
    <w:p>
      <w:pPr>
        <w:spacing w:after="0" w:line="148" w:lineRule="exact"/>
        <w:rPr>
          <w:rFonts w:ascii="Arial" w:cs="Arial" w:eastAsia="Arial" w:hAnsi="Arial"/>
          <w:sz w:val="21"/>
          <w:szCs w:val="21"/>
          <w:color w:val="auto"/>
        </w:rPr>
      </w:pPr>
    </w:p>
    <w:p>
      <w:pPr>
        <w:ind w:left="320" w:hanging="312"/>
        <w:spacing w:after="0"/>
        <w:tabs>
          <w:tab w:leader="none" w:pos="3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ectPr>
          <w:pgSz w:w="11900" w:h="16838" w:orient="portrait"/>
          <w:cols w:equalWidth="0" w:num="1">
            <w:col w:w="11240"/>
          </w:cols>
          <w:pgMar w:left="320" w:top="1421" w:right="339" w:bottom="1440" w:gutter="0" w:footer="0" w:header="0"/>
        </w:sectPr>
      </w:pPr>
    </w:p>
    <w:bookmarkStart w:id="133" w:name="page134"/>
    <w:bookmarkEnd w:id="133"/>
    <w:p>
      <w:pPr>
        <w:ind w:left="332" w:hanging="332"/>
        <w:spacing w:after="0" w:line="297" w:lineRule="auto"/>
        <w:tabs>
          <w:tab w:leader="none" w:pos="327"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to be bound by the terms and conditions set forth in the 2014 Incentive Plan, this Notice of Performance-Vesting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Performance-Vesting Restricted Share Unit Award and the Award Terms.</w:t>
      </w:r>
    </w:p>
    <w:p>
      <w:pPr>
        <w:sectPr>
          <w:pgSz w:w="11900" w:h="16838" w:orient="portrait"/>
          <w:cols w:equalWidth="0" w:num="1">
            <w:col w:w="11112"/>
          </w:cols>
          <w:pgMar w:left="328" w:top="1427" w:right="459" w:bottom="1440" w:gutter="0" w:footer="0" w:header="0"/>
        </w:sectPr>
      </w:pPr>
    </w:p>
    <w:bookmarkStart w:id="134" w:name="page135"/>
    <w:bookmarkEnd w:id="134"/>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ACTIVISION BLIZZARD,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2014 Incentive Plan</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PERFORMANCE-VESTING RESTRICTED SHARE UNIT AWARD TERMS</w:t>
      </w:r>
    </w:p>
    <w:p>
      <w:pPr>
        <w:spacing w:after="0" w:line="200" w:lineRule="exact"/>
        <w:rPr>
          <w:sz w:val="20"/>
          <w:szCs w:val="20"/>
          <w:color w:val="auto"/>
        </w:rPr>
      </w:pPr>
    </w:p>
    <w:p>
      <w:pPr>
        <w:spacing w:after="0" w:line="269"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78"/>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the award described on the Grant Notice.</w:t>
      </w:r>
    </w:p>
    <w:p>
      <w:pPr>
        <w:spacing w:after="0" w:line="220" w:lineRule="exact"/>
        <w:rPr>
          <w:sz w:val="20"/>
          <w:szCs w:val="20"/>
          <w:color w:val="auto"/>
        </w:rPr>
      </w:pPr>
    </w:p>
    <w:p>
      <w:pPr>
        <w:ind w:right="80" w:firstLine="1296"/>
        <w:spacing w:after="0" w:line="285"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 shall have the meaning given to such term in any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Grantee and 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w:t>
      </w:r>
    </w:p>
    <w:p>
      <w:pPr>
        <w:spacing w:after="0" w:line="3" w:lineRule="exact"/>
        <w:rPr>
          <w:sz w:val="20"/>
          <w:szCs w:val="20"/>
          <w:color w:val="auto"/>
        </w:rPr>
      </w:pPr>
    </w:p>
    <w:p>
      <w:pPr>
        <w:ind w:right="120" w:firstLine="8"/>
        <w:spacing w:after="0" w:line="295" w:lineRule="auto"/>
        <w:tabs>
          <w:tab w:leader="none" w:pos="342" w:val="left"/>
        </w:tabs>
        <w:numPr>
          <w:ilvl w:val="0"/>
          <w:numId w:val="79"/>
        </w:numPr>
        <w:rPr>
          <w:rFonts w:ascii="Arial" w:cs="Arial" w:eastAsia="Arial" w:hAnsi="Arial"/>
          <w:sz w:val="19"/>
          <w:szCs w:val="19"/>
          <w:color w:val="auto"/>
        </w:rPr>
      </w:pPr>
      <w:r>
        <w:rPr>
          <w:rFonts w:ascii="Arial" w:cs="Arial" w:eastAsia="Arial" w:hAnsi="Arial"/>
          <w:sz w:val="19"/>
          <w:szCs w:val="19"/>
          <w:color w:val="auto"/>
        </w:rPr>
        <w:t>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44"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b w:val="1"/>
          <w:bCs w:val="1"/>
          <w:color w:val="auto"/>
        </w:rPr>
        <w:t xml:space="preserve">“Common Shares” </w:t>
      </w:r>
      <w:r>
        <w:rPr>
          <w:rFonts w:ascii="Arial" w:cs="Arial" w:eastAsia="Arial" w:hAnsi="Arial"/>
          <w:sz w:val="22"/>
          <w:szCs w:val="22"/>
          <w:color w:val="auto"/>
        </w:rPr>
        <w:t>means the shares of common stock, par value $0.000001 per share, of the Company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security into which such Common Shares may be changed by reason of any transaction or event of the type referred to in Section 10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Activision Blizzard, Inc. and any successor thereto.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Group” </w:t>
      </w:r>
      <w:r>
        <w:rPr>
          <w:rFonts w:ascii="Arial" w:cs="Arial" w:eastAsia="Arial" w:hAnsi="Arial"/>
          <w:sz w:val="22"/>
          <w:szCs w:val="22"/>
          <w:color w:val="auto"/>
        </w:rPr>
        <w:t>means the Company and its Subsidiaries.</w:t>
      </w:r>
    </w:p>
    <w:p>
      <w:pPr>
        <w:spacing w:after="0" w:line="220" w:lineRule="exact"/>
        <w:rPr>
          <w:sz w:val="20"/>
          <w:szCs w:val="20"/>
          <w:color w:val="auto"/>
        </w:rPr>
      </w:pPr>
    </w:p>
    <w:p>
      <w:pPr>
        <w:ind w:right="1000" w:firstLine="1296"/>
        <w:spacing w:after="0" w:line="349" w:lineRule="auto"/>
        <w:rPr>
          <w:sz w:val="20"/>
          <w:szCs w:val="20"/>
          <w:color w:val="auto"/>
        </w:rPr>
      </w:pPr>
      <w:r>
        <w:rPr>
          <w:rFonts w:ascii="Arial" w:cs="Arial" w:eastAsia="Arial" w:hAnsi="Arial"/>
          <w:sz w:val="19"/>
          <w:szCs w:val="19"/>
          <w:b w:val="1"/>
          <w:bCs w:val="1"/>
          <w:color w:val="auto"/>
        </w:rPr>
        <w:t xml:space="preserve">“Company-Sponsored Equity Account” </w:t>
      </w:r>
      <w:r>
        <w:rPr>
          <w:rFonts w:ascii="Arial" w:cs="Arial" w:eastAsia="Arial" w:hAnsi="Arial"/>
          <w:sz w:val="19"/>
          <w:szCs w:val="19"/>
          <w:color w:val="auto"/>
        </w:rPr>
        <w:t>means an account that is created with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in connection with the administration of the Company’s equity plans and programs, including the Plan.</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“Date of Grant” </w:t>
      </w:r>
      <w:r>
        <w:rPr>
          <w:rFonts w:ascii="Arial" w:cs="Arial" w:eastAsia="Arial" w:hAnsi="Arial"/>
          <w:sz w:val="22"/>
          <w:szCs w:val="22"/>
          <w:color w:val="auto"/>
        </w:rPr>
        <w:t>means the Date of Grant of the Award set forth on the Grant Notice.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the Subsidiary of the Company which employs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160"/>
          </w:cols>
          <w:pgMar w:left="320" w:top="1421" w:right="419" w:bottom="1440" w:gutter="0" w:footer="0" w:header="0"/>
        </w:sectPr>
      </w:pPr>
    </w:p>
    <w:bookmarkStart w:id="135" w:name="page136"/>
    <w:bookmarkEnd w:id="135"/>
    <w:p>
      <w:pPr>
        <w:ind w:right="40" w:firstLine="1296"/>
        <w:spacing w:after="0" w:line="293"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w:t>
      </w:r>
      <w:r>
        <w:rPr>
          <w:rFonts w:ascii="Arial" w:cs="Arial" w:eastAsia="Arial" w:hAnsi="Arial"/>
          <w:sz w:val="21"/>
          <w:szCs w:val="21"/>
          <w:b w:val="1"/>
          <w:bCs w:val="1"/>
          <w:color w:val="auto"/>
        </w:rPr>
        <w:t xml:space="preserve"> </w:t>
      </w:r>
      <w:r>
        <w:rPr>
          <w:rFonts w:ascii="Arial" w:cs="Arial" w:eastAsia="Arial" w:hAnsi="Arial"/>
          <w:sz w:val="21"/>
          <w:szCs w:val="21"/>
          <w:color w:val="auto"/>
        </w:rPr>
        <w:t>and administer accounts for participants in the Company’s equity plans and programs, including the Plan.</w:t>
      </w:r>
    </w:p>
    <w:p>
      <w:pPr>
        <w:spacing w:after="0" w:line="139"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“Grantee” </w:t>
      </w:r>
      <w:r>
        <w:rPr>
          <w:rFonts w:ascii="Arial" w:cs="Arial" w:eastAsia="Arial" w:hAnsi="Arial"/>
          <w:sz w:val="22"/>
          <w:szCs w:val="22"/>
          <w:color w:val="auto"/>
        </w:rPr>
        <w:t>means the recipient of the Award named on the Grant Notice.</w:t>
      </w:r>
    </w:p>
    <w:p>
      <w:pPr>
        <w:spacing w:after="0" w:line="220" w:lineRule="exact"/>
        <w:rPr>
          <w:sz w:val="20"/>
          <w:szCs w:val="20"/>
          <w:color w:val="auto"/>
        </w:rPr>
      </w:pPr>
    </w:p>
    <w:p>
      <w:pPr>
        <w:ind w:right="360" w:firstLine="1296"/>
        <w:spacing w:after="0" w:line="269" w:lineRule="auto"/>
        <w:rPr>
          <w:sz w:val="20"/>
          <w:szCs w:val="20"/>
          <w:color w:val="auto"/>
        </w:rPr>
      </w:pPr>
      <w:r>
        <w:rPr>
          <w:rFonts w:ascii="Arial" w:cs="Arial" w:eastAsia="Arial" w:hAnsi="Arial"/>
          <w:sz w:val="22"/>
          <w:szCs w:val="22"/>
          <w:b w:val="1"/>
          <w:bCs w:val="1"/>
          <w:color w:val="auto"/>
        </w:rPr>
        <w:t xml:space="preserve">“Grant Notice” </w:t>
      </w:r>
      <w:r>
        <w:rPr>
          <w:rFonts w:ascii="Arial" w:cs="Arial" w:eastAsia="Arial" w:hAnsi="Arial"/>
          <w:sz w:val="22"/>
          <w:szCs w:val="22"/>
          <w:color w:val="auto"/>
        </w:rPr>
        <w:t>means the Notice of Performance-Vesting Restricted Share Unit Award to which these Award</w:t>
      </w:r>
      <w:r>
        <w:rPr>
          <w:rFonts w:ascii="Arial" w:cs="Arial" w:eastAsia="Arial" w:hAnsi="Arial"/>
          <w:sz w:val="22"/>
          <w:szCs w:val="22"/>
          <w:b w:val="1"/>
          <w:bCs w:val="1"/>
          <w:color w:val="auto"/>
        </w:rPr>
        <w:t xml:space="preserve"> </w:t>
      </w:r>
      <w:r>
        <w:rPr>
          <w:rFonts w:ascii="Arial" w:cs="Arial" w:eastAsia="Arial" w:hAnsi="Arial"/>
          <w:sz w:val="22"/>
          <w:szCs w:val="22"/>
          <w:color w:val="auto"/>
        </w:rPr>
        <w:t>Terms are attached.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the Activision Blizzard, Inc. 2014 Incentive Plan, as amended from time to time.</w:t>
      </w:r>
    </w:p>
    <w:p>
      <w:pPr>
        <w:spacing w:after="0" w:line="220" w:lineRule="exact"/>
        <w:rPr>
          <w:sz w:val="20"/>
          <w:szCs w:val="20"/>
          <w:color w:val="auto"/>
        </w:rPr>
      </w:pPr>
    </w:p>
    <w:p>
      <w:pPr>
        <w:ind w:right="240" w:firstLine="1296"/>
        <w:spacing w:after="0" w:line="274"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Shares in accordance with the Grant Notice and these Award Terms, unless and until such units become vested or are forfeited to the Company in accordance with the Grant Notice and these Award Terms.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means Section 409A of the Code and the guidance and regulations promulgated thereunder.</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U.S. Securities Act of 1933, as amended.</w:t>
      </w:r>
    </w:p>
    <w:p>
      <w:pPr>
        <w:spacing w:after="0" w:line="220" w:lineRule="exact"/>
        <w:rPr>
          <w:sz w:val="20"/>
          <w:szCs w:val="20"/>
          <w:color w:val="auto"/>
        </w:rPr>
      </w:pPr>
    </w:p>
    <w:p>
      <w:pPr>
        <w:ind w:right="200" w:firstLine="1296"/>
        <w:spacing w:after="0" w:line="269" w:lineRule="auto"/>
        <w:rPr>
          <w:sz w:val="20"/>
          <w:szCs w:val="20"/>
          <w:color w:val="auto"/>
        </w:rPr>
      </w:pPr>
      <w:r>
        <w:rPr>
          <w:rFonts w:ascii="Arial" w:cs="Arial" w:eastAsia="Arial" w:hAnsi="Arial"/>
          <w:sz w:val="22"/>
          <w:szCs w:val="22"/>
          <w:b w:val="1"/>
          <w:bCs w:val="1"/>
          <w:color w:val="auto"/>
        </w:rPr>
        <w:t xml:space="preserve">“Vested Shares” </w:t>
      </w:r>
      <w:r>
        <w:rPr>
          <w:rFonts w:ascii="Arial" w:cs="Arial" w:eastAsia="Arial" w:hAnsi="Arial"/>
          <w:sz w:val="22"/>
          <w:szCs w:val="22"/>
          <w:color w:val="auto"/>
        </w:rPr>
        <w:t>means the Common Shares to which the holder of the Restricted Share Units becomes entitled</w:t>
      </w:r>
      <w:r>
        <w:rPr>
          <w:rFonts w:ascii="Arial" w:cs="Arial" w:eastAsia="Arial" w:hAnsi="Arial"/>
          <w:sz w:val="22"/>
          <w:szCs w:val="22"/>
          <w:b w:val="1"/>
          <w:bCs w:val="1"/>
          <w:color w:val="auto"/>
        </w:rPr>
        <w:t xml:space="preserve"> </w:t>
      </w:r>
      <w:r>
        <w:rPr>
          <w:rFonts w:ascii="Arial" w:cs="Arial" w:eastAsia="Arial" w:hAnsi="Arial"/>
          <w:sz w:val="22"/>
          <w:szCs w:val="22"/>
          <w:color w:val="auto"/>
        </w:rPr>
        <w:t>upon vesting thereof in accordance with Section 2 or 3 hereof.</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200"/>
          </w:cols>
          <w:pgMar w:left="320" w:top="1421" w:right="379" w:bottom="1440" w:gutter="0" w:footer="0" w:header="0"/>
        </w:sectPr>
      </w:pPr>
    </w:p>
    <w:bookmarkStart w:id="136" w:name="page137"/>
    <w:bookmarkEnd w:id="136"/>
    <w:p>
      <w:pPr>
        <w:ind w:left="1300"/>
        <w:spacing w:after="0"/>
        <w:rPr>
          <w:sz w:val="20"/>
          <w:szCs w:val="20"/>
          <w:color w:val="auto"/>
        </w:rPr>
      </w:pPr>
      <w:r>
        <w:rPr>
          <w:rFonts w:ascii="Arial" w:cs="Arial" w:eastAsia="Arial" w:hAnsi="Arial"/>
          <w:sz w:val="22"/>
          <w:szCs w:val="22"/>
          <w:b w:val="1"/>
          <w:bCs w:val="1"/>
          <w:color w:val="auto"/>
        </w:rPr>
        <w:t xml:space="preserve">“U.S.” </w:t>
      </w:r>
      <w:r>
        <w:rPr>
          <w:rFonts w:ascii="Arial" w:cs="Arial" w:eastAsia="Arial" w:hAnsi="Arial"/>
          <w:sz w:val="22"/>
          <w:szCs w:val="22"/>
          <w:color w:val="auto"/>
        </w:rPr>
        <w:t>means the United States of America.</w:t>
      </w:r>
    </w:p>
    <w:p>
      <w:pPr>
        <w:spacing w:after="0" w:line="220" w:lineRule="exact"/>
        <w:rPr>
          <w:sz w:val="20"/>
          <w:szCs w:val="20"/>
          <w:color w:val="auto"/>
        </w:rPr>
      </w:pPr>
    </w:p>
    <w:p>
      <w:pPr>
        <w:ind w:right="140" w:firstLine="1296"/>
        <w:spacing w:after="0" w:line="274"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w:t>
      </w:r>
      <w:r>
        <w:rPr>
          <w:rFonts w:ascii="Arial" w:cs="Arial" w:eastAsia="Arial" w:hAnsi="Arial"/>
          <w:sz w:val="21"/>
          <w:szCs w:val="21"/>
          <w:b w:val="1"/>
          <w:bCs w:val="1"/>
          <w:color w:val="auto"/>
        </w:rPr>
        <w:t xml:space="preserve"> </w:t>
      </w:r>
      <w:r>
        <w:rPr>
          <w:rFonts w:ascii="Arial" w:cs="Arial" w:eastAsia="Arial" w:hAnsi="Arial"/>
          <w:sz w:val="21"/>
          <w:szCs w:val="21"/>
          <w:color w:val="auto"/>
        </w:rPr>
        <w:t>social security and Medicare), payroll tax, state and local income taxes, fringe benefits tax, and payment on account, required or permitted under any applicable law to be withheld from amounts otherwise payable to Grantee.</w:t>
      </w:r>
    </w:p>
    <w:p>
      <w:pPr>
        <w:spacing w:after="0" w:line="164"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ind w:right="260" w:firstLine="656"/>
        <w:spacing w:after="0" w:line="253"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Except as otherwise set forth in these Award Terms, the Restricted Share Units shall vest in accordance with the Vesting Schedule. Each Restricted Share Unit, upon vesting thereof, shall entitle the holder thereof to receive one Common Share (subject to adjustment pursuant to Section 10 hereof).</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4"/>
        <w:spacing w:after="0" w:line="250" w:lineRule="auto"/>
        <w:tabs>
          <w:tab w:leader="none" w:pos="1941"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87" w:lineRule="exact"/>
        <w:rPr>
          <w:rFonts w:ascii="Arial" w:cs="Arial" w:eastAsia="Arial" w:hAnsi="Arial"/>
          <w:sz w:val="22"/>
          <w:szCs w:val="22"/>
          <w:color w:val="auto"/>
        </w:rPr>
      </w:pPr>
    </w:p>
    <w:p>
      <w:pPr>
        <w:ind w:right="180" w:firstLine="1304"/>
        <w:spacing w:after="0" w:line="265" w:lineRule="auto"/>
        <w:tabs>
          <w:tab w:leader="none" w:pos="1939"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w:t>
      </w:r>
    </w:p>
    <w:p>
      <w:pPr>
        <w:spacing w:after="0" w:line="220" w:lineRule="exact"/>
        <w:rPr>
          <w:sz w:val="20"/>
          <w:szCs w:val="20"/>
          <w:color w:val="auto"/>
        </w:rPr>
      </w:pPr>
    </w:p>
    <w:p>
      <w:pPr>
        <w:ind w:right="20" w:firstLine="1182"/>
        <w:spacing w:after="0" w:line="258" w:lineRule="auto"/>
        <w:rPr>
          <w:sz w:val="20"/>
          <w:szCs w:val="20"/>
          <w:color w:val="auto"/>
        </w:rPr>
      </w:pPr>
      <w:r>
        <w:rPr>
          <w:rFonts w:ascii="Arial" w:cs="Arial" w:eastAsia="Arial" w:hAnsi="Arial"/>
          <w:sz w:val="21"/>
          <w:szCs w:val="21"/>
          <w:color w:val="auto"/>
        </w:rPr>
        <w:t>i.Regardless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220"/>
          </w:cols>
          <w:pgMar w:left="320" w:top="1421" w:right="359" w:bottom="1440" w:gutter="0" w:footer="0" w:header="0"/>
        </w:sectPr>
      </w:pPr>
    </w:p>
    <w:bookmarkStart w:id="137" w:name="page138"/>
    <w:bookmarkEnd w:id="137"/>
    <w:p>
      <w:pPr>
        <w:ind w:right="500"/>
        <w:spacing w:after="0" w:line="263" w:lineRule="auto"/>
        <w:rPr>
          <w:sz w:val="20"/>
          <w:szCs w:val="20"/>
          <w:color w:val="auto"/>
        </w:rPr>
      </w:pPr>
      <w:r>
        <w:rPr>
          <w:rFonts w:ascii="Arial" w:cs="Arial" w:eastAsia="Arial" w:hAnsi="Arial"/>
          <w:sz w:val="22"/>
          <w:szCs w:val="22"/>
          <w:color w:val="auto"/>
        </w:rPr>
        <w:t>Company shall have no obligation to deliver any Vested Shares unless and until all Withholding Taxes contemplated by this Section 4 have been satisfied.</w:t>
      </w:r>
    </w:p>
    <w:p>
      <w:pPr>
        <w:spacing w:after="0" w:line="175" w:lineRule="exact"/>
        <w:rPr>
          <w:sz w:val="20"/>
          <w:szCs w:val="20"/>
          <w:color w:val="auto"/>
        </w:rPr>
      </w:pPr>
    </w:p>
    <w:p>
      <w:pPr>
        <w:ind w:right="40" w:firstLine="1122"/>
        <w:spacing w:after="0" w:line="285" w:lineRule="auto"/>
        <w:rPr>
          <w:sz w:val="20"/>
          <w:szCs w:val="20"/>
          <w:color w:val="auto"/>
        </w:rPr>
      </w:pPr>
      <w:r>
        <w:rPr>
          <w:rFonts w:ascii="Arial" w:cs="Arial" w:eastAsia="Arial" w:hAnsi="Arial"/>
          <w:sz w:val="19"/>
          <w:szCs w:val="19"/>
          <w:color w:val="auto"/>
        </w:rPr>
        <w:t>ii.Prior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w:t>
      </w:r>
    </w:p>
    <w:p>
      <w:pPr>
        <w:spacing w:after="0" w:line="3" w:lineRule="exact"/>
        <w:rPr>
          <w:sz w:val="20"/>
          <w:szCs w:val="20"/>
          <w:color w:val="auto"/>
        </w:rPr>
      </w:pPr>
    </w:p>
    <w:p>
      <w:pPr>
        <w:ind w:firstLine="8"/>
        <w:spacing w:after="0" w:line="281" w:lineRule="auto"/>
        <w:tabs>
          <w:tab w:leader="none" w:pos="258" w:val="left"/>
        </w:tabs>
        <w:numPr>
          <w:ilvl w:val="0"/>
          <w:numId w:val="82"/>
        </w:numPr>
        <w:rPr>
          <w:rFonts w:ascii="Arial" w:cs="Arial" w:eastAsia="Arial" w:hAnsi="Arial"/>
          <w:sz w:val="19"/>
          <w:szCs w:val="19"/>
          <w:color w:val="auto"/>
        </w:rPr>
      </w:pPr>
      <w:r>
        <w:rPr>
          <w:rFonts w:ascii="Arial" w:cs="Arial" w:eastAsia="Arial" w:hAnsi="Arial"/>
          <w:sz w:val="19"/>
          <w:szCs w:val="19"/>
          <w:color w:val="auto"/>
        </w:rPr>
        <w:t>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w:t>
      </w:r>
    </w:p>
    <w:p>
      <w:pPr>
        <w:spacing w:after="0" w:line="3" w:lineRule="exact"/>
        <w:rPr>
          <w:rFonts w:ascii="Arial" w:cs="Arial" w:eastAsia="Arial" w:hAnsi="Arial"/>
          <w:sz w:val="19"/>
          <w:szCs w:val="19"/>
          <w:color w:val="auto"/>
        </w:rPr>
      </w:pPr>
    </w:p>
    <w:p>
      <w:pPr>
        <w:ind w:firstLine="8"/>
        <w:spacing w:after="0" w:line="245" w:lineRule="auto"/>
        <w:tabs>
          <w:tab w:leader="none" w:pos="366" w:val="left"/>
        </w:tabs>
        <w:numPr>
          <w:ilvl w:val="0"/>
          <w:numId w:val="83"/>
        </w:numPr>
        <w:rPr>
          <w:rFonts w:ascii="Arial" w:cs="Arial" w:eastAsia="Arial" w:hAnsi="Arial"/>
          <w:sz w:val="22"/>
          <w:szCs w:val="22"/>
          <w:color w:val="auto"/>
        </w:rPr>
      </w:pPr>
      <w:r>
        <w:rPr>
          <w:rFonts w:ascii="Arial" w:cs="Arial" w:eastAsia="Arial" w:hAnsi="Arial"/>
          <w:sz w:val="22"/>
          <w:szCs w:val="22"/>
          <w:color w:val="auto"/>
        </w:rPr>
        <w:t>by any combination of (i), (ii) 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93" w:lineRule="exact"/>
        <w:rPr>
          <w:sz w:val="20"/>
          <w:szCs w:val="20"/>
          <w:color w:val="auto"/>
        </w:rPr>
      </w:pPr>
    </w:p>
    <w:p>
      <w:pPr>
        <w:ind w:firstLine="1062"/>
        <w:spacing w:after="0" w:line="288" w:lineRule="auto"/>
        <w:rPr>
          <w:sz w:val="20"/>
          <w:szCs w:val="20"/>
          <w:color w:val="auto"/>
        </w:rPr>
      </w:pPr>
      <w:r>
        <w:rPr>
          <w:rFonts w:ascii="Arial" w:cs="Arial" w:eastAsia="Arial" w:hAnsi="Arial"/>
          <w:sz w:val="19"/>
          <w:szCs w:val="19"/>
          <w:color w:val="auto"/>
        </w:rPr>
        <w:t>iii.The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200"/>
          </w:cols>
          <w:pgMar w:left="320" w:top="1427" w:right="379" w:bottom="1440" w:gutter="0" w:footer="0" w:header="0"/>
        </w:sectPr>
      </w:pPr>
    </w:p>
    <w:bookmarkStart w:id="138" w:name="page139"/>
    <w:bookmarkEnd w:id="138"/>
    <w:p>
      <w:pPr>
        <w:ind w:firstLine="656"/>
        <w:spacing w:after="0" w:line="269"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Deemed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By accepting the Award, Grantee is deemed to be bound by the terms and conditions set</w:t>
      </w:r>
      <w:r>
        <w:rPr>
          <w:rFonts w:ascii="Arial" w:cs="Arial" w:eastAsia="Arial" w:hAnsi="Arial"/>
          <w:sz w:val="22"/>
          <w:szCs w:val="22"/>
          <w:color w:val="auto"/>
        </w:rPr>
        <w:t xml:space="preserve"> </w:t>
      </w:r>
      <w:r>
        <w:rPr>
          <w:rFonts w:ascii="Arial" w:cs="Arial" w:eastAsia="Arial" w:hAnsi="Arial"/>
          <w:sz w:val="22"/>
          <w:szCs w:val="22"/>
          <w:b w:val="1"/>
          <w:bCs w:val="1"/>
          <w:color w:val="auto"/>
        </w:rPr>
        <w:t>forth in the Plan, the Grant Notice and these Award Terms.</w:t>
      </w:r>
    </w:p>
    <w:p>
      <w:pPr>
        <w:spacing w:after="0" w:line="167" w:lineRule="exact"/>
        <w:rPr>
          <w:rFonts w:ascii="Arial" w:cs="Arial" w:eastAsia="Arial" w:hAnsi="Arial"/>
          <w:sz w:val="22"/>
          <w:szCs w:val="22"/>
          <w:color w:val="auto"/>
        </w:rPr>
      </w:pPr>
    </w:p>
    <w:p>
      <w:pPr>
        <w:jc w:val="both"/>
        <w:ind w:right="680" w:firstLine="656"/>
        <w:spacing w:after="0" w:line="343"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Reservation of Shares</w:t>
      </w:r>
      <w:r>
        <w:rPr>
          <w:rFonts w:ascii="Arial" w:cs="Arial" w:eastAsia="Arial" w:hAnsi="Arial"/>
          <w:sz w:val="19"/>
          <w:szCs w:val="19"/>
          <w:color w:val="auto"/>
        </w:rPr>
        <w:t>. The Company shall at all times reserve for issuance or delivery upon vesting of the Restricted Share Units such number of Common Shares as shall be required for issuance or delivery upon vesting thereof.</w:t>
      </w:r>
    </w:p>
    <w:p>
      <w:pPr>
        <w:spacing w:after="0" w:line="104" w:lineRule="exact"/>
        <w:rPr>
          <w:rFonts w:ascii="Arial" w:cs="Arial" w:eastAsia="Arial" w:hAnsi="Arial"/>
          <w:sz w:val="19"/>
          <w:szCs w:val="19"/>
          <w:color w:val="auto"/>
        </w:rPr>
      </w:pPr>
    </w:p>
    <w:p>
      <w:pPr>
        <w:ind w:right="440" w:firstLine="656"/>
        <w:spacing w:after="0" w:line="343"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The holder of the Restricted Share Units shall not be entitled to receive any payment, payment-in-kind or any equivalent with regard to any cash or other dividends that are declared and paid on Common Shares.</w:t>
      </w:r>
    </w:p>
    <w:p>
      <w:pPr>
        <w:spacing w:after="0" w:line="104" w:lineRule="exact"/>
        <w:rPr>
          <w:rFonts w:ascii="Arial" w:cs="Arial" w:eastAsia="Arial" w:hAnsi="Arial"/>
          <w:sz w:val="19"/>
          <w:szCs w:val="19"/>
          <w:color w:val="auto"/>
        </w:rPr>
      </w:pPr>
    </w:p>
    <w:p>
      <w:pPr>
        <w:ind w:right="140" w:firstLine="656"/>
        <w:spacing w:after="0" w:line="292"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0" w:lineRule="exact"/>
        <w:rPr>
          <w:rFonts w:ascii="Arial" w:cs="Arial" w:eastAsia="Arial" w:hAnsi="Arial"/>
          <w:sz w:val="19"/>
          <w:szCs w:val="19"/>
          <w:color w:val="auto"/>
        </w:rPr>
      </w:pPr>
    </w:p>
    <w:p>
      <w:pPr>
        <w:ind w:firstLine="656"/>
        <w:spacing w:after="0" w:line="286"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65" w:lineRule="exact"/>
        <w:rPr>
          <w:rFonts w:ascii="Arial" w:cs="Arial" w:eastAsia="Arial" w:hAnsi="Arial"/>
          <w:sz w:val="19"/>
          <w:szCs w:val="19"/>
          <w:color w:val="auto"/>
        </w:rPr>
      </w:pPr>
    </w:p>
    <w:p>
      <w:pPr>
        <w:jc w:val="both"/>
        <w:ind w:right="80" w:firstLine="656"/>
        <w:spacing w:after="0" w:line="265" w:lineRule="auto"/>
        <w:tabs>
          <w:tab w:leader="none" w:pos="129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220"/>
          </w:cols>
          <w:pgMar w:left="320" w:top="1421" w:right="359" w:bottom="1440" w:gutter="0" w:footer="0" w:header="0"/>
        </w:sectPr>
      </w:pPr>
    </w:p>
    <w:bookmarkStart w:id="139" w:name="page140"/>
    <w:bookmarkEnd w:id="139"/>
    <w:p>
      <w:pPr>
        <w:ind w:right="100" w:firstLine="8"/>
        <w:spacing w:after="0" w:line="247" w:lineRule="auto"/>
        <w:tabs>
          <w:tab w:leader="none" w:pos="306"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92" w:lineRule="exact"/>
        <w:rPr>
          <w:rFonts w:ascii="Arial" w:cs="Arial" w:eastAsia="Arial" w:hAnsi="Arial"/>
          <w:sz w:val="22"/>
          <w:szCs w:val="22"/>
          <w:color w:val="auto"/>
        </w:rPr>
      </w:pPr>
    </w:p>
    <w:p>
      <w:pPr>
        <w:ind w:firstLine="656"/>
        <w:spacing w:after="0" w:line="287" w:lineRule="auto"/>
        <w:tabs>
          <w:tab w:leader="none" w:pos="1288"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656"/>
        <w:spacing w:after="0" w:line="292" w:lineRule="auto"/>
        <w:tabs>
          <w:tab w:leader="none" w:pos="129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 and Regulations and Company Policies and Procedures</w:t>
      </w:r>
      <w:r>
        <w:rPr>
          <w:rFonts w:ascii="Arial" w:cs="Arial" w:eastAsia="Arial" w:hAnsi="Arial"/>
          <w:sz w:val="22"/>
          <w:szCs w:val="22"/>
          <w:color w:val="auto"/>
        </w:rPr>
        <w:t>.</w:t>
      </w:r>
    </w:p>
    <w:p>
      <w:pPr>
        <w:spacing w:after="0" w:line="220" w:lineRule="exact"/>
        <w:rPr>
          <w:sz w:val="20"/>
          <w:szCs w:val="20"/>
          <w:color w:val="auto"/>
        </w:rPr>
      </w:pPr>
    </w:p>
    <w:p>
      <w:pPr>
        <w:jc w:val="both"/>
        <w:ind w:right="60" w:firstLine="1182"/>
        <w:spacing w:after="0" w:line="253" w:lineRule="auto"/>
        <w:rPr>
          <w:sz w:val="20"/>
          <w:szCs w:val="20"/>
          <w:color w:val="auto"/>
        </w:rPr>
      </w:pPr>
      <w:r>
        <w:rPr>
          <w:rFonts w:ascii="Arial" w:cs="Arial" w:eastAsia="Arial" w:hAnsi="Arial"/>
          <w:sz w:val="22"/>
          <w:szCs w:val="22"/>
          <w:color w:val="auto"/>
        </w:rPr>
        <w:t>i.Grantee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A-6</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180"/>
          </w:cols>
          <w:pgMar w:left="320" w:top="1427" w:right="399" w:bottom="1440" w:gutter="0" w:footer="0" w:header="0"/>
        </w:sectPr>
      </w:pPr>
    </w:p>
    <w:bookmarkStart w:id="140" w:name="page141"/>
    <w:bookmarkEnd w:id="140"/>
    <w:p>
      <w:pPr>
        <w:ind w:right="360" w:firstLine="1122"/>
        <w:spacing w:after="0" w:line="253" w:lineRule="auto"/>
        <w:rPr>
          <w:sz w:val="20"/>
          <w:szCs w:val="20"/>
          <w:color w:val="auto"/>
        </w:rPr>
      </w:pPr>
      <w:r>
        <w:rPr>
          <w:rFonts w:ascii="Arial" w:cs="Arial" w:eastAsia="Arial" w:hAnsi="Arial"/>
          <w:sz w:val="22"/>
          <w:szCs w:val="22"/>
          <w:color w:val="auto"/>
        </w:rPr>
        <w:t>ii.The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85" w:lineRule="exact"/>
        <w:rPr>
          <w:sz w:val="20"/>
          <w:szCs w:val="20"/>
          <w:color w:val="auto"/>
        </w:rPr>
      </w:pPr>
    </w:p>
    <w:p>
      <w:pPr>
        <w:ind w:right="220" w:firstLine="1062"/>
        <w:spacing w:after="0" w:line="271" w:lineRule="auto"/>
        <w:rPr>
          <w:sz w:val="20"/>
          <w:szCs w:val="20"/>
          <w:color w:val="auto"/>
        </w:rPr>
      </w:pPr>
      <w:r>
        <w:rPr>
          <w:rFonts w:ascii="Arial" w:cs="Arial" w:eastAsia="Arial" w:hAnsi="Arial"/>
          <w:sz w:val="21"/>
          <w:szCs w:val="21"/>
          <w:color w:val="auto"/>
        </w:rPr>
        <w:t>iii.If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67"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ind w:firstLine="1182"/>
        <w:spacing w:after="0" w:line="287" w:lineRule="auto"/>
        <w:rPr>
          <w:sz w:val="20"/>
          <w:szCs w:val="20"/>
          <w:color w:val="auto"/>
        </w:rPr>
      </w:pPr>
      <w:r>
        <w:rPr>
          <w:rFonts w:ascii="Arial" w:cs="Arial" w:eastAsia="Arial" w:hAnsi="Arial"/>
          <w:sz w:val="19"/>
          <w:szCs w:val="19"/>
          <w:color w:val="auto"/>
        </w:rPr>
        <w:t xml:space="preserve">i.Payments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63" w:lineRule="exact"/>
        <w:rPr>
          <w:sz w:val="20"/>
          <w:szCs w:val="20"/>
          <w:color w:val="auto"/>
        </w:rPr>
      </w:pPr>
    </w:p>
    <w:p>
      <w:pPr>
        <w:ind w:right="240" w:firstLine="1122"/>
        <w:spacing w:after="0" w:line="297" w:lineRule="auto"/>
        <w:rPr>
          <w:sz w:val="20"/>
          <w:szCs w:val="20"/>
          <w:color w:val="auto"/>
        </w:rPr>
      </w:pPr>
      <w:r>
        <w:rPr>
          <w:rFonts w:ascii="Arial" w:cs="Arial" w:eastAsia="Arial" w:hAnsi="Arial"/>
          <w:sz w:val="19"/>
          <w:szCs w:val="19"/>
          <w:color w:val="auto"/>
        </w:rPr>
        <w:t>ii.Neither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47" w:lineRule="exact"/>
        <w:rPr>
          <w:sz w:val="20"/>
          <w:szCs w:val="20"/>
          <w:color w:val="auto"/>
        </w:rPr>
      </w:pPr>
    </w:p>
    <w:p>
      <w:pPr>
        <w:ind w:right="40" w:firstLine="1062"/>
        <w:spacing w:after="0" w:line="259" w:lineRule="auto"/>
        <w:rPr>
          <w:sz w:val="20"/>
          <w:szCs w:val="20"/>
          <w:color w:val="auto"/>
        </w:rPr>
      </w:pPr>
      <w:r>
        <w:rPr>
          <w:rFonts w:ascii="Arial" w:cs="Arial" w:eastAsia="Arial" w:hAnsi="Arial"/>
          <w:sz w:val="21"/>
          <w:szCs w:val="21"/>
          <w:color w:val="auto"/>
        </w:rPr>
        <w:t>iii.Notwithstanding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240"/>
          </w:cols>
          <w:pgMar w:left="320" w:top="1427" w:right="339" w:bottom="1440" w:gutter="0" w:footer="0" w:header="0"/>
        </w:sectPr>
      </w:pPr>
    </w:p>
    <w:bookmarkStart w:id="141" w:name="page142"/>
    <w:bookmarkEnd w:id="141"/>
    <w:p>
      <w:pPr>
        <w:ind w:right="600" w:firstLine="656"/>
        <w:spacing w:after="0" w:line="263" w:lineRule="auto"/>
        <w:tabs>
          <w:tab w:leader="none" w:pos="129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The Company may, if determined by it based on the advice of counsel to be appropriate, cause any certificate evidencing Vested Shares to bear a legend substantially as follows:</w:t>
      </w:r>
    </w:p>
    <w:p>
      <w:pPr>
        <w:spacing w:after="0" w:line="175" w:lineRule="exact"/>
        <w:rPr>
          <w:sz w:val="20"/>
          <w:szCs w:val="20"/>
          <w:color w:val="auto"/>
        </w:rPr>
      </w:pPr>
    </w:p>
    <w:p>
      <w:pPr>
        <w:ind w:left="1300" w:right="1480"/>
        <w:spacing w:after="0" w:line="248" w:lineRule="auto"/>
        <w:rPr>
          <w:sz w:val="20"/>
          <w:szCs w:val="20"/>
          <w:color w:val="auto"/>
        </w:rPr>
      </w:pPr>
      <w:r>
        <w:rPr>
          <w:rFonts w:ascii="Arial" w:cs="Arial" w:eastAsia="Arial" w:hAnsi="Arial"/>
          <w:sz w:val="22"/>
          <w:szCs w:val="22"/>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92" w:lineRule="exact"/>
        <w:rPr>
          <w:sz w:val="20"/>
          <w:szCs w:val="20"/>
          <w:color w:val="auto"/>
        </w:rPr>
      </w:pPr>
    </w:p>
    <w:p>
      <w:pPr>
        <w:jc w:val="both"/>
        <w:ind w:right="460" w:firstLine="656"/>
        <w:spacing w:after="0" w:line="265" w:lineRule="auto"/>
        <w:tabs>
          <w:tab w:leader="none" w:pos="1296"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75" w:lineRule="exact"/>
        <w:rPr>
          <w:rFonts w:ascii="Arial" w:cs="Arial" w:eastAsia="Arial" w:hAnsi="Arial"/>
          <w:sz w:val="21"/>
          <w:szCs w:val="21"/>
          <w:color w:val="auto"/>
        </w:rPr>
      </w:pPr>
    </w:p>
    <w:p>
      <w:pPr>
        <w:ind w:right="20" w:firstLine="656"/>
        <w:spacing w:after="0" w:line="250" w:lineRule="auto"/>
        <w:tabs>
          <w:tab w:leader="none" w:pos="129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7" w:lineRule="exact"/>
        <w:rPr>
          <w:rFonts w:ascii="Arial" w:cs="Arial" w:eastAsia="Arial" w:hAnsi="Arial"/>
          <w:sz w:val="22"/>
          <w:szCs w:val="22"/>
          <w:color w:val="auto"/>
        </w:rPr>
      </w:pPr>
    </w:p>
    <w:p>
      <w:pPr>
        <w:ind w:right="380" w:firstLine="656"/>
        <w:spacing w:after="0" w:line="312" w:lineRule="auto"/>
        <w:tabs>
          <w:tab w:leader="none" w:pos="129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Venue and Governing Law</w:t>
      </w:r>
      <w:r>
        <w:rPr>
          <w:rFonts w:ascii="Arial" w:cs="Arial" w:eastAsia="Arial" w:hAnsi="Arial"/>
          <w:sz w:val="22"/>
          <w:szCs w:val="22"/>
          <w:color w:val="auto"/>
        </w:rPr>
        <w:t>.</w:t>
      </w:r>
    </w:p>
    <w:p>
      <w:pPr>
        <w:spacing w:after="0" w:line="220" w:lineRule="exact"/>
        <w:rPr>
          <w:sz w:val="20"/>
          <w:szCs w:val="20"/>
          <w:color w:val="auto"/>
        </w:rPr>
      </w:pPr>
    </w:p>
    <w:p>
      <w:pPr>
        <w:ind w:firstLine="1182"/>
        <w:spacing w:after="0" w:line="246" w:lineRule="auto"/>
        <w:rPr>
          <w:sz w:val="20"/>
          <w:szCs w:val="20"/>
          <w:color w:val="auto"/>
        </w:rPr>
      </w:pPr>
      <w:r>
        <w:rPr>
          <w:rFonts w:ascii="Arial" w:cs="Arial" w:eastAsia="Arial" w:hAnsi="Arial"/>
          <w:sz w:val="22"/>
          <w:szCs w:val="22"/>
          <w:color w:val="auto"/>
        </w:rPr>
        <w:t xml:space="preserve">i.For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parties have entered into another agreement providing for a different venue or forum (e.g., a dispute resolution agreement), then the terms of such agreement will control for purposes of this provision.</w:t>
      </w:r>
    </w:p>
    <w:p>
      <w:pPr>
        <w:spacing w:after="0" w:line="196" w:lineRule="exact"/>
        <w:rPr>
          <w:sz w:val="20"/>
          <w:szCs w:val="20"/>
          <w:color w:val="auto"/>
        </w:rPr>
      </w:pPr>
    </w:p>
    <w:p>
      <w:pPr>
        <w:ind w:right="140" w:firstLine="1122"/>
        <w:spacing w:after="0" w:line="253" w:lineRule="auto"/>
        <w:rPr>
          <w:sz w:val="20"/>
          <w:szCs w:val="20"/>
          <w:color w:val="auto"/>
        </w:rPr>
      </w:pPr>
      <w:r>
        <w:rPr>
          <w:rFonts w:ascii="Arial" w:cs="Arial" w:eastAsia="Arial" w:hAnsi="Arial"/>
          <w:sz w:val="22"/>
          <w:szCs w:val="22"/>
          <w:color w:val="auto"/>
        </w:rPr>
        <w:t>ii.To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180"/>
          </w:cols>
          <w:pgMar w:left="320" w:top="1427" w:right="399" w:bottom="1440" w:gutter="0" w:footer="0" w:header="0"/>
        </w:sectPr>
      </w:pPr>
    </w:p>
    <w:bookmarkStart w:id="142" w:name="page143"/>
    <w:bookmarkEnd w:id="142"/>
    <w:p>
      <w:pPr>
        <w:jc w:val="both"/>
        <w:ind w:right="300" w:firstLine="656"/>
        <w:spacing w:after="0" w:line="250" w:lineRule="auto"/>
        <w:tabs>
          <w:tab w:leader="none" w:pos="129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Delivery of Notices and Other Documents</w:t>
      </w:r>
      <w:r>
        <w:rPr>
          <w:rFonts w:ascii="Arial" w:cs="Arial" w:eastAsia="Arial" w:hAnsi="Arial"/>
          <w:sz w:val="22"/>
          <w:szCs w:val="22"/>
          <w:color w:val="auto"/>
        </w:rPr>
        <w:t>.</w:t>
      </w:r>
    </w:p>
    <w:p>
      <w:pPr>
        <w:spacing w:after="0" w:line="220" w:lineRule="exact"/>
        <w:rPr>
          <w:sz w:val="20"/>
          <w:szCs w:val="20"/>
          <w:color w:val="auto"/>
        </w:rPr>
      </w:pPr>
    </w:p>
    <w:p>
      <w:pPr>
        <w:ind w:right="40" w:firstLine="1182"/>
        <w:spacing w:after="0" w:line="263" w:lineRule="auto"/>
        <w:rPr>
          <w:sz w:val="20"/>
          <w:szCs w:val="20"/>
          <w:color w:val="auto"/>
        </w:rPr>
      </w:pPr>
      <w:r>
        <w:rPr>
          <w:rFonts w:ascii="Arial" w:cs="Arial" w:eastAsia="Arial" w:hAnsi="Arial"/>
          <w:sz w:val="21"/>
          <w:szCs w:val="21"/>
          <w:color w:val="auto"/>
        </w:rPr>
        <w:t>i.Any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Grantee may designate in writing from time to time. Notices shall be effective upon delivery.</w:t>
      </w:r>
    </w:p>
    <w:p>
      <w:pPr>
        <w:spacing w:after="0" w:line="175" w:lineRule="exact"/>
        <w:rPr>
          <w:sz w:val="20"/>
          <w:szCs w:val="20"/>
          <w:color w:val="auto"/>
        </w:rPr>
      </w:pPr>
    </w:p>
    <w:p>
      <w:pPr>
        <w:ind w:firstLine="1122"/>
        <w:spacing w:after="0" w:line="259" w:lineRule="auto"/>
        <w:rPr>
          <w:sz w:val="20"/>
          <w:szCs w:val="20"/>
          <w:color w:val="auto"/>
        </w:rPr>
      </w:pPr>
      <w:r>
        <w:rPr>
          <w:rFonts w:ascii="Arial" w:cs="Arial" w:eastAsia="Arial" w:hAnsi="Arial"/>
          <w:sz w:val="21"/>
          <w:szCs w:val="21"/>
          <w:color w:val="auto"/>
        </w:rPr>
        <w:t>ii.Any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79" w:lineRule="exact"/>
        <w:rPr>
          <w:sz w:val="20"/>
          <w:szCs w:val="20"/>
          <w:color w:val="auto"/>
        </w:rPr>
      </w:pPr>
    </w:p>
    <w:p>
      <w:pPr>
        <w:ind w:right="80" w:firstLine="656"/>
        <w:spacing w:after="0" w:line="263"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Conflict with Plan</w:t>
      </w:r>
      <w:r>
        <w:rPr>
          <w:rFonts w:ascii="Arial" w:cs="Arial" w:eastAsia="Arial" w:hAnsi="Arial"/>
          <w:sz w:val="22"/>
          <w:szCs w:val="22"/>
          <w:color w:val="auto"/>
        </w:rPr>
        <w:t>. In the event of any conflict between the terms the Grant Notice or these Award Terms and the terms of the Plan, the terms of the Plan shall control.</w:t>
      </w:r>
    </w:p>
    <w:p>
      <w:pPr>
        <w:spacing w:after="0" w:line="174" w:lineRule="exact"/>
        <w:rPr>
          <w:rFonts w:ascii="Arial" w:cs="Arial" w:eastAsia="Arial" w:hAnsi="Arial"/>
          <w:sz w:val="22"/>
          <w:szCs w:val="22"/>
          <w:color w:val="auto"/>
        </w:rPr>
      </w:pPr>
    </w:p>
    <w:p>
      <w:pPr>
        <w:ind w:right="80" w:firstLine="656"/>
        <w:spacing w:after="0" w:line="261" w:lineRule="auto"/>
        <w:tabs>
          <w:tab w:leader="none" w:pos="129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A-9</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160"/>
          </w:cols>
          <w:pgMar w:left="320" w:top="1427" w:right="419" w:bottom="1440" w:gutter="0" w:footer="0" w:header="0"/>
        </w:sectPr>
      </w:pPr>
    </w:p>
    <w:bookmarkStart w:id="143" w:name="page144"/>
    <w:bookmarkEnd w:id="143"/>
    <w:p>
      <w:pPr>
        <w:ind w:right="80" w:firstLine="656"/>
        <w:spacing w:after="0" w:line="248"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91" w:lineRule="exact"/>
        <w:rPr>
          <w:rFonts w:ascii="Arial" w:cs="Arial" w:eastAsia="Arial" w:hAnsi="Arial"/>
          <w:sz w:val="22"/>
          <w:szCs w:val="22"/>
          <w:color w:val="auto"/>
        </w:rPr>
      </w:pPr>
    </w:p>
    <w:p>
      <w:pPr>
        <w:ind w:firstLine="656"/>
        <w:spacing w:after="0" w:line="253"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(2020 Annual Grant)</w:t>
      </w:r>
    </w:p>
    <w:p>
      <w:pPr>
        <w:sectPr>
          <w:pgSz w:w="11900" w:h="16838" w:orient="portrait"/>
          <w:cols w:equalWidth="0" w:num="1">
            <w:col w:w="11080"/>
          </w:cols>
          <w:pgMar w:left="320" w:top="1427" w:right="49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Appendix</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ACTIVISION BLIZZARD,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Incentive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Performance-Vesting RESTRICTED SHARE UNIT AWARD TERMS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TERMS AND CONDITIONS by country</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Capitalized terms used but not defined herein shall have the meanings given to such terms in the Plan or the Award Terms, as the case may be.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ind w:right="180"/>
        <w:spacing w:after="0" w:line="253" w:lineRule="auto"/>
        <w:rPr>
          <w:sz w:val="20"/>
          <w:szCs w:val="20"/>
          <w:color w:val="auto"/>
        </w:rPr>
      </w:pPr>
      <w:r>
        <w:rPr>
          <w:rFonts w:ascii="Arial" w:cs="Arial" w:eastAsia="Arial" w:hAnsi="Arial"/>
          <w:sz w:val="22"/>
          <w:szCs w:val="22"/>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85"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2020.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76"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B-1</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(2020 Annual Grant)</w:t>
      </w:r>
    </w:p>
    <w:p>
      <w:pPr>
        <w:sectPr>
          <w:pgSz w:w="11900" w:h="16838" w:orient="portrait"/>
          <w:cols w:equalWidth="0" w:num="1">
            <w:col w:w="11240"/>
          </w:cols>
          <w:pgMar w:left="320" w:top="1421" w:right="339" w:bottom="1440" w:gutter="0" w:footer="0" w:header="0"/>
        </w:sectPr>
      </w:pPr>
    </w:p>
    <w:bookmarkStart w:id="145" w:name="page146"/>
    <w:bookmarkEnd w:id="145"/>
    <w:p>
      <w:pPr>
        <w:spacing w:after="0" w:line="200" w:lineRule="exact"/>
        <w:rPr>
          <w:sz w:val="20"/>
          <w:szCs w:val="20"/>
          <w:color w:val="auto"/>
        </w:rPr>
      </w:pPr>
    </w:p>
    <w:p>
      <w:pPr>
        <w:spacing w:after="0" w:line="247" w:lineRule="exact"/>
        <w:rPr>
          <w:sz w:val="20"/>
          <w:szCs w:val="20"/>
          <w:color w:val="auto"/>
        </w:rPr>
      </w:pPr>
    </w:p>
    <w:p>
      <w:pPr>
        <w:jc w:val="right"/>
        <w:ind w:right="31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 relevant pages omitted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B-2</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(2020 Annual Grant)</w:t>
      </w:r>
    </w:p>
    <w:p>
      <w:pPr>
        <w:sectPr>
          <w:pgSz w:w="11900" w:h="16838" w:orient="portrait"/>
          <w:cols w:equalWidth="0" w:num="1">
            <w:col w:w="10139"/>
          </w:cols>
          <w:pgMar w:left="320" w:top="1440" w:right="1440" w:bottom="1440" w:gutter="0" w:footer="0" w:header="0"/>
        </w:sectPr>
      </w:pPr>
    </w:p>
    <w:bookmarkStart w:id="146" w:name="page147"/>
    <w:bookmarkEnd w:id="146"/>
    <w:p>
      <w:pPr>
        <w:ind w:left="3660"/>
        <w:spacing w:after="0"/>
        <w:rPr>
          <w:sz w:val="20"/>
          <w:szCs w:val="20"/>
          <w:color w:val="auto"/>
        </w:rPr>
      </w:pPr>
      <w:r>
        <w:rPr>
          <w:rFonts w:ascii="Arial" w:cs="Arial" w:eastAsia="Arial" w:hAnsi="Arial"/>
          <w:sz w:val="22"/>
          <w:szCs w:val="22"/>
          <w:b w:val="1"/>
          <w:bCs w:val="1"/>
          <w:color w:val="auto"/>
        </w:rPr>
        <w:t>Appendix for the United States of America</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Activision Blizzard,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Incentive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For U.S. Grantees only, the following terms shall have the meanings set forth below:</w:t>
      </w:r>
    </w:p>
    <w:p>
      <w:pPr>
        <w:spacing w:after="0" w:line="214" w:lineRule="exact"/>
        <w:rPr>
          <w:sz w:val="20"/>
          <w:szCs w:val="20"/>
          <w:color w:val="auto"/>
        </w:rPr>
      </w:pPr>
    </w:p>
    <w:p>
      <w:pPr>
        <w:jc w:val="both"/>
        <w:ind w:right="140" w:firstLine="1296"/>
        <w:spacing w:after="0" w:line="315" w:lineRule="auto"/>
        <w:rPr>
          <w:sz w:val="20"/>
          <w:szCs w:val="20"/>
          <w:color w:val="auto"/>
        </w:rPr>
      </w:pPr>
      <w:r>
        <w:rPr>
          <w:rFonts w:ascii="Arial" w:cs="Arial" w:eastAsia="Arial" w:hAnsi="Arial"/>
          <w:sz w:val="19"/>
          <w:szCs w:val="19"/>
          <w:b w:val="1"/>
          <w:bCs w:val="1"/>
          <w:color w:val="auto"/>
        </w:rPr>
        <w:t xml:space="preserve">“Employment Violation” </w:t>
      </w:r>
      <w:r>
        <w:rPr>
          <w:rFonts w:ascii="Arial" w:cs="Arial" w:eastAsia="Arial" w:hAnsi="Arial"/>
          <w:sz w:val="19"/>
          <w:szCs w:val="19"/>
          <w:color w:val="auto"/>
        </w:rPr>
        <w:t>means any material breach by Grantee of his or her employment agreement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entity in the Company Group for so long as the terms of such employment agreement shall apply to Grantee (with any breach of the post-termination obligations contained therein deemed to be material for purposes of this definition).</w:t>
      </w:r>
    </w:p>
    <w:p>
      <w:pPr>
        <w:spacing w:after="0" w:line="152" w:lineRule="exact"/>
        <w:rPr>
          <w:sz w:val="20"/>
          <w:szCs w:val="20"/>
          <w:color w:val="auto"/>
        </w:rPr>
      </w:pPr>
    </w:p>
    <w:p>
      <w:pPr>
        <w:ind w:right="40" w:firstLine="1296"/>
        <w:spacing w:after="0" w:line="256" w:lineRule="auto"/>
        <w:rPr>
          <w:sz w:val="20"/>
          <w:szCs w:val="20"/>
          <w:color w:val="auto"/>
        </w:rPr>
      </w:pPr>
      <w:r>
        <w:rPr>
          <w:rFonts w:ascii="Arial" w:cs="Arial" w:eastAsia="Arial" w:hAnsi="Arial"/>
          <w:sz w:val="22"/>
          <w:szCs w:val="22"/>
          <w:b w:val="1"/>
          <w:bCs w:val="1"/>
          <w:color w:val="auto"/>
        </w:rPr>
        <w:t xml:space="preserve">“Look-back Period” </w:t>
      </w:r>
      <w:r>
        <w:rPr>
          <w:rFonts w:ascii="Arial" w:cs="Arial" w:eastAsia="Arial" w:hAnsi="Arial"/>
          <w:sz w:val="22"/>
          <w:szCs w:val="22"/>
          <w:color w:val="auto"/>
        </w:rPr>
        <w:t>means, with respect to any Employment Violation by Grantee, the period beginning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which is 12 months prior to the date of such Employment Violation by Grantee and ending on the date of computation of the Recapture Amount with respect to such Employment Violation.</w:t>
      </w:r>
    </w:p>
    <w:p>
      <w:pPr>
        <w:spacing w:after="0" w:line="203" w:lineRule="exact"/>
        <w:rPr>
          <w:sz w:val="20"/>
          <w:szCs w:val="20"/>
          <w:color w:val="auto"/>
        </w:rPr>
      </w:pPr>
    </w:p>
    <w:p>
      <w:pPr>
        <w:jc w:val="both"/>
        <w:ind w:right="260" w:firstLine="1296"/>
        <w:spacing w:after="0" w:line="274"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64" w:lineRule="exact"/>
        <w:rPr>
          <w:sz w:val="20"/>
          <w:szCs w:val="20"/>
          <w:color w:val="auto"/>
        </w:rPr>
      </w:pPr>
    </w:p>
    <w:p>
      <w:pPr>
        <w:ind w:left="660" w:firstLine="644"/>
        <w:spacing w:after="0" w:line="250"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87" w:lineRule="exact"/>
        <w:rPr>
          <w:rFonts w:ascii="Arial" w:cs="Arial" w:eastAsia="Arial" w:hAnsi="Arial"/>
          <w:sz w:val="22"/>
          <w:szCs w:val="22"/>
          <w:color w:val="auto"/>
        </w:rPr>
      </w:pPr>
    </w:p>
    <w:p>
      <w:pPr>
        <w:ind w:left="660" w:right="340" w:firstLine="644"/>
        <w:spacing w:after="0" w:line="263" w:lineRule="auto"/>
        <w:tabs>
          <w:tab w:leader="none" w:pos="17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Grantee has received Vested Shares during such Look-back Period and sold any such Vested Shares, an amount equal to the sum of the sales price for all such Vested Shares; plus</w:t>
      </w:r>
    </w:p>
    <w:p>
      <w:pPr>
        <w:spacing w:after="0" w:line="174" w:lineRule="exact"/>
        <w:rPr>
          <w:rFonts w:ascii="Arial" w:cs="Arial" w:eastAsia="Arial" w:hAnsi="Arial"/>
          <w:sz w:val="22"/>
          <w:szCs w:val="22"/>
          <w:color w:val="auto"/>
        </w:rPr>
      </w:pPr>
    </w:p>
    <w:p>
      <w:pPr>
        <w:ind w:left="660" w:firstLine="644"/>
        <w:spacing w:after="0" w:line="297" w:lineRule="auto"/>
        <w:tabs>
          <w:tab w:leader="none" w:pos="1848"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w:t>
      </w:r>
    </w:p>
    <w:p>
      <w:pPr>
        <w:sectPr>
          <w:pgSz w:w="11900" w:h="16838" w:orient="portrait"/>
          <w:cols w:equalWidth="0" w:num="1">
            <w:col w:w="11220"/>
          </w:cols>
          <w:pgMar w:left="320" w:top="1421" w:right="359" w:bottom="1440" w:gutter="0" w:footer="0" w:header="0"/>
        </w:sectPr>
      </w:pPr>
    </w:p>
    <w:bookmarkStart w:id="147" w:name="page148"/>
    <w:bookmarkEnd w:id="147"/>
    <w:p>
      <w:pPr>
        <w:ind w:left="660" w:right="320"/>
        <w:spacing w:after="0" w:line="253" w:lineRule="auto"/>
        <w:rPr>
          <w:sz w:val="20"/>
          <w:szCs w:val="20"/>
          <w:color w:val="auto"/>
        </w:rPr>
      </w:pPr>
      <w:r>
        <w:rPr>
          <w:rFonts w:ascii="Arial" w:cs="Arial" w:eastAsia="Arial" w:hAnsi="Arial"/>
          <w:sz w:val="22"/>
          <w:szCs w:val="22"/>
          <w:color w:val="auto"/>
        </w:rPr>
        <w:t>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12" w:lineRule="exact"/>
        <w:rPr>
          <w:sz w:val="20"/>
          <w:szCs w:val="20"/>
          <w:color w:val="auto"/>
        </w:rPr>
      </w:pPr>
    </w:p>
    <w:p>
      <w:pPr>
        <w:ind w:right="120" w:firstLine="656"/>
        <w:spacing w:after="0" w:line="297"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46" w:lineRule="exact"/>
        <w:rPr>
          <w:rFonts w:ascii="Arial" w:cs="Arial" w:eastAsia="Arial" w:hAnsi="Arial"/>
          <w:sz w:val="19"/>
          <w:szCs w:val="19"/>
          <w:color w:val="auto"/>
        </w:rPr>
      </w:pPr>
    </w:p>
    <w:p>
      <w:pPr>
        <w:ind w:firstLine="656"/>
        <w:spacing w:after="0" w:line="287"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Employment Violation</w:t>
      </w:r>
      <w:r>
        <w:rPr>
          <w:rFonts w:ascii="Arial" w:cs="Arial" w:eastAsia="Arial" w:hAnsi="Arial"/>
          <w:sz w:val="19"/>
          <w:szCs w:val="19"/>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(b) payment by Grantee to the Company of the Recapture Amount with respect to such Employment Violation;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(2020 Annual Grant)</w:t>
      </w:r>
    </w:p>
    <w:p>
      <w:pPr>
        <w:sectPr>
          <w:pgSz w:w="11900" w:h="16838" w:orient="portrait"/>
          <w:cols w:equalWidth="0" w:num="1">
            <w:col w:w="11220"/>
          </w:cols>
          <w:pgMar w:left="320" w:top="1427" w:right="3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2620" w:type="dxa"/>
            <w:vAlign w:val="bottom"/>
            <w:gridSpan w:val="2"/>
          </w:tcPr>
          <w:p>
            <w:pPr>
              <w:ind w:left="17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59"/>
        </w:trPr>
        <w:tc>
          <w:tcPr>
            <w:tcW w:w="8160" w:type="dxa"/>
            <w:vAlign w:val="bottom"/>
          </w:tcPr>
          <w:p>
            <w:pPr>
              <w:ind w:left="2180"/>
              <w:spacing w:after="0"/>
              <w:rPr>
                <w:sz w:val="20"/>
                <w:szCs w:val="20"/>
                <w:color w:val="auto"/>
              </w:rPr>
            </w:pPr>
            <w:r>
              <w:rPr>
                <w:rFonts w:ascii="Arial" w:cs="Arial" w:eastAsia="Arial" w:hAnsi="Arial"/>
                <w:sz w:val="18"/>
                <w:szCs w:val="18"/>
                <w:b w:val="1"/>
                <w:bCs w:val="1"/>
                <w:color w:val="auto"/>
                <w:w w:val="98"/>
              </w:rPr>
              <w:t>MAJOR SUBSIDIARIES OF THE REGISTRANT AT DECEMBER 31, 2020</w:t>
            </w: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60" w:type="dxa"/>
            <w:vAlign w:val="bottom"/>
          </w:tcPr>
          <w:p>
            <w:pPr>
              <w:spacing w:after="0"/>
              <w:rPr>
                <w:sz w:val="24"/>
                <w:szCs w:val="24"/>
                <w:color w:val="auto"/>
              </w:rPr>
            </w:pPr>
          </w:p>
        </w:tc>
        <w:tc>
          <w:tcPr>
            <w:tcW w:w="2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State or Other Jurisdiction</w:t>
            </w:r>
          </w:p>
        </w:tc>
        <w:tc>
          <w:tcPr>
            <w:tcW w:w="0" w:type="dxa"/>
            <w:vAlign w:val="bottom"/>
          </w:tcPr>
          <w:p>
            <w:pPr>
              <w:spacing w:after="0"/>
              <w:rPr>
                <w:sz w:val="1"/>
                <w:szCs w:val="1"/>
                <w:color w:val="auto"/>
              </w:rPr>
            </w:pPr>
          </w:p>
        </w:tc>
      </w:tr>
      <w:tr>
        <w:trPr>
          <w:trHeight w:val="175"/>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62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3"/>
              </w:rPr>
              <w:t>of Incorporation or</w:t>
            </w:r>
          </w:p>
        </w:tc>
        <w:tc>
          <w:tcPr>
            <w:tcW w:w="0" w:type="dxa"/>
            <w:vAlign w:val="bottom"/>
          </w:tcPr>
          <w:p>
            <w:pPr>
              <w:spacing w:after="0"/>
              <w:rPr>
                <w:sz w:val="1"/>
                <w:szCs w:val="1"/>
                <w:color w:val="auto"/>
              </w:rPr>
            </w:pPr>
          </w:p>
        </w:tc>
      </w:tr>
      <w:tr>
        <w:trPr>
          <w:trHeight w:val="229"/>
        </w:trPr>
        <w:tc>
          <w:tcPr>
            <w:tcW w:w="8160" w:type="dxa"/>
            <w:vAlign w:val="bottom"/>
            <w:vMerge w:val="continue"/>
          </w:tcPr>
          <w:p>
            <w:pPr>
              <w:spacing w:after="0"/>
              <w:rPr>
                <w:sz w:val="19"/>
                <w:szCs w:val="19"/>
                <w:color w:val="auto"/>
              </w:rPr>
            </w:pPr>
          </w:p>
        </w:tc>
        <w:tc>
          <w:tcPr>
            <w:tcW w:w="26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Organization</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 Blizzard International B.V.</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Activision Blizzard Media Limited</w:t>
            </w:r>
          </w:p>
        </w:tc>
        <w:tc>
          <w:tcPr>
            <w:tcW w:w="2180" w:type="dxa"/>
            <w:vAlign w:val="bottom"/>
          </w:tcPr>
          <w:p>
            <w:pPr>
              <w:spacing w:after="0"/>
              <w:rPr>
                <w:sz w:val="20"/>
                <w:szCs w:val="20"/>
                <w:color w:val="auto"/>
              </w:rPr>
            </w:pPr>
            <w:r>
              <w:rPr>
                <w:rFonts w:ascii="Arial" w:cs="Arial" w:eastAsia="Arial" w:hAnsi="Arial"/>
                <w:sz w:val="18"/>
                <w:szCs w:val="18"/>
                <w:color w:val="auto"/>
              </w:rPr>
              <w:t>United Kingdom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 Blizzard UK Limited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Activision Publishing, Inc.</w:t>
            </w:r>
          </w:p>
        </w:tc>
        <w:tc>
          <w:tcPr>
            <w:tcW w:w="2180" w:type="dxa"/>
            <w:vAlign w:val="bottom"/>
          </w:tcPr>
          <w:p>
            <w:pPr>
              <w:spacing w:after="0"/>
              <w:rPr>
                <w:sz w:val="20"/>
                <w:szCs w:val="20"/>
                <w:color w:val="auto"/>
              </w:rPr>
            </w:pPr>
            <w:r>
              <w:rPr>
                <w:rFonts w:ascii="Arial" w:cs="Arial" w:eastAsia="Arial" w:hAnsi="Arial"/>
                <w:sz w:val="18"/>
                <w:szCs w:val="18"/>
                <w:color w:val="auto"/>
              </w:rPr>
              <w:t>U.S.-Delaware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Blizzard Entertainment, Inc.</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U.S.-Delaware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King.com (US), LLC</w:t>
            </w:r>
          </w:p>
        </w:tc>
        <w:tc>
          <w:tcPr>
            <w:tcW w:w="2180" w:type="dxa"/>
            <w:vAlign w:val="bottom"/>
          </w:tcPr>
          <w:p>
            <w:pPr>
              <w:spacing w:after="0"/>
              <w:rPr>
                <w:sz w:val="20"/>
                <w:szCs w:val="20"/>
                <w:color w:val="auto"/>
              </w:rPr>
            </w:pPr>
            <w:r>
              <w:rPr>
                <w:rFonts w:ascii="Arial" w:cs="Arial" w:eastAsia="Arial" w:hAnsi="Arial"/>
                <w:sz w:val="18"/>
                <w:szCs w:val="18"/>
                <w:color w:val="auto"/>
              </w:rPr>
              <w:t>U.S.-Delaware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King.com Limited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Malta</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Midasplayer AB</w:t>
            </w:r>
          </w:p>
        </w:tc>
        <w:tc>
          <w:tcPr>
            <w:tcW w:w="2180" w:type="dxa"/>
            <w:vAlign w:val="bottom"/>
          </w:tcPr>
          <w:p>
            <w:pPr>
              <w:spacing w:after="0"/>
              <w:rPr>
                <w:sz w:val="20"/>
                <w:szCs w:val="20"/>
                <w:color w:val="auto"/>
              </w:rPr>
            </w:pPr>
            <w:r>
              <w:rPr>
                <w:rFonts w:ascii="Arial" w:cs="Arial" w:eastAsia="Arial" w:hAnsi="Arial"/>
                <w:sz w:val="18"/>
                <w:szCs w:val="18"/>
                <w:color w:val="auto"/>
              </w:rPr>
              <w:t>Sweden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Midasplayer.com Limited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780" w:top="89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80" w:firstLine="405"/>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S-3 (No. 333-233617) and Form S-8 (No. 333-153661, 333-165123, 333-167428, 333-196956, 333-209825 and 333-209864) of Activision Blizzard, Inc. of our report dated February 23, 2021 relating to the financial statements and financial statement schedule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117"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117"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644"/>
        <w:spacing w:after="0" w:line="263" w:lineRule="auto"/>
        <w:tabs>
          <w:tab w:leader="none" w:pos="10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342" w:lineRule="auto"/>
        <w:tabs>
          <w:tab w:leader="none" w:pos="32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740" w:hanging="644"/>
        <w:spacing w:after="0" w:line="342" w:lineRule="auto"/>
        <w:tabs>
          <w:tab w:leader="none" w:pos="1022"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A. Kotick</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Executive Officer and</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ectPr>
          <w:pgSz w:w="11900" w:h="16838" w:orient="portrait"/>
          <w:cols w:equalWidth="0" w:num="1">
            <w:col w:w="11240"/>
          </w:cols>
          <w:pgMar w:left="320" w:top="89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Dennis Durkin, certify that:</w:t>
      </w:r>
    </w:p>
    <w:p>
      <w:pPr>
        <w:spacing w:after="0" w:line="117"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117"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644"/>
        <w:spacing w:after="0" w:line="263" w:lineRule="auto"/>
        <w:tabs>
          <w:tab w:leader="none" w:pos="10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340" w:hanging="652"/>
        <w:spacing w:after="0" w:line="342" w:lineRule="auto"/>
        <w:tabs>
          <w:tab w:leader="none" w:pos="32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740" w:hanging="644"/>
        <w:spacing w:after="0" w:line="342" w:lineRule="auto"/>
        <w:tabs>
          <w:tab w:leader="none" w:pos="1022"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Dennis Durkin</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 and Principal Financial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ectPr>
          <w:pgSz w:w="11900" w:h="16838" w:orient="portrait"/>
          <w:cols w:equalWidth="0" w:num="1">
            <w:col w:w="11240"/>
          </w:cols>
          <w:pgMar w:left="320" w:top="89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2020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9"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0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6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A. Kotick</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Executive Officer and</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2020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49" w:lineRule="exact"/>
        <w:rPr>
          <w:sz w:val="20"/>
          <w:szCs w:val="20"/>
          <w:color w:val="auto"/>
        </w:rPr>
      </w:pPr>
    </w:p>
    <w:p>
      <w:pPr>
        <w:ind w:left="1040" w:hanging="384"/>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0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6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Dennis Durkin</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 and Principal Financial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2"/>
      <w:numFmt w:val="bullet"/>
      <w:start w:val="1"/>
    </w:lvl>
  </w:abstractNum>
  <w:abstractNum w:abstractNumId="34">
    <w:nsid w:val="4AD084E9"/>
    <w:multiLevelType w:val="hybridMultilevel"/>
    <w:lvl w:ilvl="0">
      <w:lvlJc w:val="left"/>
      <w:lvlText w:val="3"/>
      <w:numFmt w:val="bullet"/>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upperLetter"/>
      <w:start w:val="1"/>
    </w:lvl>
  </w:abstractNum>
  <w:abstractNum w:abstractNumId="52">
    <w:nsid w:val="51D9C564"/>
    <w:multiLevelType w:val="hybridMultilevel"/>
    <w:lvl w:ilvl="0">
      <w:lvlJc w:val="left"/>
      <w:lvlText w:val="*"/>
      <w:numFmt w:val="bullet"/>
      <w:start w:val="1"/>
    </w:lvl>
    <w:lvl w:ilvl="1">
      <w:lvlJc w:val="left"/>
      <w:lvlText w:val="%2"/>
      <w:numFmt w:val="decimal"/>
      <w:start w:val="104"/>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lvl w:ilvl="1">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decimal"/>
      <w:start w:val="2"/>
    </w:lvl>
  </w:abstractNum>
  <w:abstractNum w:abstractNumId="59">
    <w:nsid w:val="1A32234B"/>
    <w:multiLevelType w:val="hybridMultilevel"/>
    <w:lvl w:ilvl="0">
      <w:lvlJc w:val="left"/>
      <w:lvlText w:val="%1."/>
      <w:numFmt w:val="decimal"/>
      <w:start w:val="4"/>
    </w:lvl>
  </w:abstractNum>
  <w:abstractNum w:abstractNumId="60">
    <w:nsid w:val="3B0FD379"/>
    <w:multiLevelType w:val="hybridMultilevel"/>
    <w:lvl w:ilvl="0">
      <w:lvlJc w:val="left"/>
      <w:lvlText w:val="%1."/>
      <w:numFmt w:val="decimal"/>
      <w:start w:val="5"/>
    </w:lvl>
  </w:abstractNum>
  <w:abstractNum w:abstractNumId="61">
    <w:nsid w:val="68EB2F63"/>
    <w:multiLevelType w:val="hybridMultilevel"/>
    <w:lvl w:ilvl="0">
      <w:lvlJc w:val="left"/>
      <w:lvlText w:val="(%1)"/>
      <w:numFmt w:val="lowerRoman"/>
      <w:start w:val="4"/>
    </w:lvl>
  </w:abstractNum>
  <w:abstractNum w:abstractNumId="62">
    <w:nsid w:val="4962813B"/>
    <w:multiLevelType w:val="hybridMultilevel"/>
    <w:lvl w:ilvl="0">
      <w:lvlJc w:val="left"/>
      <w:lvlText w:val="%1."/>
      <w:numFmt w:val="decimal"/>
      <w:start w:val="6"/>
    </w:lvl>
  </w:abstractNum>
  <w:abstractNum w:abstractNumId="63">
    <w:nsid w:val="60B6DF70"/>
    <w:multiLevelType w:val="hybridMultilevel"/>
    <w:lvl w:ilvl="0">
      <w:lvlJc w:val="left"/>
      <w:lvlText w:val="%1."/>
      <w:numFmt w:val="decimal"/>
      <w:start w:val="9"/>
    </w:lvl>
  </w:abstractNum>
  <w:abstractNum w:abstractNumId="64">
    <w:nsid w:val="6A5EE64"/>
    <w:multiLevelType w:val="hybridMultilevel"/>
    <w:lvl w:ilvl="0">
      <w:lvlJc w:val="left"/>
      <w:lvlText w:val="%1."/>
      <w:numFmt w:val="decimal"/>
      <w:start w:val="12"/>
    </w:lvl>
  </w:abstractNum>
  <w:abstractNum w:abstractNumId="65">
    <w:nsid w:val="14330624"/>
    <w:multiLevelType w:val="hybridMultilevel"/>
    <w:lvl w:ilvl="0">
      <w:lvlJc w:val="left"/>
      <w:lvlText w:val="%1."/>
      <w:numFmt w:val="decimal"/>
      <w:start w:val="13"/>
    </w:lvl>
  </w:abstractNum>
  <w:abstractNum w:abstractNumId="66">
    <w:nsid w:val="7FFFCA11"/>
    <w:multiLevelType w:val="hybridMultilevel"/>
    <w:lvl w:ilvl="0">
      <w:lvlJc w:val="left"/>
      <w:lvlText w:val="%1."/>
      <w:numFmt w:val="decimal"/>
      <w:start w:val="14"/>
    </w:lvl>
  </w:abstractNum>
  <w:abstractNum w:abstractNumId="67">
    <w:nsid w:val="1A27709E"/>
    <w:multiLevelType w:val="hybridMultilevel"/>
    <w:lvl w:ilvl="0">
      <w:lvlJc w:val="left"/>
      <w:lvlText w:val="%1."/>
      <w:numFmt w:val="decimal"/>
      <w:start w:val="15"/>
    </w:lvl>
  </w:abstractNum>
  <w:abstractNum w:abstractNumId="68">
    <w:nsid w:val="71EA1109"/>
    <w:multiLevelType w:val="hybridMultilevel"/>
    <w:lvl w:ilvl="0">
      <w:lvlJc w:val="left"/>
      <w:lvlText w:val="%1."/>
      <w:numFmt w:val="decimal"/>
      <w:start w:val="19"/>
    </w:lvl>
  </w:abstractNum>
  <w:abstractNum w:abstractNumId="69">
    <w:nsid w:val="100F59DC"/>
    <w:multiLevelType w:val="hybridMultilevel"/>
    <w:lvl w:ilvl="0">
      <w:lvlJc w:val="left"/>
      <w:lvlText w:val="%1."/>
      <w:numFmt w:val="decimal"/>
      <w:start w:val="20"/>
    </w:lvl>
  </w:abstractNum>
  <w:abstractNum w:abstractNumId="70">
    <w:nsid w:val="7FB7E0AA"/>
    <w:multiLevelType w:val="hybridMultilevel"/>
    <w:lvl w:ilvl="0">
      <w:lvlJc w:val="left"/>
      <w:lvlText w:val="%1."/>
      <w:numFmt w:val="decimal"/>
      <w:start w:val="21"/>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lowerRoman"/>
      <w:start w:val="1"/>
    </w:lvl>
  </w:abstractNum>
  <w:abstractNum w:abstractNumId="73">
    <w:nsid w:val="94211F2"/>
    <w:multiLevelType w:val="hybridMultilevel"/>
    <w:lvl w:ilvl="0">
      <w:lvlJc w:val="left"/>
      <w:lvlText w:val="%1"/>
      <w:numFmt w:val="lowerLetter"/>
      <w:start w:val="1"/>
    </w:lvl>
    <w:lvl w:ilvl="1">
      <w:lvlJc w:val="left"/>
      <w:lvlText w:val="%2."/>
      <w:numFmt w:val="decimal"/>
      <w:start w:val="2"/>
    </w:lvl>
  </w:abstractNum>
  <w:abstractNum w:abstractNumId="74">
    <w:nsid w:val="885E1B"/>
    <w:multiLevelType w:val="hybridMultilevel"/>
    <w:lvl w:ilvl="0">
      <w:lvlJc w:val="left"/>
      <w:lvlText w:val="(%1)"/>
      <w:numFmt w:val="lowerLetter"/>
      <w:start w:val="2"/>
    </w:lvl>
    <w:lvl w:ilvl="1">
      <w:lvlJc w:val="left"/>
      <w:lvlText w:val="%2"/>
      <w:numFmt w:val="decimal"/>
      <w:start w:val="1"/>
    </w:lvl>
  </w:abstractNum>
  <w:abstractNum w:abstractNumId="75">
    <w:nsid w:val="76272110"/>
    <w:multiLevelType w:val="hybridMultilevel"/>
    <w:lvl w:ilvl="0">
      <w:lvlJc w:val="left"/>
      <w:lvlText w:val="•"/>
      <w:numFmt w:val="bullet"/>
      <w:start w:val="1"/>
    </w:lvl>
    <w:lvl w:ilvl="1">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decimal"/>
      <w:start w:val="1"/>
    </w:lvl>
    <w:lvl w:ilvl="1">
      <w:lvlJc w:val="left"/>
      <w:lvlText w:val="(%2)"/>
      <w:numFmt w:val="lowerLetter"/>
      <w:start w:val="1"/>
    </w:lvl>
  </w:abstractNum>
  <w:abstractNum w:abstractNumId="78">
    <w:nsid w:val="14E17E33"/>
    <w:multiLevelType w:val="hybridMultilevel"/>
    <w:lvl w:ilvl="0">
      <w:lvlJc w:val="left"/>
      <w:lvlText w:val="(%1)"/>
      <w:numFmt w:val="upperLetter"/>
      <w:start w:val="3"/>
    </w:lvl>
  </w:abstractNum>
  <w:abstractNum w:abstractNumId="79">
    <w:nsid w:val="3222E7CD"/>
    <w:multiLevelType w:val="hybridMultilevel"/>
    <w:lvl w:ilvl="0">
      <w:lvlJc w:val="left"/>
      <w:lvlText w:val="(%1)"/>
      <w:numFmt w:val="lowerLetter"/>
      <w:start w:val="2"/>
    </w:lvl>
  </w:abstractNum>
  <w:abstractNum w:abstractNumId="80">
    <w:nsid w:val="74DE0EE3"/>
    <w:multiLevelType w:val="hybridMultilevel"/>
    <w:lvl w:ilvl="0">
      <w:lvlJc w:val="left"/>
      <w:lvlText w:val="%1."/>
      <w:numFmt w:val="decimal"/>
      <w:start w:val="2"/>
    </w:lvl>
    <w:lvl w:ilvl="1">
      <w:lvlJc w:val="left"/>
      <w:lvlText w:val="(%2)"/>
      <w:numFmt w:val="lowerLetter"/>
      <w:start w:val="1"/>
    </w:lvl>
  </w:abstractNum>
  <w:abstractNum w:abstractNumId="81">
    <w:nsid w:val="68EBC550"/>
    <w:multiLevelType w:val="hybridMultilevel"/>
    <w:lvl w:ilvl="0">
      <w:lvlJc w:val="left"/>
      <w:lvlText w:val="(%1)"/>
      <w:numFmt w:val="lowerRoman"/>
      <w:start w:val="1"/>
    </w:lvl>
  </w:abstractNum>
  <w:abstractNum w:abstractNumId="82">
    <w:nsid w:val="2DF6D648"/>
    <w:multiLevelType w:val="hybridMultilevel"/>
    <w:lvl w:ilvl="0">
      <w:lvlJc w:val="left"/>
      <w:lvlText w:val="(%1)"/>
      <w:numFmt w:val="lowerRoman"/>
      <w:start w:val="4"/>
    </w:lvl>
  </w:abstractNum>
  <w:abstractNum w:abstractNumId="83">
    <w:nsid w:val="46B7D447"/>
    <w:multiLevelType w:val="hybridMultilevel"/>
    <w:lvl w:ilvl="0">
      <w:lvlJc w:val="left"/>
      <w:lvlText w:val="%1."/>
      <w:numFmt w:val="decimal"/>
      <w:start w:val="5"/>
    </w:lvl>
  </w:abstractNum>
  <w:abstractNum w:abstractNumId="84">
    <w:nsid w:val="4A2AC315"/>
    <w:multiLevelType w:val="hybridMultilevel"/>
    <w:lvl w:ilvl="0">
      <w:lvlJc w:val="left"/>
      <w:lvlText w:val="(%1)"/>
      <w:numFmt w:val="lowerLetter"/>
      <w:start w:val="2"/>
    </w:lvl>
    <w:lvl w:ilvl="1">
      <w:lvlJc w:val="left"/>
      <w:lvlText w:val="%2."/>
      <w:numFmt w:val="decimal"/>
      <w:start w:val="11"/>
    </w:lvl>
  </w:abstractNum>
  <w:abstractNum w:abstractNumId="85">
    <w:nsid w:val="39EE015C"/>
    <w:multiLevelType w:val="hybridMultilevel"/>
    <w:lvl w:ilvl="0">
      <w:lvlJc w:val="left"/>
      <w:lvlText w:val="%1."/>
      <w:numFmt w:val="decimal"/>
      <w:start w:val="14"/>
    </w:lvl>
  </w:abstractNum>
  <w:abstractNum w:abstractNumId="86">
    <w:nsid w:val="57FC4FBB"/>
    <w:multiLevelType w:val="hybridMultilevel"/>
    <w:lvl w:ilvl="0">
      <w:lvlJc w:val="left"/>
      <w:lvlText w:val="%1."/>
      <w:numFmt w:val="decimal"/>
      <w:start w:val="15"/>
    </w:lvl>
  </w:abstractNum>
  <w:abstractNum w:abstractNumId="87">
    <w:nsid w:val="CC1016F"/>
    <w:multiLevelType w:val="hybridMultilevel"/>
    <w:lvl w:ilvl="0">
      <w:lvlJc w:val="left"/>
      <w:lvlText w:val="%1."/>
      <w:numFmt w:val="decimal"/>
      <w:start w:val="16"/>
    </w:lvl>
  </w:abstractNum>
  <w:abstractNum w:abstractNumId="88">
    <w:nsid w:val="43F18422"/>
    <w:multiLevelType w:val="hybridMultilevel"/>
    <w:lvl w:ilvl="0">
      <w:lvlJc w:val="left"/>
      <w:lvlText w:val="%1."/>
      <w:numFmt w:val="decimal"/>
      <w:start w:val="20"/>
    </w:lvl>
  </w:abstractNum>
  <w:abstractNum w:abstractNumId="89">
    <w:nsid w:val="60EF0119"/>
    <w:multiLevelType w:val="hybridMultilevel"/>
    <w:lvl w:ilvl="0">
      <w:lvlJc w:val="left"/>
      <w:lvlText w:val="%1."/>
      <w:numFmt w:val="decimal"/>
      <w:start w:val="22"/>
    </w:lvl>
  </w:abstractNum>
  <w:abstractNum w:abstractNumId="90">
    <w:nsid w:val="26F324BA"/>
    <w:multiLevelType w:val="hybridMultilevel"/>
    <w:lvl w:ilvl="0">
      <w:lvlJc w:val="left"/>
      <w:lvlText w:val="%1."/>
      <w:numFmt w:val="decimal"/>
      <w:start w:val="24"/>
    </w:lvl>
  </w:abstractNum>
  <w:abstractNum w:abstractNumId="91">
    <w:nsid w:val="7F01579B"/>
    <w:multiLevelType w:val="hybridMultilevel"/>
    <w:lvl w:ilvl="0">
      <w:lvlJc w:val="left"/>
      <w:lvlText w:val="%1."/>
      <w:numFmt w:val="decimal"/>
      <w:start w:val="1"/>
    </w:lvl>
    <w:lvl w:ilvl="1">
      <w:lvlJc w:val="left"/>
      <w:lvlText w:val="(%2)"/>
      <w:numFmt w:val="lowerLetter"/>
      <w:start w:val="1"/>
    </w:lvl>
  </w:abstractNum>
  <w:abstractNum w:abstractNumId="92">
    <w:nsid w:val="49DA307D"/>
    <w:multiLevelType w:val="hybridMultilevel"/>
    <w:lvl w:ilvl="0">
      <w:lvlJc w:val="left"/>
      <w:lvlText w:val="(%1)"/>
      <w:numFmt w:val="lowerRoman"/>
      <w:start w:val="1"/>
    </w:lvl>
  </w:abstractNum>
  <w:abstractNum w:abstractNumId="93">
    <w:nsid w:val="7055A5F5"/>
    <w:multiLevelType w:val="hybridMultilevel"/>
    <w:lvl w:ilvl="0">
      <w:lvlJc w:val="left"/>
      <w:lvlText w:val="%1."/>
      <w:numFmt w:val="decimal"/>
      <w:start w:val="2"/>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5" Type="http://schemas.openxmlformats.org/officeDocument/2006/relationships/image" Target="media/image135.png"/><Relationship Id="rId159" Type="http://schemas.openxmlformats.org/officeDocument/2006/relationships/image" Target="media/image136.png"/><Relationship Id="rId161" Type="http://schemas.openxmlformats.org/officeDocument/2006/relationships/image" Target="media/image137.png"/><Relationship Id="rId180" Type="http://schemas.openxmlformats.org/officeDocument/2006/relationships/image" Target="media/image138.png"/><Relationship Id="rId182"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15" Type="http://schemas.openxmlformats.org/officeDocument/2006/relationships/hyperlink" Target="http://www.sec.gov/ix?doc=/Archives/edgar/data/718877/000071887720000003/atvi-12312019x10xk.htm#s6EB94B6C257359E9B4DE5DBD405C2A5C" TargetMode="External"/><Relationship Id="rId61" Type="http://schemas.openxmlformats.org/officeDocument/2006/relationships/hyperlink" Target="http://www.sec.gov/ix?doc=/Archives/edgar/data/718877/000071887720000003/atvi-12312019x10xk.htm#s0B5E86490BE05B748A325A1626A8A3AE" TargetMode="External"/><Relationship Id="rId144" Type="http://schemas.openxmlformats.org/officeDocument/2006/relationships/hyperlink" Target="http://www.sec.gov/Archives/edgar/data/718877/000110465914044513/a14-14950_1ex3d1.htm" TargetMode="External"/><Relationship Id="rId146" Type="http://schemas.openxmlformats.org/officeDocument/2006/relationships/hyperlink" Target="http://www.sec.gov/Archives/edgar/data/718877/000110465918019359/a18-8728_1ex3d1.htm#Exhibit3_1_094603" TargetMode="External"/><Relationship Id="rId147" Type="http://schemas.openxmlformats.org/officeDocument/2006/relationships/hyperlink" Target="http://www.sec.gov/Archives/edgar/data/718877/000110465916145484/a16-18230_4ex4d1.htm" TargetMode="External"/><Relationship Id="rId148" Type="http://schemas.openxmlformats.org/officeDocument/2006/relationships/hyperlink" Target="http://www.sec.gov/Archives/edgar/data/718877/000110465917035716/a17-13961_3ex4d1.htm" TargetMode="External"/><Relationship Id="rId149" Type="http://schemas.openxmlformats.org/officeDocument/2006/relationships/hyperlink" Target="http://www.sec.gov/Archives/edgar/data/718877/000110465917035716/a17-13961_3ex4d2.htm" TargetMode="External"/><Relationship Id="rId150" Type="http://schemas.openxmlformats.org/officeDocument/2006/relationships/hyperlink" Target="https://www.sec.gov/Archives/edgar/data/718877/000110465920092717/tm2026289d4_ex4-2.htm" TargetMode="External"/><Relationship Id="rId151" Type="http://schemas.openxmlformats.org/officeDocument/2006/relationships/hyperlink" Target="http://www.sec.gov/Archives/edgar/data/718877/000071887720000003/atvi123119ex47.htm" TargetMode="External"/><Relationship Id="rId152" Type="http://schemas.openxmlformats.org/officeDocument/2006/relationships/hyperlink" Target="http://www.sec.gov/Archives/edgar/data/718877/000110465912043056/a12-14498_1ex10d1.htm" TargetMode="External"/><Relationship Id="rId153" Type="http://schemas.openxmlformats.org/officeDocument/2006/relationships/hyperlink" Target="http://www.sec.gov/Archives/edgar/data/718877/000110465914044513/a14-14950_1ex10d1.htm" TargetMode="External"/><Relationship Id="rId154" Type="http://schemas.openxmlformats.org/officeDocument/2006/relationships/hyperlink" Target="http://www.sec.gov/Archives/edgar/data/718877/000104746917001072/a2230993zex-10_14.htm" TargetMode="External"/><Relationship Id="rId155" Type="http://schemas.openxmlformats.org/officeDocument/2006/relationships/hyperlink" Target="http://www.sec.gov/Archives/edgar/data/718877/000104746909002015/a2190811zex-10_44.htm" TargetMode="External"/><Relationship Id="rId156" Type="http://schemas.openxmlformats.org/officeDocument/2006/relationships/hyperlink" Target="http://www.sec.gov/Archives/edgar/data/718877/000104746909002015/a2190811zex-10_45.htm" TargetMode="External"/><Relationship Id="rId157" Type="http://schemas.openxmlformats.org/officeDocument/2006/relationships/hyperlink" Target="http://www.sec.gov/Archives/edgar/data/718877/000110465913038868/a13-8588_1ex10d5.htm" TargetMode="External"/><Relationship Id="rId158" Type="http://schemas.openxmlformats.org/officeDocument/2006/relationships/hyperlink" Target="http://www.sec.gov/Archives/edgar/data/718877/000110465913038868/a13-8588_1ex10d6.htm" TargetMode="External"/><Relationship Id="rId160" Type="http://schemas.openxmlformats.org/officeDocument/2006/relationships/hyperlink" Target="http://www.sec.gov/Archives/edgar/data/718877/000110465914057005/a14-14115_1ex10d1.htm" TargetMode="External"/><Relationship Id="rId162" Type="http://schemas.openxmlformats.org/officeDocument/2006/relationships/hyperlink" Target="http://www.sec.gov/Archives/edgar/data/718877/000110465914057005/a14-14115_1ex10d2.htm" TargetMode="External"/><Relationship Id="rId163" Type="http://schemas.openxmlformats.org/officeDocument/2006/relationships/hyperlink" Target="http://www.sec.gov/Archives/edgar/data/718877/000110465914057005/a14-14115_1ex10d4.htm" TargetMode="External"/><Relationship Id="rId164" Type="http://schemas.openxmlformats.org/officeDocument/2006/relationships/hyperlink" Target="http://www.sec.gov/Archives/edgar/data/718877/000110465914057005/a14-14115_1ex10d5.htm" TargetMode="External"/><Relationship Id="rId165" Type="http://schemas.openxmlformats.org/officeDocument/2006/relationships/hyperlink" Target="http://www.sec.gov/Archives/edgar/data/718877/000110465914076552/a14-19826_1ex10d1.htm" TargetMode="External"/><Relationship Id="rId166" Type="http://schemas.openxmlformats.org/officeDocument/2006/relationships/hyperlink" Target="http://www.sec.gov/Archives/edgar/data/718877/000110465914076552/a14-19826_1ex10d2.htm" TargetMode="External"/><Relationship Id="rId167" Type="http://schemas.openxmlformats.org/officeDocument/2006/relationships/hyperlink" Target="http://www.sec.gov/Archives/edgar/data/718877/000110465914076552/a14-19826_1ex10d3.htm" TargetMode="External"/><Relationship Id="rId168" Type="http://schemas.openxmlformats.org/officeDocument/2006/relationships/hyperlink" Target="http://www.sec.gov/Archives/edgar/data/718877/000104746917001072/a2230993zex-10_44.htm" TargetMode="External"/><Relationship Id="rId169" Type="http://schemas.openxmlformats.org/officeDocument/2006/relationships/hyperlink" Target="http://www.sec.gov/Archives/edgar/data/718877/000104746917001072/a2230993zex-10_45.htm" TargetMode="External"/><Relationship Id="rId170" Type="http://schemas.openxmlformats.org/officeDocument/2006/relationships/hyperlink" Target="http://www.sec.gov/Archives/edgar/data/718877/000104746917001072/a2230993zex-10_46.htm" TargetMode="External"/><Relationship Id="rId171" Type="http://schemas.openxmlformats.org/officeDocument/2006/relationships/hyperlink" Target="http://www.sec.gov/Archives/edgar/data/718877/000110465917029920/a17-8921_1ex10d2.htm" TargetMode="External"/><Relationship Id="rId172" Type="http://schemas.openxmlformats.org/officeDocument/2006/relationships/hyperlink" Target="http://www.sec.gov/Archives/edgar/data/718877/000110465917029920/a17-8921_1ex10d3.htm" TargetMode="External"/><Relationship Id="rId173" Type="http://schemas.openxmlformats.org/officeDocument/2006/relationships/hyperlink" Target="http://www.sec.gov/Archives/edgar/data/718877/000104746919000788/a2237840zex-10_21.htm" TargetMode="External"/><Relationship Id="rId174" Type="http://schemas.openxmlformats.org/officeDocument/2006/relationships/hyperlink" Target="http://www.sec.gov/Archives/edgar/data/718877/000104746919000788/a2237840zex-10_20.htm" TargetMode="External"/><Relationship Id="rId175" Type="http://schemas.openxmlformats.org/officeDocument/2006/relationships/hyperlink" Target="http://www.sec.gov/Archives/edgar/data/718877/000071887720000003/atvi123119ex1022.htm" TargetMode="External"/><Relationship Id="rId176" Type="http://schemas.openxmlformats.org/officeDocument/2006/relationships/hyperlink" Target="http://www.sec.gov/Archives/edgar/data/718877/000071887720000003/atvi123119ex1023.htm" TargetMode="External"/><Relationship Id="rId177" Type="http://schemas.openxmlformats.org/officeDocument/2006/relationships/hyperlink" Target="http://www.sec.gov/Archives/edgar/data/718877/000110465914057005/a14-14115_1ex10d6.htm" TargetMode="External"/><Relationship Id="rId178" Type="http://schemas.openxmlformats.org/officeDocument/2006/relationships/hyperlink" Target="http://www.sec.gov/Archives/edgar/data/718877/000110465915076727/a15-18056_1ex10d1.htm" TargetMode="External"/><Relationship Id="rId179" Type="http://schemas.openxmlformats.org/officeDocument/2006/relationships/hyperlink" Target="http://www.sec.gov/Archives/edgar/data/718877/000071887719000004/atvi33119ex102.htm" TargetMode="External"/><Relationship Id="rId181" Type="http://schemas.openxmlformats.org/officeDocument/2006/relationships/hyperlink" Target="http://www.sec.gov/Archives/edgar/data/718877/000104746919000788/a2237840zex-10_24.htm" TargetMode="External"/><Relationship Id="rId183" Type="http://schemas.openxmlformats.org/officeDocument/2006/relationships/hyperlink" Target="http://www.sec.gov/Archives/edgar/data/718877/000110465916159113/a16-22182_1ex10d1.htm" TargetMode="External"/><Relationship Id="rId184" Type="http://schemas.openxmlformats.org/officeDocument/2006/relationships/hyperlink" Target="http://www.sec.gov/Archives/edgar/data/718877/000104746919000788/a2237840zex-10_26.htm" TargetMode="External"/><Relationship Id="rId185" Type="http://schemas.openxmlformats.org/officeDocument/2006/relationships/hyperlink" Target="http://www.sec.gov/Archives/edgar/data/718877/000104746919000788/a2237840zex-10_27.htm" TargetMode="External"/><Relationship Id="rId186" Type="http://schemas.openxmlformats.org/officeDocument/2006/relationships/hyperlink" Target="http://www.sec.gov/Archives/edgar/data/718877/000071887720000003/atvi123119ex1031.htm" TargetMode="External"/><Relationship Id="rId187" Type="http://schemas.openxmlformats.org/officeDocument/2006/relationships/hyperlink" Target="http://www.sec.gov/Archives/edgar/data/718877/000071887720000003/atvi123119ex1033.htm" TargetMode="External"/><Relationship Id="rId188" Type="http://schemas.openxmlformats.org/officeDocument/2006/relationships/hyperlink" Target="https://www.sec.gov/Archives/edgar/data/718877/000110465920031972/tm2012269d1_ex10-1.htm" TargetMode="External"/><Relationship Id="rId189" Type="http://schemas.openxmlformats.org/officeDocument/2006/relationships/hyperlink" Target="http://www.sec.gov/Archives/edgar/data/718877/000110465918049238/a18-14094_1ex10d1.htm" TargetMode="External"/><Relationship Id="rId190" Type="http://schemas.openxmlformats.org/officeDocument/2006/relationships/hyperlink" Target="http://www.sec.gov/Archives/edgar/data/718877/000110465913076443/a13-22471_1ex10d1.htm" TargetMode="External"/><Relationship Id="rId191" Type="http://schemas.openxmlformats.org/officeDocument/2006/relationships/hyperlink" Target="http://www.sec.gov/Archives/edgar/data/718877/000110465915075068/a15-22145_1ex10d1.htm" TargetMode="External"/><Relationship Id="rId192" Type="http://schemas.openxmlformats.org/officeDocument/2006/relationships/hyperlink" Target="http://www.sec.gov/Archives/edgar/data/718877/000110465915079610/a15-23082_1ex10d1.htm" TargetMode="External"/><Relationship Id="rId193" Type="http://schemas.openxmlformats.org/officeDocument/2006/relationships/hyperlink" Target="http://www.sec.gov/Archives/edgar/data/718877/000110465915084685/a15-24656_1ex10d1.htm" TargetMode="External"/><Relationship Id="rId194" Type="http://schemas.openxmlformats.org/officeDocument/2006/relationships/hyperlink" Target="http://www.sec.gov/Archives/edgar/data/718877/000110465916109325/a16-7653_1ex10d1.htm" TargetMode="External"/><Relationship Id="rId195" Type="http://schemas.openxmlformats.org/officeDocument/2006/relationships/hyperlink" Target="http://www.sec.gov/Archives/edgar/data/718877/000110465916141094/a16-17371_1ex10d1.htm" TargetMode="External"/><Relationship Id="rId196" Type="http://schemas.openxmlformats.org/officeDocument/2006/relationships/hyperlink" Target="http://www.sec.gov/Archives/edgar/data/718877/000110465917006608/a17-3790_1ex10d1.htm" TargetMode="External"/><Relationship Id="rId197" Type="http://schemas.openxmlformats.org/officeDocument/2006/relationships/hyperlink" Target="http://www.sec.gov/Archives/edgar/data/718877/000110465918054148/a18-2301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2021-02-23T15:35:52Z</dcterms:created>
  <dcterms:modified xsi:type="dcterms:W3CDTF">2021-02-23T15:35:52Z</dcterms:modified>
</cp:coreProperties>
</file>