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3"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98"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19, 2023</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Activision Blizzard, Inc.</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43" w:lineRule="exact"/>
        <w:rPr>
          <w:sz w:val="24"/>
          <w:szCs w:val="24"/>
          <w:color w:val="auto"/>
        </w:rPr>
      </w:pPr>
    </w:p>
    <w:tbl>
      <w:tblPr>
        <w:tblLayout w:type="fixed"/>
        <w:tblInd w:w="500" w:type="dxa"/>
        <w:tblCellMar>
          <w:top w:w="0" w:type="dxa"/>
          <w:left w:w="0" w:type="dxa"/>
          <w:bottom w:w="0" w:type="dxa"/>
          <w:right w:w="0" w:type="dxa"/>
        </w:tblCellMar>
      </w:tblPr>
      <w:tr>
        <w:trPr>
          <w:trHeight w:val="234"/>
        </w:trPr>
        <w:tc>
          <w:tcPr>
            <w:tcW w:w="3580" w:type="dxa"/>
            <w:vAlign w:val="bottom"/>
          </w:tcPr>
          <w:p>
            <w:pPr>
              <w:jc w:val="center"/>
              <w:ind w:right="530"/>
              <w:spacing w:after="0"/>
              <w:rPr>
                <w:sz w:val="20"/>
                <w:szCs w:val="20"/>
                <w:color w:val="auto"/>
              </w:rPr>
            </w:pPr>
            <w:r>
              <w:rPr>
                <w:rFonts w:ascii="Arial" w:cs="Arial" w:eastAsia="Arial" w:hAnsi="Arial"/>
                <w:sz w:val="18"/>
                <w:szCs w:val="18"/>
                <w:b w:val="1"/>
                <w:bCs w:val="1"/>
                <w:color w:val="auto"/>
                <w:w w:val="91"/>
              </w:rPr>
              <w:t>Delaware</w:t>
            </w:r>
          </w:p>
        </w:tc>
        <w:tc>
          <w:tcPr>
            <w:tcW w:w="3220" w:type="dxa"/>
            <w:vAlign w:val="bottom"/>
          </w:tcPr>
          <w:p>
            <w:pPr>
              <w:jc w:val="right"/>
              <w:ind w:right="1090"/>
              <w:spacing w:after="0"/>
              <w:rPr>
                <w:sz w:val="20"/>
                <w:szCs w:val="20"/>
                <w:color w:val="auto"/>
              </w:rPr>
            </w:pPr>
            <w:r>
              <w:rPr>
                <w:rFonts w:ascii="Arial" w:cs="Arial" w:eastAsia="Arial" w:hAnsi="Arial"/>
                <w:sz w:val="18"/>
                <w:szCs w:val="18"/>
                <w:b w:val="1"/>
                <w:bCs w:val="1"/>
                <w:color w:val="auto"/>
              </w:rPr>
              <w:t>001-15839</w:t>
            </w:r>
          </w:p>
        </w:tc>
        <w:tc>
          <w:tcPr>
            <w:tcW w:w="3540" w:type="dxa"/>
            <w:vAlign w:val="bottom"/>
          </w:tcPr>
          <w:p>
            <w:pPr>
              <w:jc w:val="right"/>
              <w:ind w:right="950"/>
              <w:spacing w:after="0"/>
              <w:rPr>
                <w:sz w:val="20"/>
                <w:szCs w:val="20"/>
                <w:color w:val="auto"/>
              </w:rPr>
            </w:pPr>
            <w:r>
              <w:rPr>
                <w:rFonts w:ascii="Arial" w:cs="Arial" w:eastAsia="Arial" w:hAnsi="Arial"/>
                <w:sz w:val="18"/>
                <w:szCs w:val="18"/>
                <w:b w:val="1"/>
                <w:bCs w:val="1"/>
                <w:color w:val="auto"/>
              </w:rPr>
              <w:t>95-4803544</w:t>
            </w:r>
          </w:p>
        </w:tc>
      </w:tr>
      <w:tr>
        <w:trPr>
          <w:trHeight w:val="269"/>
        </w:trPr>
        <w:tc>
          <w:tcPr>
            <w:tcW w:w="3580" w:type="dxa"/>
            <w:vAlign w:val="bottom"/>
          </w:tcPr>
          <w:p>
            <w:pPr>
              <w:jc w:val="center"/>
              <w:ind w:right="530"/>
              <w:spacing w:after="0"/>
              <w:rPr>
                <w:sz w:val="20"/>
                <w:szCs w:val="20"/>
                <w:color w:val="auto"/>
              </w:rPr>
            </w:pPr>
            <w:r>
              <w:rPr>
                <w:rFonts w:ascii="Arial" w:cs="Arial" w:eastAsia="Arial" w:hAnsi="Arial"/>
                <w:sz w:val="18"/>
                <w:szCs w:val="18"/>
                <w:color w:val="auto"/>
                <w:w w:val="92"/>
              </w:rPr>
              <w:t>(State or Other Jurisdiction of</w:t>
            </w:r>
          </w:p>
        </w:tc>
        <w:tc>
          <w:tcPr>
            <w:tcW w:w="322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center"/>
              <w:ind w:left="510"/>
              <w:spacing w:after="0"/>
              <w:rPr>
                <w:sz w:val="20"/>
                <w:szCs w:val="20"/>
                <w:color w:val="auto"/>
              </w:rPr>
            </w:pPr>
            <w:r>
              <w:rPr>
                <w:rFonts w:ascii="Arial" w:cs="Arial" w:eastAsia="Arial" w:hAnsi="Arial"/>
                <w:sz w:val="18"/>
                <w:szCs w:val="18"/>
                <w:color w:val="auto"/>
                <w:w w:val="93"/>
              </w:rPr>
              <w:t>(I.R.S. Employer Identification Number)</w:t>
            </w:r>
          </w:p>
        </w:tc>
      </w:tr>
      <w:tr>
        <w:trPr>
          <w:trHeight w:val="230"/>
        </w:trPr>
        <w:tc>
          <w:tcPr>
            <w:tcW w:w="3580" w:type="dxa"/>
            <w:vAlign w:val="bottom"/>
          </w:tcPr>
          <w:p>
            <w:pPr>
              <w:jc w:val="center"/>
              <w:ind w:right="530"/>
              <w:spacing w:after="0"/>
              <w:rPr>
                <w:sz w:val="20"/>
                <w:szCs w:val="20"/>
                <w:color w:val="auto"/>
              </w:rPr>
            </w:pPr>
            <w:r>
              <w:rPr>
                <w:rFonts w:ascii="Arial" w:cs="Arial" w:eastAsia="Arial" w:hAnsi="Arial"/>
                <w:sz w:val="18"/>
                <w:szCs w:val="18"/>
                <w:color w:val="auto"/>
                <w:w w:val="93"/>
              </w:rPr>
              <w:t>Incorporation)</w:t>
            </w:r>
          </w:p>
        </w:tc>
        <w:tc>
          <w:tcPr>
            <w:tcW w:w="3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70"/>
        </w:trPr>
        <w:tc>
          <w:tcPr>
            <w:tcW w:w="3580" w:type="dxa"/>
            <w:vAlign w:val="bottom"/>
          </w:tcPr>
          <w:p>
            <w:pPr>
              <w:jc w:val="center"/>
              <w:ind w:right="550"/>
              <w:spacing w:after="0"/>
              <w:rPr>
                <w:sz w:val="20"/>
                <w:szCs w:val="20"/>
                <w:color w:val="auto"/>
              </w:rPr>
            </w:pPr>
            <w:r>
              <w:rPr>
                <w:rFonts w:ascii="Arial" w:cs="Arial" w:eastAsia="Arial" w:hAnsi="Arial"/>
                <w:sz w:val="18"/>
                <w:szCs w:val="18"/>
                <w:b w:val="1"/>
                <w:bCs w:val="1"/>
                <w:color w:val="auto"/>
                <w:w w:val="91"/>
              </w:rPr>
              <w:t>2701 Olympic Boulevard, Building B</w:t>
            </w:r>
          </w:p>
        </w:tc>
        <w:tc>
          <w:tcPr>
            <w:tcW w:w="3220" w:type="dxa"/>
            <w:vAlign w:val="bottom"/>
          </w:tcPr>
          <w:p>
            <w:pPr>
              <w:spacing w:after="0"/>
              <w:rPr>
                <w:sz w:val="23"/>
                <w:szCs w:val="23"/>
                <w:color w:val="auto"/>
              </w:rPr>
            </w:pPr>
          </w:p>
        </w:tc>
        <w:tc>
          <w:tcPr>
            <w:tcW w:w="3540" w:type="dxa"/>
            <w:vAlign w:val="bottom"/>
          </w:tcPr>
          <w:p>
            <w:pPr>
              <w:spacing w:after="0"/>
              <w:rPr>
                <w:sz w:val="23"/>
                <w:szCs w:val="23"/>
                <w:color w:val="auto"/>
              </w:rPr>
            </w:pPr>
          </w:p>
        </w:tc>
      </w:tr>
      <w:tr>
        <w:trPr>
          <w:trHeight w:val="270"/>
        </w:trPr>
        <w:tc>
          <w:tcPr>
            <w:tcW w:w="3580" w:type="dxa"/>
            <w:vAlign w:val="bottom"/>
          </w:tcPr>
          <w:p>
            <w:pPr>
              <w:ind w:left="360"/>
              <w:spacing w:after="0"/>
              <w:rPr>
                <w:sz w:val="20"/>
                <w:szCs w:val="20"/>
                <w:color w:val="auto"/>
              </w:rPr>
            </w:pPr>
            <w:r>
              <w:rPr>
                <w:rFonts w:ascii="Arial" w:cs="Arial" w:eastAsia="Arial" w:hAnsi="Arial"/>
                <w:sz w:val="18"/>
                <w:szCs w:val="18"/>
                <w:b w:val="1"/>
                <w:bCs w:val="1"/>
                <w:color w:val="auto"/>
              </w:rPr>
              <w:t>Santa Monica,  CA</w:t>
            </w:r>
          </w:p>
        </w:tc>
        <w:tc>
          <w:tcPr>
            <w:tcW w:w="3220" w:type="dxa"/>
            <w:vAlign w:val="bottom"/>
          </w:tcPr>
          <w:p>
            <w:pPr>
              <w:spacing w:after="0"/>
              <w:rPr>
                <w:sz w:val="23"/>
                <w:szCs w:val="23"/>
                <w:color w:val="auto"/>
              </w:rPr>
            </w:pPr>
          </w:p>
        </w:tc>
        <w:tc>
          <w:tcPr>
            <w:tcW w:w="3540" w:type="dxa"/>
            <w:vAlign w:val="bottom"/>
          </w:tcPr>
          <w:p>
            <w:pPr>
              <w:jc w:val="right"/>
              <w:ind w:right="1150"/>
              <w:spacing w:after="0"/>
              <w:rPr>
                <w:sz w:val="20"/>
                <w:szCs w:val="20"/>
                <w:color w:val="auto"/>
              </w:rPr>
            </w:pPr>
            <w:r>
              <w:rPr>
                <w:rFonts w:ascii="Arial" w:cs="Arial" w:eastAsia="Arial" w:hAnsi="Arial"/>
                <w:sz w:val="18"/>
                <w:szCs w:val="18"/>
                <w:b w:val="1"/>
                <w:bCs w:val="1"/>
                <w:color w:val="auto"/>
              </w:rPr>
              <w:t>90404</w:t>
            </w:r>
          </w:p>
        </w:tc>
      </w:tr>
      <w:tr>
        <w:trPr>
          <w:trHeight w:val="284"/>
        </w:trPr>
        <w:tc>
          <w:tcPr>
            <w:tcW w:w="3580" w:type="dxa"/>
            <w:vAlign w:val="bottom"/>
          </w:tcPr>
          <w:p>
            <w:pPr>
              <w:jc w:val="center"/>
              <w:ind w:right="550"/>
              <w:spacing w:after="0"/>
              <w:rPr>
                <w:sz w:val="20"/>
                <w:szCs w:val="20"/>
                <w:color w:val="auto"/>
              </w:rPr>
            </w:pPr>
            <w:r>
              <w:rPr>
                <w:rFonts w:ascii="Arial" w:cs="Arial" w:eastAsia="Arial" w:hAnsi="Arial"/>
                <w:sz w:val="18"/>
                <w:szCs w:val="18"/>
                <w:color w:val="auto"/>
                <w:w w:val="92"/>
              </w:rPr>
              <w:t>(Address of Principal Executive Offices)</w:t>
            </w:r>
          </w:p>
        </w:tc>
        <w:tc>
          <w:tcPr>
            <w:tcW w:w="3220" w:type="dxa"/>
            <w:vAlign w:val="bottom"/>
          </w:tcPr>
          <w:p>
            <w:pPr>
              <w:spacing w:after="0"/>
              <w:rPr>
                <w:sz w:val="24"/>
                <w:szCs w:val="24"/>
                <w:color w:val="auto"/>
              </w:rPr>
            </w:pPr>
          </w:p>
        </w:tc>
        <w:tc>
          <w:tcPr>
            <w:tcW w:w="3540" w:type="dxa"/>
            <w:vAlign w:val="bottom"/>
          </w:tcPr>
          <w:p>
            <w:pPr>
              <w:jc w:val="center"/>
              <w:ind w:left="510"/>
              <w:spacing w:after="0"/>
              <w:rPr>
                <w:sz w:val="20"/>
                <w:szCs w:val="20"/>
                <w:color w:val="auto"/>
              </w:rPr>
            </w:pPr>
            <w:r>
              <w:rPr>
                <w:rFonts w:ascii="Arial" w:cs="Arial" w:eastAsia="Arial" w:hAnsi="Arial"/>
                <w:sz w:val="18"/>
                <w:szCs w:val="18"/>
                <w:color w:val="auto"/>
                <w:w w:val="91"/>
              </w:rPr>
              <w:t>(Zip Code)</w:t>
            </w:r>
          </w:p>
        </w:tc>
      </w:tr>
    </w:tbl>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(310) 255-2000</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6" w:lineRule="exact"/>
        <w:rPr>
          <w:sz w:val="24"/>
          <w:szCs w:val="24"/>
          <w:color w:val="auto"/>
        </w:rPr>
      </w:pPr>
    </w:p>
    <w:p>
      <w:pPr>
        <w:ind w:right="680"/>
        <w:spacing w:after="0" w:line="238" w:lineRule="exact"/>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 </w:t>
      </w:r>
      <w:r>
        <w:rPr>
          <w:rFonts w:ascii="MS PGothic" w:cs="MS PGothic" w:eastAsia="MS PGothic" w:hAnsi="MS PGothic"/>
          <w:sz w:val="18"/>
          <w:szCs w:val="18"/>
          <w:color w:val="auto"/>
        </w:rPr>
        <w:t>☐</w:t>
      </w:r>
    </w:p>
    <w:p>
      <w:pPr>
        <w:spacing w:after="0" w:line="255" w:lineRule="exact"/>
        <w:rPr>
          <w:sz w:val="24"/>
          <w:szCs w:val="24"/>
          <w:color w:val="auto"/>
        </w:rPr>
      </w:pPr>
    </w:p>
    <w:p>
      <w:pPr>
        <w:ind w:left="520" w:hanging="365"/>
        <w:spacing w:after="0"/>
        <w:tabs>
          <w:tab w:leader="none" w:pos="5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86" w:lineRule="exact"/>
        <w:rPr>
          <w:rFonts w:ascii="MS PGothic" w:cs="MS PGothic" w:eastAsia="MS PGothic" w:hAnsi="MS PGothic"/>
          <w:sz w:val="20"/>
          <w:szCs w:val="20"/>
          <w:color w:val="auto"/>
        </w:rPr>
      </w:pPr>
    </w:p>
    <w:p>
      <w:pPr>
        <w:ind w:left="520" w:hanging="365"/>
        <w:spacing w:after="0"/>
        <w:tabs>
          <w:tab w:leader="none" w:pos="5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00" w:lineRule="exact"/>
        <w:rPr>
          <w:rFonts w:ascii="MS PGothic" w:cs="MS PGothic" w:eastAsia="MS PGothic" w:hAnsi="MS PGothic"/>
          <w:sz w:val="20"/>
          <w:szCs w:val="20"/>
          <w:color w:val="auto"/>
        </w:rPr>
      </w:pPr>
    </w:p>
    <w:p>
      <w:pPr>
        <w:ind w:left="520" w:hanging="365"/>
        <w:spacing w:after="0"/>
        <w:tabs>
          <w:tab w:leader="none" w:pos="5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86" w:lineRule="exact"/>
        <w:rPr>
          <w:rFonts w:ascii="MS PGothic" w:cs="MS PGothic" w:eastAsia="MS PGothic" w:hAnsi="MS PGothic"/>
          <w:sz w:val="20"/>
          <w:szCs w:val="20"/>
          <w:color w:val="auto"/>
        </w:rPr>
      </w:pPr>
    </w:p>
    <w:p>
      <w:pPr>
        <w:ind w:left="520" w:hanging="365"/>
        <w:spacing w:after="0"/>
        <w:tabs>
          <w:tab w:leader="none" w:pos="5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99" w:lineRule="exact"/>
        <w:rPr>
          <w:sz w:val="24"/>
          <w:szCs w:val="24"/>
          <w:color w:val="auto"/>
        </w:rPr>
      </w:pPr>
    </w:p>
    <w:tbl>
      <w:tblPr>
        <w:tblLayout w:type="fixed"/>
        <w:tblInd w:w="72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 of Each Class</w:t>
            </w:r>
          </w:p>
        </w:tc>
        <w:tc>
          <w:tcPr>
            <w:tcW w:w="192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304"/>
        </w:trPr>
        <w:tc>
          <w:tcPr>
            <w:tcW w:w="4300" w:type="dxa"/>
            <w:vAlign w:val="bottom"/>
            <w:gridSpan w:val="3"/>
          </w:tcPr>
          <w:p>
            <w:pPr>
              <w:jc w:val="center"/>
              <w:ind w:right="1000"/>
              <w:spacing w:after="0"/>
              <w:rPr>
                <w:sz w:val="20"/>
                <w:szCs w:val="20"/>
                <w:color w:val="auto"/>
              </w:rPr>
            </w:pPr>
            <w:r>
              <w:rPr>
                <w:rFonts w:ascii="Arial" w:cs="Arial" w:eastAsia="Arial" w:hAnsi="Arial"/>
                <w:sz w:val="18"/>
                <w:szCs w:val="18"/>
                <w:color w:val="auto"/>
                <w:w w:val="89"/>
              </w:rPr>
              <w:t>Common Stock, par value $.000001 per share</w:t>
            </w:r>
          </w:p>
        </w:tc>
        <w:tc>
          <w:tcPr>
            <w:tcW w:w="1660" w:type="dxa"/>
            <w:vAlign w:val="bottom"/>
            <w:gridSpan w:val="2"/>
          </w:tcPr>
          <w:p>
            <w:pPr>
              <w:jc w:val="center"/>
              <w:ind w:right="440"/>
              <w:spacing w:after="0"/>
              <w:rPr>
                <w:sz w:val="20"/>
                <w:szCs w:val="20"/>
                <w:color w:val="auto"/>
              </w:rPr>
            </w:pPr>
            <w:r>
              <w:rPr>
                <w:rFonts w:ascii="Arial" w:cs="Arial" w:eastAsia="Arial" w:hAnsi="Arial"/>
                <w:sz w:val="18"/>
                <w:szCs w:val="18"/>
                <w:color w:val="auto"/>
              </w:rPr>
              <w:t>ATVI</w:t>
            </w:r>
          </w:p>
        </w:tc>
        <w:tc>
          <w:tcPr>
            <w:tcW w:w="44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350" w:lineRule="exact"/>
        <w:rPr>
          <w:sz w:val="24"/>
          <w:szCs w:val="24"/>
          <w:color w:val="auto"/>
        </w:rPr>
      </w:pPr>
    </w:p>
    <w:p>
      <w:pPr>
        <w:ind w:right="520"/>
        <w:spacing w:after="0" w:line="29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 w:lineRule="exact"/>
        <w:rPr>
          <w:sz w:val="24"/>
          <w:szCs w:val="24"/>
          <w:color w:val="auto"/>
        </w:rPr>
      </w:pP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48"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1144270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59" w:lineRule="auto"/>
        <w:rPr>
          <w:sz w:val="20"/>
          <w:szCs w:val="20"/>
          <w:color w:val="auto"/>
        </w:rPr>
      </w:pPr>
      <w:r>
        <w:rPr>
          <w:rFonts w:ascii="Arial" w:cs="Arial" w:eastAsia="Arial" w:hAnsi="Arial"/>
          <w:sz w:val="18"/>
          <w:szCs w:val="18"/>
          <w:i w:val="1"/>
          <w:iCs w:val="1"/>
          <w:u w:val="single" w:color="auto"/>
          <w:color w:val="auto"/>
        </w:rPr>
        <w:t>Certain Information Not Filed</w:t>
      </w:r>
      <w:r>
        <w:rPr>
          <w:rFonts w:ascii="Arial" w:cs="Arial" w:eastAsia="Arial" w:hAnsi="Arial"/>
          <w:sz w:val="18"/>
          <w:szCs w:val="18"/>
          <w:i w:val="1"/>
          <w:iCs w:val="1"/>
          <w:color w:val="auto"/>
        </w:rPr>
        <w:t>. The information in Item 2.02 of this Form 8-K and Exhibit 99.1 attached to this Form 8-K shall not be deemed “filed” for purposes of Section 18 of the Securities Exchange Act of 1934, nor shall such Item 2.02 or such Exhibit 99.1 or any of the information contained therein be deemed incorporated by reference in any filing under the Securities Exchange Act of 1934 or the Securities Act of 1933, except as shall be expressly set forth by specific reference in such filing.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On July 19, 2023, Activision Blizzard, Inc. (the “Company”) issued a press release announcing results for the Company for the fiscal quarter ended June 30, 2023. A copy of the press release is attached hereto as Exhibit 99.1.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July 18, 2023, the Company’s Board of Directors declared a cash dividend of $0.99 per share of the Company’s outstanding common stock, payable on August 17, 2023, to shareholders of record at the close of business on August 2,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06"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Press Release dated July 19, 2023 (furnished not filed)</w:t>
      </w:r>
    </w:p>
    <w:p>
      <w:pPr>
        <w:spacing w:after="0" w:line="77"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833755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7" w:right="39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19, 2023</w:t>
      </w:r>
    </w:p>
    <w:p>
      <w:pPr>
        <w:spacing w:after="0" w:line="331" w:lineRule="exact"/>
        <w:rPr>
          <w:sz w:val="20"/>
          <w:szCs w:val="20"/>
          <w:color w:val="auto"/>
        </w:rPr>
      </w:pPr>
    </w:p>
    <w:p>
      <w:pPr>
        <w:ind w:left="7540"/>
        <w:spacing w:after="0"/>
        <w:rPr>
          <w:sz w:val="20"/>
          <w:szCs w:val="20"/>
          <w:color w:val="auto"/>
        </w:rPr>
      </w:pPr>
      <w:r>
        <w:rPr>
          <w:rFonts w:ascii="Arial" w:cs="Arial" w:eastAsia="Arial" w:hAnsi="Arial"/>
          <w:sz w:val="20"/>
          <w:szCs w:val="20"/>
          <w:color w:val="auto"/>
        </w:rPr>
        <w:t>ACTIVISION BLIZZARD, INC.</w:t>
      </w:r>
    </w:p>
    <w:p>
      <w:pPr>
        <w:spacing w:after="0" w:line="326" w:lineRule="exact"/>
        <w:rPr>
          <w:sz w:val="20"/>
          <w:szCs w:val="20"/>
          <w:color w:val="auto"/>
        </w:rPr>
      </w:pPr>
    </w:p>
    <w:p>
      <w:pPr>
        <w:ind w:left="7540"/>
        <w:spacing w:after="0"/>
        <w:tabs>
          <w:tab w:leader="none" w:pos="8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Armin Zerza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40640</wp:posOffset>
            </wp:positionV>
            <wp:extent cx="20148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14855" cy="8890"/>
                    </a:xfrm>
                    <a:prstGeom prst="rect">
                      <a:avLst/>
                    </a:prstGeom>
                    <a:noFill/>
                  </pic:spPr>
                </pic:pic>
              </a:graphicData>
            </a:graphic>
          </wp:anchor>
        </w:drawing>
      </w:r>
    </w:p>
    <w:p>
      <w:pPr>
        <w:spacing w:after="0" w:line="70"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Armin Zerza</w:t>
      </w:r>
    </w:p>
    <w:p>
      <w:pPr>
        <w:spacing w:after="0" w:line="77"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600"/>
          </w:cols>
          <w:pgMar w:left="320" w:top="1093" w:right="97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ANNOUNCES SECOND QUARTER 2023 FINANCIAL RESULTS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Second Quarter Net Bookings Grew 50% Year-Over-Year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Second Quarter GAAP Operating Income and Segment Operating Income Each Grew Over 70% Year-Over-Year</w:t>
      </w:r>
    </w:p>
    <w:p>
      <w:pPr>
        <w:spacing w:after="0" w:line="360" w:lineRule="exact"/>
        <w:rPr>
          <w:sz w:val="20"/>
          <w:szCs w:val="20"/>
          <w:color w:val="auto"/>
        </w:rPr>
      </w:pPr>
    </w:p>
    <w:p>
      <w:pPr>
        <w:jc w:val="center"/>
        <w:spacing w:after="0" w:line="410" w:lineRule="auto"/>
        <w:rPr>
          <w:sz w:val="20"/>
          <w:szCs w:val="20"/>
          <w:color w:val="auto"/>
        </w:rPr>
      </w:pPr>
      <w:r>
        <w:rPr>
          <w:rFonts w:ascii="Arial" w:cs="Arial" w:eastAsia="Arial" w:hAnsi="Arial"/>
          <w:sz w:val="18"/>
          <w:szCs w:val="18"/>
          <w:b w:val="1"/>
          <w:bCs w:val="1"/>
          <w:i w:val="1"/>
          <w:iCs w:val="1"/>
          <w:color w:val="auto"/>
        </w:rPr>
        <w:t>Blizzard Delivered Its First $1B Net Bookings Quarter and Record Segment Operating Income, Driven by the Successful Launch of Diablo IV</w:t>
      </w:r>
    </w:p>
    <w:p>
      <w:pPr>
        <w:spacing w:after="0" w:line="157" w:lineRule="exact"/>
        <w:rPr>
          <w:sz w:val="20"/>
          <w:szCs w:val="20"/>
          <w:color w:val="auto"/>
        </w:rPr>
      </w:pPr>
    </w:p>
    <w:p>
      <w:pPr>
        <w:jc w:val="center"/>
        <w:spacing w:after="0" w:line="410" w:lineRule="auto"/>
        <w:rPr>
          <w:sz w:val="20"/>
          <w:szCs w:val="20"/>
          <w:color w:val="auto"/>
        </w:rPr>
      </w:pPr>
      <w:r>
        <w:rPr>
          <w:rFonts w:ascii="Arial" w:cs="Arial" w:eastAsia="Arial" w:hAnsi="Arial"/>
          <w:sz w:val="18"/>
          <w:szCs w:val="18"/>
          <w:b w:val="1"/>
          <w:bCs w:val="1"/>
          <w:i w:val="1"/>
          <w:iCs w:val="1"/>
          <w:color w:val="auto"/>
        </w:rPr>
        <w:t>Merger Agreement with Microsoft Extended to October 18, 2023 In Return for Higher Termination Fee, New Commercial Arrangements. Activision Blizzard Board Declares $0.99 Per Share Dividend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Santa Monica, CA – July 19, 2023 – Activision Blizzard, Inc. (Nasdaq: ATVI) today announced second quarter 2023 results.</w:t>
      </w:r>
    </w:p>
    <w:p>
      <w:pPr>
        <w:spacing w:after="0" w:line="360" w:lineRule="exact"/>
        <w:rPr>
          <w:sz w:val="20"/>
          <w:szCs w:val="20"/>
          <w:color w:val="auto"/>
        </w:rPr>
      </w:pPr>
    </w:p>
    <w:p>
      <w:pPr>
        <w:ind w:right="200"/>
        <w:spacing w:after="0" w:line="365" w:lineRule="auto"/>
        <w:rPr>
          <w:sz w:val="20"/>
          <w:szCs w:val="20"/>
          <w:color w:val="auto"/>
        </w:rPr>
      </w:pPr>
      <w:r>
        <w:rPr>
          <w:rFonts w:ascii="Arial" w:cs="Arial" w:eastAsia="Arial" w:hAnsi="Arial"/>
          <w:sz w:val="18"/>
          <w:szCs w:val="18"/>
          <w:color w:val="auto"/>
        </w:rPr>
        <w:t>“This quarter, our talented teams delivered strong performance for our players and shareholders. We delivered a 50% year-over-year increase in net bookings, operating income growth over 70%, earnings per share growth over 80%, and a record quarter for Blizzard with over $1 billion in net bookings for the first time,” said Bobby Kotick, CEO of Activision Blizzard. “Most importantly, we continue to set new standards of excellence for workplace culture and provide joy and connection to hundreds of millions of players around the world. While we continue to have concerns about the economy and growing industry competition, we remain focused on the long-term opportunities ahead and completing our merger with Microsoft.”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Financial Metrics</w:t>
            </w:r>
          </w:p>
        </w:tc>
        <w:tc>
          <w:tcPr>
            <w:tcW w:w="166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306"/>
        </w:trPr>
        <w:tc>
          <w:tcPr>
            <w:tcW w:w="6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Q2</w:t>
            </w:r>
          </w:p>
        </w:tc>
      </w:tr>
      <w:tr>
        <w:trPr>
          <w:trHeight w:val="254"/>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millions, except EPS)</w:t>
            </w:r>
          </w:p>
        </w:tc>
        <w:tc>
          <w:tcPr>
            <w:tcW w:w="20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99"/>
              </w:rPr>
              <w:t>2023</w:t>
            </w:r>
          </w:p>
        </w:tc>
        <w:tc>
          <w:tcPr>
            <w:tcW w:w="258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99"/>
              </w:rPr>
              <w:t>2022</w:t>
            </w:r>
          </w:p>
        </w:tc>
      </w:tr>
      <w:tr>
        <w:trPr>
          <w:trHeight w:val="233"/>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GAAP Net Revenues</w:t>
            </w:r>
          </w:p>
        </w:tc>
        <w:tc>
          <w:tcPr>
            <w:tcW w:w="166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8"/>
              </w:rPr>
              <w:t>$2,207</w:t>
            </w:r>
          </w:p>
        </w:tc>
        <w:tc>
          <w:tcPr>
            <w:tcW w:w="258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rPr>
              <w:t>$1,644</w:t>
            </w:r>
          </w:p>
        </w:tc>
      </w:tr>
      <w:tr>
        <w:trPr>
          <w:trHeight w:val="257"/>
        </w:trPr>
        <w:tc>
          <w:tcPr>
            <w:tcW w:w="7000" w:type="dxa"/>
            <w:vAlign w:val="bottom"/>
            <w:gridSpan w:val="2"/>
          </w:tcPr>
          <w:p>
            <w:pPr>
              <w:ind w:left="140"/>
              <w:spacing w:after="0" w:line="256" w:lineRule="exact"/>
              <w:rPr>
                <w:sz w:val="20"/>
                <w:szCs w:val="20"/>
                <w:color w:val="auto"/>
              </w:rPr>
            </w:pPr>
            <w:r>
              <w:rPr>
                <w:rFonts w:ascii="Arial" w:cs="Arial" w:eastAsia="Arial" w:hAnsi="Arial"/>
                <w:sz w:val="18"/>
                <w:szCs w:val="18"/>
                <w:i w:val="1"/>
                <w:iCs w:val="1"/>
                <w:color w:val="auto"/>
              </w:rPr>
              <w:t>Impact of GAAP deferrals</w:t>
            </w:r>
            <w:r>
              <w:rPr>
                <w:rFonts w:ascii="Arial" w:cs="Arial" w:eastAsia="Arial" w:hAnsi="Arial"/>
                <w:sz w:val="23"/>
                <w:szCs w:val="23"/>
                <w:i w:val="1"/>
                <w:iCs w:val="1"/>
                <w:color w:val="auto"/>
                <w:vertAlign w:val="superscript"/>
              </w:rPr>
              <w:t>A</w:t>
            </w:r>
          </w:p>
        </w:tc>
        <w:tc>
          <w:tcPr>
            <w:tcW w:w="1660" w:type="dxa"/>
            <w:vAlign w:val="bottom"/>
          </w:tcPr>
          <w:p>
            <w:pPr>
              <w:jc w:val="center"/>
              <w:ind w:left="330"/>
              <w:spacing w:after="0"/>
              <w:rPr>
                <w:sz w:val="20"/>
                <w:szCs w:val="20"/>
                <w:color w:val="auto"/>
              </w:rPr>
            </w:pPr>
            <w:r>
              <w:rPr>
                <w:rFonts w:ascii="Arial" w:cs="Arial" w:eastAsia="Arial" w:hAnsi="Arial"/>
                <w:sz w:val="18"/>
                <w:szCs w:val="18"/>
                <w:i w:val="1"/>
                <w:iCs w:val="1"/>
                <w:color w:val="auto"/>
                <w:w w:val="99"/>
              </w:rPr>
              <w:t>$254</w:t>
            </w:r>
          </w:p>
        </w:tc>
        <w:tc>
          <w:tcPr>
            <w:tcW w:w="2580" w:type="dxa"/>
            <w:vAlign w:val="bottom"/>
          </w:tcPr>
          <w:p>
            <w:pPr>
              <w:jc w:val="center"/>
              <w:ind w:left="410"/>
              <w:spacing w:after="0"/>
              <w:rPr>
                <w:sz w:val="20"/>
                <w:szCs w:val="20"/>
                <w:color w:val="auto"/>
              </w:rPr>
            </w:pPr>
            <w:r>
              <w:rPr>
                <w:rFonts w:ascii="Arial" w:cs="Arial" w:eastAsia="Arial" w:hAnsi="Arial"/>
                <w:sz w:val="18"/>
                <w:szCs w:val="18"/>
                <w:i w:val="1"/>
                <w:iCs w:val="1"/>
                <w:color w:val="auto"/>
                <w:w w:val="99"/>
              </w:rPr>
              <w:t>$(7)</w:t>
            </w:r>
          </w:p>
        </w:tc>
      </w:tr>
      <w:tr>
        <w:trPr>
          <w:trHeight w:val="216"/>
        </w:trPr>
        <w:tc>
          <w:tcPr>
            <w:tcW w:w="6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r>
        <w:trPr>
          <w:trHeight w:val="236"/>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GAAP Diluted EPS</w:t>
            </w:r>
          </w:p>
        </w:tc>
        <w:tc>
          <w:tcPr>
            <w:tcW w:w="1660" w:type="dxa"/>
            <w:vAlign w:val="bottom"/>
          </w:tcPr>
          <w:p>
            <w:pPr>
              <w:jc w:val="center"/>
              <w:ind w:left="310"/>
              <w:spacing w:after="0"/>
              <w:rPr>
                <w:sz w:val="20"/>
                <w:szCs w:val="20"/>
                <w:color w:val="auto"/>
              </w:rPr>
            </w:pPr>
            <w:r>
              <w:rPr>
                <w:rFonts w:ascii="Arial" w:cs="Arial" w:eastAsia="Arial" w:hAnsi="Arial"/>
                <w:sz w:val="18"/>
                <w:szCs w:val="18"/>
                <w:color w:val="auto"/>
              </w:rPr>
              <w:t>$0.74</w:t>
            </w:r>
          </w:p>
        </w:tc>
        <w:tc>
          <w:tcPr>
            <w:tcW w:w="2580" w:type="dxa"/>
            <w:vAlign w:val="bottom"/>
          </w:tcPr>
          <w:p>
            <w:pPr>
              <w:jc w:val="center"/>
              <w:ind w:left="410"/>
              <w:spacing w:after="0"/>
              <w:rPr>
                <w:sz w:val="20"/>
                <w:szCs w:val="20"/>
                <w:color w:val="auto"/>
              </w:rPr>
            </w:pPr>
            <w:r>
              <w:rPr>
                <w:rFonts w:ascii="Arial" w:cs="Arial" w:eastAsia="Arial" w:hAnsi="Arial"/>
                <w:sz w:val="18"/>
                <w:szCs w:val="18"/>
                <w:color w:val="auto"/>
                <w:w w:val="97"/>
              </w:rPr>
              <w:t>$0.36</w:t>
            </w:r>
          </w:p>
        </w:tc>
      </w:tr>
      <w:tr>
        <w:trPr>
          <w:trHeight w:val="243"/>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Non-GAAP Diluted EPS</w:t>
            </w:r>
          </w:p>
        </w:tc>
        <w:tc>
          <w:tcPr>
            <w:tcW w:w="166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rPr>
              <w:t>$0.91</w:t>
            </w:r>
          </w:p>
        </w:tc>
        <w:tc>
          <w:tcPr>
            <w:tcW w:w="258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7"/>
              </w:rPr>
              <w:t>$0.48</w:t>
            </w:r>
          </w:p>
        </w:tc>
      </w:tr>
      <w:tr>
        <w:trPr>
          <w:trHeight w:val="314"/>
        </w:trPr>
        <w:tc>
          <w:tcPr>
            <w:tcW w:w="7000" w:type="dxa"/>
            <w:vAlign w:val="bottom"/>
            <w:gridSpan w:val="2"/>
          </w:tcPr>
          <w:p>
            <w:pPr>
              <w:ind w:left="140"/>
              <w:spacing w:after="0"/>
              <w:rPr>
                <w:sz w:val="20"/>
                <w:szCs w:val="20"/>
                <w:color w:val="auto"/>
              </w:rPr>
            </w:pPr>
            <w:r>
              <w:rPr>
                <w:rFonts w:ascii="Arial" w:cs="Arial" w:eastAsia="Arial" w:hAnsi="Arial"/>
                <w:sz w:val="18"/>
                <w:szCs w:val="18"/>
                <w:i w:val="1"/>
                <w:iCs w:val="1"/>
                <w:color w:val="auto"/>
              </w:rPr>
              <w:t>Impact of GAAP deferrals</w:t>
            </w:r>
            <w:r>
              <w:rPr>
                <w:rFonts w:ascii="Arial" w:cs="Arial" w:eastAsia="Arial" w:hAnsi="Arial"/>
                <w:sz w:val="23"/>
                <w:szCs w:val="23"/>
                <w:i w:val="1"/>
                <w:iCs w:val="1"/>
                <w:color w:val="auto"/>
                <w:vertAlign w:val="superscript"/>
              </w:rPr>
              <w:t>A</w:t>
            </w:r>
          </w:p>
        </w:tc>
        <w:tc>
          <w:tcPr>
            <w:tcW w:w="1660" w:type="dxa"/>
            <w:vAlign w:val="bottom"/>
          </w:tcPr>
          <w:p>
            <w:pPr>
              <w:jc w:val="center"/>
              <w:ind w:left="310"/>
              <w:spacing w:after="0"/>
              <w:rPr>
                <w:sz w:val="20"/>
                <w:szCs w:val="20"/>
                <w:color w:val="auto"/>
              </w:rPr>
            </w:pPr>
            <w:r>
              <w:rPr>
                <w:rFonts w:ascii="Arial" w:cs="Arial" w:eastAsia="Arial" w:hAnsi="Arial"/>
                <w:sz w:val="18"/>
                <w:szCs w:val="18"/>
                <w:i w:val="1"/>
                <w:iCs w:val="1"/>
                <w:color w:val="auto"/>
              </w:rPr>
              <w:t>$0.17</w:t>
            </w:r>
          </w:p>
        </w:tc>
        <w:tc>
          <w:tcPr>
            <w:tcW w:w="2580" w:type="dxa"/>
            <w:vAlign w:val="bottom"/>
          </w:tcPr>
          <w:p>
            <w:pPr>
              <w:jc w:val="center"/>
              <w:ind w:left="410"/>
              <w:spacing w:after="0"/>
              <w:rPr>
                <w:sz w:val="20"/>
                <w:szCs w:val="20"/>
                <w:color w:val="auto"/>
              </w:rPr>
            </w:pPr>
            <w:r>
              <w:rPr>
                <w:rFonts w:ascii="Arial" w:cs="Arial" w:eastAsia="Arial" w:hAnsi="Arial"/>
                <w:sz w:val="18"/>
                <w:szCs w:val="18"/>
                <w:i w:val="1"/>
                <w:iCs w:val="1"/>
                <w:color w:val="auto"/>
                <w:w w:val="98"/>
              </w:rPr>
              <w:t>$(0.01)</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Please refer to the tables at the back of this earnings release for a reconciliation of the company’s GAAP and non-GAAP results.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Activision Blizzard Announces Q2 2023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spacing w:after="0" w:line="400" w:lineRule="auto"/>
        <w:rPr>
          <w:sz w:val="20"/>
          <w:szCs w:val="20"/>
          <w:color w:val="auto"/>
        </w:rPr>
      </w:pPr>
      <w:r>
        <w:rPr>
          <w:rFonts w:ascii="Arial" w:cs="Arial" w:eastAsia="Arial" w:hAnsi="Arial"/>
          <w:sz w:val="17"/>
          <w:szCs w:val="17"/>
          <w:color w:val="auto"/>
        </w:rPr>
        <w:t>For the quarter ended June 30, 2023, Activision Blizzard’s net revenues presented in accordance with GAAP were $2.21 billion, as compared with $1.64 billion for the second quarter of 2022. GAAP net revenues from digital channels were $2.01 billion. GAAP operating margin was 26%. GAAP earnings per diluted share was $0.74, as compared with $0.36 for the second quarter of 2022. On a non-GAAP basis, Activision Blizzard’s operating margin was 32% and earnings per diluted share was $0.91, as compared with $0.48 for the second quarter of 2022.</w:t>
      </w:r>
    </w:p>
    <w:p>
      <w:pPr>
        <w:spacing w:after="0" w:line="195" w:lineRule="exact"/>
        <w:rPr>
          <w:sz w:val="20"/>
          <w:szCs w:val="20"/>
          <w:color w:val="auto"/>
        </w:rPr>
      </w:pPr>
    </w:p>
    <w:p>
      <w:pPr>
        <w:ind w:right="460"/>
        <w:spacing w:after="0" w:line="385" w:lineRule="auto"/>
        <w:rPr>
          <w:sz w:val="20"/>
          <w:szCs w:val="20"/>
          <w:color w:val="auto"/>
        </w:rPr>
      </w:pPr>
      <w:r>
        <w:rPr>
          <w:rFonts w:ascii="Arial" w:cs="Arial" w:eastAsia="Arial" w:hAnsi="Arial"/>
          <w:sz w:val="18"/>
          <w:szCs w:val="18"/>
          <w:color w:val="auto"/>
        </w:rPr>
        <w:t>Activision Blizzard generated $590 million in operating cash flow for the quarter as compared with $198 million for the second quarter of 2022.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tables at the back of this earnings release for a reconciliation of the company’s GAAP and non-GAAP results.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w:t>
      </w:r>
    </w:p>
    <w:p>
      <w:pPr>
        <w:spacing w:after="0" w:line="121" w:lineRule="exact"/>
        <w:rPr>
          <w:sz w:val="20"/>
          <w:szCs w:val="20"/>
          <w:color w:val="auto"/>
        </w:rPr>
      </w:pPr>
    </w:p>
    <w:p>
      <w:pPr>
        <w:ind w:right="320"/>
        <w:spacing w:after="0" w:line="319" w:lineRule="auto"/>
        <w:rPr>
          <w:sz w:val="20"/>
          <w:szCs w:val="20"/>
          <w:color w:val="auto"/>
        </w:rPr>
      </w:pPr>
      <w:r>
        <w:rPr>
          <w:rFonts w:ascii="Arial" w:cs="Arial" w:eastAsia="Arial" w:hAnsi="Arial"/>
          <w:sz w:val="18"/>
          <w:szCs w:val="18"/>
          <w:color w:val="auto"/>
        </w:rPr>
        <w:t>For the quarter ended June 30, 2023, Activision Blizzard’s net bookings</w:t>
      </w:r>
      <w:r>
        <w:rPr>
          <w:rFonts w:ascii="Arial" w:cs="Arial" w:eastAsia="Arial" w:hAnsi="Arial"/>
          <w:sz w:val="23"/>
          <w:szCs w:val="23"/>
          <w:color w:val="auto"/>
          <w:vertAlign w:val="superscript"/>
        </w:rPr>
        <w:t>B</w:t>
      </w:r>
      <w:r>
        <w:rPr>
          <w:rFonts w:ascii="Arial" w:cs="Arial" w:eastAsia="Arial" w:hAnsi="Arial"/>
          <w:sz w:val="18"/>
          <w:szCs w:val="18"/>
          <w:color w:val="auto"/>
        </w:rPr>
        <w:t xml:space="preserve"> were $2.46 billion, as compared with $1.64 billion for the second quarter of 2022. In-game net bookings</w:t>
      </w:r>
      <w:r>
        <w:rPr>
          <w:rFonts w:ascii="Arial" w:cs="Arial" w:eastAsia="Arial" w:hAnsi="Arial"/>
          <w:sz w:val="23"/>
          <w:szCs w:val="23"/>
          <w:color w:val="auto"/>
          <w:vertAlign w:val="superscript"/>
        </w:rPr>
        <w:t>C</w:t>
      </w:r>
      <w:r>
        <w:rPr>
          <w:rFonts w:ascii="Arial" w:cs="Arial" w:eastAsia="Arial" w:hAnsi="Arial"/>
          <w:sz w:val="18"/>
          <w:szCs w:val="18"/>
          <w:color w:val="auto"/>
        </w:rPr>
        <w:t xml:space="preserve"> were $1.56 billion, as compared with $1.20 billion for the second quarter of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For the quarter ended June 30, 2023, overall Activision Blizzard Monthly Active Users (MAUs)</w:t>
      </w:r>
      <w:r>
        <w:rPr>
          <w:rFonts w:ascii="Arial" w:cs="Arial" w:eastAsia="Arial" w:hAnsi="Arial"/>
          <w:sz w:val="23"/>
          <w:szCs w:val="23"/>
          <w:color w:val="auto"/>
          <w:vertAlign w:val="superscript"/>
        </w:rPr>
        <w:t>D</w:t>
      </w:r>
      <w:r>
        <w:rPr>
          <w:rFonts w:ascii="Arial" w:cs="Arial" w:eastAsia="Arial" w:hAnsi="Arial"/>
          <w:sz w:val="18"/>
          <w:szCs w:val="18"/>
          <w:color w:val="auto"/>
        </w:rPr>
        <w:t xml:space="preserve"> were 356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Microsoft Transaction</w:t>
      </w:r>
    </w:p>
    <w:p>
      <w:pPr>
        <w:spacing w:after="0" w:line="114" w:lineRule="exact"/>
        <w:rPr>
          <w:sz w:val="20"/>
          <w:szCs w:val="20"/>
          <w:color w:val="auto"/>
        </w:rPr>
      </w:pPr>
    </w:p>
    <w:p>
      <w:pPr>
        <w:ind w:right="140"/>
        <w:spacing w:after="0" w:line="422" w:lineRule="auto"/>
        <w:rPr>
          <w:sz w:val="20"/>
          <w:szCs w:val="20"/>
          <w:color w:val="auto"/>
        </w:rPr>
      </w:pPr>
      <w:r>
        <w:rPr>
          <w:rFonts w:ascii="Arial" w:cs="Arial" w:eastAsia="Arial" w:hAnsi="Arial"/>
          <w:sz w:val="17"/>
          <w:szCs w:val="17"/>
          <w:color w:val="auto"/>
        </w:rPr>
        <w:t>As announced on January 18, 2022, Microsoft plans to acquire Activision Blizzard for $95.00 per share in an all-cash transaction. The transaction has been approved by the boards of directors of both Activision Blizzard and Microsoft and by Activision Blizzard’s stockholders.</w:t>
      </w:r>
    </w:p>
    <w:p>
      <w:pPr>
        <w:spacing w:after="0" w:line="190" w:lineRule="exact"/>
        <w:rPr>
          <w:sz w:val="20"/>
          <w:szCs w:val="20"/>
          <w:color w:val="auto"/>
        </w:rPr>
      </w:pPr>
    </w:p>
    <w:p>
      <w:pPr>
        <w:ind w:right="20"/>
        <w:spacing w:after="0" w:line="366" w:lineRule="auto"/>
        <w:rPr>
          <w:sz w:val="20"/>
          <w:szCs w:val="20"/>
          <w:color w:val="auto"/>
        </w:rPr>
      </w:pPr>
      <w:r>
        <w:rPr>
          <w:rFonts w:ascii="Arial" w:cs="Arial" w:eastAsia="Arial" w:hAnsi="Arial"/>
          <w:sz w:val="18"/>
          <w:szCs w:val="18"/>
          <w:color w:val="auto"/>
        </w:rPr>
        <w:t>On July 18, 2023, Activision Blizzard and Microsoft entered into an agreement waiving certain rights to terminate the merger agreement if the merger has not been consummated prior to October 18, 2023. The terms of the agreement include an increase in the termination fee payable to Activision Blizzard from $3.0 billion to $3.5 billion if the transaction is terminated after August 29, 2023, and to $4.5 billion if the transaction is terminated after September 15, 2023. The agreement also includes amendments to Activision Blizzard’s commercial Xbox arrangements with Microsoft, valued at up to $250 million for each of fiscal years 2023 and 2024. The agreement further enables Activision Blizzard to declare and pay one regular cash dividend for fiscal year 2023 of up to $0.99 per share, prior to and not contingent on the closing of the transaction. Please refer to our Current Report on Form 8-K filed on July 19, 2023 for further detail.</w:t>
      </w:r>
    </w:p>
    <w:p>
      <w:pPr>
        <w:spacing w:after="0" w:line="220" w:lineRule="exact"/>
        <w:rPr>
          <w:sz w:val="20"/>
          <w:szCs w:val="20"/>
          <w:color w:val="auto"/>
        </w:rPr>
      </w:pPr>
    </w:p>
    <w:p>
      <w:pPr>
        <w:ind w:right="620"/>
        <w:spacing w:after="0" w:line="422" w:lineRule="auto"/>
        <w:rPr>
          <w:sz w:val="20"/>
          <w:szCs w:val="20"/>
          <w:color w:val="auto"/>
        </w:rPr>
      </w:pPr>
      <w:r>
        <w:rPr>
          <w:rFonts w:ascii="Arial" w:cs="Arial" w:eastAsia="Arial" w:hAnsi="Arial"/>
          <w:sz w:val="17"/>
          <w:szCs w:val="17"/>
          <w:color w:val="auto"/>
        </w:rPr>
        <w:t>Also on July 18, 2023, the Company’s Board of Directors declared a cash dividend of $0.99 per share of the Company’s outstanding common stock, payable on August 17, 2023, to shareholders of record at the close of business on August 2, 2023 from cash on hand.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58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Activision Blizzard Announces Q2 2023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Earnings Presentation</w:t>
      </w:r>
    </w:p>
    <w:p>
      <w:pPr>
        <w:spacing w:after="0" w:line="114" w:lineRule="exact"/>
        <w:rPr>
          <w:sz w:val="20"/>
          <w:szCs w:val="20"/>
          <w:color w:val="auto"/>
        </w:rPr>
      </w:pPr>
    </w:p>
    <w:p>
      <w:pPr>
        <w:ind w:right="200"/>
        <w:spacing w:after="0" w:line="373" w:lineRule="auto"/>
        <w:rPr>
          <w:sz w:val="20"/>
          <w:szCs w:val="20"/>
          <w:color w:val="auto"/>
        </w:rPr>
      </w:pPr>
      <w:r>
        <w:rPr>
          <w:rFonts w:ascii="Arial" w:cs="Arial" w:eastAsia="Arial" w:hAnsi="Arial"/>
          <w:sz w:val="18"/>
          <w:szCs w:val="18"/>
          <w:color w:val="auto"/>
        </w:rPr>
        <w:t>In light of the proposed transaction with Microsoft, and as is customary during the pendency of an acquisition, Activision Blizzard will not be hosting a conference call, issuing an earnings presentation, or providing detailed quantitative financial guidance in conjunction with its second quarter 2023 earnings release. For further detail and discussion of our financial performance, please refer to Activision Blizzard's upcoming Quarterly Report on Form 10-Q for the quarter ended June 30, 2023.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Business Highlights</w:t>
      </w:r>
    </w:p>
    <w:p>
      <w:pPr>
        <w:spacing w:after="0" w:line="114" w:lineRule="exact"/>
        <w:rPr>
          <w:sz w:val="20"/>
          <w:szCs w:val="20"/>
          <w:color w:val="auto"/>
        </w:rPr>
      </w:pPr>
    </w:p>
    <w:p>
      <w:pPr>
        <w:ind w:right="300"/>
        <w:spacing w:after="0" w:line="373" w:lineRule="auto"/>
        <w:rPr>
          <w:sz w:val="20"/>
          <w:szCs w:val="20"/>
          <w:color w:val="auto"/>
        </w:rPr>
      </w:pPr>
      <w:r>
        <w:rPr>
          <w:rFonts w:ascii="Arial" w:cs="Arial" w:eastAsia="Arial" w:hAnsi="Arial"/>
          <w:sz w:val="18"/>
          <w:szCs w:val="18"/>
          <w:color w:val="auto"/>
        </w:rPr>
        <w:t>Activision Blizzard continued to connect and engage the world through epic entertainment in the second quarter. Our talented teams delivered compelling content across platforms, geographies and business models, delighting our communities and driving strong financial results. Net bookings grew 50% year-over-year in the second quarter, while GAAP operating income and segment operating income each grew over 70% year-over-year.</w:t>
      </w:r>
    </w:p>
    <w:p>
      <w:pPr>
        <w:spacing w:after="0" w:line="212" w:lineRule="exact"/>
        <w:rPr>
          <w:sz w:val="20"/>
          <w:szCs w:val="20"/>
          <w:color w:val="auto"/>
        </w:rPr>
      </w:pPr>
    </w:p>
    <w:p>
      <w:pPr>
        <w:ind w:right="120"/>
        <w:spacing w:after="0" w:line="346" w:lineRule="auto"/>
        <w:rPr>
          <w:sz w:val="20"/>
          <w:szCs w:val="20"/>
          <w:color w:val="auto"/>
        </w:rPr>
      </w:pPr>
      <w:r>
        <w:rPr>
          <w:rFonts w:ascii="Arial" w:cs="Arial" w:eastAsia="Arial" w:hAnsi="Arial"/>
          <w:sz w:val="18"/>
          <w:szCs w:val="18"/>
          <w:color w:val="auto"/>
        </w:rPr>
        <w:t xml:space="preserve">Each of our business units grew net bookings year-over-year in the second quarter. Blizzard delivered its first $1 billion net bookings quarter following the record-setting launch of </w:t>
      </w:r>
      <w:r>
        <w:rPr>
          <w:rFonts w:ascii="Arial" w:cs="Arial" w:eastAsia="Arial" w:hAnsi="Arial"/>
          <w:sz w:val="18"/>
          <w:szCs w:val="18"/>
          <w:b w:val="1"/>
          <w:bCs w:val="1"/>
          <w:color w:val="auto"/>
        </w:rPr>
        <w:t>Diablo</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IV</w:t>
      </w:r>
      <w:r>
        <w:rPr>
          <w:rFonts w:ascii="Arial" w:cs="Arial" w:eastAsia="Arial" w:hAnsi="Arial"/>
          <w:sz w:val="18"/>
          <w:szCs w:val="18"/>
          <w:color w:val="auto"/>
        </w:rPr>
        <w:t>, Blizzard’s fastest-selling title to date. Player investment in live operations content drove 17% year-over-year net bookings growth for Activision and another quarterly net bookings record at King. Activision Blizzard in-game net bookings grew 30% year-over-year in the second quarter, and represent over 60% of total net bookings over the last 12 months. Net bookings on the mobile platform grew 4% year-over-year, and represent approximately 40% of total net bookings over the last 12 months.</w:t>
      </w:r>
    </w:p>
    <w:p>
      <w:pPr>
        <w:spacing w:after="0" w:line="224" w:lineRule="exact"/>
        <w:rPr>
          <w:sz w:val="20"/>
          <w:szCs w:val="20"/>
          <w:color w:val="auto"/>
        </w:rPr>
      </w:pPr>
    </w:p>
    <w:p>
      <w:pPr>
        <w:ind w:right="80"/>
        <w:spacing w:after="0" w:line="370" w:lineRule="auto"/>
        <w:rPr>
          <w:sz w:val="20"/>
          <w:szCs w:val="20"/>
          <w:color w:val="auto"/>
        </w:rPr>
      </w:pPr>
      <w:r>
        <w:rPr>
          <w:rFonts w:ascii="Arial" w:cs="Arial" w:eastAsia="Arial" w:hAnsi="Arial"/>
          <w:sz w:val="18"/>
          <w:szCs w:val="18"/>
          <w:color w:val="auto"/>
        </w:rPr>
        <w:t xml:space="preserve">We expect to deliver strong financial performance for the full year, driven by the successful reinvigoration of the </w:t>
      </w:r>
      <w:r>
        <w:rPr>
          <w:rFonts w:ascii="Arial" w:cs="Arial" w:eastAsia="Arial" w:hAnsi="Arial"/>
          <w:sz w:val="18"/>
          <w:szCs w:val="18"/>
          <w:b w:val="1"/>
          <w:bCs w:val="1"/>
          <w:color w:val="auto"/>
        </w:rPr>
        <w:t>Diablo</w:t>
      </w:r>
      <w:r>
        <w:rPr>
          <w:rFonts w:ascii="Arial" w:cs="Arial" w:eastAsia="Arial" w:hAnsi="Arial"/>
          <w:sz w:val="18"/>
          <w:szCs w:val="18"/>
          <w:color w:val="auto"/>
        </w:rPr>
        <w:t xml:space="preserve"> franchise and growth in live operations across the company. We do remain cognizant of risks, including those related to our execution, the consumer spending environment, and the labor market, and we are forecasting our second half content releases prudently. We continue to expect at least high-teens year-over-year growth for GAAP revenue in 2023, and at least high-single digit year-over-year growth in net bookings and total segment operating income for the year. This outlook does not incorporate potential financial benefits included in the Microsoft extension announced today.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Activision</w:t>
      </w:r>
    </w:p>
    <w:p>
      <w:pPr>
        <w:spacing w:after="0" w:line="114" w:lineRule="exact"/>
        <w:rPr>
          <w:sz w:val="20"/>
          <w:szCs w:val="20"/>
          <w:color w:val="auto"/>
        </w:rPr>
      </w:pPr>
    </w:p>
    <w:p>
      <w:pPr>
        <w:ind w:left="660" w:right="140" w:hanging="328"/>
        <w:spacing w:after="0" w:line="37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Activision segment revenue grew 17% year-over-year in the second quarter, while operating income increased over 80% year-over-year, driven by growth across the </w:t>
      </w:r>
      <w:r>
        <w:rPr>
          <w:rFonts w:ascii="Arial" w:cs="Arial" w:eastAsia="Arial" w:hAnsi="Arial"/>
          <w:sz w:val="18"/>
          <w:szCs w:val="18"/>
          <w:b w:val="1"/>
          <w:bCs w:val="1"/>
          <w:color w:val="auto"/>
        </w:rPr>
        <w:t>Call of Duty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franchise.</w:t>
      </w:r>
    </w:p>
    <w:p>
      <w:pPr>
        <w:spacing w:after="0" w:line="12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Net bookings on PC and console grew strongly year-over-year, as players continued to engage and invest in the </w:t>
      </w:r>
      <w:r>
        <w:rPr>
          <w:rFonts w:ascii="Arial" w:cs="Arial" w:eastAsia="Arial" w:hAnsi="Arial"/>
          <w:sz w:val="18"/>
          <w:szCs w:val="18"/>
          <w:b w:val="1"/>
          <w:bCs w:val="1"/>
          <w:color w:val="auto"/>
        </w:rPr>
        <w:t>Call of Duty:</w:t>
      </w:r>
    </w:p>
    <w:p>
      <w:pPr>
        <w:spacing w:after="0" w:line="103" w:lineRule="exact"/>
        <w:rPr>
          <w:rFonts w:ascii="Arial" w:cs="Arial" w:eastAsia="Arial" w:hAnsi="Arial"/>
          <w:sz w:val="18"/>
          <w:szCs w:val="18"/>
          <w:color w:val="auto"/>
        </w:rPr>
      </w:pPr>
    </w:p>
    <w:p>
      <w:pPr>
        <w:ind w:left="660" w:right="100"/>
        <w:spacing w:after="0" w:line="363" w:lineRule="auto"/>
        <w:rPr>
          <w:rFonts w:ascii="Arial" w:cs="Arial" w:eastAsia="Arial" w:hAnsi="Arial"/>
          <w:sz w:val="18"/>
          <w:szCs w:val="18"/>
          <w:color w:val="auto"/>
        </w:rPr>
      </w:pPr>
      <w:r>
        <w:rPr>
          <w:rFonts w:ascii="Arial" w:cs="Arial" w:eastAsia="Arial" w:hAnsi="Arial"/>
          <w:sz w:val="17"/>
          <w:szCs w:val="17"/>
          <w:b w:val="1"/>
          <w:bCs w:val="1"/>
          <w:color w:val="auto"/>
        </w:rPr>
        <w:t>Modern Warfare</w:t>
      </w:r>
      <w:r>
        <w:rPr>
          <w:rFonts w:ascii="Arial" w:cs="Arial" w:eastAsia="Arial" w:hAnsi="Arial"/>
          <w:sz w:val="22"/>
          <w:szCs w:val="22"/>
          <w:color w:val="auto"/>
          <w:vertAlign w:val="superscript"/>
        </w:rPr>
        <w:t>®</w:t>
      </w:r>
      <w:r>
        <w:rPr>
          <w:rFonts w:ascii="Arial" w:cs="Arial" w:eastAsia="Arial" w:hAnsi="Arial"/>
          <w:sz w:val="17"/>
          <w:szCs w:val="17"/>
          <w:b w:val="1"/>
          <w:bCs w:val="1"/>
          <w:color w:val="auto"/>
        </w:rPr>
        <w:t xml:space="preserve"> II </w:t>
      </w:r>
      <w:r>
        <w:rPr>
          <w:rFonts w:ascii="Arial" w:cs="Arial" w:eastAsia="Arial" w:hAnsi="Arial"/>
          <w:sz w:val="17"/>
          <w:szCs w:val="17"/>
          <w:color w:val="auto"/>
        </w:rPr>
        <w:t>universe. Premium</w:t>
      </w:r>
      <w:r>
        <w:rPr>
          <w:rFonts w:ascii="Arial" w:cs="Arial" w:eastAsia="Arial" w:hAnsi="Arial"/>
          <w:sz w:val="17"/>
          <w:szCs w:val="17"/>
          <w:b w:val="1"/>
          <w:bCs w:val="1"/>
          <w:color w:val="auto"/>
        </w:rPr>
        <w:t xml:space="preserve"> Call of Duty </w:t>
      </w:r>
      <w:r>
        <w:rPr>
          <w:rFonts w:ascii="Arial" w:cs="Arial" w:eastAsia="Arial" w:hAnsi="Arial"/>
          <w:sz w:val="17"/>
          <w:szCs w:val="17"/>
          <w:color w:val="auto"/>
        </w:rPr>
        <w:t>sales grew sharply year-over-year. Second quarter in-game net bookings were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higher than both the first quarter and the year ago period, with Season 3 being the highest-grossing </w:t>
      </w:r>
      <w:r>
        <w:rPr>
          <w:rFonts w:ascii="Arial" w:cs="Arial" w:eastAsia="Arial" w:hAnsi="Arial"/>
          <w:sz w:val="17"/>
          <w:szCs w:val="17"/>
          <w:b w:val="1"/>
          <w:bCs w:val="1"/>
          <w:color w:val="auto"/>
        </w:rPr>
        <w:t>Modern Warfare II</w:t>
      </w:r>
      <w:r>
        <w:rPr>
          <w:rFonts w:ascii="Arial" w:cs="Arial" w:eastAsia="Arial" w:hAnsi="Arial"/>
          <w:sz w:val="17"/>
          <w:szCs w:val="17"/>
          <w:color w:val="auto"/>
        </w:rPr>
        <w:t xml:space="preserve"> in-game season to date, driven by a strong community response to gameplay enhancements and the new BlackCell battle pass offering. Our teams are looking forward to releasing additional seasons of new content and ongoing community updates in the coming months.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8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Activision Blizzard Announces Q2 2023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right="140" w:hanging="328"/>
        <w:spacing w:after="0" w:line="38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Call of Duty Mobile </w:t>
      </w:r>
      <w:r>
        <w:rPr>
          <w:rFonts w:ascii="Arial" w:cs="Arial" w:eastAsia="Arial" w:hAnsi="Arial"/>
          <w:sz w:val="18"/>
          <w:szCs w:val="18"/>
          <w:color w:val="auto"/>
        </w:rPr>
        <w:t>engagement and net bookings were stable year-over-year, with the team continuing to see a positive response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enhancements to the player experience and optimization of live operations. Lifetime worldwide consumer spending on </w:t>
      </w:r>
      <w:r>
        <w:rPr>
          <w:rFonts w:ascii="Arial" w:cs="Arial" w:eastAsia="Arial" w:hAnsi="Arial"/>
          <w:sz w:val="18"/>
          <w:szCs w:val="18"/>
          <w:b w:val="1"/>
          <w:bCs w:val="1"/>
          <w:color w:val="auto"/>
        </w:rPr>
        <w:t>Call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Duty Mobile </w:t>
      </w:r>
      <w:r>
        <w:rPr>
          <w:rFonts w:ascii="Arial" w:cs="Arial" w:eastAsia="Arial" w:hAnsi="Arial"/>
          <w:sz w:val="18"/>
          <w:szCs w:val="18"/>
          <w:color w:val="auto"/>
        </w:rPr>
        <w:t>since its October 2019 launch passed $3 billion in the second quarter.</w:t>
      </w:r>
    </w:p>
    <w:p>
      <w:pPr>
        <w:spacing w:after="0" w:line="191" w:lineRule="exact"/>
        <w:rPr>
          <w:rFonts w:ascii="Arial" w:cs="Arial" w:eastAsia="Arial" w:hAnsi="Arial"/>
          <w:sz w:val="18"/>
          <w:szCs w:val="18"/>
          <w:color w:val="auto"/>
        </w:rPr>
      </w:pPr>
    </w:p>
    <w:p>
      <w:pPr>
        <w:ind w:left="660" w:right="100" w:hanging="328"/>
        <w:spacing w:after="0" w:line="36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Call of Duty </w:t>
      </w:r>
      <w:r>
        <w:rPr>
          <w:rFonts w:ascii="Arial" w:cs="Arial" w:eastAsia="Arial" w:hAnsi="Arial"/>
          <w:sz w:val="18"/>
          <w:szCs w:val="18"/>
          <w:color w:val="auto"/>
        </w:rPr>
        <w:t>approaches its 20-year anniversary in October with around 90 million monthly players, with over half of all engagement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on the mobile platform. Activision’s teams are hard at work on major new installments in the franchise slated for the fourth quarter. Development of this year's full annual premium release on PC and console is proceeding well. </w:t>
      </w:r>
      <w:r>
        <w:rPr>
          <w:rFonts w:ascii="Arial" w:cs="Arial" w:eastAsia="Arial" w:hAnsi="Arial"/>
          <w:sz w:val="18"/>
          <w:szCs w:val="18"/>
          <w:b w:val="1"/>
          <w:bCs w:val="1"/>
          <w:color w:val="auto"/>
        </w:rPr>
        <w:t>Call of Duty: Warzone Mobile™</w:t>
      </w:r>
      <w:r>
        <w:rPr>
          <w:rFonts w:ascii="Arial" w:cs="Arial" w:eastAsia="Arial" w:hAnsi="Arial"/>
          <w:sz w:val="18"/>
          <w:szCs w:val="18"/>
          <w:color w:val="auto"/>
        </w:rPr>
        <w:t>, an ambitious, internally developed mobile game tightly integrated with the PC and console experience, continues to progress through regional testing.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Blizzard</w:t>
      </w:r>
    </w:p>
    <w:p>
      <w:pPr>
        <w:spacing w:after="0" w:line="114" w:lineRule="exact"/>
        <w:rPr>
          <w:sz w:val="20"/>
          <w:szCs w:val="20"/>
          <w:color w:val="auto"/>
        </w:rPr>
      </w:pPr>
    </w:p>
    <w:p>
      <w:pPr>
        <w:ind w:left="660" w:right="100" w:hanging="328"/>
        <w:spacing w:after="0" w:line="39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 the second quarter, Blizzard segment revenue grew over 160% year-over-year and operating income more than tripled year-over-year, each setting new quarterly records, driven by the launch of </w:t>
      </w:r>
      <w:r>
        <w:rPr>
          <w:rFonts w:ascii="Arial" w:cs="Arial" w:eastAsia="Arial" w:hAnsi="Arial"/>
          <w:sz w:val="18"/>
          <w:szCs w:val="18"/>
          <w:b w:val="1"/>
          <w:bCs w:val="1"/>
          <w:color w:val="auto"/>
        </w:rPr>
        <w:t>Diablo IV</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660" w:right="260" w:hanging="328"/>
        <w:spacing w:after="0" w:line="37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As of the end of the second quarter, </w:t>
      </w:r>
      <w:r>
        <w:rPr>
          <w:rFonts w:ascii="Arial" w:cs="Arial" w:eastAsia="Arial" w:hAnsi="Arial"/>
          <w:sz w:val="18"/>
          <w:szCs w:val="18"/>
          <w:b w:val="1"/>
          <w:bCs w:val="1"/>
          <w:color w:val="auto"/>
        </w:rPr>
        <w:t>Diablo IV</w:t>
      </w:r>
      <w:r>
        <w:rPr>
          <w:rFonts w:ascii="Arial" w:cs="Arial" w:eastAsia="Arial" w:hAnsi="Arial"/>
          <w:sz w:val="18"/>
          <w:szCs w:val="18"/>
          <w:color w:val="auto"/>
        </w:rPr>
        <w:t xml:space="preserve"> had sold-through more units than any other Blizzard title at an equivalent stage of release. Over 10 million players experienced </w:t>
      </w:r>
      <w:r>
        <w:rPr>
          <w:rFonts w:ascii="Arial" w:cs="Arial" w:eastAsia="Arial" w:hAnsi="Arial"/>
          <w:sz w:val="18"/>
          <w:szCs w:val="18"/>
          <w:b w:val="1"/>
          <w:bCs w:val="1"/>
          <w:color w:val="auto"/>
        </w:rPr>
        <w:t>Diablo IV</w:t>
      </w:r>
      <w:r>
        <w:rPr>
          <w:rFonts w:ascii="Arial" w:cs="Arial" w:eastAsia="Arial" w:hAnsi="Arial"/>
          <w:sz w:val="18"/>
          <w:szCs w:val="18"/>
          <w:color w:val="auto"/>
        </w:rPr>
        <w:t xml:space="preserve"> in June, playing for over 700 million hours, and retention trends for the title are particularly strong.</w:t>
      </w:r>
    </w:p>
    <w:p>
      <w:pPr>
        <w:spacing w:after="0" w:line="209" w:lineRule="exact"/>
        <w:rPr>
          <w:rFonts w:ascii="Arial" w:cs="Arial" w:eastAsia="Arial" w:hAnsi="Arial"/>
          <w:sz w:val="18"/>
          <w:szCs w:val="18"/>
          <w:color w:val="auto"/>
        </w:rPr>
      </w:pPr>
    </w:p>
    <w:p>
      <w:pPr>
        <w:ind w:left="660" w:right="40" w:hanging="328"/>
        <w:spacing w:after="0" w:line="37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launch of </w:t>
      </w:r>
      <w:r>
        <w:rPr>
          <w:rFonts w:ascii="Arial" w:cs="Arial" w:eastAsia="Arial" w:hAnsi="Arial"/>
          <w:sz w:val="18"/>
          <w:szCs w:val="18"/>
          <w:b w:val="1"/>
          <w:bCs w:val="1"/>
          <w:color w:val="auto"/>
        </w:rPr>
        <w:t>Diablo IV</w:t>
      </w:r>
      <w:r>
        <w:rPr>
          <w:rFonts w:ascii="Arial" w:cs="Arial" w:eastAsia="Arial" w:hAnsi="Arial"/>
          <w:sz w:val="18"/>
          <w:szCs w:val="18"/>
          <w:color w:val="auto"/>
        </w:rPr>
        <w:t xml:space="preserve"> marks the start of a live service plan designed to deeply engage the </w:t>
      </w:r>
      <w:r>
        <w:rPr>
          <w:rFonts w:ascii="Arial" w:cs="Arial" w:eastAsia="Arial" w:hAnsi="Arial"/>
          <w:sz w:val="18"/>
          <w:szCs w:val="18"/>
          <w:b w:val="1"/>
          <w:bCs w:val="1"/>
          <w:color w:val="auto"/>
        </w:rPr>
        <w:t>Diablo</w:t>
      </w:r>
      <w:r>
        <w:rPr>
          <w:rFonts w:ascii="Arial" w:cs="Arial" w:eastAsia="Arial" w:hAnsi="Arial"/>
          <w:sz w:val="18"/>
          <w:szCs w:val="18"/>
          <w:color w:val="auto"/>
        </w:rPr>
        <w:t xml:space="preserve"> community and create opportunities for continued player investment. July 20 sees the release of Diablo IV’s first quarterly season, Season of the Malignant, bringing new themes, content, and fresh gameplay to the community. Blizzard’s teams are also making strong progress on expansions that will deliver major new features and continue the game’s acclaimed narrative for many years to come.</w:t>
      </w:r>
    </w:p>
    <w:p>
      <w:pPr>
        <w:spacing w:after="0" w:line="201" w:lineRule="exact"/>
        <w:rPr>
          <w:rFonts w:ascii="Arial" w:cs="Arial" w:eastAsia="Arial" w:hAnsi="Arial"/>
          <w:sz w:val="18"/>
          <w:szCs w:val="18"/>
          <w:color w:val="auto"/>
        </w:rPr>
      </w:pPr>
    </w:p>
    <w:p>
      <w:pPr>
        <w:jc w:val="both"/>
        <w:ind w:left="660" w:right="200" w:hanging="328"/>
        <w:spacing w:after="0" w:line="332"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Following the launch of </w:t>
      </w:r>
      <w:r>
        <w:rPr>
          <w:rFonts w:ascii="Arial" w:cs="Arial" w:eastAsia="Arial" w:hAnsi="Arial"/>
          <w:sz w:val="17"/>
          <w:szCs w:val="17"/>
          <w:b w:val="1"/>
          <w:bCs w:val="1"/>
          <w:color w:val="auto"/>
        </w:rPr>
        <w:t>Diablo IV,</w:t>
      </w:r>
      <w:r>
        <w:rPr>
          <w:rFonts w:ascii="Arial" w:cs="Arial" w:eastAsia="Arial" w:hAnsi="Arial"/>
          <w:sz w:val="17"/>
          <w:szCs w:val="17"/>
          <w:color w:val="auto"/>
        </w:rPr>
        <w:t xml:space="preserve"> Blizzard also saw increased engagement in </w:t>
      </w:r>
      <w:r>
        <w:rPr>
          <w:rFonts w:ascii="Arial" w:cs="Arial" w:eastAsia="Arial" w:hAnsi="Arial"/>
          <w:sz w:val="17"/>
          <w:szCs w:val="17"/>
          <w:b w:val="1"/>
          <w:bCs w:val="1"/>
          <w:color w:val="auto"/>
        </w:rPr>
        <w:t>Diablo Immortal</w:t>
      </w:r>
      <w:r>
        <w:rPr>
          <w:rFonts w:ascii="Arial" w:cs="Arial" w:eastAsia="Arial" w:hAnsi="Arial"/>
          <w:sz w:val="22"/>
          <w:szCs w:val="22"/>
          <w:b w:val="1"/>
          <w:bCs w:val="1"/>
          <w:color w:val="auto"/>
          <w:vertAlign w:val="superscript"/>
        </w:rPr>
        <w:t>TM</w:t>
      </w:r>
      <w:r>
        <w:rPr>
          <w:rFonts w:ascii="Arial" w:cs="Arial" w:eastAsia="Arial" w:hAnsi="Arial"/>
          <w:sz w:val="17"/>
          <w:szCs w:val="17"/>
          <w:color w:val="auto"/>
        </w:rPr>
        <w:t xml:space="preserve">, with June monthly net bookings for the mobile and PC title reaching the highest level since January. Elsewhere on mobile, </w:t>
      </w:r>
      <w:r>
        <w:rPr>
          <w:rFonts w:ascii="Arial" w:cs="Arial" w:eastAsia="Arial" w:hAnsi="Arial"/>
          <w:sz w:val="17"/>
          <w:szCs w:val="17"/>
          <w:b w:val="1"/>
          <w:bCs w:val="1"/>
          <w:color w:val="auto"/>
        </w:rPr>
        <w:t>Warcraft: Arclight Rumble</w:t>
      </w:r>
      <w:r>
        <w:rPr>
          <w:rFonts w:ascii="Arial" w:cs="Arial" w:eastAsia="Arial" w:hAnsi="Arial"/>
          <w:sz w:val="22"/>
          <w:szCs w:val="22"/>
          <w:b w:val="1"/>
          <w:bCs w:val="1"/>
          <w:color w:val="auto"/>
          <w:vertAlign w:val="superscript"/>
        </w:rPr>
        <w:t>TM</w:t>
      </w:r>
      <w:r>
        <w:rPr>
          <w:rFonts w:ascii="Arial" w:cs="Arial" w:eastAsia="Arial" w:hAnsi="Arial"/>
          <w:sz w:val="17"/>
          <w:szCs w:val="17"/>
          <w:color w:val="auto"/>
        </w:rPr>
        <w:t>, an action strategy game internally developed at Blizzard, continues to progress through testing ahead of its regional soft launch.</w:t>
      </w:r>
    </w:p>
    <w:p>
      <w:pPr>
        <w:spacing w:after="0" w:line="217" w:lineRule="exact"/>
        <w:rPr>
          <w:rFonts w:ascii="Arial" w:cs="Arial" w:eastAsia="Arial" w:hAnsi="Arial"/>
          <w:sz w:val="17"/>
          <w:szCs w:val="17"/>
          <w:color w:val="auto"/>
        </w:rPr>
      </w:pPr>
    </w:p>
    <w:p>
      <w:pPr>
        <w:ind w:left="660" w:right="220" w:hanging="328"/>
        <w:spacing w:after="0" w:line="34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Blizzard continued to engage the </w:t>
      </w:r>
      <w:r>
        <w:rPr>
          <w:rFonts w:ascii="Arial" w:cs="Arial" w:eastAsia="Arial" w:hAnsi="Arial"/>
          <w:sz w:val="18"/>
          <w:szCs w:val="18"/>
          <w:b w:val="1"/>
          <w:bCs w:val="1"/>
          <w:color w:val="auto"/>
        </w:rPr>
        <w:t>Overwatch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w:t>
      </w:r>
      <w:r>
        <w:rPr>
          <w:rFonts w:ascii="Arial" w:cs="Arial" w:eastAsia="Arial" w:hAnsi="Arial"/>
          <w:sz w:val="18"/>
          <w:szCs w:val="18"/>
          <w:b w:val="1"/>
          <w:bCs w:val="1"/>
          <w:color w:val="auto"/>
        </w:rPr>
        <w:t>Warcraft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communities with live operations in the second quarter. While engagement and player investment in </w:t>
      </w:r>
      <w:r>
        <w:rPr>
          <w:rFonts w:ascii="Arial" w:cs="Arial" w:eastAsia="Arial" w:hAnsi="Arial"/>
          <w:sz w:val="18"/>
          <w:szCs w:val="18"/>
          <w:b w:val="1"/>
          <w:bCs w:val="1"/>
          <w:color w:val="auto"/>
        </w:rPr>
        <w:t>Overwatch 2</w:t>
      </w:r>
      <w:r>
        <w:rPr>
          <w:rFonts w:ascii="Arial" w:cs="Arial" w:eastAsia="Arial" w:hAnsi="Arial"/>
          <w:sz w:val="18"/>
          <w:szCs w:val="18"/>
          <w:color w:val="auto"/>
        </w:rPr>
        <w:t xml:space="preserve"> declined sequentially in the quarter, the </w:t>
      </w:r>
      <w:r>
        <w:rPr>
          <w:rFonts w:ascii="Arial" w:cs="Arial" w:eastAsia="Arial" w:hAnsi="Arial"/>
          <w:sz w:val="18"/>
          <w:szCs w:val="18"/>
          <w:b w:val="1"/>
          <w:bCs w:val="1"/>
          <w:color w:val="auto"/>
        </w:rPr>
        <w:t>Overwatch</w:t>
      </w:r>
      <w:r>
        <w:rPr>
          <w:rFonts w:ascii="Arial" w:cs="Arial" w:eastAsia="Arial" w:hAnsi="Arial"/>
          <w:sz w:val="18"/>
          <w:szCs w:val="18"/>
          <w:color w:val="auto"/>
        </w:rPr>
        <w:t xml:space="preserve"> team is looking forward to the August 10 release of </w:t>
      </w:r>
      <w:r>
        <w:rPr>
          <w:rFonts w:ascii="Arial" w:cs="Arial" w:eastAsia="Arial" w:hAnsi="Arial"/>
          <w:sz w:val="18"/>
          <w:szCs w:val="18"/>
          <w:b w:val="1"/>
          <w:bCs w:val="1"/>
          <w:color w:val="auto"/>
        </w:rPr>
        <w:t>Overwatch 2: Invasion</w:t>
      </w:r>
      <w:r>
        <w:rPr>
          <w:rFonts w:ascii="Arial" w:cs="Arial" w:eastAsia="Arial" w:hAnsi="Arial"/>
          <w:sz w:val="18"/>
          <w:szCs w:val="18"/>
          <w:color w:val="auto"/>
        </w:rPr>
        <w:t>. This will be the largest seasonal update yet, planned to include new PVE Story Missions, a new game mode, and a new hero progression system as well as an additional hero.</w:t>
      </w:r>
    </w:p>
    <w:p>
      <w:pPr>
        <w:spacing w:after="0" w:line="225" w:lineRule="exact"/>
        <w:rPr>
          <w:rFonts w:ascii="Arial" w:cs="Arial" w:eastAsia="Arial" w:hAnsi="Arial"/>
          <w:sz w:val="18"/>
          <w:szCs w:val="18"/>
          <w:color w:val="auto"/>
        </w:rPr>
      </w:pPr>
    </w:p>
    <w:p>
      <w:pPr>
        <w:ind w:left="660" w:right="60" w:hanging="328"/>
        <w:spacing w:after="0" w:line="33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World of Warcraft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team is delivering more content faster than ever before following the November release of the </w:t>
      </w:r>
      <w:r>
        <w:rPr>
          <w:rFonts w:ascii="Arial" w:cs="Arial" w:eastAsia="Arial" w:hAnsi="Arial"/>
          <w:sz w:val="18"/>
          <w:szCs w:val="18"/>
          <w:b w:val="1"/>
          <w:bCs w:val="1"/>
          <w:color w:val="auto"/>
        </w:rPr>
        <w:t xml:space="preserve">Dragonflight™ </w:t>
      </w:r>
      <w:r>
        <w:rPr>
          <w:rFonts w:ascii="Arial" w:cs="Arial" w:eastAsia="Arial" w:hAnsi="Arial"/>
          <w:sz w:val="18"/>
          <w:szCs w:val="18"/>
          <w:color w:val="auto"/>
        </w:rPr>
        <w:t>expansion for the Modern game, and subscriber retention in the West remains higher than at the equivalent stage of</w:t>
      </w:r>
      <w:r>
        <w:rPr>
          <w:rFonts w:ascii="Arial" w:cs="Arial" w:eastAsia="Arial" w:hAnsi="Arial"/>
          <w:sz w:val="18"/>
          <w:szCs w:val="18"/>
          <w:b w:val="1"/>
          <w:bCs w:val="1"/>
          <w:color w:val="auto"/>
        </w:rPr>
        <w:t xml:space="preserve"> </w:t>
      </w:r>
      <w:r>
        <w:rPr>
          <w:rFonts w:ascii="Arial" w:cs="Arial" w:eastAsia="Arial" w:hAnsi="Arial"/>
          <w:sz w:val="18"/>
          <w:szCs w:val="18"/>
          <w:color w:val="auto"/>
        </w:rPr>
        <w:t>recent Modern expansions.</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8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Activision Blizzard Announces Q2 2023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King</w:t>
      </w:r>
    </w:p>
    <w:p>
      <w:pPr>
        <w:spacing w:after="0" w:line="11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King segment revenue grew 9% year-over-year to a new quarterly record, equivalent to 10% year-over-year growth on a constant</w:t>
      </w:r>
    </w:p>
    <w:p>
      <w:pPr>
        <w:spacing w:after="0" w:line="93" w:lineRule="exact"/>
        <w:rPr>
          <w:rFonts w:ascii="Arial" w:cs="Arial" w:eastAsia="Arial" w:hAnsi="Arial"/>
          <w:sz w:val="18"/>
          <w:szCs w:val="18"/>
          <w:color w:val="auto"/>
        </w:rPr>
      </w:pPr>
    </w:p>
    <w:p>
      <w:pPr>
        <w:ind w:left="660" w:right="240"/>
        <w:spacing w:after="0" w:line="339" w:lineRule="auto"/>
        <w:rPr>
          <w:rFonts w:ascii="Arial" w:cs="Arial" w:eastAsia="Arial" w:hAnsi="Arial"/>
          <w:sz w:val="18"/>
          <w:szCs w:val="18"/>
          <w:color w:val="auto"/>
        </w:rPr>
      </w:pPr>
      <w:r>
        <w:rPr>
          <w:rFonts w:ascii="Arial" w:cs="Arial" w:eastAsia="Arial" w:hAnsi="Arial"/>
          <w:sz w:val="18"/>
          <w:szCs w:val="18"/>
          <w:color w:val="auto"/>
        </w:rPr>
        <w:t>currency basis</w:t>
      </w:r>
      <w:r>
        <w:rPr>
          <w:rFonts w:ascii="Arial" w:cs="Arial" w:eastAsia="Arial" w:hAnsi="Arial"/>
          <w:sz w:val="23"/>
          <w:szCs w:val="23"/>
          <w:color w:val="auto"/>
          <w:vertAlign w:val="superscript"/>
        </w:rPr>
        <w:t>E</w:t>
      </w:r>
      <w:r>
        <w:rPr>
          <w:rFonts w:ascii="Arial" w:cs="Arial" w:eastAsia="Arial" w:hAnsi="Arial"/>
          <w:sz w:val="18"/>
          <w:szCs w:val="18"/>
          <w:color w:val="auto"/>
        </w:rPr>
        <w:t xml:space="preserve">, again driven by strong execution across </w:t>
      </w:r>
      <w:r>
        <w:rPr>
          <w:rFonts w:ascii="Arial" w:cs="Arial" w:eastAsia="Arial" w:hAnsi="Arial"/>
          <w:sz w:val="18"/>
          <w:szCs w:val="18"/>
          <w:b w:val="1"/>
          <w:bCs w:val="1"/>
          <w:color w:val="auto"/>
        </w:rPr>
        <w:t>Candy Crush™</w:t>
      </w:r>
      <w:r>
        <w:rPr>
          <w:rFonts w:ascii="Arial" w:cs="Arial" w:eastAsia="Arial" w:hAnsi="Arial"/>
          <w:sz w:val="18"/>
          <w:szCs w:val="18"/>
          <w:color w:val="auto"/>
        </w:rPr>
        <w:t xml:space="preserve"> live operations and user acquisition. Segment operating income was slightly lower year-over-year due to increased investment in marketing, which is expected to contribute to operating income growth in future quarters.</w:t>
      </w:r>
    </w:p>
    <w:p>
      <w:pPr>
        <w:spacing w:after="0" w:line="239" w:lineRule="exact"/>
        <w:rPr>
          <w:rFonts w:ascii="Arial" w:cs="Arial" w:eastAsia="Arial" w:hAnsi="Arial"/>
          <w:sz w:val="18"/>
          <w:szCs w:val="18"/>
          <w:color w:val="auto"/>
        </w:rPr>
      </w:pPr>
    </w:p>
    <w:p>
      <w:pPr>
        <w:ind w:left="660" w:right="200" w:hanging="328"/>
        <w:spacing w:after="0" w:line="36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In-game net bookings increased 10% year-over-year. The spring Candy Crush All Stars tournament, the first to include contestants from multiple continents, drove particularly strong year-over-year growth in installs and player investment in the </w:t>
      </w:r>
      <w:r>
        <w:rPr>
          <w:rFonts w:ascii="Arial" w:cs="Arial" w:eastAsia="Arial" w:hAnsi="Arial"/>
          <w:sz w:val="18"/>
          <w:szCs w:val="18"/>
          <w:b w:val="1"/>
          <w:bCs w:val="1"/>
          <w:color w:val="auto"/>
        </w:rPr>
        <w:t>Candy Crush</w:t>
      </w:r>
      <w:r>
        <w:rPr>
          <w:rFonts w:ascii="Arial" w:cs="Arial" w:eastAsia="Arial" w:hAnsi="Arial"/>
          <w:sz w:val="18"/>
          <w:szCs w:val="18"/>
          <w:color w:val="auto"/>
        </w:rPr>
        <w:t xml:space="preserve"> franchise in April. </w:t>
      </w:r>
      <w:r>
        <w:rPr>
          <w:rFonts w:ascii="Arial" w:cs="Arial" w:eastAsia="Arial" w:hAnsi="Arial"/>
          <w:sz w:val="18"/>
          <w:szCs w:val="18"/>
          <w:b w:val="1"/>
          <w:bCs w:val="1"/>
          <w:color w:val="auto"/>
        </w:rPr>
        <w:t>Candy Crush</w:t>
      </w:r>
      <w:r>
        <w:rPr>
          <w:rFonts w:ascii="Arial" w:cs="Arial" w:eastAsia="Arial" w:hAnsi="Arial"/>
          <w:sz w:val="18"/>
          <w:szCs w:val="18"/>
          <w:color w:val="auto"/>
        </w:rPr>
        <w:t xml:space="preserve"> payer numbers again grew year-over-year in the second quarter, and </w:t>
      </w:r>
      <w:r>
        <w:rPr>
          <w:rFonts w:ascii="Arial" w:cs="Arial" w:eastAsia="Arial" w:hAnsi="Arial"/>
          <w:sz w:val="18"/>
          <w:szCs w:val="18"/>
          <w:b w:val="1"/>
          <w:bCs w:val="1"/>
          <w:color w:val="auto"/>
        </w:rPr>
        <w:t>Candy Crush</w:t>
      </w:r>
      <w:r>
        <w:rPr>
          <w:rFonts w:ascii="Arial" w:cs="Arial" w:eastAsia="Arial" w:hAnsi="Arial"/>
          <w:sz w:val="18"/>
          <w:szCs w:val="18"/>
          <w:color w:val="auto"/>
        </w:rPr>
        <w:t xml:space="preserve"> was the top-grossing game franchise in the U.S. app stores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for the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quarter in a row.</w:t>
      </w:r>
    </w:p>
    <w:p>
      <w:pPr>
        <w:spacing w:after="0" w:line="144" w:lineRule="exact"/>
        <w:rPr>
          <w:rFonts w:ascii="Arial" w:cs="Arial" w:eastAsia="Arial" w:hAnsi="Arial"/>
          <w:sz w:val="18"/>
          <w:szCs w:val="18"/>
          <w:color w:val="auto"/>
        </w:rPr>
      </w:pPr>
    </w:p>
    <w:p>
      <w:pPr>
        <w:ind w:left="660" w:right="60" w:hanging="328"/>
        <w:spacing w:after="0" w:line="3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 the second quarter King saw further benefits from the acquisition of Peltarion, an AI technology company acquired in June 2022. Peltarion’s machine learning technology is helping King to accelerate the production and testing of </w:t>
      </w:r>
      <w:r>
        <w:rPr>
          <w:rFonts w:ascii="Arial" w:cs="Arial" w:eastAsia="Arial" w:hAnsi="Arial"/>
          <w:sz w:val="18"/>
          <w:szCs w:val="18"/>
          <w:b w:val="1"/>
          <w:bCs w:val="1"/>
          <w:color w:val="auto"/>
        </w:rPr>
        <w:t>Candy Crush</w:t>
      </w:r>
      <w:r>
        <w:rPr>
          <w:rFonts w:ascii="Arial" w:cs="Arial" w:eastAsia="Arial" w:hAnsi="Arial"/>
          <w:sz w:val="18"/>
          <w:szCs w:val="18"/>
          <w:color w:val="auto"/>
        </w:rPr>
        <w:t xml:space="preserve"> live operations and to offer more relevant game content to players. King is now working on additional use cases involving generative AI to assist its developers in accelerating their workflow.</w:t>
      </w:r>
    </w:p>
    <w:p>
      <w:pPr>
        <w:spacing w:after="0" w:line="215" w:lineRule="exact"/>
        <w:rPr>
          <w:rFonts w:ascii="Arial" w:cs="Arial" w:eastAsia="Arial" w:hAnsi="Arial"/>
          <w:sz w:val="18"/>
          <w:szCs w:val="18"/>
          <w:color w:val="auto"/>
        </w:rPr>
      </w:pPr>
    </w:p>
    <w:p>
      <w:pPr>
        <w:ind w:left="660" w:right="220" w:hanging="328"/>
        <w:spacing w:after="0" w:line="38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King’s advertising business grew year-over-year in the second quarter, with growth across direct brand advertisers and partner networks. Direct sales benefited from the rollout of innovative new ad formats and success in targeting new verticals, while indirect growth was driven by enhancements to our platform and the ramp of new partners.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Building the Model Workplace</w:t>
      </w:r>
    </w:p>
    <w:p>
      <w:pPr>
        <w:spacing w:after="0" w:line="114" w:lineRule="exact"/>
        <w:rPr>
          <w:sz w:val="20"/>
          <w:szCs w:val="20"/>
          <w:color w:val="auto"/>
        </w:rPr>
      </w:pPr>
    </w:p>
    <w:p>
      <w:pPr>
        <w:ind w:right="20"/>
        <w:spacing w:after="0" w:line="366" w:lineRule="auto"/>
        <w:rPr>
          <w:rFonts w:ascii="Arial" w:cs="Arial" w:eastAsia="Arial" w:hAnsi="Arial"/>
          <w:sz w:val="18"/>
          <w:szCs w:val="18"/>
          <w:color w:val="0000FF"/>
        </w:rPr>
      </w:pPr>
      <w:r>
        <w:rPr>
          <w:rFonts w:ascii="Arial" w:cs="Arial" w:eastAsia="Arial" w:hAnsi="Arial"/>
          <w:sz w:val="18"/>
          <w:szCs w:val="18"/>
          <w:color w:val="auto"/>
        </w:rPr>
        <w:t xml:space="preserve">Activision Blizzard remains focused on setting a new standard for workplace excellence and transparency. In May, the company released its first annual Transparency Report, explaining how we are delivering on our commitments to employees, shareholders, players, and other stakeholders, and highlighting the work that has helped us to build what we believe is among the most welcoming and inclusive workplaces in our industry. The report contains detailed reviews of the policies, processes, and programs Activision Blizzard employs to achieve its workplace ambitions, as well as comprehensive data and details of workplace conduct. We believe we are among a handful of Fortune 500 companies sharing this level of workplace detail, and in doing so, we hope to encourage other organizations to follow suit. Please refer to our </w:t>
      </w:r>
      <w:hyperlink r:id="rId15">
        <w:r>
          <w:rPr>
            <w:rFonts w:ascii="Arial" w:cs="Arial" w:eastAsia="Arial" w:hAnsi="Arial"/>
            <w:sz w:val="18"/>
            <w:szCs w:val="18"/>
            <w:u w:val="single" w:color="auto"/>
            <w:color w:val="0000FF"/>
          </w:rPr>
          <w:t>DEFA14A filed on May 31, 2023</w:t>
        </w:r>
        <w:r>
          <w:rPr>
            <w:rFonts w:ascii="Arial" w:cs="Arial" w:eastAsia="Arial" w:hAnsi="Arial"/>
            <w:sz w:val="18"/>
            <w:szCs w:val="18"/>
            <w:color w:val="0000FF"/>
          </w:rPr>
          <w:t xml:space="preserve"> </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further detail.</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8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Activision Blizzard Announces Q2 2023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Overwatch League™</w:t>
      </w:r>
    </w:p>
    <w:p>
      <w:pPr>
        <w:spacing w:after="0" w:line="114" w:lineRule="exact"/>
        <w:rPr>
          <w:sz w:val="20"/>
          <w:szCs w:val="20"/>
          <w:color w:val="auto"/>
        </w:rPr>
      </w:pPr>
    </w:p>
    <w:p>
      <w:pPr>
        <w:ind w:right="40"/>
        <w:spacing w:after="0" w:line="368" w:lineRule="auto"/>
        <w:rPr>
          <w:sz w:val="20"/>
          <w:szCs w:val="20"/>
          <w:color w:val="auto"/>
        </w:rPr>
      </w:pPr>
      <w:r>
        <w:rPr>
          <w:rFonts w:ascii="Arial" w:cs="Arial" w:eastAsia="Arial" w:hAnsi="Arial"/>
          <w:sz w:val="18"/>
          <w:szCs w:val="18"/>
          <w:color w:val="auto"/>
        </w:rPr>
        <w:t>As previously disclosed, our collaborative arrangements for our professional esports leagues continue to face headwinds. During the second quarter, we amended certain terms of our collaborative arrangements with team entities participating in the Overwatch League. According to the amended terms, following the conclusion of the current Overwatch League season, the teams will vote on an updated operating agreement. If the teams do not vote to continue under an updated operating agreement, a termination fee of $6 million will be payable to each participating team entity (total fee of approximately $114 million). As of June 30, 2023, a termination liability has not been accrued. Total revenues from the Overwatch League comprise less than 1% of our consolidated net revenues.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w:t>
      </w:r>
    </w:p>
    <w:p>
      <w:pPr>
        <w:spacing w:after="0" w:line="127" w:lineRule="exact"/>
        <w:rPr>
          <w:sz w:val="20"/>
          <w:szCs w:val="20"/>
          <w:color w:val="auto"/>
        </w:rPr>
      </w:pPr>
    </w:p>
    <w:p>
      <w:pPr>
        <w:ind w:right="100"/>
        <w:spacing w:after="0" w:line="366" w:lineRule="auto"/>
        <w:rPr>
          <w:sz w:val="20"/>
          <w:szCs w:val="20"/>
          <w:color w:val="auto"/>
        </w:rPr>
      </w:pPr>
      <w:r>
        <w:rPr>
          <w:rFonts w:ascii="Arial" w:cs="Arial" w:eastAsia="Arial" w:hAnsi="Arial"/>
          <w:sz w:val="18"/>
          <w:szCs w:val="18"/>
          <w:color w:val="auto"/>
        </w:rPr>
        <w:t>Cash and short-term investments at the end of the second quarter stood at $13.2 billion, and Activision Blizzard ended the quarter with a net cash</w:t>
      </w:r>
      <w:r>
        <w:rPr>
          <w:rFonts w:ascii="Arial" w:cs="Arial" w:eastAsia="Arial" w:hAnsi="Arial"/>
          <w:sz w:val="23"/>
          <w:szCs w:val="23"/>
          <w:color w:val="auto"/>
          <w:vertAlign w:val="superscript"/>
        </w:rPr>
        <w:t>F</w:t>
      </w:r>
      <w:r>
        <w:rPr>
          <w:rFonts w:ascii="Arial" w:cs="Arial" w:eastAsia="Arial" w:hAnsi="Arial"/>
          <w:sz w:val="18"/>
          <w:szCs w:val="18"/>
          <w:color w:val="auto"/>
        </w:rPr>
        <w:t xml:space="preserve"> position of approximately $9.5 billion.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Disclosure Channels to Disseminate Information</w:t>
      </w:r>
    </w:p>
    <w:p>
      <w:pPr>
        <w:spacing w:after="0" w:line="168" w:lineRule="exact"/>
        <w:rPr>
          <w:sz w:val="20"/>
          <w:szCs w:val="20"/>
          <w:color w:val="auto"/>
        </w:rPr>
      </w:pPr>
    </w:p>
    <w:p>
      <w:pPr>
        <w:ind w:right="20"/>
        <w:spacing w:after="0" w:line="353" w:lineRule="auto"/>
        <w:rPr>
          <w:sz w:val="20"/>
          <w:szCs w:val="20"/>
          <w:color w:val="auto"/>
        </w:rPr>
      </w:pPr>
      <w:r>
        <w:rPr>
          <w:rFonts w:ascii="Arial" w:cs="Arial" w:eastAsia="Arial" w:hAnsi="Arial"/>
          <w:sz w:val="18"/>
          <w:szCs w:val="18"/>
          <w:color w:val="auto"/>
        </w:rPr>
        <w:t>Activision Blizzard, Inc. (“Activision Blizzard”) discloses information to the public concerning Activision Blizzard, Activision Blizzard’s products, content and services, and other items through a variety of disclosure channels in order to achieve broad, non-exclusionary distribution of information to the public. Some of the information distributed through these disclosure channels may be considered material information. Investors and others are encouraged to review the information we make public in the locations below.</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This list may be updated from time to time.</w:t>
      </w:r>
    </w:p>
    <w:p>
      <w:pPr>
        <w:spacing w:after="0" w:line="20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information concerning Activision Blizzard and its products, content and services, please visit: https://www.activisionblizzard.com.</w:t>
      </w:r>
    </w:p>
    <w:p>
      <w:pPr>
        <w:spacing w:after="0" w:line="115" w:lineRule="exact"/>
        <w:rPr>
          <w:rFonts w:ascii="Arial" w:cs="Arial" w:eastAsia="Arial" w:hAnsi="Arial"/>
          <w:sz w:val="17"/>
          <w:szCs w:val="17"/>
          <w:color w:val="auto"/>
        </w:rPr>
      </w:pPr>
    </w:p>
    <w:p>
      <w:pPr>
        <w:ind w:left="660" w:right="200" w:hanging="328"/>
        <w:spacing w:after="0" w:line="36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information provided to the investment community, including news releases, events and presentations, and filings with the U.S. Securities and Exchange Commission, please visit: https://investor.activision.com.</w:t>
      </w:r>
    </w:p>
    <w:p>
      <w:pPr>
        <w:spacing w:after="0" w:line="1" w:lineRule="exact"/>
        <w:rPr>
          <w:rFonts w:ascii="Arial" w:cs="Arial" w:eastAsia="Arial" w:hAnsi="Arial"/>
          <w:sz w:val="18"/>
          <w:szCs w:val="18"/>
          <w:color w:val="auto"/>
        </w:rPr>
      </w:pPr>
    </w:p>
    <w:p>
      <w:pPr>
        <w:ind w:left="660" w:right="1100" w:hanging="328"/>
        <w:spacing w:after="0" w:line="3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latest information from Activision Blizzard, including press releases and the Activision Blizzard blog, please visit: https://www.activisionblizzard.com/newsroom.</w:t>
      </w:r>
    </w:p>
    <w:p>
      <w:pPr>
        <w:ind w:left="660" w:right="180" w:hanging="328"/>
        <w:spacing w:after="0" w:line="37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additional information, please follow Activision Blizzard’s and Lulu Cheng Meservey’s (Activision Blizzard’s Executive Vice President, Corporate Affairs and Chief Communications Officer) Twitter accounts: https://twitter.com/atvi_ab and https://twitter.com/lulumeservey. Except with respect to communications regarding Activision Blizzard, Ms. Meservey’s social media communications from https://twitter.com/lulumeservey are personal communications of Ms. Meservey and are not communications on behalf of Activision Blizzard.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Activision Blizzard Announces Q2 2023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Activision Blizzard</w:t>
      </w:r>
    </w:p>
    <w:p>
      <w:pPr>
        <w:spacing w:after="0" w:line="114" w:lineRule="exact"/>
        <w:rPr>
          <w:sz w:val="20"/>
          <w:szCs w:val="20"/>
          <w:color w:val="auto"/>
        </w:rPr>
      </w:pPr>
    </w:p>
    <w:p>
      <w:pPr>
        <w:ind w:right="120"/>
        <w:spacing w:after="0" w:line="368" w:lineRule="auto"/>
        <w:rPr>
          <w:sz w:val="20"/>
          <w:szCs w:val="20"/>
          <w:color w:val="auto"/>
        </w:rPr>
      </w:pPr>
      <w:r>
        <w:rPr>
          <w:rFonts w:ascii="Arial" w:cs="Arial" w:eastAsia="Arial" w:hAnsi="Arial"/>
          <w:sz w:val="18"/>
          <w:szCs w:val="18"/>
          <w:color w:val="auto"/>
        </w:rPr>
        <w:t>Our mission, to connect and engage the world through epic entertainment, has never been more important. Through communities rooted in our video games we enable hundreds of millions of people to experience joy, thrill and achievement. We enable social connections through the lens of fun, and we foster purpose and a sense of accomplishment through healthy competition. Like sport, but with greater accessibility, our players can find purpose and meaning through competitive gaming. Video games, unlike any other social or entertainment media, have the ability to break down the barriers that can inhibit tolerance and understanding. Celebrating differences is at the core of our culture and ensures we can create games for players of diverse backgrounds in the 190 countries our games are played.</w:t>
      </w:r>
    </w:p>
    <w:p>
      <w:pPr>
        <w:spacing w:after="0" w:line="215" w:lineRule="exact"/>
        <w:rPr>
          <w:sz w:val="20"/>
          <w:szCs w:val="20"/>
          <w:color w:val="auto"/>
        </w:rPr>
      </w:pPr>
    </w:p>
    <w:p>
      <w:pPr>
        <w:ind w:right="80"/>
        <w:spacing w:after="0" w:line="380" w:lineRule="auto"/>
        <w:rPr>
          <w:sz w:val="20"/>
          <w:szCs w:val="20"/>
          <w:color w:val="auto"/>
        </w:rPr>
      </w:pPr>
      <w:r>
        <w:rPr>
          <w:rFonts w:ascii="Arial" w:cs="Arial" w:eastAsia="Arial" w:hAnsi="Arial"/>
          <w:sz w:val="18"/>
          <w:szCs w:val="18"/>
          <w:color w:val="auto"/>
        </w:rPr>
        <w:t>As a member of the Fortune 500 and as a component company of the S&amp;P 500, we have an extraordinary track record of delivering superior shareholder returns for over 30 years. Our sustained success has enabled the company to support corporate social responsibility initiatives that are directly tied to our games. As an example, our Call of Duty Endowment has helped find employment for over 100,000 veterans.</w:t>
      </w:r>
    </w:p>
    <w:p>
      <w:pPr>
        <w:spacing w:after="0" w:line="205" w:lineRule="exact"/>
        <w:rPr>
          <w:sz w:val="20"/>
          <w:szCs w:val="20"/>
          <w:color w:val="auto"/>
        </w:rPr>
      </w:pPr>
    </w:p>
    <w:p>
      <w:pPr>
        <w:ind w:right="260"/>
        <w:spacing w:after="0" w:line="366" w:lineRule="auto"/>
        <w:rPr>
          <w:sz w:val="20"/>
          <w:szCs w:val="20"/>
          <w:color w:val="auto"/>
        </w:rPr>
      </w:pPr>
      <w:r>
        <w:rPr>
          <w:rFonts w:ascii="Arial" w:cs="Arial" w:eastAsia="Arial" w:hAnsi="Arial"/>
          <w:sz w:val="18"/>
          <w:szCs w:val="18"/>
          <w:color w:val="auto"/>
        </w:rPr>
        <w:t>Learn more information about Activision Blizzard and how we connect and engage the world through epic entertainment on the company's website, www.activisionblizzard.com</w:t>
      </w:r>
      <w:r>
        <w:rPr>
          <w:rFonts w:ascii="Arial" w:cs="Arial" w:eastAsia="Arial" w:hAnsi="Arial"/>
          <w:sz w:val="23"/>
          <w:szCs w:val="23"/>
          <w:color w:val="auto"/>
          <w:vertAlign w:val="superscript"/>
        </w:rPr>
        <w:t>2</w:t>
      </w:r>
      <w:r>
        <w:rPr>
          <w:rFonts w:ascii="Arial" w:cs="Arial" w:eastAsia="Arial" w:hAnsi="Arial"/>
          <w:sz w:val="18"/>
          <w:szCs w:val="18"/>
          <w:color w:val="auto"/>
        </w:rPr>
        <w:t>.</w:t>
      </w:r>
    </w:p>
    <w:p>
      <w:pPr>
        <w:spacing w:after="0" w:line="352" w:lineRule="exact"/>
        <w:rPr>
          <w:sz w:val="20"/>
          <w:szCs w:val="20"/>
          <w:color w:val="auto"/>
        </w:rPr>
      </w:pPr>
    </w:p>
    <w:p>
      <w:pPr>
        <w:ind w:left="120" w:hanging="112"/>
        <w:spacing w:after="0"/>
        <w:tabs>
          <w:tab w:leader="none" w:pos="1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Based on data.ai Intelligence</w:t>
      </w:r>
    </w:p>
    <w:p>
      <w:pPr>
        <w:spacing w:after="0" w:line="325" w:lineRule="exact"/>
        <w:rPr>
          <w:sz w:val="20"/>
          <w:szCs w:val="20"/>
          <w:color w:val="auto"/>
        </w:rPr>
      </w:pPr>
    </w:p>
    <w:p>
      <w:pPr>
        <w:ind w:right="280" w:firstLine="8"/>
        <w:spacing w:after="0" w:line="334" w:lineRule="auto"/>
        <w:tabs>
          <w:tab w:leader="none" w:pos="112"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These corporate websites and social media channels, and the contents thereof, are not incorporated by reference into this press release nor deemed filed with the U.S. Securities and Exchange Commission.</w:t>
      </w:r>
    </w:p>
    <w:p>
      <w:pPr>
        <w:spacing w:after="0" w:line="221" w:lineRule="exact"/>
        <w:rPr>
          <w:sz w:val="20"/>
          <w:szCs w:val="20"/>
          <w:color w:val="auto"/>
        </w:rPr>
      </w:pPr>
    </w:p>
    <w:p>
      <w:pPr>
        <w:ind w:right="80" w:firstLine="8"/>
        <w:spacing w:after="0" w:line="355" w:lineRule="auto"/>
        <w:tabs>
          <w:tab w:leader="none" w:pos="1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Net effect of accounting treatment from revenue deferrals on certain of our online-enabled products. Since certain of our games are hosted online or include significant online functionality that represents a separate performance obligation, we defer the transaction price allocable to the online functionality from the sale of these games and then recognize the attributable revenues over the relevant estimated service periods, which are generally less than a year. The related cost of revenues is deferred and recognized as an expense as the related revenues are recognized. Impact from changes in deferrals refers to the net effect from revenue deferrals accounting treatment for the purposes of revenues, along with, for the purposes of EPS, the related cost of revenues deferrals treatment and the related tax impacts. Internally, management excludes the impact of this change in deferred revenues and related cost of revenues when evaluating the company’s operating performance, when planning, forecasting and analyzing future periods, and when assessing the performance of its management team. Management believes this is appropriate because doing so enables an analysis of performance based on the timing of actual transactions with our customers. In addition, management believes excluding the change in deferred revenues and the related cost of revenues provides a much more timely indication of trends in our operating results.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58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Activision Blizzard Announces Q2 2023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0" w:firstLine="8"/>
        <w:spacing w:after="0" w:line="327" w:lineRule="auto"/>
        <w:tabs>
          <w:tab w:leader="none" w:pos="111"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Net bookings is an operating metric that is defined as the net amount of products and services sold digitally or sold-in physically in the period, and includes license fees, merchandise, and publisher incentives, among others, and is equal to net revenues excluding the impact from deferrals.</w:t>
      </w:r>
    </w:p>
    <w:p>
      <w:pPr>
        <w:spacing w:after="0" w:line="264" w:lineRule="exact"/>
        <w:rPr>
          <w:sz w:val="20"/>
          <w:szCs w:val="20"/>
          <w:color w:val="auto"/>
        </w:rPr>
      </w:pPr>
    </w:p>
    <w:p>
      <w:pPr>
        <w:ind w:right="40" w:firstLine="8"/>
        <w:spacing w:after="0" w:line="351" w:lineRule="auto"/>
        <w:tabs>
          <w:tab w:leader="none" w:pos="117"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In-game net bookings primarily includes the net amount of microtransactions and downloadable content sold during the period, and is equal to in-game net revenues excluding the impact from deferrals.</w:t>
      </w:r>
    </w:p>
    <w:p>
      <w:pPr>
        <w:spacing w:after="0" w:line="208" w:lineRule="exact"/>
        <w:rPr>
          <w:sz w:val="20"/>
          <w:szCs w:val="20"/>
          <w:color w:val="auto"/>
        </w:rPr>
      </w:pPr>
    </w:p>
    <w:p>
      <w:pPr>
        <w:ind w:right="20" w:firstLine="8"/>
        <w:spacing w:after="0" w:line="373" w:lineRule="auto"/>
        <w:tabs>
          <w:tab w:leader="none" w:pos="117"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Monthly Active User (“MAU”) Definition: We monitor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 In certain instances, we rely on third parties to publish our games. In these instances, MAU data is based on information provided to us by those third parties, or, if final data is not available, reasonable estimates of MAUs for these third-party published games.</w:t>
      </w:r>
    </w:p>
    <w:p>
      <w:pPr>
        <w:spacing w:after="0" w:line="221" w:lineRule="exact"/>
        <w:rPr>
          <w:sz w:val="20"/>
          <w:szCs w:val="20"/>
          <w:color w:val="auto"/>
        </w:rPr>
      </w:pPr>
    </w:p>
    <w:p>
      <w:pPr>
        <w:ind w:right="420" w:firstLine="8"/>
        <w:spacing w:after="0" w:line="340" w:lineRule="auto"/>
        <w:tabs>
          <w:tab w:leader="none" w:pos="111"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Year-over-year growth on a constant currency basis is calculated by translating current quarter local currency amounts to U.S. dollars based on prior period exchange rates. These amounts are compared to the prior period to derive constant-currency year-over-year performance. We present constant currency information to provide a framework for assessing how our underlying businesses performed excluding the effect of currency rate fluctuations.</w:t>
      </w:r>
    </w:p>
    <w:p>
      <w:pPr>
        <w:spacing w:after="0" w:line="1" w:lineRule="exact"/>
        <w:rPr>
          <w:rFonts w:ascii="Arial" w:cs="Arial" w:eastAsia="Arial" w:hAnsi="Arial"/>
          <w:sz w:val="23"/>
          <w:szCs w:val="23"/>
          <w:color w:val="auto"/>
          <w:vertAlign w:val="superscript"/>
        </w:rPr>
      </w:pPr>
    </w:p>
    <w:p>
      <w:pPr>
        <w:jc w:val="both"/>
        <w:ind w:left="660" w:hanging="328"/>
        <w:spacing w:after="0" w:line="365"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Total net bookings increased by 50% year-over-year for the second quarter of 2023. On a constant currency basis, total net bookings increased 51% year-over-year for the second quarter of 2023 as currency rate changes negatively impacted year-over-year growth in the quarter by 1 percentage point.</w:t>
      </w:r>
    </w:p>
    <w:p>
      <w:pPr>
        <w:ind w:left="660" w:right="80" w:hanging="328"/>
        <w:spacing w:after="0" w:line="368"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Activision segment net revenues grew by 17% year-over-year, Blizzard segment net revenues grew by 164%, and King segment net revenues grew by 9% for the second quarter of 2023. On a constant currency year-over-year basis, Activision segment net revenue grew 19%, Blizzard segment net revenue grew 172%, and King segment net revenue grew 10% for the second quarter of 2023, as currency rate changes negatively impacted Activision segment net revenue year-over-growth by 2 percentage points, Blizzard segment net revenue year-over-growth by 8 percentage points, and King segment net revenue year-over-year growth by 1 percentage point.</w:t>
      </w:r>
    </w:p>
    <w:p>
      <w:pPr>
        <w:spacing w:after="0" w:line="215" w:lineRule="exact"/>
        <w:rPr>
          <w:sz w:val="20"/>
          <w:szCs w:val="20"/>
          <w:color w:val="auto"/>
        </w:rPr>
      </w:pPr>
    </w:p>
    <w:p>
      <w:pPr>
        <w:ind w:right="300" w:firstLine="8"/>
        <w:spacing w:after="0" w:line="318" w:lineRule="auto"/>
        <w:tabs>
          <w:tab w:leader="none" w:pos="121"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Net cash is defined as cash and cash equivalents ($10.8B as of June 30, 2023) and short-term investments ($2.4B as of June 30, 2023) minus gross debt ($3.7B as of June 30, 2023).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8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Activision Blizzard Announces Q2 2023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spacing w:after="0" w:line="373" w:lineRule="auto"/>
        <w:rPr>
          <w:sz w:val="20"/>
          <w:szCs w:val="20"/>
          <w:color w:val="auto"/>
        </w:rPr>
      </w:pPr>
      <w:r>
        <w:rPr>
          <w:rFonts w:ascii="Arial" w:cs="Arial" w:eastAsia="Arial" w:hAnsi="Arial"/>
          <w:sz w:val="18"/>
          <w:szCs w:val="18"/>
          <w:b w:val="1"/>
          <w:bCs w:val="1"/>
          <w:color w:val="auto"/>
        </w:rPr>
        <w:t xml:space="preserve">Non-GAAP Financial Measures: </w:t>
      </w:r>
      <w:r>
        <w:rPr>
          <w:rFonts w:ascii="Arial" w:cs="Arial" w:eastAsia="Arial" w:hAnsi="Arial"/>
          <w:sz w:val="18"/>
          <w:szCs w:val="18"/>
          <w:color w:val="auto"/>
        </w:rPr>
        <w:t>As a supplement to our financial measures presented in accordance with U.S. Generally Accepted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Principles (“GAAP”), Activision Blizzard presents certain non-GAAP measures of financial performance. These non-GAAP financial measures are not intended to be considered in isolation from, as a substitute for, or as more important than, the financial information prepared and presented in accordance with GAAP. In addition, these non-GAAP measures have limitations in that they do not reflect all of the items associated with the company’s results of operations as determined in accordance with GAAP.</w:t>
      </w:r>
    </w:p>
    <w:p>
      <w:pPr>
        <w:spacing w:after="0" w:line="211" w:lineRule="exact"/>
        <w:rPr>
          <w:sz w:val="20"/>
          <w:szCs w:val="20"/>
          <w:color w:val="auto"/>
        </w:rPr>
      </w:pPr>
    </w:p>
    <w:p>
      <w:pPr>
        <w:ind w:right="60"/>
        <w:spacing w:after="0" w:line="368" w:lineRule="auto"/>
        <w:rPr>
          <w:sz w:val="20"/>
          <w:szCs w:val="20"/>
          <w:color w:val="auto"/>
        </w:rPr>
      </w:pPr>
      <w:r>
        <w:rPr>
          <w:rFonts w:ascii="Arial" w:cs="Arial" w:eastAsia="Arial" w:hAnsi="Arial"/>
          <w:sz w:val="18"/>
          <w:szCs w:val="18"/>
          <w:color w:val="auto"/>
        </w:rPr>
        <w:t>Activision Blizzard provides net income (loss), earnings (loss) per share, and operating margin data and guidance both including (in accordance with GAAP) and excluding (non-GAAP) certain items. When relevant, the company also provides constant currency information to provide a framework for assessing how our underlying businesses performed excluding the effect of currency rate fluctuations. In addition, Activision Blizzard provides EBITDA (defined as GAAP net income (loss) before interest (income) expense, income taxes, depreciation, and amortization) and adjusted EBITDA (defined as non-GAAP operating margin (see non-GAAP financial measure below) before depreciation). The non-GAAP financial measures exclude the following items, as applicable in any given reporting period and our outlook:</w:t>
      </w:r>
    </w:p>
    <w:p>
      <w:pPr>
        <w:spacing w:after="0" w:line="21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related to share-based compensation, including liability awards accounted for under ASC 718;</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amortization of intangibles from purchase price accounting;</w:t>
      </w:r>
    </w:p>
    <w:p>
      <w:pPr>
        <w:spacing w:after="0" w:line="103" w:lineRule="exact"/>
        <w:rPr>
          <w:rFonts w:ascii="Arial" w:cs="Arial" w:eastAsia="Arial" w:hAnsi="Arial"/>
          <w:sz w:val="18"/>
          <w:szCs w:val="18"/>
          <w:color w:val="auto"/>
        </w:rPr>
      </w:pPr>
    </w:p>
    <w:p>
      <w:pPr>
        <w:ind w:left="660" w:right="300" w:hanging="328"/>
        <w:spacing w:after="0" w:line="36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fees and other expenses related to mergers and acquisitions, including related debt financings, and refinancing of long-term debt, including penalties and the write off of unamortized discount and deferred financing costs;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restructuring and related charges;</w:t>
      </w:r>
    </w:p>
    <w:p>
      <w:pPr>
        <w:spacing w:after="0" w:line="103" w:lineRule="exact"/>
        <w:rPr>
          <w:rFonts w:ascii="Arial" w:cs="Arial" w:eastAsia="Arial" w:hAnsi="Arial"/>
          <w:sz w:val="18"/>
          <w:szCs w:val="18"/>
          <w:color w:val="auto"/>
        </w:rPr>
      </w:pPr>
    </w:p>
    <w:p>
      <w:pPr>
        <w:ind w:left="660" w:right="20" w:hanging="328"/>
        <w:spacing w:after="0" w:line="36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related to the wind down of our partnership with NetEase in China in regards to licenses covering the publication of several Blizzard titles which expired in January 2023;</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non-cash charges from reclassification of certain cumulative translation adjustments into earnings as required by GAAP;</w:t>
      </w:r>
    </w:p>
    <w:p>
      <w:pPr>
        <w:spacing w:after="0" w:line="117" w:lineRule="exact"/>
        <w:rPr>
          <w:rFonts w:ascii="Arial" w:cs="Arial" w:eastAsia="Arial" w:hAnsi="Arial"/>
          <w:sz w:val="18"/>
          <w:szCs w:val="18"/>
          <w:color w:val="auto"/>
        </w:rPr>
      </w:pPr>
    </w:p>
    <w:p>
      <w:pPr>
        <w:jc w:val="both"/>
        <w:ind w:left="660" w:right="80" w:hanging="328"/>
        <w:spacing w:after="0" w:line="36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income tax adjustments associated with any of the above items (tax impact on non-GAAP pre-tax income is calculated under the same accounting principles applied to the GAAP pre-tax income under ASC 740, which employs an annual effective tax rate method to the results); and</w:t>
      </w:r>
    </w:p>
    <w:p>
      <w:pPr>
        <w:ind w:left="660" w:right="540" w:hanging="328"/>
        <w:spacing w:after="0" w:line="38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discrete tax-related items, including amounts related to changes in tax laws, amounts related to the potential or final resolution of tax positions, and other unusual or unique tax-related items and activities.</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58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Activision Blizzard Announces Q2 2023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0"/>
        <w:spacing w:after="0" w:line="367" w:lineRule="auto"/>
        <w:rPr>
          <w:sz w:val="20"/>
          <w:szCs w:val="20"/>
          <w:color w:val="auto"/>
        </w:rPr>
      </w:pPr>
      <w:r>
        <w:rPr>
          <w:rFonts w:ascii="Arial" w:cs="Arial" w:eastAsia="Arial" w:hAnsi="Arial"/>
          <w:sz w:val="18"/>
          <w:szCs w:val="18"/>
          <w:color w:val="auto"/>
        </w:rPr>
        <w:t>In the future, Activision Blizzard may also consider whether other items should also be excluded in calculating the non-GAAP financial measures used by the company. Management believes that the presentation of these non-GAAP financial measures provides investors with additional useful information to measure Activision Blizzard’s financial and operating performance. In particular, the measures facilitate comparison of operating performance between periods and help investors to better understand the operating results of Activision Blizzard by excluding certain items that may not be indicative of the company’s core business, operating results, or future outlook. Additionally, we consider quantitative and qualitative factors in assessing whether to adjust for the impact of items that may be significant or that could affect an understanding of our ongoing financial and business performance or trends. Internally, management uses these non-GAAP financial measures, along with others, in assessing the company’s operating results, and measuring compliance with the requirements of the company’s debt financing agreements, as well as in planning and forecasting.</w:t>
      </w:r>
    </w:p>
    <w:p>
      <w:pPr>
        <w:spacing w:after="0" w:line="216" w:lineRule="exact"/>
        <w:rPr>
          <w:sz w:val="20"/>
          <w:szCs w:val="20"/>
          <w:color w:val="auto"/>
        </w:rPr>
      </w:pPr>
    </w:p>
    <w:p>
      <w:pPr>
        <w:ind w:right="140"/>
        <w:spacing w:after="0" w:line="368" w:lineRule="auto"/>
        <w:rPr>
          <w:sz w:val="20"/>
          <w:szCs w:val="20"/>
          <w:color w:val="auto"/>
        </w:rPr>
      </w:pPr>
      <w:r>
        <w:rPr>
          <w:rFonts w:ascii="Arial" w:cs="Arial" w:eastAsia="Arial" w:hAnsi="Arial"/>
          <w:sz w:val="18"/>
          <w:szCs w:val="18"/>
          <w:color w:val="auto"/>
        </w:rPr>
        <w:t>Activision Blizzard’s non-GAAP financial measures are not based on a comprehensive set of accounting rules or principles, and the terms non-GAAP net income, non-GAAP earnings per share, non-GAAP operating margin, and non-GAAP or adjusted EBITDA do not have a standardized meaning. Therefore, other companies may use the same or similarly named measures, but exclude different items, which may not provide investors a comparable view of Activision Blizzard’s performance in relation to other companies.</w:t>
      </w:r>
    </w:p>
    <w:p>
      <w:pPr>
        <w:spacing w:after="0" w:line="215" w:lineRule="exact"/>
        <w:rPr>
          <w:sz w:val="20"/>
          <w:szCs w:val="20"/>
          <w:color w:val="auto"/>
        </w:rPr>
      </w:pPr>
    </w:p>
    <w:p>
      <w:pPr>
        <w:jc w:val="both"/>
        <w:ind w:right="300"/>
        <w:spacing w:after="0" w:line="410" w:lineRule="auto"/>
        <w:rPr>
          <w:sz w:val="20"/>
          <w:szCs w:val="20"/>
          <w:color w:val="auto"/>
        </w:rPr>
      </w:pPr>
      <w:r>
        <w:rPr>
          <w:rFonts w:ascii="Arial" w:cs="Arial" w:eastAsia="Arial" w:hAnsi="Arial"/>
          <w:sz w:val="17"/>
          <w:szCs w:val="17"/>
          <w:color w:val="auto"/>
        </w:rPr>
        <w:t>Management compensates for the limitations resulting from the exclusion of these items by considering the impact of the items separately and by considering Activision Blizzard’s GAAP, as well as non-GAAP, results and outlook, and by presenting the most comparable GAAP measures directly ahead of non-GAAP measures, and by providing a reconciliation that indicates and describes the adjustments made.</w:t>
      </w:r>
    </w:p>
    <w:p>
      <w:pPr>
        <w:spacing w:after="0" w:line="167" w:lineRule="exact"/>
        <w:rPr>
          <w:sz w:val="20"/>
          <w:szCs w:val="20"/>
          <w:color w:val="auto"/>
        </w:rPr>
      </w:pPr>
    </w:p>
    <w:p>
      <w:pPr>
        <w:ind w:right="80"/>
        <w:spacing w:after="0" w:line="370" w:lineRule="auto"/>
        <w:rPr>
          <w:sz w:val="20"/>
          <w:szCs w:val="20"/>
          <w:color w:val="auto"/>
        </w:rPr>
      </w:pPr>
      <w:r>
        <w:rPr>
          <w:rFonts w:ascii="Arial" w:cs="Arial" w:eastAsia="Arial" w:hAnsi="Arial"/>
          <w:sz w:val="16"/>
          <w:szCs w:val="16"/>
          <w:b w:val="1"/>
          <w:bCs w:val="1"/>
          <w:color w:val="auto"/>
        </w:rPr>
        <w:t xml:space="preserve">Cautionary Note Regarding Forward-looking Statements: </w:t>
      </w:r>
      <w:r>
        <w:rPr>
          <w:rFonts w:ascii="Arial" w:cs="Arial" w:eastAsia="Arial" w:hAnsi="Arial"/>
          <w:sz w:val="16"/>
          <w:szCs w:val="16"/>
          <w:color w:val="auto"/>
        </w:rPr>
        <w:t>The statements contained herein that are not historical facts are forward-looking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but not limited to: (1) projections of revenues, expenses, income or loss, earnings or loss per share, cash flow, or other financial items; (2) statements of our plans and objectives, including those related to releases of products, services, features or other content; (3) statements of future financial or operating performance, including the impact of tax items thereon; (4) statements regarding the proposed transaction between Activision Blizzard and Microsoft pursuant to the Agreement and Plan of Merger, dated as of January 18, 2022, by and among Activision Blizzard, Microsoft, and Anchorage Merger Sub Inc., a wholly owned subsidiary of Microsoft (as may be amended, supplemented or otherwise modified from time to time, the “Merger Agreement” and such transaction, “the proposed transaction with Microsoft”), including any statements regarding the expected timetable for completing the proposed transaction with Microsoft, the ability to complete the proposed transaction with Microsoft, and the expected benefits of the proposed transaction with Microsoft; (5) statements regarding building the model workplace; (6) statements regarding potential termination fees payable in connection with the Overwatch League; and (7) statements of assumptions underlying such statements. Activision Blizzard, Inc. generally uses words such as “outlook,” “forecast,” “will,” “could,” “should,” “would,” “to be,” “plan,” “aims,” “believes,” “may,” “might,” “expects,” “intends,” “seeks,” “anticipates,” “estimate,” “future,” “positioned,” “potential,” “project,” “remain,” “scheduled,” “set to,” “subject to,” “upcoming,” and the negative version of these words and other similar words and expressions to help identify forward-looking statements. Forward-looking statements are subject to business and economic risks, reflect management’s current expectations, estimates, and projections about our business, and are inherently uncertain and difficult to predict.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58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Activision Blizzard Announces Q2 2023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
        <w:spacing w:after="0" w:line="368" w:lineRule="auto"/>
        <w:rPr>
          <w:sz w:val="20"/>
          <w:szCs w:val="20"/>
          <w:color w:val="auto"/>
        </w:rPr>
      </w:pPr>
      <w:r>
        <w:rPr>
          <w:rFonts w:ascii="Arial" w:cs="Arial" w:eastAsia="Arial" w:hAnsi="Arial"/>
          <w:sz w:val="16"/>
          <w:szCs w:val="16"/>
          <w:color w:val="auto"/>
        </w:rPr>
        <w:t>We caution that a number of important factors, many of which are beyond our control, could cause our actual future results and other future circumstances to differ materially from those expressed in any forward-looking statements. Such factors include, but are not limited to: the risk that the proposed transaction with Microsoft may not be completed in a timely manner or at all, which may adversely affect our business and the price of our common stock; the failure to satisfy the conditions to the consummation of the proposed transaction with Microsoft, including the receipt of certain governmental and regulatory approvals (which may or may not be received on a timely basis or at all); the occurrence of any event, change, or other circumstance that could give rise to the termination of the Merger Agreement; the effect of the announcement or pendency of the proposed transaction with Microsoft on our business relationships, operating results, and business generally; risks that the proposed transaction with Microsoft disrupts our current plans and operations and potential difficulties in employee retention and recruitment as a result of the proposed transaction with Microsoft; risks related to diverting management’s attention from ongoing business operations; the outcome of any legal proceedings that have been or may be instituted against us related to the Merger Agreement or the transactions contemplated thereby; restrictions during the pendency of the proposed transaction with Microsoft that may impact our ability to pursue certain business opportunities or strategic transactions; uncertainty about current and future economic conditions and other adverse changes in general political conditions in any of the major countries in which we do business; decline in demand for our products and services if general economic conditions decline; fluctuations in currency exchange rates; our ability to deliver popular, high-quality content in a timely manner; negative impacts on our business resulting from concerns regarding our workplace, including associated legal proceedings; our ability to attract, retain, and motivate skilled personnel; future impacts from COVID-19; the level of demand for our games and products; our ability to meet customer expectations with respect to our brands, games, services, and/or business practices; competition; our reliance on a relatively small number of franchises for a significant portion of our revenues and profits; negative impacts from the results of collective bargaining, legal proceedings related to unionization, or campaigns by unions directed at our workforce; our ability to adapt to rapid technological change and allocate our resources accordingly; the increasing importance of digital sales and the risks of that business model; our ability to effectively manage the scope and complexity of our business, including risks related to our professional esports business model; our reliance on third-party platforms, which are also our competitors, for the distribution of products; our dependence on the success and availability of video game consoles manufactured by third parties and our ability to develop commercially successful products for these consoles; the increasing importance of free-to-play games and the risks of that business model; the risks and uncertainties of conducting business outside the U.S., including the need for regulatory approval to operate, the relatively weaker protection for our intellectual property rights, and the impact of cultural differences on consumer preferences; insolvency or business failure of any of our business partners; the importance of retail sales to our business and the risks of that business model; any difficulties in integrating acquired businesses or realizing the anticipated benefits of strategic transactions; seasonality in the sale of our products; fluctuation in our recurring business; the risk of distributors, retailers, development, and licensing partners or other third parties being unable to honor their commitments or otherwise putting our brand at risk; our reliance on tools and technologies owned by third parties; our use of open source software; risks associated with undisclosed content or features in our games; impact of objectionable consumer- or other third-party-created content on our operating results or reputation; outages, disruptions, or degradations in our services, products, and/or technological infrastructure; cybersecurity-related attacks, significant data breaches, fraudulent activity, or disruption of our information technology systems or networks; significant disruption during our live events; catastrophic events; climate change; provisions in our corporate documents and Delaware state law that could delay or prevent a change of control; other legal proceedings; increasing regulation in key territories over our business, products, and distribution; changes in government regulation relating to the Internet; our compliance with evolving data privacy laws and regulations; scrutiny regarding the appropriateness of the content in our games and our ability to receive target ratings for certain titles; changes in tax rates and/or tax laws and exposure to additional tax liabilities; changes in financial accounting standards or the application of existing or future standards as our business evolves; and the other factors included in Part I, Item 1A “Risk Factors” of our Annual Report on Form 10-K for the year ended December 31, 2022, filed with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58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Activision Blizzard Announces Q2 2023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00"/>
        <w:spacing w:after="0" w:line="372" w:lineRule="auto"/>
        <w:rPr>
          <w:sz w:val="20"/>
          <w:szCs w:val="20"/>
          <w:color w:val="auto"/>
        </w:rPr>
      </w:pPr>
      <w:r>
        <w:rPr>
          <w:rFonts w:ascii="Arial" w:cs="Arial" w:eastAsia="Arial" w:hAnsi="Arial"/>
          <w:sz w:val="16"/>
          <w:szCs w:val="16"/>
          <w:color w:val="auto"/>
        </w:rPr>
        <w:t>The forward-looking statements contained herein are based on information available to Activision Blizzard, Inc. as of the date of this filing, and we assume no obligation to update any such forward-looking statements. Actual events or results may differ from those expressed in forward-looking statements. As such, you should not rely on forward-looking statements as predictions of future events. We have based the forward-looking statements contained herein primarily on our current expectations and projections about future events and trends that we believe may affect our business, financial condition, operating results, prospects, strategy, and financial needs. These statements are not guarantees of our future performance and are subject to risks, uncertainties, and other factors, some of which are beyond our control and may cause actual results to differ materially from current expectations.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Activision Blizzard, Inc.</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Investors and Analysts: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00FF"/>
        </w:rPr>
        <w:t>ir@activisionblizzard.com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0000FF"/>
        </w:rPr>
        <w:t>pr@activisionblizzard.com</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color w:val="auto"/>
        </w:rPr>
        <w:t>(Tables to Follow)</w:t>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58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millions)</w:t>
      </w:r>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18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w w:val="98"/>
              </w:rPr>
              <w:t>Six Months Ended June 30,</w:t>
            </w:r>
          </w:p>
        </w:tc>
        <w:tc>
          <w:tcPr>
            <w:tcW w:w="0" w:type="dxa"/>
            <w:vAlign w:val="bottom"/>
          </w:tcPr>
          <w:p>
            <w:pPr>
              <w:spacing w:after="0"/>
              <w:rPr>
                <w:sz w:val="1"/>
                <w:szCs w:val="1"/>
                <w:color w:val="auto"/>
              </w:rPr>
            </w:pPr>
          </w:p>
        </w:tc>
      </w:tr>
      <w:tr>
        <w:trPr>
          <w:trHeight w:val="232"/>
        </w:trPr>
        <w:tc>
          <w:tcPr>
            <w:tcW w:w="47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520</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304</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1,215</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In-game, subscription, and other revenues</w:t>
            </w:r>
          </w:p>
        </w:tc>
        <w:tc>
          <w:tcPr>
            <w:tcW w:w="10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2,207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revenues—product sales:</w:t>
            </w:r>
          </w:p>
        </w:tc>
        <w:tc>
          <w:tcPr>
            <w:tcW w:w="10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Product costs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Software royalties and amortization</w:t>
            </w: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Arial" w:cs="Arial" w:eastAsia="Arial" w:hAnsi="Arial"/>
                <w:sz w:val="18"/>
                <w:szCs w:val="18"/>
                <w:color w:val="auto"/>
              </w:rPr>
              <w:t>Cost of revenues—in-game, subscription, and other:</w:t>
            </w: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Game operations and distribution costs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37"/>
        </w:trPr>
        <w:tc>
          <w:tcPr>
            <w:tcW w:w="4700" w:type="dxa"/>
            <w:vAlign w:val="bottom"/>
          </w:tcPr>
          <w:p>
            <w:pPr>
              <w:ind w:left="340"/>
              <w:spacing w:after="0"/>
              <w:rPr>
                <w:sz w:val="20"/>
                <w:szCs w:val="20"/>
                <w:color w:val="auto"/>
              </w:rPr>
            </w:pPr>
            <w:r>
              <w:rPr>
                <w:rFonts w:ascii="Arial" w:cs="Arial" w:eastAsia="Arial" w:hAnsi="Arial"/>
                <w:sz w:val="18"/>
                <w:szCs w:val="18"/>
                <w:color w:val="auto"/>
              </w:rPr>
              <w:t>Software royalties and amortization</w:t>
            </w:r>
          </w:p>
        </w:tc>
        <w:tc>
          <w:tcPr>
            <w:tcW w:w="10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development</w:t>
            </w:r>
          </w:p>
        </w:tc>
        <w:tc>
          <w:tcPr>
            <w:tcW w:w="10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Interest expense from debt</w:t>
            </w:r>
          </w:p>
        </w:tc>
        <w:tc>
          <w:tcPr>
            <w:tcW w:w="10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0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Income before income tax expense</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0.75</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0.36</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1.69</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175"/>
        </w:trPr>
        <w:tc>
          <w:tcPr>
            <w:tcW w:w="4700" w:type="dxa"/>
            <w:vAlign w:val="bottom"/>
          </w:tcPr>
          <w:p>
            <w:pPr>
              <w:ind w:left="20"/>
              <w:spacing w:after="0" w:line="176" w:lineRule="exact"/>
              <w:rPr>
                <w:sz w:val="20"/>
                <w:szCs w:val="20"/>
                <w:color w:val="auto"/>
              </w:rPr>
            </w:pPr>
            <w:r>
              <w:rPr>
                <w:rFonts w:ascii="Arial" w:cs="Arial" w:eastAsia="Arial" w:hAnsi="Arial"/>
                <w:sz w:val="18"/>
                <w:szCs w:val="18"/>
                <w:color w:val="auto"/>
              </w:rPr>
              <w:t>Weighted average common shares outstanding assuming</w:t>
            </w:r>
          </w:p>
        </w:tc>
        <w:tc>
          <w:tcPr>
            <w:tcW w:w="10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dilution</w:t>
            </w:r>
          </w:p>
        </w:tc>
        <w:tc>
          <w:tcPr>
            <w:tcW w:w="100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millions)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2023</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8"/>
              </w:rPr>
              <w:t>December 31, 2022</w:t>
            </w:r>
          </w:p>
        </w:tc>
      </w:tr>
      <w:tr>
        <w:trPr>
          <w:trHeight w:val="223"/>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7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1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43"/>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70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10,770</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w:t>
            </w:r>
          </w:p>
        </w:tc>
      </w:tr>
      <w:tr>
        <w:trPr>
          <w:trHeight w:val="229"/>
        </w:trPr>
        <w:tc>
          <w:tcPr>
            <w:tcW w:w="6540" w:type="dxa"/>
            <w:vAlign w:val="bottom"/>
          </w:tcPr>
          <w:p>
            <w:pPr>
              <w:ind w:left="220"/>
              <w:spacing w:after="0"/>
              <w:rPr>
                <w:sz w:val="20"/>
                <w:szCs w:val="20"/>
                <w:color w:val="auto"/>
              </w:rPr>
            </w:pPr>
            <w:r>
              <w:rPr>
                <w:rFonts w:ascii="Arial" w:cs="Arial" w:eastAsia="Arial" w:hAnsi="Arial"/>
                <w:sz w:val="18"/>
                <w:szCs w:val="18"/>
                <w:color w:val="auto"/>
              </w:rPr>
              <w:t>Held-to-maturity investments</w:t>
            </w:r>
          </w:p>
        </w:tc>
        <w:tc>
          <w:tcPr>
            <w:tcW w:w="17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4,932</w:t>
            </w:r>
          </w:p>
        </w:tc>
      </w:tr>
      <w:tr>
        <w:trPr>
          <w:trHeight w:val="230"/>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7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r>
      <w:tr>
        <w:trPr>
          <w:trHeight w:val="237"/>
        </w:trPr>
        <w:tc>
          <w:tcPr>
            <w:tcW w:w="6540" w:type="dxa"/>
            <w:vAlign w:val="bottom"/>
          </w:tcPr>
          <w:p>
            <w:pPr>
              <w:ind w:left="220"/>
              <w:spacing w:after="0"/>
              <w:rPr>
                <w:sz w:val="20"/>
                <w:szCs w:val="20"/>
                <w:color w:val="auto"/>
              </w:rPr>
            </w:pPr>
            <w:r>
              <w:rPr>
                <w:rFonts w:ascii="Arial" w:cs="Arial" w:eastAsia="Arial" w:hAnsi="Arial"/>
                <w:sz w:val="18"/>
                <w:szCs w:val="18"/>
                <w:color w:val="auto"/>
              </w:rPr>
              <w:t>Software development</w:t>
            </w:r>
          </w:p>
        </w:tc>
        <w:tc>
          <w:tcPr>
            <w:tcW w:w="17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236"/>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17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23"/>
        </w:trPr>
        <w:tc>
          <w:tcPr>
            <w:tcW w:w="65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7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15,496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14,469</w:t>
            </w:r>
          </w:p>
        </w:tc>
      </w:tr>
      <w:tr>
        <w:trPr>
          <w:trHeight w:val="243"/>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Software development</w:t>
            </w:r>
          </w:p>
        </w:tc>
        <w:tc>
          <w:tcPr>
            <w:tcW w:w="17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17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30"/>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 net</w:t>
            </w:r>
          </w:p>
        </w:tc>
        <w:tc>
          <w:tcPr>
            <w:tcW w:w="17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r>
      <w:tr>
        <w:trPr>
          <w:trHeight w:val="237"/>
        </w:trPr>
        <w:tc>
          <w:tcPr>
            <w:tcW w:w="654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17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36"/>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17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7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9,929</w:t>
            </w:r>
          </w:p>
        </w:tc>
      </w:tr>
      <w:tr>
        <w:trPr>
          <w:trHeight w:val="257"/>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70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28,518</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27,383</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6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43"/>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7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r>
      <w:tr>
        <w:trPr>
          <w:trHeight w:val="230"/>
        </w:trPr>
        <w:tc>
          <w:tcPr>
            <w:tcW w:w="654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1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29"/>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70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37"/>
        </w:trPr>
        <w:tc>
          <w:tcPr>
            <w:tcW w:w="6540" w:type="dxa"/>
            <w:vAlign w:val="bottom"/>
          </w:tcPr>
          <w:p>
            <w:pPr>
              <w:ind w:left="220"/>
              <w:spacing w:after="0"/>
              <w:rPr>
                <w:sz w:val="20"/>
                <w:szCs w:val="20"/>
                <w:color w:val="auto"/>
              </w:rPr>
            </w:pPr>
            <w:r>
              <w:rPr>
                <w:rFonts w:ascii="Arial" w:cs="Arial" w:eastAsia="Arial" w:hAnsi="Arial"/>
                <w:sz w:val="18"/>
                <w:szCs w:val="18"/>
                <w:color w:val="auto"/>
              </w:rPr>
              <w:t>Deferred revenues</w:t>
            </w:r>
          </w:p>
        </w:tc>
        <w:tc>
          <w:tcPr>
            <w:tcW w:w="17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2,088</w:t>
            </w:r>
          </w:p>
        </w:tc>
      </w:tr>
      <w:tr>
        <w:trPr>
          <w:trHeight w:val="23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17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r>
      <w:tr>
        <w:trPr>
          <w:trHeight w:val="223"/>
        </w:trPr>
        <w:tc>
          <w:tcPr>
            <w:tcW w:w="654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7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3,555</w:t>
            </w:r>
          </w:p>
        </w:tc>
      </w:tr>
      <w:tr>
        <w:trPr>
          <w:trHeight w:val="230"/>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net</w:t>
            </w:r>
          </w:p>
        </w:tc>
        <w:tc>
          <w:tcPr>
            <w:tcW w:w="17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r>
      <w:tr>
        <w:trPr>
          <w:trHeight w:val="237"/>
        </w:trPr>
        <w:tc>
          <w:tcPr>
            <w:tcW w:w="6540" w:type="dxa"/>
            <w:vAlign w:val="bottom"/>
          </w:tcPr>
          <w:p>
            <w:pPr>
              <w:ind w:left="140"/>
              <w:spacing w:after="0"/>
              <w:rPr>
                <w:sz w:val="20"/>
                <w:szCs w:val="20"/>
                <w:color w:val="auto"/>
              </w:rPr>
            </w:pPr>
            <w:r>
              <w:rPr>
                <w:rFonts w:ascii="Arial" w:cs="Arial" w:eastAsia="Arial" w:hAnsi="Arial"/>
                <w:sz w:val="18"/>
                <w:szCs w:val="18"/>
                <w:color w:val="auto"/>
              </w:rPr>
              <w:t>Deferred income taxes, net</w:t>
            </w:r>
          </w:p>
        </w:tc>
        <w:tc>
          <w:tcPr>
            <w:tcW w:w="17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36"/>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17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r>
      <w:tr>
        <w:trPr>
          <w:trHeight w:val="223"/>
        </w:trPr>
        <w:tc>
          <w:tcPr>
            <w:tcW w:w="654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17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8,140</w:t>
            </w:r>
          </w:p>
        </w:tc>
      </w:tr>
      <w:tr>
        <w:trPr>
          <w:trHeight w:val="237"/>
        </w:trPr>
        <w:tc>
          <w:tcPr>
            <w:tcW w:w="65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r>
      <w:tr>
        <w:trPr>
          <w:trHeight w:val="237"/>
        </w:trPr>
        <w:tc>
          <w:tcPr>
            <w:tcW w:w="65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36"/>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17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4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7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12,489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12,260</w:t>
            </w:r>
          </w:p>
        </w:tc>
      </w:tr>
      <w:tr>
        <w:trPr>
          <w:trHeight w:val="243"/>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w:t>
            </w:r>
          </w:p>
        </w:tc>
        <w:tc>
          <w:tcPr>
            <w:tcW w:w="17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(5,563)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w:t>
            </w:r>
          </w:p>
        </w:tc>
      </w:tr>
      <w:tr>
        <w:trPr>
          <w:trHeight w:val="230"/>
        </w:trPr>
        <w:tc>
          <w:tcPr>
            <w:tcW w:w="65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17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14,498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13,171</w:t>
            </w:r>
          </w:p>
        </w:tc>
      </w:tr>
      <w:tr>
        <w:trPr>
          <w:trHeight w:val="229"/>
        </w:trPr>
        <w:tc>
          <w:tcPr>
            <w:tcW w:w="6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7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37"/>
        </w:trPr>
        <w:tc>
          <w:tcPr>
            <w:tcW w:w="6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shareholders’ equity</w:t>
            </w:r>
          </w:p>
        </w:tc>
        <w:tc>
          <w:tcPr>
            <w:tcW w:w="17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20,793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19,243</w:t>
            </w:r>
          </w:p>
        </w:tc>
      </w:tr>
      <w:tr>
        <w:trPr>
          <w:trHeight w:val="248"/>
        </w:trPr>
        <w:tc>
          <w:tcPr>
            <w:tcW w:w="6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1700" w:type="dxa"/>
            <w:vAlign w:val="bottom"/>
            <w:tcBorders>
              <w:bottom w:val="single" w:sz="8" w:color="auto"/>
            </w:tcBorders>
            <w:shd w:val="clear" w:color="auto" w:fill="CCEEFF"/>
          </w:tcPr>
          <w:p>
            <w:pPr>
              <w:jc w:val="right"/>
              <w:ind w:right="15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28,518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27,383</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r>
        <w:trPr>
          <w:trHeight w:val="960"/>
        </w:trPr>
        <w:tc>
          <w:tcPr>
            <w:tcW w:w="6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millions)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100" w:type="dxa"/>
        <w:tblCellMar>
          <w:top w:w="0" w:type="dxa"/>
          <w:left w:w="0" w:type="dxa"/>
          <w:bottom w:w="0" w:type="dxa"/>
          <w:right w:w="0" w:type="dxa"/>
        </w:tblCellMar>
      </w:tblPr>
      <w:tr>
        <w:trPr>
          <w:trHeight w:val="213"/>
        </w:trPr>
        <w:tc>
          <w:tcPr>
            <w:tcW w:w="3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6"/>
          </w:tcPr>
          <w:p>
            <w:pPr>
              <w:jc w:val="center"/>
              <w:ind w:left="599"/>
              <w:spacing w:after="0"/>
              <w:rPr>
                <w:sz w:val="20"/>
                <w:szCs w:val="20"/>
                <w:color w:val="auto"/>
              </w:rPr>
            </w:pPr>
            <w:r>
              <w:rPr>
                <w:rFonts w:ascii="Arial" w:cs="Arial" w:eastAsia="Arial" w:hAnsi="Arial"/>
                <w:sz w:val="16"/>
                <w:szCs w:val="16"/>
                <w:b w:val="1"/>
                <w:bCs w:val="1"/>
                <w:color w:val="auto"/>
                <w:w w:val="92"/>
              </w:rPr>
              <w:t>Three Months Ended</w:t>
            </w: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r>
      <w:tr>
        <w:trPr>
          <w:trHeight w:val="207"/>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6"/>
              </w:rPr>
              <w:t>June 30,</w:t>
            </w: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w:t>
            </w:r>
          </w:p>
        </w:tc>
        <w:tc>
          <w:tcPr>
            <w:tcW w:w="10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b w:val="1"/>
                <w:bCs w:val="1"/>
                <w:color w:val="auto"/>
                <w:w w:val="97"/>
              </w:rPr>
              <w:t>March 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w w:val="99"/>
              </w:rPr>
              <w:t>June 30,</w:t>
            </w:r>
          </w:p>
        </w:tc>
        <w:tc>
          <w:tcPr>
            <w:tcW w:w="80" w:type="dxa"/>
            <w:vAlign w:val="bottom"/>
          </w:tcPr>
          <w:p>
            <w:pPr>
              <w:spacing w:after="0"/>
              <w:rPr>
                <w:sz w:val="17"/>
                <w:szCs w:val="17"/>
                <w:color w:val="auto"/>
              </w:rPr>
            </w:pPr>
          </w:p>
        </w:tc>
        <w:tc>
          <w:tcPr>
            <w:tcW w:w="1940" w:type="dxa"/>
            <w:vAlign w:val="bottom"/>
          </w:tcPr>
          <w:p>
            <w:pPr>
              <w:jc w:val="right"/>
              <w:ind w:right="379"/>
              <w:spacing w:after="0"/>
              <w:rPr>
                <w:sz w:val="20"/>
                <w:szCs w:val="20"/>
                <w:color w:val="auto"/>
              </w:rPr>
            </w:pPr>
            <w:r>
              <w:rPr>
                <w:rFonts w:ascii="Arial" w:cs="Arial" w:eastAsia="Arial" w:hAnsi="Arial"/>
                <w:sz w:val="16"/>
                <w:szCs w:val="16"/>
                <w:b w:val="1"/>
                <w:bCs w:val="1"/>
                <w:color w:val="auto"/>
              </w:rPr>
              <w:t>Year over Year</w:t>
            </w:r>
          </w:p>
        </w:tc>
      </w:tr>
      <w:tr>
        <w:trPr>
          <w:trHeight w:val="219"/>
        </w:trPr>
        <w:tc>
          <w:tcPr>
            <w:tcW w:w="33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5"/>
              </w:rPr>
              <w:t>2022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Increase (Decrease)</w:t>
            </w:r>
          </w:p>
        </w:tc>
      </w:tr>
      <w:tr>
        <w:trPr>
          <w:trHeight w:val="19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Data</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Operating Cash Flow</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198</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257</w:t>
            </w:r>
          </w:p>
        </w:tc>
        <w:tc>
          <w:tcPr>
            <w:tcW w:w="3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1,123</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577</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590</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198 %</w:t>
            </w:r>
          </w:p>
        </w:tc>
      </w:tr>
      <w:tr>
        <w:trPr>
          <w:trHeight w:val="219"/>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(38)</w:t>
            </w:r>
          </w:p>
        </w:tc>
      </w:tr>
      <w:tr>
        <w:trPr>
          <w:trHeight w:val="209"/>
        </w:trPr>
        <w:tc>
          <w:tcPr>
            <w:tcW w:w="3300" w:type="dxa"/>
            <w:vAlign w:val="bottom"/>
          </w:tcPr>
          <w:p>
            <w:pPr>
              <w:ind w:left="20"/>
              <w:spacing w:after="0" w:line="210" w:lineRule="exact"/>
              <w:rPr>
                <w:sz w:val="20"/>
                <w:szCs w:val="20"/>
                <w:color w:val="auto"/>
              </w:rPr>
            </w:pPr>
            <w:r>
              <w:rPr>
                <w:rFonts w:ascii="Arial" w:cs="Arial" w:eastAsia="Arial" w:hAnsi="Arial"/>
                <w:sz w:val="16"/>
                <w:szCs w:val="16"/>
                <w:color w:val="auto"/>
              </w:rPr>
              <w:t>Non-GAAP Free Cash Flow</w:t>
            </w:r>
            <w:r>
              <w:rPr>
                <w:rFonts w:ascii="Arial" w:cs="Arial" w:eastAsia="Arial" w:hAnsi="Arial"/>
                <w:sz w:val="21"/>
                <w:szCs w:val="21"/>
                <w:color w:val="auto"/>
                <w:vertAlign w:val="superscript"/>
              </w:rPr>
              <w:t>1</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161</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242</w:t>
            </w:r>
          </w:p>
        </w:tc>
        <w:tc>
          <w:tcPr>
            <w:tcW w:w="3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1,099</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540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567</w:t>
            </w:r>
          </w:p>
        </w:tc>
        <w:tc>
          <w:tcPr>
            <w:tcW w:w="2020" w:type="dxa"/>
            <w:vAlign w:val="bottom"/>
            <w:gridSpan w:val="2"/>
          </w:tcPr>
          <w:p>
            <w:pPr>
              <w:jc w:val="right"/>
              <w:ind w:right="119"/>
              <w:spacing w:after="0"/>
              <w:rPr>
                <w:sz w:val="20"/>
                <w:szCs w:val="20"/>
                <w:color w:val="auto"/>
              </w:rPr>
            </w:pPr>
            <w:r>
              <w:rPr>
                <w:rFonts w:ascii="Arial" w:cs="Arial" w:eastAsia="Arial" w:hAnsi="Arial"/>
                <w:sz w:val="16"/>
                <w:szCs w:val="16"/>
                <w:color w:val="auto"/>
              </w:rPr>
              <w:t>252</w:t>
            </w:r>
          </w:p>
        </w:tc>
      </w:tr>
      <w:tr>
        <w:trPr>
          <w:trHeight w:val="257"/>
        </w:trPr>
        <w:tc>
          <w:tcPr>
            <w:tcW w:w="3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r>
      <w:tr>
        <w:trPr>
          <w:trHeight w:val="216"/>
        </w:trPr>
        <w:tc>
          <w:tcPr>
            <w:tcW w:w="3300" w:type="dxa"/>
            <w:vAlign w:val="bottom"/>
          </w:tcPr>
          <w:p>
            <w:pPr>
              <w:ind w:left="20"/>
              <w:spacing w:after="0" w:line="216" w:lineRule="exact"/>
              <w:rPr>
                <w:sz w:val="20"/>
                <w:szCs w:val="20"/>
                <w:color w:val="auto"/>
              </w:rPr>
            </w:pPr>
            <w:r>
              <w:rPr>
                <w:rFonts w:ascii="Arial" w:cs="Arial" w:eastAsia="Arial" w:hAnsi="Arial"/>
                <w:sz w:val="16"/>
                <w:szCs w:val="16"/>
                <w:color w:val="auto"/>
              </w:rPr>
              <w:t>Operating Cash Flow - TTM</w:t>
            </w:r>
            <w:r>
              <w:rPr>
                <w:rFonts w:ascii="Arial" w:cs="Arial" w:eastAsia="Arial" w:hAnsi="Arial"/>
                <w:sz w:val="21"/>
                <w:szCs w:val="21"/>
                <w:color w:val="auto"/>
                <w:vertAlign w:val="superscript"/>
              </w:rPr>
              <w:t>2</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2,022</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1,758</w:t>
            </w:r>
          </w:p>
        </w:tc>
        <w:tc>
          <w:tcPr>
            <w:tcW w:w="3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2,220</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2,155</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2,547</w:t>
            </w:r>
          </w:p>
        </w:tc>
        <w:tc>
          <w:tcPr>
            <w:tcW w:w="2020" w:type="dxa"/>
            <w:vAlign w:val="bottom"/>
            <w:gridSpan w:val="2"/>
          </w:tcPr>
          <w:p>
            <w:pPr>
              <w:jc w:val="right"/>
              <w:ind w:right="119"/>
              <w:spacing w:after="0"/>
              <w:rPr>
                <w:sz w:val="20"/>
                <w:szCs w:val="20"/>
                <w:color w:val="auto"/>
              </w:rPr>
            </w:pPr>
            <w:r>
              <w:rPr>
                <w:rFonts w:ascii="Arial" w:cs="Arial" w:eastAsia="Arial" w:hAnsi="Arial"/>
                <w:sz w:val="16"/>
                <w:szCs w:val="16"/>
                <w:color w:val="auto"/>
              </w:rPr>
              <w:t>26</w:t>
            </w:r>
          </w:p>
        </w:tc>
      </w:tr>
      <w:tr>
        <w:trPr>
          <w:trHeight w:val="216"/>
        </w:trPr>
        <w:tc>
          <w:tcPr>
            <w:tcW w:w="33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Capital Expenditures - TTM</w:t>
            </w:r>
            <w:r>
              <w:rPr>
                <w:rFonts w:ascii="Arial" w:cs="Arial" w:eastAsia="Arial" w:hAnsi="Arial"/>
                <w:sz w:val="21"/>
                <w:szCs w:val="21"/>
                <w:color w:val="auto"/>
                <w:vertAlign w:val="superscript"/>
              </w:rPr>
              <w:t>2</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20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r>
      <w:tr>
        <w:trPr>
          <w:trHeight w:val="272"/>
        </w:trPr>
        <w:tc>
          <w:tcPr>
            <w:tcW w:w="3300" w:type="dxa"/>
            <w:vAlign w:val="bottom"/>
          </w:tcPr>
          <w:p>
            <w:pPr>
              <w:ind w:left="20"/>
              <w:spacing w:after="0"/>
              <w:rPr>
                <w:sz w:val="20"/>
                <w:szCs w:val="20"/>
                <w:color w:val="auto"/>
              </w:rPr>
            </w:pPr>
            <w:r>
              <w:rPr>
                <w:rFonts w:ascii="Arial" w:cs="Arial" w:eastAsia="Arial" w:hAnsi="Arial"/>
                <w:sz w:val="16"/>
                <w:szCs w:val="16"/>
                <w:color w:val="auto"/>
              </w:rPr>
              <w:t>Non-GAAP Free Cash Flow</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 TTM</w:t>
            </w:r>
            <w:r>
              <w:rPr>
                <w:rFonts w:ascii="Arial" w:cs="Arial" w:eastAsia="Arial" w:hAnsi="Arial"/>
                <w:sz w:val="21"/>
                <w:szCs w:val="21"/>
                <w:color w:val="auto"/>
                <w:vertAlign w:val="superscript"/>
              </w:rPr>
              <w:t>2</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1,926</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1,670</w:t>
            </w:r>
          </w:p>
        </w:tc>
        <w:tc>
          <w:tcPr>
            <w:tcW w:w="3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2,129</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2,042</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2,448</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27 %</w:t>
            </w:r>
          </w:p>
        </w:tc>
      </w:tr>
    </w:tbl>
    <w:p>
      <w:pPr>
        <w:spacing w:after="0" w:line="10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Non-GAAP free cash flow represents operating cash flow minus capital expenditures.</w:t>
      </w:r>
    </w:p>
    <w:p>
      <w:pPr>
        <w:spacing w:after="0" w:line="22" w:lineRule="exact"/>
        <w:rPr>
          <w:sz w:val="20"/>
          <w:szCs w:val="20"/>
          <w:color w:val="auto"/>
        </w:rPr>
      </w:pPr>
    </w:p>
    <w:p>
      <w:pPr>
        <w:ind w:left="340" w:right="160" w:hanging="332"/>
        <w:spacing w:after="0" w:line="283" w:lineRule="auto"/>
        <w:tabs>
          <w:tab w:leader="none" w:pos="3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TTM represents trailing twelve months. Operating Cash Flow for three months ended September 30, 2021, three months ended December 31, 2021, and three months ended March 31, 2022, were $521 million, $661 million, and $642 million, respectively. Capital Expenditures for the three months ended September 30, 2021, three months ended December 31, 2021, and three months ended March 31, 2022, were $23 million, $21 million, and $15 million, respectively.</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ind w:right="5220"/>
        <w:spacing w:after="0" w:line="260" w:lineRule="auto"/>
        <w:rPr>
          <w:sz w:val="20"/>
          <w:szCs w:val="20"/>
          <w:color w:val="auto"/>
        </w:rPr>
      </w:pPr>
      <w:r>
        <w:rPr>
          <w:rFonts w:ascii="Arial" w:cs="Arial" w:eastAsia="Arial" w:hAnsi="Arial"/>
          <w:sz w:val="18"/>
          <w:szCs w:val="18"/>
          <w:b w:val="1"/>
          <w:bCs w:val="1"/>
          <w:color w:val="auto"/>
        </w:rPr>
        <w:t>RECONCILIATION OF GAAP NET INCOME TO NON-GAAP MEASURES (Amounts in millions, except per share data)</w:t>
      </w:r>
    </w:p>
    <w:p>
      <w:pPr>
        <w:spacing w:after="0" w:line="388"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14"/>
              <w:spacing w:after="0"/>
              <w:rPr>
                <w:sz w:val="20"/>
                <w:szCs w:val="20"/>
                <w:color w:val="auto"/>
              </w:rPr>
            </w:pPr>
            <w:r>
              <w:rPr>
                <w:rFonts w:ascii="Arial" w:cs="Arial" w:eastAsia="Arial" w:hAnsi="Arial"/>
                <w:sz w:val="13"/>
                <w:szCs w:val="13"/>
                <w:b w:val="1"/>
                <w:bCs w:val="1"/>
                <w:color w:val="auto"/>
                <w:w w:val="84"/>
              </w:rPr>
              <w:t>Cost of</w:t>
            </w: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3"/>
              </w:rPr>
              <w:t>Cost of Revenues</w:t>
            </w: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3"/>
              </w:rPr>
              <w:t>Cost of Revenues</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4"/>
              <w:spacing w:after="0" w:line="131" w:lineRule="exact"/>
              <w:rPr>
                <w:sz w:val="20"/>
                <w:szCs w:val="20"/>
                <w:color w:val="auto"/>
              </w:rPr>
            </w:pPr>
            <w:r>
              <w:rPr>
                <w:rFonts w:ascii="Arial" w:cs="Arial" w:eastAsia="Arial" w:hAnsi="Arial"/>
                <w:sz w:val="13"/>
                <w:szCs w:val="13"/>
                <w:b w:val="1"/>
                <w:bCs w:val="1"/>
                <w:color w:val="auto"/>
                <w:w w:val="85"/>
              </w:rPr>
              <w:t>Revenues—</w:t>
            </w:r>
          </w:p>
        </w:tc>
        <w:tc>
          <w:tcPr>
            <w:tcW w:w="160" w:type="dxa"/>
            <w:vAlign w:val="bottom"/>
          </w:tcPr>
          <w:p>
            <w:pPr>
              <w:spacing w:after="0"/>
              <w:rPr>
                <w:sz w:val="11"/>
                <w:szCs w:val="11"/>
                <w:color w:val="auto"/>
              </w:rPr>
            </w:pPr>
          </w:p>
        </w:tc>
        <w:tc>
          <w:tcPr>
            <w:tcW w:w="840" w:type="dxa"/>
            <w:vAlign w:val="bottom"/>
          </w:tcPr>
          <w:p>
            <w:pPr>
              <w:jc w:val="center"/>
              <w:ind w:right="73"/>
              <w:spacing w:after="0" w:line="131" w:lineRule="exact"/>
              <w:rPr>
                <w:sz w:val="20"/>
                <w:szCs w:val="20"/>
                <w:color w:val="auto"/>
              </w:rPr>
            </w:pPr>
            <w:r>
              <w:rPr>
                <w:rFonts w:ascii="Arial" w:cs="Arial" w:eastAsia="Arial" w:hAnsi="Arial"/>
                <w:sz w:val="13"/>
                <w:szCs w:val="13"/>
                <w:b w:val="1"/>
                <w:bCs w:val="1"/>
                <w:color w:val="auto"/>
              </w:rPr>
              <w:t>—In-</w:t>
            </w:r>
          </w:p>
        </w:tc>
        <w:tc>
          <w:tcPr>
            <w:tcW w:w="140" w:type="dxa"/>
            <w:vAlign w:val="bottom"/>
          </w:tcPr>
          <w:p>
            <w:pPr>
              <w:spacing w:after="0"/>
              <w:rPr>
                <w:sz w:val="11"/>
                <w:szCs w:val="11"/>
                <w:color w:val="auto"/>
              </w:rPr>
            </w:pPr>
          </w:p>
        </w:tc>
        <w:tc>
          <w:tcPr>
            <w:tcW w:w="900" w:type="dxa"/>
            <w:vAlign w:val="bottom"/>
          </w:tcPr>
          <w:p>
            <w:pPr>
              <w:jc w:val="center"/>
              <w:ind w:right="74"/>
              <w:spacing w:after="0" w:line="131" w:lineRule="exact"/>
              <w:rPr>
                <w:sz w:val="20"/>
                <w:szCs w:val="20"/>
                <w:color w:val="auto"/>
              </w:rPr>
            </w:pPr>
            <w:r>
              <w:rPr>
                <w:rFonts w:ascii="Arial" w:cs="Arial" w:eastAsia="Arial" w:hAnsi="Arial"/>
                <w:sz w:val="13"/>
                <w:szCs w:val="13"/>
                <w:b w:val="1"/>
                <w:bCs w:val="1"/>
                <w:color w:val="auto"/>
                <w:w w:val="96"/>
              </w:rPr>
              <w:t>—In-</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33"/>
              <w:spacing w:after="0" w:line="126" w:lineRule="exact"/>
              <w:rPr>
                <w:sz w:val="20"/>
                <w:szCs w:val="20"/>
                <w:color w:val="auto"/>
              </w:rPr>
            </w:pPr>
            <w:r>
              <w:rPr>
                <w:rFonts w:ascii="Arial" w:cs="Arial" w:eastAsia="Arial" w:hAnsi="Arial"/>
                <w:sz w:val="13"/>
                <w:szCs w:val="13"/>
                <w:b w:val="1"/>
                <w:bCs w:val="1"/>
                <w:color w:val="auto"/>
                <w:w w:val="84"/>
              </w:rPr>
              <w:t>Cost of</w:t>
            </w:r>
          </w:p>
        </w:tc>
        <w:tc>
          <w:tcPr>
            <w:tcW w:w="100" w:type="dxa"/>
            <w:vAlign w:val="bottom"/>
          </w:tcPr>
          <w:p>
            <w:pPr>
              <w:spacing w:after="0"/>
              <w:rPr>
                <w:sz w:val="10"/>
                <w:szCs w:val="10"/>
                <w:color w:val="auto"/>
              </w:rPr>
            </w:pPr>
          </w:p>
        </w:tc>
        <w:tc>
          <w:tcPr>
            <w:tcW w:w="860" w:type="dxa"/>
            <w:vAlign w:val="bottom"/>
          </w:tcPr>
          <w:p>
            <w:pPr>
              <w:jc w:val="center"/>
              <w:ind w:right="14"/>
              <w:spacing w:after="0" w:line="126" w:lineRule="exact"/>
              <w:rPr>
                <w:sz w:val="20"/>
                <w:szCs w:val="20"/>
                <w:color w:val="auto"/>
              </w:rPr>
            </w:pPr>
            <w:r>
              <w:rPr>
                <w:rFonts w:ascii="Arial" w:cs="Arial" w:eastAsia="Arial" w:hAnsi="Arial"/>
                <w:sz w:val="13"/>
                <w:szCs w:val="13"/>
                <w:b w:val="1"/>
                <w:bCs w:val="1"/>
                <w:color w:val="auto"/>
                <w:w w:val="85"/>
              </w:rPr>
              <w:t>Product Sales:</w:t>
            </w:r>
          </w:p>
        </w:tc>
        <w:tc>
          <w:tcPr>
            <w:tcW w:w="2040" w:type="dxa"/>
            <w:vAlign w:val="bottom"/>
            <w:gridSpan w:val="4"/>
          </w:tcPr>
          <w:p>
            <w:pPr>
              <w:ind w:left="20"/>
              <w:spacing w:after="0" w:line="126" w:lineRule="exact"/>
              <w:rPr>
                <w:sz w:val="20"/>
                <w:szCs w:val="20"/>
                <w:color w:val="auto"/>
              </w:rPr>
            </w:pPr>
            <w:r>
              <w:rPr>
                <w:rFonts w:ascii="Arial" w:cs="Arial" w:eastAsia="Arial" w:hAnsi="Arial"/>
                <w:sz w:val="13"/>
                <w:szCs w:val="13"/>
                <w:b w:val="1"/>
                <w:bCs w:val="1"/>
                <w:color w:val="auto"/>
                <w:w w:val="87"/>
              </w:rPr>
              <w:t>game/Subs/Other: game/Subs/Other:</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13"/>
              <w:spacing w:after="0" w:line="122" w:lineRule="exact"/>
              <w:rPr>
                <w:sz w:val="20"/>
                <w:szCs w:val="20"/>
                <w:color w:val="auto"/>
              </w:rPr>
            </w:pPr>
            <w:r>
              <w:rPr>
                <w:rFonts w:ascii="Arial" w:cs="Arial" w:eastAsia="Arial" w:hAnsi="Arial"/>
                <w:sz w:val="13"/>
                <w:szCs w:val="13"/>
                <w:b w:val="1"/>
                <w:bCs w:val="1"/>
                <w:color w:val="auto"/>
                <w:w w:val="85"/>
              </w:rPr>
              <w:t>Revenues—</w:t>
            </w:r>
          </w:p>
        </w:tc>
        <w:tc>
          <w:tcPr>
            <w:tcW w:w="100" w:type="dxa"/>
            <w:vAlign w:val="bottom"/>
          </w:tcPr>
          <w:p>
            <w:pPr>
              <w:spacing w:after="0"/>
              <w:rPr>
                <w:sz w:val="10"/>
                <w:szCs w:val="10"/>
                <w:color w:val="auto"/>
              </w:rPr>
            </w:pPr>
          </w:p>
        </w:tc>
        <w:tc>
          <w:tcPr>
            <w:tcW w:w="860" w:type="dxa"/>
            <w:vAlign w:val="bottom"/>
          </w:tcPr>
          <w:p>
            <w:pPr>
              <w:jc w:val="center"/>
              <w:ind w:right="34"/>
              <w:spacing w:after="0" w:line="122" w:lineRule="exact"/>
              <w:rPr>
                <w:sz w:val="20"/>
                <w:szCs w:val="20"/>
                <w:color w:val="auto"/>
              </w:rPr>
            </w:pPr>
            <w:r>
              <w:rPr>
                <w:rFonts w:ascii="Arial" w:cs="Arial" w:eastAsia="Arial" w:hAnsi="Arial"/>
                <w:sz w:val="13"/>
                <w:szCs w:val="13"/>
                <w:b w:val="1"/>
                <w:bCs w:val="1"/>
                <w:color w:val="auto"/>
                <w:w w:val="87"/>
              </w:rPr>
              <w:t>Software</w:t>
            </w:r>
          </w:p>
        </w:tc>
        <w:tc>
          <w:tcPr>
            <w:tcW w:w="1000" w:type="dxa"/>
            <w:vAlign w:val="bottom"/>
            <w:gridSpan w:val="2"/>
          </w:tcPr>
          <w:p>
            <w:pPr>
              <w:ind w:left="40"/>
              <w:spacing w:after="0" w:line="122" w:lineRule="exact"/>
              <w:rPr>
                <w:sz w:val="20"/>
                <w:szCs w:val="20"/>
                <w:color w:val="auto"/>
              </w:rPr>
            </w:pPr>
            <w:r>
              <w:rPr>
                <w:rFonts w:ascii="Arial" w:cs="Arial" w:eastAsia="Arial" w:hAnsi="Arial"/>
                <w:sz w:val="13"/>
                <w:szCs w:val="13"/>
                <w:b w:val="1"/>
                <w:bCs w:val="1"/>
                <w:color w:val="auto"/>
                <w:w w:val="86"/>
              </w:rPr>
              <w:t>Game Operations</w:t>
            </w:r>
          </w:p>
        </w:tc>
        <w:tc>
          <w:tcPr>
            <w:tcW w:w="140" w:type="dxa"/>
            <w:vAlign w:val="bottom"/>
          </w:tcPr>
          <w:p>
            <w:pPr>
              <w:spacing w:after="0"/>
              <w:rPr>
                <w:sz w:val="10"/>
                <w:szCs w:val="10"/>
                <w:color w:val="auto"/>
              </w:rPr>
            </w:pPr>
          </w:p>
        </w:tc>
        <w:tc>
          <w:tcPr>
            <w:tcW w:w="900" w:type="dxa"/>
            <w:vAlign w:val="bottom"/>
          </w:tcPr>
          <w:p>
            <w:pPr>
              <w:jc w:val="center"/>
              <w:ind w:right="74"/>
              <w:spacing w:after="0" w:line="122" w:lineRule="exact"/>
              <w:rPr>
                <w:sz w:val="20"/>
                <w:szCs w:val="20"/>
                <w:color w:val="auto"/>
              </w:rPr>
            </w:pPr>
            <w:r>
              <w:rPr>
                <w:rFonts w:ascii="Arial" w:cs="Arial" w:eastAsia="Arial" w:hAnsi="Arial"/>
                <w:sz w:val="13"/>
                <w:szCs w:val="13"/>
                <w:b w:val="1"/>
                <w:bCs w:val="1"/>
                <w:color w:val="auto"/>
                <w:w w:val="87"/>
              </w:rPr>
              <w:t>Software</w:t>
            </w:r>
          </w:p>
        </w:tc>
        <w:tc>
          <w:tcPr>
            <w:tcW w:w="80" w:type="dxa"/>
            <w:vAlign w:val="bottom"/>
          </w:tcPr>
          <w:p>
            <w:pPr>
              <w:spacing w:after="0"/>
              <w:rPr>
                <w:sz w:val="10"/>
                <w:szCs w:val="10"/>
                <w:color w:val="auto"/>
              </w:rPr>
            </w:pPr>
          </w:p>
        </w:tc>
        <w:tc>
          <w:tcPr>
            <w:tcW w:w="800" w:type="dxa"/>
            <w:vAlign w:val="bottom"/>
            <w:vMerge w:val="restart"/>
          </w:tcPr>
          <w:p>
            <w:pPr>
              <w:jc w:val="right"/>
              <w:ind w:right="154"/>
              <w:spacing w:after="0"/>
              <w:rPr>
                <w:sz w:val="20"/>
                <w:szCs w:val="20"/>
                <w:color w:val="auto"/>
              </w:rPr>
            </w:pPr>
            <w:r>
              <w:rPr>
                <w:rFonts w:ascii="Arial" w:cs="Arial" w:eastAsia="Arial" w:hAnsi="Arial"/>
                <w:sz w:val="13"/>
                <w:szCs w:val="13"/>
                <w:b w:val="1"/>
                <w:bCs w:val="1"/>
                <w:color w:val="auto"/>
              </w:rPr>
              <w:t>Product</w:t>
            </w:r>
          </w:p>
        </w:tc>
        <w:tc>
          <w:tcPr>
            <w:tcW w:w="120" w:type="dxa"/>
            <w:vAlign w:val="bottom"/>
          </w:tcPr>
          <w:p>
            <w:pPr>
              <w:spacing w:after="0"/>
              <w:rPr>
                <w:sz w:val="10"/>
                <w:szCs w:val="10"/>
                <w:color w:val="auto"/>
              </w:rPr>
            </w:pPr>
          </w:p>
        </w:tc>
        <w:tc>
          <w:tcPr>
            <w:tcW w:w="72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auto"/>
                <w:w w:val="88"/>
              </w:rPr>
              <w:t>Sales and</w:t>
            </w:r>
          </w:p>
        </w:tc>
        <w:tc>
          <w:tcPr>
            <w:tcW w:w="100" w:type="dxa"/>
            <w:vAlign w:val="bottom"/>
          </w:tcPr>
          <w:p>
            <w:pPr>
              <w:spacing w:after="0"/>
              <w:rPr>
                <w:sz w:val="10"/>
                <w:szCs w:val="10"/>
                <w:color w:val="auto"/>
              </w:rPr>
            </w:pPr>
          </w:p>
        </w:tc>
        <w:tc>
          <w:tcPr>
            <w:tcW w:w="92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auto"/>
                <w:w w:val="98"/>
              </w:rPr>
              <w:t>General and</w:t>
            </w:r>
          </w:p>
        </w:tc>
        <w:tc>
          <w:tcPr>
            <w:tcW w:w="120" w:type="dxa"/>
            <w:vAlign w:val="bottom"/>
          </w:tcPr>
          <w:p>
            <w:pPr>
              <w:spacing w:after="0"/>
              <w:rPr>
                <w:sz w:val="10"/>
                <w:szCs w:val="10"/>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w w:val="81"/>
              </w:rPr>
              <w:t>Total Costs</w:t>
            </w:r>
          </w:p>
        </w:tc>
        <w:tc>
          <w:tcPr>
            <w:tcW w:w="0" w:type="dxa"/>
            <w:vAlign w:val="bottom"/>
          </w:tcPr>
          <w:p>
            <w:pPr>
              <w:spacing w:after="0"/>
              <w:rPr>
                <w:sz w:val="1"/>
                <w:szCs w:val="1"/>
                <w:color w:val="auto"/>
              </w:rPr>
            </w:pPr>
          </w:p>
        </w:tc>
      </w:tr>
      <w:tr>
        <w:trPr>
          <w:trHeight w:val="130"/>
        </w:trPr>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jc w:val="center"/>
              <w:spacing w:after="0" w:line="131" w:lineRule="exact"/>
              <w:rPr>
                <w:sz w:val="20"/>
                <w:szCs w:val="20"/>
                <w:color w:val="auto"/>
              </w:rPr>
            </w:pPr>
            <w:r>
              <w:rPr>
                <w:rFonts w:ascii="Arial" w:cs="Arial" w:eastAsia="Arial" w:hAnsi="Arial"/>
                <w:sz w:val="13"/>
                <w:szCs w:val="13"/>
                <w:b w:val="1"/>
                <w:bCs w:val="1"/>
                <w:color w:val="auto"/>
                <w:w w:val="85"/>
              </w:rPr>
              <w:t>Product Sales:</w:t>
            </w:r>
          </w:p>
        </w:tc>
        <w:tc>
          <w:tcPr>
            <w:tcW w:w="100" w:type="dxa"/>
            <w:vAlign w:val="bottom"/>
          </w:tcPr>
          <w:p>
            <w:pPr>
              <w:spacing w:after="0"/>
              <w:rPr>
                <w:sz w:val="11"/>
                <w:szCs w:val="11"/>
                <w:color w:val="auto"/>
              </w:rPr>
            </w:pPr>
          </w:p>
        </w:tc>
        <w:tc>
          <w:tcPr>
            <w:tcW w:w="860" w:type="dxa"/>
            <w:vAlign w:val="bottom"/>
          </w:tcPr>
          <w:p>
            <w:pPr>
              <w:jc w:val="center"/>
              <w:ind w:right="34"/>
              <w:spacing w:after="0" w:line="131" w:lineRule="exact"/>
              <w:rPr>
                <w:sz w:val="20"/>
                <w:szCs w:val="20"/>
                <w:color w:val="auto"/>
              </w:rPr>
            </w:pPr>
            <w:r>
              <w:rPr>
                <w:rFonts w:ascii="Arial" w:cs="Arial" w:eastAsia="Arial" w:hAnsi="Arial"/>
                <w:sz w:val="13"/>
                <w:szCs w:val="13"/>
                <w:b w:val="1"/>
                <w:bCs w:val="1"/>
                <w:color w:val="auto"/>
                <w:w w:val="85"/>
              </w:rPr>
              <w:t>Royalties and</w:t>
            </w:r>
          </w:p>
        </w:tc>
        <w:tc>
          <w:tcPr>
            <w:tcW w:w="1000" w:type="dxa"/>
            <w:vAlign w:val="bottom"/>
            <w:gridSpan w:val="2"/>
          </w:tcPr>
          <w:p>
            <w:pPr>
              <w:jc w:val="center"/>
              <w:spacing w:after="0" w:line="131" w:lineRule="exact"/>
              <w:rPr>
                <w:sz w:val="20"/>
                <w:szCs w:val="20"/>
                <w:color w:val="auto"/>
              </w:rPr>
            </w:pPr>
            <w:r>
              <w:rPr>
                <w:rFonts w:ascii="Arial" w:cs="Arial" w:eastAsia="Arial" w:hAnsi="Arial"/>
                <w:sz w:val="13"/>
                <w:szCs w:val="13"/>
                <w:b w:val="1"/>
                <w:bCs w:val="1"/>
                <w:color w:val="auto"/>
                <w:w w:val="90"/>
              </w:rPr>
              <w:t>and Distribution</w:t>
            </w:r>
          </w:p>
        </w:tc>
        <w:tc>
          <w:tcPr>
            <w:tcW w:w="140" w:type="dxa"/>
            <w:vAlign w:val="bottom"/>
          </w:tcPr>
          <w:p>
            <w:pPr>
              <w:spacing w:after="0"/>
              <w:rPr>
                <w:sz w:val="11"/>
                <w:szCs w:val="11"/>
                <w:color w:val="auto"/>
              </w:rPr>
            </w:pPr>
          </w:p>
        </w:tc>
        <w:tc>
          <w:tcPr>
            <w:tcW w:w="900" w:type="dxa"/>
            <w:vAlign w:val="bottom"/>
          </w:tcPr>
          <w:p>
            <w:pPr>
              <w:jc w:val="center"/>
              <w:ind w:right="54"/>
              <w:spacing w:after="0" w:line="131" w:lineRule="exact"/>
              <w:rPr>
                <w:sz w:val="20"/>
                <w:szCs w:val="20"/>
                <w:color w:val="auto"/>
              </w:rPr>
            </w:pPr>
            <w:r>
              <w:rPr>
                <w:rFonts w:ascii="Arial" w:cs="Arial" w:eastAsia="Arial" w:hAnsi="Arial"/>
                <w:sz w:val="13"/>
                <w:szCs w:val="13"/>
                <w:b w:val="1"/>
                <w:bCs w:val="1"/>
                <w:color w:val="auto"/>
                <w:w w:val="87"/>
              </w:rPr>
              <w:t>Royalties and</w:t>
            </w: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Three Months Ended June 30, 2023</w:t>
            </w: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Net Revenues</w:t>
            </w: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Product Costs</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0"/>
              </w:rPr>
              <w:t>Amortization</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82"/>
              </w:rPr>
              <w:t>Costs</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b w:val="1"/>
                <w:bCs w:val="1"/>
                <w:color w:val="auto"/>
                <w:w w:val="90"/>
              </w:rPr>
              <w:t>Amortization</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w w:val="85"/>
              </w:rPr>
              <w:t>Development</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91"/>
              </w:rPr>
              <w:t>Marketing</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w w:val="88"/>
              </w:rPr>
              <w:t>Administrative</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9"/>
              </w:rPr>
              <w:t>and Expenses</w:t>
            </w:r>
          </w:p>
        </w:tc>
        <w:tc>
          <w:tcPr>
            <w:tcW w:w="0" w:type="dxa"/>
            <w:vAlign w:val="bottom"/>
          </w:tcPr>
          <w:p>
            <w:pPr>
              <w:spacing w:after="0"/>
              <w:rPr>
                <w:sz w:val="1"/>
                <w:szCs w:val="1"/>
                <w:color w:val="auto"/>
              </w:rPr>
            </w:pPr>
          </w:p>
        </w:tc>
      </w:tr>
      <w:tr>
        <w:trPr>
          <w:trHeight w:val="189"/>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GAAP Measurement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ind w:left="700"/>
              <w:spacing w:after="0"/>
              <w:rPr>
                <w:sz w:val="20"/>
                <w:szCs w:val="20"/>
                <w:color w:val="auto"/>
              </w:rPr>
            </w:pPr>
            <w:r>
              <w:rPr>
                <w:rFonts w:ascii="Arial" w:cs="Arial" w:eastAsia="Arial" w:hAnsi="Arial"/>
                <w:sz w:val="13"/>
                <w:szCs w:val="13"/>
                <w:color w:val="auto"/>
              </w:rPr>
              <w:t>62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1,624</w:t>
            </w:r>
          </w:p>
        </w:tc>
        <w:tc>
          <w:tcPr>
            <w:tcW w:w="0" w:type="dxa"/>
            <w:vAlign w:val="bottom"/>
          </w:tcPr>
          <w:p>
            <w:pPr>
              <w:spacing w:after="0"/>
              <w:rPr>
                <w:sz w:val="1"/>
                <w:szCs w:val="1"/>
                <w:color w:val="auto"/>
              </w:rPr>
            </w:pPr>
          </w:p>
        </w:tc>
      </w:tr>
      <w:tr>
        <w:trPr>
          <w:trHeight w:val="189"/>
        </w:trPr>
        <w:tc>
          <w:tcPr>
            <w:tcW w:w="2800" w:type="dxa"/>
            <w:vAlign w:val="bottom"/>
          </w:tcPr>
          <w:p>
            <w:pPr>
              <w:ind w:left="140"/>
              <w:spacing w:after="0" w:line="189" w:lineRule="exact"/>
              <w:rPr>
                <w:sz w:val="20"/>
                <w:szCs w:val="20"/>
                <w:color w:val="auto"/>
              </w:rPr>
            </w:pPr>
            <w:r>
              <w:rPr>
                <w:rFonts w:ascii="Arial" w:cs="Arial" w:eastAsia="Arial" w:hAnsi="Arial"/>
                <w:sz w:val="13"/>
                <w:szCs w:val="13"/>
                <w:color w:val="auto"/>
              </w:rPr>
              <w:t>Share-based compensation</w:t>
            </w:r>
            <w:r>
              <w:rPr>
                <w:rFonts w:ascii="Arial" w:cs="Arial" w:eastAsia="Arial" w:hAnsi="Arial"/>
                <w:sz w:val="17"/>
                <w:szCs w:val="17"/>
                <w:color w:val="auto"/>
                <w:vertAlign w:val="superscript"/>
              </w:rPr>
              <w:t>1</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6"/>
                <w:szCs w:val="16"/>
                <w:color w:val="auto"/>
              </w:rPr>
            </w:pPr>
          </w:p>
        </w:tc>
        <w:tc>
          <w:tcPr>
            <w:tcW w:w="900" w:type="dxa"/>
            <w:vAlign w:val="bottom"/>
          </w:tcPr>
          <w:p>
            <w:pPr>
              <w:ind w:left="700"/>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89"/>
        </w:trPr>
        <w:tc>
          <w:tcPr>
            <w:tcW w:w="2800" w:type="dxa"/>
            <w:vAlign w:val="bottom"/>
            <w:shd w:val="clear" w:color="auto" w:fill="CCEEFF"/>
          </w:tcPr>
          <w:p>
            <w:pPr>
              <w:ind w:left="140"/>
              <w:spacing w:after="0" w:line="189" w:lineRule="exact"/>
              <w:rPr>
                <w:sz w:val="20"/>
                <w:szCs w:val="20"/>
                <w:color w:val="auto"/>
              </w:rPr>
            </w:pPr>
            <w:r>
              <w:rPr>
                <w:rFonts w:ascii="Arial" w:cs="Arial" w:eastAsia="Arial" w:hAnsi="Arial"/>
                <w:sz w:val="13"/>
                <w:szCs w:val="13"/>
                <w:color w:val="auto"/>
              </w:rPr>
              <w:t>Partnership wind down and related costs</w:t>
            </w:r>
            <w:r>
              <w:rPr>
                <w:rFonts w:ascii="Arial" w:cs="Arial" w:eastAsia="Arial" w:hAnsi="Arial"/>
                <w:sz w:val="17"/>
                <w:szCs w:val="17"/>
                <w:color w:val="auto"/>
                <w:vertAlign w:val="superscript"/>
              </w:rPr>
              <w:t>2</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800" w:type="dxa"/>
            <w:vAlign w:val="bottom"/>
          </w:tcPr>
          <w:p>
            <w:pPr>
              <w:ind w:left="140"/>
              <w:spacing w:after="0" w:line="135" w:lineRule="exact"/>
              <w:rPr>
                <w:sz w:val="20"/>
                <w:szCs w:val="20"/>
                <w:color w:val="auto"/>
              </w:rPr>
            </w:pPr>
            <w:r>
              <w:rPr>
                <w:rFonts w:ascii="Arial" w:cs="Arial" w:eastAsia="Arial" w:hAnsi="Arial"/>
                <w:sz w:val="13"/>
                <w:szCs w:val="13"/>
                <w:color w:val="auto"/>
              </w:rPr>
              <w:t>Merger and acquisition-related fees and other</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00" w:type="dxa"/>
            <w:vAlign w:val="bottom"/>
            <w:vMerge w:val="restart"/>
          </w:tcPr>
          <w:p>
            <w:pPr>
              <w:ind w:left="7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76"/>
        </w:trPr>
        <w:tc>
          <w:tcPr>
            <w:tcW w:w="2800" w:type="dxa"/>
            <w:vAlign w:val="bottom"/>
          </w:tcPr>
          <w:p>
            <w:pPr>
              <w:ind w:left="140"/>
              <w:spacing w:after="0" w:line="176" w:lineRule="exact"/>
              <w:rPr>
                <w:sz w:val="20"/>
                <w:szCs w:val="20"/>
                <w:color w:val="auto"/>
              </w:rPr>
            </w:pPr>
            <w:r>
              <w:rPr>
                <w:rFonts w:ascii="Arial" w:cs="Arial" w:eastAsia="Arial" w:hAnsi="Arial"/>
                <w:sz w:val="13"/>
                <w:szCs w:val="13"/>
                <w:color w:val="auto"/>
              </w:rPr>
              <w:t>expenses</w:t>
            </w:r>
            <w:r>
              <w:rPr>
                <w:rFonts w:ascii="Arial" w:cs="Arial" w:eastAsia="Arial" w:hAnsi="Arial"/>
                <w:sz w:val="17"/>
                <w:szCs w:val="17"/>
                <w:color w:val="auto"/>
                <w:vertAlign w:val="superscript"/>
              </w:rPr>
              <w:t>3</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Non-GAAP Measurement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3"/>
                <w:szCs w:val="13"/>
                <w:color w:val="auto"/>
              </w:rPr>
              <w:t>58</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1,503</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vMerge w:val="restart"/>
          </w:tcPr>
          <w:p>
            <w:pPr>
              <w:ind w:left="140"/>
              <w:spacing w:after="0" w:line="125" w:lineRule="exact"/>
              <w:rPr>
                <w:sz w:val="20"/>
                <w:szCs w:val="20"/>
                <w:color w:val="auto"/>
              </w:rPr>
            </w:pPr>
            <w:r>
              <w:rPr>
                <w:rFonts w:ascii="Arial" w:cs="Arial" w:eastAsia="Arial" w:hAnsi="Arial"/>
                <w:sz w:val="13"/>
                <w:szCs w:val="13"/>
                <w:color w:val="auto"/>
                <w:w w:val="95"/>
              </w:rPr>
              <w:t>Net effect of deferred revenues and related cost</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800" w:type="dxa"/>
            <w:vAlign w:val="bottom"/>
            <w:vMerge w:val="continue"/>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254</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98</w:t>
            </w:r>
          </w:p>
        </w:tc>
        <w:tc>
          <w:tcPr>
            <w:tcW w:w="1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ind w:left="700"/>
              <w:spacing w:after="0"/>
              <w:rPr>
                <w:sz w:val="20"/>
                <w:szCs w:val="20"/>
                <w:color w:val="auto"/>
              </w:rPr>
            </w:pPr>
            <w:r>
              <w:rPr>
                <w:rFonts w:ascii="Arial" w:cs="Arial" w:eastAsia="Arial" w:hAnsi="Arial"/>
                <w:sz w:val="13"/>
                <w:szCs w:val="13"/>
                <w:color w:val="auto"/>
              </w:rPr>
              <w:t>(3)</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235"/>
        </w:trPr>
        <w:tc>
          <w:tcPr>
            <w:tcW w:w="2800" w:type="dxa"/>
            <w:vAlign w:val="bottom"/>
          </w:tcPr>
          <w:p>
            <w:pPr>
              <w:ind w:left="140"/>
              <w:spacing w:after="0"/>
              <w:rPr>
                <w:sz w:val="20"/>
                <w:szCs w:val="20"/>
                <w:color w:val="auto"/>
              </w:rPr>
            </w:pPr>
            <w:r>
              <w:rPr>
                <w:rFonts w:ascii="Arial" w:cs="Arial" w:eastAsia="Arial" w:hAnsi="Arial"/>
                <w:sz w:val="13"/>
                <w:szCs w:val="13"/>
                <w:color w:val="auto"/>
              </w:rPr>
              <w:t>of revenues</w:t>
            </w:r>
            <w:r>
              <w:rPr>
                <w:rFonts w:ascii="Arial" w:cs="Arial" w:eastAsia="Arial" w:hAnsi="Arial"/>
                <w:sz w:val="17"/>
                <w:szCs w:val="17"/>
                <w:color w:val="auto"/>
                <w:vertAlign w:val="superscript"/>
              </w:rPr>
              <w:t>4</w:t>
            </w:r>
          </w:p>
        </w:tc>
        <w:tc>
          <w:tcPr>
            <w:tcW w:w="10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spacing w:after="0"/>
              <w:rPr>
                <w:sz w:val="19"/>
                <w:szCs w:val="19"/>
                <w:color w:val="auto"/>
              </w:rPr>
            </w:pPr>
          </w:p>
        </w:tc>
        <w:tc>
          <w:tcPr>
            <w:tcW w:w="1000" w:type="dxa"/>
            <w:vAlign w:val="bottom"/>
            <w:tcBorders>
              <w:bottom w:val="single" w:sz="8" w:color="auto"/>
            </w:tcBorders>
            <w:gridSpan w:val="2"/>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33"/>
              <w:spacing w:after="0" w:line="115" w:lineRule="exact"/>
              <w:rPr>
                <w:sz w:val="20"/>
                <w:szCs w:val="20"/>
                <w:color w:val="auto"/>
              </w:rPr>
            </w:pPr>
            <w:r>
              <w:rPr>
                <w:rFonts w:ascii="Arial" w:cs="Arial" w:eastAsia="Arial" w:hAnsi="Arial"/>
                <w:sz w:val="13"/>
                <w:szCs w:val="13"/>
                <w:b w:val="1"/>
                <w:bCs w:val="1"/>
                <w:color w:val="auto"/>
                <w:w w:val="91"/>
              </w:rPr>
              <w:t>Operating</w:t>
            </w:r>
          </w:p>
        </w:tc>
        <w:tc>
          <w:tcPr>
            <w:tcW w:w="100" w:type="dxa"/>
            <w:vAlign w:val="bottom"/>
          </w:tcPr>
          <w:p>
            <w:pPr>
              <w:spacing w:after="0"/>
              <w:rPr>
                <w:sz w:val="10"/>
                <w:szCs w:val="10"/>
                <w:color w:val="auto"/>
              </w:rPr>
            </w:pPr>
          </w:p>
        </w:tc>
        <w:tc>
          <w:tcPr>
            <w:tcW w:w="80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88"/>
              </w:rPr>
              <w:t>Net Income</w:t>
            </w:r>
          </w:p>
        </w:tc>
        <w:tc>
          <w:tcPr>
            <w:tcW w:w="96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auto"/>
                <w:w w:val="85"/>
              </w:rPr>
              <w:t>Basic Earnings</w:t>
            </w:r>
          </w:p>
        </w:tc>
        <w:tc>
          <w:tcPr>
            <w:tcW w:w="100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auto"/>
                <w:w w:val="89"/>
              </w:rPr>
              <w:t>Diluted Earnings</w:t>
            </w: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3"/>
              <w:spacing w:after="0"/>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4"/>
              <w:spacing w:after="0"/>
              <w:rPr>
                <w:sz w:val="20"/>
                <w:szCs w:val="20"/>
                <w:color w:val="auto"/>
              </w:rPr>
            </w:pPr>
            <w:r>
              <w:rPr>
                <w:rFonts w:ascii="Arial" w:cs="Arial" w:eastAsia="Arial" w:hAnsi="Arial"/>
                <w:sz w:val="13"/>
                <w:szCs w:val="13"/>
                <w:b w:val="1"/>
                <w:bCs w:val="1"/>
                <w:color w:val="auto"/>
                <w:w w:val="86"/>
              </w:rPr>
              <w:t>per Share</w:t>
            </w:r>
          </w:p>
        </w:tc>
        <w:tc>
          <w:tcPr>
            <w:tcW w:w="160" w:type="dxa"/>
            <w:vAlign w:val="bottom"/>
          </w:tcPr>
          <w:p>
            <w:pPr>
              <w:spacing w:after="0"/>
              <w:rPr>
                <w:sz w:val="14"/>
                <w:szCs w:val="14"/>
                <w:color w:val="auto"/>
              </w:rPr>
            </w:pPr>
          </w:p>
        </w:tc>
        <w:tc>
          <w:tcPr>
            <w:tcW w:w="840" w:type="dxa"/>
            <w:vAlign w:val="bottom"/>
          </w:tcPr>
          <w:p>
            <w:pPr>
              <w:jc w:val="center"/>
              <w:ind w:right="93"/>
              <w:spacing w:after="0"/>
              <w:rPr>
                <w:sz w:val="20"/>
                <w:szCs w:val="20"/>
                <w:color w:val="auto"/>
              </w:rPr>
            </w:pPr>
            <w:r>
              <w:rPr>
                <w:rFonts w:ascii="Arial" w:cs="Arial" w:eastAsia="Arial" w:hAnsi="Arial"/>
                <w:sz w:val="13"/>
                <w:szCs w:val="13"/>
                <w:b w:val="1"/>
                <w:bCs w:val="1"/>
                <w:color w:val="auto"/>
                <w:w w:val="86"/>
              </w:rPr>
              <w:t>per Share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GAAP Measurement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0.75</w:t>
            </w: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0.74</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00" w:type="dxa"/>
            <w:vAlign w:val="bottom"/>
          </w:tcPr>
          <w:p>
            <w:pPr>
              <w:ind w:left="140"/>
              <w:spacing w:after="0" w:line="189" w:lineRule="exact"/>
              <w:rPr>
                <w:sz w:val="20"/>
                <w:szCs w:val="20"/>
                <w:color w:val="auto"/>
              </w:rPr>
            </w:pPr>
            <w:r>
              <w:rPr>
                <w:rFonts w:ascii="Arial" w:cs="Arial" w:eastAsia="Arial" w:hAnsi="Arial"/>
                <w:sz w:val="13"/>
                <w:szCs w:val="13"/>
                <w:color w:val="auto"/>
              </w:rPr>
              <w:t>Share-based compensation</w:t>
            </w:r>
            <w:r>
              <w:rPr>
                <w:rFonts w:ascii="Arial" w:cs="Arial" w:eastAsia="Arial" w:hAnsi="Arial"/>
                <w:sz w:val="17"/>
                <w:szCs w:val="17"/>
                <w:color w:val="auto"/>
                <w:vertAlign w:val="superscript"/>
              </w:rPr>
              <w:t>1</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0.13</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0.13</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CEEFF"/>
          </w:tcPr>
          <w:p>
            <w:pPr>
              <w:ind w:left="140"/>
              <w:spacing w:after="0" w:line="189" w:lineRule="exact"/>
              <w:rPr>
                <w:sz w:val="20"/>
                <w:szCs w:val="20"/>
                <w:color w:val="auto"/>
              </w:rPr>
            </w:pPr>
            <w:r>
              <w:rPr>
                <w:rFonts w:ascii="Arial" w:cs="Arial" w:eastAsia="Arial" w:hAnsi="Arial"/>
                <w:sz w:val="13"/>
                <w:szCs w:val="13"/>
                <w:color w:val="auto"/>
              </w:rPr>
              <w:t>Partnership wind down and related costs</w:t>
            </w:r>
            <w:r>
              <w:rPr>
                <w:rFonts w:ascii="Arial" w:cs="Arial" w:eastAsia="Arial" w:hAnsi="Arial"/>
                <w:sz w:val="17"/>
                <w:szCs w:val="17"/>
                <w:color w:val="auto"/>
                <w:vertAlign w:val="superscript"/>
              </w:rPr>
              <w:t>2</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00" w:type="dxa"/>
            <w:vAlign w:val="bottom"/>
          </w:tcPr>
          <w:p>
            <w:pPr>
              <w:ind w:left="140"/>
              <w:spacing w:after="0" w:line="135" w:lineRule="exact"/>
              <w:rPr>
                <w:sz w:val="20"/>
                <w:szCs w:val="20"/>
                <w:color w:val="auto"/>
              </w:rPr>
            </w:pPr>
            <w:r>
              <w:rPr>
                <w:rFonts w:ascii="Arial" w:cs="Arial" w:eastAsia="Arial" w:hAnsi="Arial"/>
                <w:sz w:val="13"/>
                <w:szCs w:val="13"/>
                <w:color w:val="auto"/>
              </w:rPr>
              <w:t>Merger and acquisition-related fees and other</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0.03</w:t>
            </w: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0.03</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800" w:type="dxa"/>
            <w:vAlign w:val="bottom"/>
          </w:tcPr>
          <w:p>
            <w:pPr>
              <w:ind w:left="140"/>
              <w:spacing w:after="0" w:line="189" w:lineRule="exact"/>
              <w:rPr>
                <w:sz w:val="20"/>
                <w:szCs w:val="20"/>
                <w:color w:val="auto"/>
              </w:rPr>
            </w:pPr>
            <w:r>
              <w:rPr>
                <w:rFonts w:ascii="Arial" w:cs="Arial" w:eastAsia="Arial" w:hAnsi="Arial"/>
                <w:sz w:val="13"/>
                <w:szCs w:val="13"/>
                <w:color w:val="auto"/>
              </w:rPr>
              <w:t>expenses</w:t>
            </w:r>
            <w:r>
              <w:rPr>
                <w:rFonts w:ascii="Arial" w:cs="Arial" w:eastAsia="Arial" w:hAnsi="Arial"/>
                <w:sz w:val="17"/>
                <w:szCs w:val="17"/>
                <w:color w:val="auto"/>
                <w:vertAlign w:val="superscript"/>
              </w:rPr>
              <w:t>3</w:t>
            </w: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0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3"/>
                <w:szCs w:val="13"/>
                <w:color w:val="auto"/>
              </w:rPr>
              <w:t>Income tax impacts from items above</w:t>
            </w:r>
            <w:r>
              <w:rPr>
                <w:rFonts w:ascii="Arial" w:cs="Arial" w:eastAsia="Arial" w:hAnsi="Arial"/>
                <w:sz w:val="17"/>
                <w:szCs w:val="17"/>
                <w:color w:val="auto"/>
                <w:vertAlign w:val="superscript"/>
              </w:rPr>
              <w:t>5</w:t>
            </w: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800" w:type="dxa"/>
            <w:vAlign w:val="bottom"/>
          </w:tcPr>
          <w:p>
            <w:pPr>
              <w:ind w:left="20"/>
              <w:spacing w:after="0"/>
              <w:rPr>
                <w:sz w:val="20"/>
                <w:szCs w:val="20"/>
                <w:color w:val="auto"/>
              </w:rPr>
            </w:pPr>
            <w:r>
              <w:rPr>
                <w:rFonts w:ascii="Arial" w:cs="Arial" w:eastAsia="Arial" w:hAnsi="Arial"/>
                <w:sz w:val="13"/>
                <w:szCs w:val="13"/>
                <w:color w:val="auto"/>
              </w:rPr>
              <w:t>Non-GAAP Measurement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0.92</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0.91</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800" w:type="dxa"/>
            <w:vAlign w:val="bottom"/>
            <w:shd w:val="clear" w:color="auto" w:fill="CCEEFF"/>
          </w:tcPr>
          <w:p>
            <w:pPr>
              <w:ind w:left="140"/>
              <w:spacing w:after="0" w:line="105" w:lineRule="exact"/>
              <w:rPr>
                <w:sz w:val="20"/>
                <w:szCs w:val="20"/>
                <w:color w:val="auto"/>
              </w:rPr>
            </w:pPr>
            <w:r>
              <w:rPr>
                <w:rFonts w:ascii="Arial" w:cs="Arial" w:eastAsia="Arial" w:hAnsi="Arial"/>
                <w:sz w:val="12"/>
                <w:szCs w:val="12"/>
                <w:color w:val="auto"/>
              </w:rPr>
              <w:t>Net effect of deferred revenues and related cost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0.17</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0.17</w:t>
            </w: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800" w:type="dxa"/>
            <w:vAlign w:val="bottom"/>
            <w:shd w:val="clear" w:color="auto" w:fill="CCEEFF"/>
          </w:tcPr>
          <w:p>
            <w:pPr>
              <w:ind w:left="140"/>
              <w:spacing w:after="0" w:line="186" w:lineRule="exact"/>
              <w:rPr>
                <w:sz w:val="20"/>
                <w:szCs w:val="20"/>
                <w:color w:val="auto"/>
              </w:rPr>
            </w:pPr>
            <w:r>
              <w:rPr>
                <w:rFonts w:ascii="Arial" w:cs="Arial" w:eastAsia="Arial" w:hAnsi="Arial"/>
                <w:sz w:val="13"/>
                <w:szCs w:val="13"/>
                <w:color w:val="auto"/>
              </w:rPr>
              <w:t>of revenues</w:t>
            </w:r>
            <w:r>
              <w:rPr>
                <w:rFonts w:ascii="Arial" w:cs="Arial" w:eastAsia="Arial" w:hAnsi="Arial"/>
                <w:sz w:val="17"/>
                <w:szCs w:val="17"/>
                <w:color w:val="auto"/>
                <w:vertAlign w:val="superscript"/>
              </w:rPr>
              <w:t>4</w:t>
            </w:r>
          </w:p>
        </w:tc>
        <w:tc>
          <w:tcPr>
            <w:tcW w:w="1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Reflects expenses related to share-based compensation.</w:t>
      </w:r>
    </w:p>
    <w:p>
      <w:pPr>
        <w:spacing w:after="0" w:line="9"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0"/>
          <w:szCs w:val="10"/>
          <w:color w:val="auto"/>
        </w:rPr>
      </w:pPr>
      <w:r>
        <w:rPr>
          <w:rFonts w:ascii="Arial" w:cs="Arial" w:eastAsia="Arial" w:hAnsi="Arial"/>
          <w:sz w:val="10"/>
          <w:szCs w:val="10"/>
          <w:color w:val="auto"/>
        </w:rPr>
        <w:t>Reflects expenses related to the wind down of our partnership with NetEase, Inc. ("NetEase") in Mainland China in regards to licenses covering the publication of several Blizzard titles which expired in January</w:t>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2023.</w:t>
      </w:r>
    </w:p>
    <w:p>
      <w:pPr>
        <w:ind w:left="340" w:hanging="332"/>
        <w:spacing w:after="0"/>
        <w:tabs>
          <w:tab w:leader="none" w:pos="3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Reflects fees and other expenses related to our proposed transaction with Microsoft Corporation ("Microsoft"), primarily legal and advisory fees.</w:t>
      </w:r>
    </w:p>
    <w:p>
      <w:pPr>
        <w:spacing w:after="0" w:line="3"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Reflects the net effect from deferral of revenues and (recognition) of deferred revenues, along with related cost of revenues, on certain of our online-enabled products, including the effects of taxes.</w:t>
      </w:r>
    </w:p>
    <w:p>
      <w:pPr>
        <w:spacing w:after="0" w:line="21" w:lineRule="exact"/>
        <w:rPr>
          <w:sz w:val="20"/>
          <w:szCs w:val="20"/>
          <w:color w:val="auto"/>
        </w:rPr>
      </w:pPr>
    </w:p>
    <w:p>
      <w:pPr>
        <w:ind w:left="340" w:right="280" w:hanging="332"/>
        <w:spacing w:after="0" w:line="239" w:lineRule="auto"/>
        <w:tabs>
          <w:tab w:leader="none" w:pos="3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Reflects the income tax impact associated with the above items. Tax impact on non-GAAP pre-tax income is calculated under the same accounting principles applied to the GAAP pre-tax income under ASC 740, which employs an annual effective tax rate method to the results.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color w:val="auto"/>
        </w:rPr>
        <w:t>The GAAP and non-GAAP earnings per share information is presented as calculated. The sum of these measures, as presented, may differ due to the impact of rounding.</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ind w:right="5220"/>
        <w:spacing w:after="0" w:line="260" w:lineRule="auto"/>
        <w:rPr>
          <w:sz w:val="20"/>
          <w:szCs w:val="20"/>
          <w:color w:val="auto"/>
        </w:rPr>
      </w:pPr>
      <w:r>
        <w:rPr>
          <w:rFonts w:ascii="Arial" w:cs="Arial" w:eastAsia="Arial" w:hAnsi="Arial"/>
          <w:sz w:val="18"/>
          <w:szCs w:val="18"/>
          <w:b w:val="1"/>
          <w:bCs w:val="1"/>
          <w:color w:val="auto"/>
        </w:rPr>
        <w:t>RECONCILIATION OF GAAP NET INCOME TO NON-GAAP MEASURES (Amounts in millions, except per share data)</w:t>
      </w:r>
    </w:p>
    <w:p>
      <w:pPr>
        <w:spacing w:after="0" w:line="200" w:lineRule="exact"/>
        <w:rPr>
          <w:sz w:val="20"/>
          <w:szCs w:val="20"/>
          <w:color w:val="auto"/>
        </w:rPr>
      </w:pPr>
    </w:p>
    <w:p>
      <w:pPr>
        <w:spacing w:after="0" w:line="282"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right="14"/>
              <w:spacing w:after="0"/>
              <w:rPr>
                <w:sz w:val="20"/>
                <w:szCs w:val="20"/>
                <w:color w:val="auto"/>
              </w:rPr>
            </w:pPr>
            <w:r>
              <w:rPr>
                <w:rFonts w:ascii="Arial" w:cs="Arial" w:eastAsia="Arial" w:hAnsi="Arial"/>
                <w:sz w:val="13"/>
                <w:szCs w:val="13"/>
                <w:b w:val="1"/>
                <w:bCs w:val="1"/>
                <w:color w:val="auto"/>
                <w:w w:val="84"/>
              </w:rPr>
              <w:t>Cost of</w:t>
            </w: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Cost of Revenues</w:t>
            </w: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3"/>
              </w:rPr>
              <w:t>Cost of Revenues</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center"/>
              <w:ind w:right="53"/>
              <w:spacing w:after="0"/>
              <w:rPr>
                <w:sz w:val="20"/>
                <w:szCs w:val="20"/>
                <w:color w:val="auto"/>
              </w:rPr>
            </w:pPr>
            <w:r>
              <w:rPr>
                <w:rFonts w:ascii="Arial" w:cs="Arial" w:eastAsia="Arial" w:hAnsi="Arial"/>
                <w:sz w:val="13"/>
                <w:szCs w:val="13"/>
                <w:b w:val="1"/>
                <w:bCs w:val="1"/>
                <w:color w:val="auto"/>
                <w:w w:val="89"/>
              </w:rPr>
              <w:t>Cost of</w:t>
            </w:r>
          </w:p>
        </w:tc>
        <w:tc>
          <w:tcPr>
            <w:tcW w:w="80" w:type="dxa"/>
            <w:vAlign w:val="bottom"/>
          </w:tcPr>
          <w:p>
            <w:pPr>
              <w:spacing w:after="0"/>
              <w:rPr>
                <w:sz w:val="10"/>
                <w:szCs w:val="10"/>
                <w:color w:val="auto"/>
              </w:rPr>
            </w:pPr>
          </w:p>
        </w:tc>
        <w:tc>
          <w:tcPr>
            <w:tcW w:w="860" w:type="dxa"/>
            <w:vAlign w:val="bottom"/>
          </w:tcPr>
          <w:p>
            <w:pPr>
              <w:jc w:val="center"/>
              <w:ind w:right="14"/>
              <w:spacing w:after="0" w:line="122" w:lineRule="exact"/>
              <w:rPr>
                <w:sz w:val="20"/>
                <w:szCs w:val="20"/>
                <w:color w:val="auto"/>
              </w:rPr>
            </w:pPr>
            <w:r>
              <w:rPr>
                <w:rFonts w:ascii="Arial" w:cs="Arial" w:eastAsia="Arial" w:hAnsi="Arial"/>
                <w:sz w:val="13"/>
                <w:szCs w:val="13"/>
                <w:b w:val="1"/>
                <w:bCs w:val="1"/>
                <w:color w:val="auto"/>
                <w:w w:val="83"/>
              </w:rPr>
              <w:t>Revenues—</w:t>
            </w:r>
          </w:p>
        </w:tc>
        <w:tc>
          <w:tcPr>
            <w:tcW w:w="160" w:type="dxa"/>
            <w:vAlign w:val="bottom"/>
          </w:tcPr>
          <w:p>
            <w:pPr>
              <w:spacing w:after="0"/>
              <w:rPr>
                <w:sz w:val="10"/>
                <w:szCs w:val="10"/>
                <w:color w:val="auto"/>
              </w:rPr>
            </w:pPr>
          </w:p>
        </w:tc>
        <w:tc>
          <w:tcPr>
            <w:tcW w:w="860" w:type="dxa"/>
            <w:vAlign w:val="bottom"/>
          </w:tcPr>
          <w:p>
            <w:pPr>
              <w:jc w:val="center"/>
              <w:ind w:right="93"/>
              <w:spacing w:after="0" w:line="122" w:lineRule="exact"/>
              <w:rPr>
                <w:sz w:val="20"/>
                <w:szCs w:val="20"/>
                <w:color w:val="auto"/>
              </w:rPr>
            </w:pPr>
            <w:r>
              <w:rPr>
                <w:rFonts w:ascii="Arial" w:cs="Arial" w:eastAsia="Arial" w:hAnsi="Arial"/>
                <w:sz w:val="13"/>
                <w:szCs w:val="13"/>
                <w:b w:val="1"/>
                <w:bCs w:val="1"/>
                <w:color w:val="auto"/>
              </w:rPr>
              <w:t>—In-</w:t>
            </w:r>
          </w:p>
        </w:tc>
        <w:tc>
          <w:tcPr>
            <w:tcW w:w="120" w:type="dxa"/>
            <w:vAlign w:val="bottom"/>
          </w:tcPr>
          <w:p>
            <w:pPr>
              <w:spacing w:after="0"/>
              <w:rPr>
                <w:sz w:val="10"/>
                <w:szCs w:val="10"/>
                <w:color w:val="auto"/>
              </w:rPr>
            </w:pPr>
          </w:p>
        </w:tc>
        <w:tc>
          <w:tcPr>
            <w:tcW w:w="900" w:type="dxa"/>
            <w:vAlign w:val="bottom"/>
          </w:tcPr>
          <w:p>
            <w:pPr>
              <w:jc w:val="center"/>
              <w:ind w:right="74"/>
              <w:spacing w:after="0" w:line="122" w:lineRule="exact"/>
              <w:rPr>
                <w:sz w:val="20"/>
                <w:szCs w:val="20"/>
                <w:color w:val="auto"/>
              </w:rPr>
            </w:pPr>
            <w:r>
              <w:rPr>
                <w:rFonts w:ascii="Arial" w:cs="Arial" w:eastAsia="Arial" w:hAnsi="Arial"/>
                <w:sz w:val="13"/>
                <w:szCs w:val="13"/>
                <w:b w:val="1"/>
                <w:bCs w:val="1"/>
                <w:color w:val="auto"/>
                <w:w w:val="96"/>
              </w:rPr>
              <w:t>—In-</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14"/>
              <w:spacing w:after="0" w:line="131" w:lineRule="exact"/>
              <w:rPr>
                <w:sz w:val="20"/>
                <w:szCs w:val="20"/>
                <w:color w:val="auto"/>
              </w:rPr>
            </w:pPr>
            <w:r>
              <w:rPr>
                <w:rFonts w:ascii="Arial" w:cs="Arial" w:eastAsia="Arial" w:hAnsi="Arial"/>
                <w:sz w:val="13"/>
                <w:szCs w:val="13"/>
                <w:b w:val="1"/>
                <w:bCs w:val="1"/>
                <w:color w:val="auto"/>
                <w:w w:val="85"/>
              </w:rPr>
              <w:t>Product Sales:</w:t>
            </w:r>
          </w:p>
        </w:tc>
        <w:tc>
          <w:tcPr>
            <w:tcW w:w="2040" w:type="dxa"/>
            <w:vAlign w:val="bottom"/>
            <w:gridSpan w:val="4"/>
          </w:tcPr>
          <w:p>
            <w:pPr>
              <w:ind w:left="20"/>
              <w:spacing w:after="0" w:line="131" w:lineRule="exact"/>
              <w:rPr>
                <w:sz w:val="20"/>
                <w:szCs w:val="20"/>
                <w:color w:val="auto"/>
              </w:rPr>
            </w:pPr>
            <w:r>
              <w:rPr>
                <w:rFonts w:ascii="Arial" w:cs="Arial" w:eastAsia="Arial" w:hAnsi="Arial"/>
                <w:sz w:val="13"/>
                <w:szCs w:val="13"/>
                <w:b w:val="1"/>
                <w:bCs w:val="1"/>
                <w:color w:val="auto"/>
                <w:w w:val="87"/>
              </w:rPr>
              <w:t>game/Subs/Other: game/Subs/Other:</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53"/>
              <w:spacing w:after="0" w:line="126" w:lineRule="exact"/>
              <w:rPr>
                <w:sz w:val="20"/>
                <w:szCs w:val="20"/>
                <w:color w:val="auto"/>
              </w:rPr>
            </w:pPr>
            <w:r>
              <w:rPr>
                <w:rFonts w:ascii="Arial" w:cs="Arial" w:eastAsia="Arial" w:hAnsi="Arial"/>
                <w:sz w:val="13"/>
                <w:szCs w:val="13"/>
                <w:b w:val="1"/>
                <w:bCs w:val="1"/>
                <w:color w:val="auto"/>
                <w:w w:val="85"/>
              </w:rPr>
              <w:t>Revenues—</w:t>
            </w:r>
          </w:p>
        </w:tc>
        <w:tc>
          <w:tcPr>
            <w:tcW w:w="80" w:type="dxa"/>
            <w:vAlign w:val="bottom"/>
          </w:tcPr>
          <w:p>
            <w:pPr>
              <w:spacing w:after="0"/>
              <w:rPr>
                <w:sz w:val="10"/>
                <w:szCs w:val="10"/>
                <w:color w:val="auto"/>
              </w:rPr>
            </w:pPr>
          </w:p>
        </w:tc>
        <w:tc>
          <w:tcPr>
            <w:tcW w:w="860" w:type="dxa"/>
            <w:vAlign w:val="bottom"/>
          </w:tcPr>
          <w:p>
            <w:pPr>
              <w:jc w:val="center"/>
              <w:ind w:right="34"/>
              <w:spacing w:after="0" w:line="126" w:lineRule="exact"/>
              <w:rPr>
                <w:sz w:val="20"/>
                <w:szCs w:val="20"/>
                <w:color w:val="auto"/>
              </w:rPr>
            </w:pPr>
            <w:r>
              <w:rPr>
                <w:rFonts w:ascii="Arial" w:cs="Arial" w:eastAsia="Arial" w:hAnsi="Arial"/>
                <w:sz w:val="13"/>
                <w:szCs w:val="13"/>
                <w:b w:val="1"/>
                <w:bCs w:val="1"/>
                <w:color w:val="auto"/>
                <w:w w:val="87"/>
              </w:rPr>
              <w:t>Software</w:t>
            </w:r>
          </w:p>
        </w:tc>
        <w:tc>
          <w:tcPr>
            <w:tcW w:w="1020" w:type="dxa"/>
            <w:vAlign w:val="bottom"/>
            <w:gridSpan w:val="2"/>
          </w:tcPr>
          <w:p>
            <w:pPr>
              <w:ind w:left="40"/>
              <w:spacing w:after="0" w:line="126" w:lineRule="exact"/>
              <w:rPr>
                <w:sz w:val="20"/>
                <w:szCs w:val="20"/>
                <w:color w:val="auto"/>
              </w:rPr>
            </w:pPr>
            <w:r>
              <w:rPr>
                <w:rFonts w:ascii="Arial" w:cs="Arial" w:eastAsia="Arial" w:hAnsi="Arial"/>
                <w:sz w:val="13"/>
                <w:szCs w:val="13"/>
                <w:b w:val="1"/>
                <w:bCs w:val="1"/>
                <w:color w:val="auto"/>
                <w:w w:val="88"/>
              </w:rPr>
              <w:t>Game Operations</w:t>
            </w:r>
          </w:p>
        </w:tc>
        <w:tc>
          <w:tcPr>
            <w:tcW w:w="120" w:type="dxa"/>
            <w:vAlign w:val="bottom"/>
          </w:tcPr>
          <w:p>
            <w:pPr>
              <w:spacing w:after="0"/>
              <w:rPr>
                <w:sz w:val="10"/>
                <w:szCs w:val="10"/>
                <w:color w:val="auto"/>
              </w:rPr>
            </w:pPr>
          </w:p>
        </w:tc>
        <w:tc>
          <w:tcPr>
            <w:tcW w:w="900" w:type="dxa"/>
            <w:vAlign w:val="bottom"/>
          </w:tcPr>
          <w:p>
            <w:pPr>
              <w:jc w:val="center"/>
              <w:ind w:right="74"/>
              <w:spacing w:after="0" w:line="126" w:lineRule="exact"/>
              <w:rPr>
                <w:sz w:val="20"/>
                <w:szCs w:val="20"/>
                <w:color w:val="auto"/>
              </w:rPr>
            </w:pPr>
            <w:r>
              <w:rPr>
                <w:rFonts w:ascii="Arial" w:cs="Arial" w:eastAsia="Arial" w:hAnsi="Arial"/>
                <w:sz w:val="13"/>
                <w:szCs w:val="13"/>
                <w:b w:val="1"/>
                <w:bCs w:val="1"/>
                <w:color w:val="auto"/>
                <w:w w:val="87"/>
              </w:rPr>
              <w:t>Software</w:t>
            </w:r>
          </w:p>
        </w:tc>
        <w:tc>
          <w:tcPr>
            <w:tcW w:w="80" w:type="dxa"/>
            <w:vAlign w:val="bottom"/>
          </w:tcPr>
          <w:p>
            <w:pPr>
              <w:spacing w:after="0"/>
              <w:rPr>
                <w:sz w:val="10"/>
                <w:szCs w:val="10"/>
                <w:color w:val="auto"/>
              </w:rPr>
            </w:pPr>
          </w:p>
        </w:tc>
        <w:tc>
          <w:tcPr>
            <w:tcW w:w="800" w:type="dxa"/>
            <w:vAlign w:val="bottom"/>
            <w:vMerge w:val="restart"/>
          </w:tcPr>
          <w:p>
            <w:pPr>
              <w:jc w:val="right"/>
              <w:ind w:right="154"/>
              <w:spacing w:after="0"/>
              <w:rPr>
                <w:sz w:val="20"/>
                <w:szCs w:val="20"/>
                <w:color w:val="auto"/>
              </w:rPr>
            </w:pPr>
            <w:r>
              <w:rPr>
                <w:rFonts w:ascii="Arial" w:cs="Arial" w:eastAsia="Arial" w:hAnsi="Arial"/>
                <w:sz w:val="13"/>
                <w:szCs w:val="13"/>
                <w:b w:val="1"/>
                <w:bCs w:val="1"/>
                <w:color w:val="auto"/>
              </w:rPr>
              <w:t>Product</w:t>
            </w:r>
          </w:p>
        </w:tc>
        <w:tc>
          <w:tcPr>
            <w:tcW w:w="100" w:type="dxa"/>
            <w:vAlign w:val="bottom"/>
          </w:tcPr>
          <w:p>
            <w:pPr>
              <w:spacing w:after="0"/>
              <w:rPr>
                <w:sz w:val="10"/>
                <w:szCs w:val="10"/>
                <w:color w:val="auto"/>
              </w:rPr>
            </w:pPr>
          </w:p>
        </w:tc>
        <w:tc>
          <w:tcPr>
            <w:tcW w:w="74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auto"/>
                <w:w w:val="92"/>
              </w:rPr>
              <w:t>Sales and</w:t>
            </w:r>
          </w:p>
        </w:tc>
        <w:tc>
          <w:tcPr>
            <w:tcW w:w="100" w:type="dxa"/>
            <w:vAlign w:val="bottom"/>
          </w:tcPr>
          <w:p>
            <w:pPr>
              <w:spacing w:after="0"/>
              <w:rPr>
                <w:sz w:val="10"/>
                <w:szCs w:val="10"/>
                <w:color w:val="auto"/>
              </w:rPr>
            </w:pPr>
          </w:p>
        </w:tc>
        <w:tc>
          <w:tcPr>
            <w:tcW w:w="920" w:type="dxa"/>
            <w:vAlign w:val="bottom"/>
            <w:vMerge w:val="restart"/>
          </w:tcPr>
          <w:p>
            <w:pPr>
              <w:jc w:val="right"/>
              <w:ind w:right="114"/>
              <w:spacing w:after="0"/>
              <w:rPr>
                <w:sz w:val="20"/>
                <w:szCs w:val="20"/>
                <w:color w:val="auto"/>
              </w:rPr>
            </w:pPr>
            <w:r>
              <w:rPr>
                <w:rFonts w:ascii="Arial" w:cs="Arial" w:eastAsia="Arial" w:hAnsi="Arial"/>
                <w:sz w:val="13"/>
                <w:szCs w:val="13"/>
                <w:b w:val="1"/>
                <w:bCs w:val="1"/>
                <w:color w:val="auto"/>
                <w:w w:val="95"/>
              </w:rPr>
              <w:t>General and</w:t>
            </w:r>
          </w:p>
        </w:tc>
        <w:tc>
          <w:tcPr>
            <w:tcW w:w="120" w:type="dxa"/>
            <w:vAlign w:val="bottom"/>
          </w:tcPr>
          <w:p>
            <w:pPr>
              <w:spacing w:after="0"/>
              <w:rPr>
                <w:sz w:val="10"/>
                <w:szCs w:val="10"/>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w w:val="81"/>
              </w:rPr>
              <w:t>Total Costs</w:t>
            </w:r>
          </w:p>
        </w:tc>
        <w:tc>
          <w:tcPr>
            <w:tcW w:w="0" w:type="dxa"/>
            <w:vAlign w:val="bottom"/>
          </w:tcPr>
          <w:p>
            <w:pPr>
              <w:spacing w:after="0"/>
              <w:rPr>
                <w:sz w:val="1"/>
                <w:szCs w:val="1"/>
                <w:color w:val="auto"/>
              </w:rPr>
            </w:pPr>
          </w:p>
        </w:tc>
      </w:tr>
      <w:tr>
        <w:trPr>
          <w:trHeight w:val="122"/>
        </w:trPr>
        <w:tc>
          <w:tcPr>
            <w:tcW w:w="28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Six Months Ended June 30, 2023</w:t>
            </w:r>
          </w:p>
        </w:tc>
        <w:tc>
          <w:tcPr>
            <w:tcW w:w="8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3"/>
              </w:rPr>
              <w:t>Net Revenues</w:t>
            </w:r>
          </w:p>
        </w:tc>
        <w:tc>
          <w:tcPr>
            <w:tcW w:w="92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3"/>
              </w:rPr>
              <w:t>Product Sales:</w:t>
            </w:r>
          </w:p>
        </w:tc>
        <w:tc>
          <w:tcPr>
            <w:tcW w:w="80" w:type="dxa"/>
            <w:vAlign w:val="bottom"/>
          </w:tcPr>
          <w:p>
            <w:pPr>
              <w:spacing w:after="0"/>
              <w:rPr>
                <w:sz w:val="10"/>
                <w:szCs w:val="10"/>
                <w:color w:val="auto"/>
              </w:rPr>
            </w:pPr>
          </w:p>
        </w:tc>
        <w:tc>
          <w:tcPr>
            <w:tcW w:w="860" w:type="dxa"/>
            <w:vAlign w:val="bottom"/>
          </w:tcPr>
          <w:p>
            <w:pPr>
              <w:jc w:val="center"/>
              <w:ind w:right="14"/>
              <w:spacing w:after="0" w:line="122" w:lineRule="exact"/>
              <w:rPr>
                <w:sz w:val="20"/>
                <w:szCs w:val="20"/>
                <w:color w:val="auto"/>
              </w:rPr>
            </w:pPr>
            <w:r>
              <w:rPr>
                <w:rFonts w:ascii="Arial" w:cs="Arial" w:eastAsia="Arial" w:hAnsi="Arial"/>
                <w:sz w:val="13"/>
                <w:szCs w:val="13"/>
                <w:b w:val="1"/>
                <w:bCs w:val="1"/>
                <w:color w:val="auto"/>
                <w:w w:val="87"/>
              </w:rPr>
              <w:t>Royalties and</w:t>
            </w:r>
          </w:p>
        </w:tc>
        <w:tc>
          <w:tcPr>
            <w:tcW w:w="102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0"/>
              </w:rPr>
              <w:t>and Distribution</w:t>
            </w:r>
          </w:p>
        </w:tc>
        <w:tc>
          <w:tcPr>
            <w:tcW w:w="120" w:type="dxa"/>
            <w:vAlign w:val="bottom"/>
          </w:tcPr>
          <w:p>
            <w:pPr>
              <w:spacing w:after="0"/>
              <w:rPr>
                <w:sz w:val="10"/>
                <w:szCs w:val="10"/>
                <w:color w:val="auto"/>
              </w:rPr>
            </w:pPr>
          </w:p>
        </w:tc>
        <w:tc>
          <w:tcPr>
            <w:tcW w:w="900" w:type="dxa"/>
            <w:vAlign w:val="bottom"/>
          </w:tcPr>
          <w:p>
            <w:pPr>
              <w:jc w:val="center"/>
              <w:ind w:right="54"/>
              <w:spacing w:after="0" w:line="122" w:lineRule="exact"/>
              <w:rPr>
                <w:sz w:val="20"/>
                <w:szCs w:val="20"/>
                <w:color w:val="auto"/>
              </w:rPr>
            </w:pPr>
            <w:r>
              <w:rPr>
                <w:rFonts w:ascii="Arial" w:cs="Arial" w:eastAsia="Arial" w:hAnsi="Arial"/>
                <w:sz w:val="13"/>
                <w:szCs w:val="13"/>
                <w:b w:val="1"/>
                <w:bCs w:val="1"/>
                <w:color w:val="auto"/>
                <w:w w:val="87"/>
              </w:rPr>
              <w:t>Royalties and</w:t>
            </w: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8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Product Costs</w:t>
            </w:r>
          </w:p>
        </w:tc>
        <w:tc>
          <w:tcPr>
            <w:tcW w:w="80" w:type="dxa"/>
            <w:vAlign w:val="bottom"/>
          </w:tcPr>
          <w:p>
            <w:pPr>
              <w:spacing w:after="0"/>
              <w:rPr>
                <w:sz w:val="14"/>
                <w:szCs w:val="14"/>
                <w:color w:val="auto"/>
              </w:rPr>
            </w:pPr>
          </w:p>
        </w:tc>
        <w:tc>
          <w:tcPr>
            <w:tcW w:w="860" w:type="dxa"/>
            <w:vAlign w:val="bottom"/>
          </w:tcPr>
          <w:p>
            <w:pPr>
              <w:jc w:val="center"/>
              <w:ind w:right="34"/>
              <w:spacing w:after="0"/>
              <w:rPr>
                <w:sz w:val="20"/>
                <w:szCs w:val="20"/>
                <w:color w:val="auto"/>
              </w:rPr>
            </w:pPr>
            <w:r>
              <w:rPr>
                <w:rFonts w:ascii="Arial" w:cs="Arial" w:eastAsia="Arial" w:hAnsi="Arial"/>
                <w:sz w:val="13"/>
                <w:szCs w:val="13"/>
                <w:b w:val="1"/>
                <w:bCs w:val="1"/>
                <w:color w:val="auto"/>
                <w:w w:val="90"/>
              </w:rPr>
              <w:t>Amortization</w:t>
            </w:r>
          </w:p>
        </w:tc>
        <w:tc>
          <w:tcPr>
            <w:tcW w:w="160" w:type="dxa"/>
            <w:vAlign w:val="bottom"/>
          </w:tcPr>
          <w:p>
            <w:pPr>
              <w:spacing w:after="0"/>
              <w:rPr>
                <w:sz w:val="14"/>
                <w:szCs w:val="14"/>
                <w:color w:val="auto"/>
              </w:rPr>
            </w:pPr>
          </w:p>
        </w:tc>
        <w:tc>
          <w:tcPr>
            <w:tcW w:w="860" w:type="dxa"/>
            <w:vAlign w:val="bottom"/>
          </w:tcPr>
          <w:p>
            <w:pPr>
              <w:jc w:val="center"/>
              <w:ind w:right="93"/>
              <w:spacing w:after="0"/>
              <w:rPr>
                <w:sz w:val="20"/>
                <w:szCs w:val="20"/>
                <w:color w:val="auto"/>
              </w:rPr>
            </w:pPr>
            <w:r>
              <w:rPr>
                <w:rFonts w:ascii="Arial" w:cs="Arial" w:eastAsia="Arial" w:hAnsi="Arial"/>
                <w:sz w:val="13"/>
                <w:szCs w:val="13"/>
                <w:b w:val="1"/>
                <w:bCs w:val="1"/>
                <w:color w:val="auto"/>
                <w:w w:val="82"/>
              </w:rPr>
              <w:t>Costs</w:t>
            </w:r>
          </w:p>
        </w:tc>
        <w:tc>
          <w:tcPr>
            <w:tcW w:w="120" w:type="dxa"/>
            <w:vAlign w:val="bottom"/>
          </w:tcPr>
          <w:p>
            <w:pPr>
              <w:spacing w:after="0"/>
              <w:rPr>
                <w:sz w:val="14"/>
                <w:szCs w:val="14"/>
                <w:color w:val="auto"/>
              </w:rPr>
            </w:pPr>
          </w:p>
        </w:tc>
        <w:tc>
          <w:tcPr>
            <w:tcW w:w="900" w:type="dxa"/>
            <w:vAlign w:val="bottom"/>
          </w:tcPr>
          <w:p>
            <w:pPr>
              <w:jc w:val="center"/>
              <w:ind w:right="74"/>
              <w:spacing w:after="0"/>
              <w:rPr>
                <w:sz w:val="20"/>
                <w:szCs w:val="20"/>
                <w:color w:val="auto"/>
              </w:rPr>
            </w:pPr>
            <w:r>
              <w:rPr>
                <w:rFonts w:ascii="Arial" w:cs="Arial" w:eastAsia="Arial" w:hAnsi="Arial"/>
                <w:sz w:val="13"/>
                <w:szCs w:val="13"/>
                <w:b w:val="1"/>
                <w:bCs w:val="1"/>
                <w:color w:val="auto"/>
                <w:w w:val="90"/>
              </w:rPr>
              <w:t>Amortization</w:t>
            </w:r>
          </w:p>
        </w:tc>
        <w:tc>
          <w:tcPr>
            <w:tcW w:w="8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b w:val="1"/>
                <w:bCs w:val="1"/>
                <w:color w:val="auto"/>
                <w:w w:val="83"/>
              </w:rPr>
              <w:t>Development</w:t>
            </w:r>
          </w:p>
        </w:tc>
        <w:tc>
          <w:tcPr>
            <w:tcW w:w="100" w:type="dxa"/>
            <w:vAlign w:val="bottom"/>
          </w:tcPr>
          <w:p>
            <w:pPr>
              <w:spacing w:after="0"/>
              <w:rPr>
                <w:sz w:val="14"/>
                <w:szCs w:val="14"/>
                <w:color w:val="auto"/>
              </w:rPr>
            </w:pPr>
          </w:p>
        </w:tc>
        <w:tc>
          <w:tcPr>
            <w:tcW w:w="740" w:type="dxa"/>
            <w:vAlign w:val="bottom"/>
          </w:tcPr>
          <w:p>
            <w:pPr>
              <w:jc w:val="right"/>
              <w:ind w:right="74"/>
              <w:spacing w:after="0"/>
              <w:rPr>
                <w:sz w:val="20"/>
                <w:szCs w:val="20"/>
                <w:color w:val="auto"/>
              </w:rPr>
            </w:pPr>
            <w:r>
              <w:rPr>
                <w:rFonts w:ascii="Arial" w:cs="Arial" w:eastAsia="Arial" w:hAnsi="Arial"/>
                <w:sz w:val="13"/>
                <w:szCs w:val="13"/>
                <w:b w:val="1"/>
                <w:bCs w:val="1"/>
                <w:color w:val="auto"/>
                <w:w w:val="94"/>
              </w:rPr>
              <w:t>Marketing</w:t>
            </w:r>
          </w:p>
        </w:tc>
        <w:tc>
          <w:tcPr>
            <w:tcW w:w="100" w:type="dxa"/>
            <w:vAlign w:val="bottom"/>
          </w:tcPr>
          <w:p>
            <w:pPr>
              <w:spacing w:after="0"/>
              <w:rPr>
                <w:sz w:val="14"/>
                <w:szCs w:val="14"/>
                <w:color w:val="auto"/>
              </w:rPr>
            </w:pPr>
          </w:p>
        </w:tc>
        <w:tc>
          <w:tcPr>
            <w:tcW w:w="920" w:type="dxa"/>
            <w:vAlign w:val="bottom"/>
          </w:tcPr>
          <w:p>
            <w:pPr>
              <w:jc w:val="right"/>
              <w:ind w:right="34"/>
              <w:spacing w:after="0"/>
              <w:rPr>
                <w:sz w:val="20"/>
                <w:szCs w:val="20"/>
                <w:color w:val="auto"/>
              </w:rPr>
            </w:pPr>
            <w:r>
              <w:rPr>
                <w:rFonts w:ascii="Arial" w:cs="Arial" w:eastAsia="Arial" w:hAnsi="Arial"/>
                <w:sz w:val="13"/>
                <w:szCs w:val="13"/>
                <w:b w:val="1"/>
                <w:bCs w:val="1"/>
                <w:color w:val="auto"/>
                <w:w w:val="88"/>
              </w:rPr>
              <w:t>Administrative</w:t>
            </w:r>
          </w:p>
        </w:tc>
        <w:tc>
          <w:tcPr>
            <w:tcW w:w="84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and Expenses</w:t>
            </w:r>
          </w:p>
        </w:tc>
        <w:tc>
          <w:tcPr>
            <w:tcW w:w="0" w:type="dxa"/>
            <w:vAlign w:val="bottom"/>
          </w:tcPr>
          <w:p>
            <w:pPr>
              <w:spacing w:after="0"/>
              <w:rPr>
                <w:sz w:val="1"/>
                <w:szCs w:val="1"/>
                <w:color w:val="auto"/>
              </w:rPr>
            </w:pPr>
          </w:p>
        </w:tc>
      </w:tr>
      <w:tr>
        <w:trPr>
          <w:trHeight w:val="25"/>
        </w:trPr>
        <w:tc>
          <w:tcPr>
            <w:tcW w:w="2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GAAP Measurement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126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3,207</w:t>
            </w:r>
          </w:p>
        </w:tc>
        <w:tc>
          <w:tcPr>
            <w:tcW w:w="0" w:type="dxa"/>
            <w:vAlign w:val="bottom"/>
          </w:tcPr>
          <w:p>
            <w:pPr>
              <w:spacing w:after="0"/>
              <w:rPr>
                <w:sz w:val="1"/>
                <w:szCs w:val="1"/>
                <w:color w:val="auto"/>
              </w:rPr>
            </w:pPr>
          </w:p>
        </w:tc>
      </w:tr>
      <w:tr>
        <w:trPr>
          <w:trHeight w:val="189"/>
        </w:trPr>
        <w:tc>
          <w:tcPr>
            <w:tcW w:w="2800" w:type="dxa"/>
            <w:vAlign w:val="bottom"/>
          </w:tcPr>
          <w:p>
            <w:pPr>
              <w:ind w:left="140"/>
              <w:spacing w:after="0" w:line="189" w:lineRule="exact"/>
              <w:rPr>
                <w:sz w:val="20"/>
                <w:szCs w:val="20"/>
                <w:color w:val="auto"/>
              </w:rPr>
            </w:pPr>
            <w:r>
              <w:rPr>
                <w:rFonts w:ascii="Arial" w:cs="Arial" w:eastAsia="Arial" w:hAnsi="Arial"/>
                <w:sz w:val="13"/>
                <w:szCs w:val="13"/>
                <w:color w:val="auto"/>
              </w:rPr>
              <w:t>Share-based compensation</w:t>
            </w:r>
            <w:r>
              <w:rPr>
                <w:rFonts w:ascii="Arial" w:cs="Arial" w:eastAsia="Arial" w:hAnsi="Arial"/>
                <w:sz w:val="17"/>
                <w:szCs w:val="17"/>
                <w:color w:val="auto"/>
                <w:vertAlign w:val="superscript"/>
              </w:rPr>
              <w:t>1</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(38)</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189"/>
        </w:trPr>
        <w:tc>
          <w:tcPr>
            <w:tcW w:w="2800" w:type="dxa"/>
            <w:vAlign w:val="bottom"/>
            <w:shd w:val="clear" w:color="auto" w:fill="CCEEFF"/>
          </w:tcPr>
          <w:p>
            <w:pPr>
              <w:ind w:left="140"/>
              <w:spacing w:after="0" w:line="189" w:lineRule="exact"/>
              <w:rPr>
                <w:sz w:val="20"/>
                <w:szCs w:val="20"/>
                <w:color w:val="auto"/>
              </w:rPr>
            </w:pPr>
            <w:r>
              <w:rPr>
                <w:rFonts w:ascii="Arial" w:cs="Arial" w:eastAsia="Arial" w:hAnsi="Arial"/>
                <w:sz w:val="13"/>
                <w:szCs w:val="13"/>
                <w:color w:val="auto"/>
              </w:rPr>
              <w:t>Amortization of intangible assets</w:t>
            </w:r>
            <w:r>
              <w:rPr>
                <w:rFonts w:ascii="Arial" w:cs="Arial" w:eastAsia="Arial" w:hAnsi="Arial"/>
                <w:sz w:val="17"/>
                <w:szCs w:val="17"/>
                <w:color w:val="auto"/>
                <w:vertAlign w:val="superscript"/>
              </w:rPr>
              <w:t>2</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9"/>
        </w:trPr>
        <w:tc>
          <w:tcPr>
            <w:tcW w:w="2800" w:type="dxa"/>
            <w:vAlign w:val="bottom"/>
          </w:tcPr>
          <w:p>
            <w:pPr>
              <w:ind w:left="140"/>
              <w:spacing w:after="0" w:line="189" w:lineRule="exact"/>
              <w:rPr>
                <w:sz w:val="20"/>
                <w:szCs w:val="20"/>
                <w:color w:val="auto"/>
              </w:rPr>
            </w:pPr>
            <w:r>
              <w:rPr>
                <w:rFonts w:ascii="Arial" w:cs="Arial" w:eastAsia="Arial" w:hAnsi="Arial"/>
                <w:sz w:val="13"/>
                <w:szCs w:val="13"/>
                <w:color w:val="auto"/>
              </w:rPr>
              <w:t>Partnership wind down and related costs</w:t>
            </w:r>
            <w:r>
              <w:rPr>
                <w:rFonts w:ascii="Arial" w:cs="Arial" w:eastAsia="Arial" w:hAnsi="Arial"/>
                <w:sz w:val="17"/>
                <w:szCs w:val="17"/>
                <w:color w:val="auto"/>
                <w:vertAlign w:val="superscript"/>
              </w:rPr>
              <w:t>3</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Merger and acquisition-related fees and other</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75"/>
        </w:trPr>
        <w:tc>
          <w:tcPr>
            <w:tcW w:w="280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3"/>
                <w:szCs w:val="13"/>
                <w:color w:val="auto"/>
              </w:rPr>
              <w:t>expenses</w:t>
            </w:r>
            <w:r>
              <w:rPr>
                <w:rFonts w:ascii="Arial" w:cs="Arial" w:eastAsia="Arial" w:hAnsi="Arial"/>
                <w:sz w:val="17"/>
                <w:szCs w:val="17"/>
                <w:color w:val="auto"/>
                <w:vertAlign w:val="superscript"/>
              </w:rPr>
              <w:t>4</w:t>
            </w: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800" w:type="dxa"/>
            <w:vAlign w:val="bottom"/>
          </w:tcPr>
          <w:p>
            <w:pPr>
              <w:ind w:left="20"/>
              <w:spacing w:after="0"/>
              <w:rPr>
                <w:sz w:val="20"/>
                <w:szCs w:val="20"/>
                <w:color w:val="auto"/>
              </w:rPr>
            </w:pPr>
            <w:r>
              <w:rPr>
                <w:rFonts w:ascii="Arial" w:cs="Arial" w:eastAsia="Arial" w:hAnsi="Arial"/>
                <w:sz w:val="13"/>
                <w:szCs w:val="13"/>
                <w:color w:val="auto"/>
              </w:rPr>
              <w:t>Non-GAAP Measurement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4,590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115</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2,933</w:t>
            </w:r>
          </w:p>
        </w:tc>
        <w:tc>
          <w:tcPr>
            <w:tcW w:w="0" w:type="dxa"/>
            <w:vAlign w:val="bottom"/>
          </w:tcPr>
          <w:p>
            <w:pPr>
              <w:spacing w:after="0"/>
              <w:rPr>
                <w:sz w:val="1"/>
                <w:szCs w:val="1"/>
                <w:color w:val="auto"/>
              </w:rPr>
            </w:pP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800" w:type="dxa"/>
            <w:vAlign w:val="bottom"/>
            <w:shd w:val="clear" w:color="auto" w:fill="CCEEFF"/>
          </w:tcPr>
          <w:p>
            <w:pPr>
              <w:ind w:left="140"/>
              <w:spacing w:after="0" w:line="105" w:lineRule="exact"/>
              <w:rPr>
                <w:sz w:val="20"/>
                <w:szCs w:val="20"/>
                <w:color w:val="auto"/>
              </w:rPr>
            </w:pPr>
            <w:r>
              <w:rPr>
                <w:rFonts w:ascii="Arial" w:cs="Arial" w:eastAsia="Arial" w:hAnsi="Arial"/>
                <w:sz w:val="12"/>
                <w:szCs w:val="12"/>
                <w:color w:val="auto"/>
              </w:rPr>
              <w:t>Net effect of deferred revenues and related cost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86"/>
        </w:trPr>
        <w:tc>
          <w:tcPr>
            <w:tcW w:w="2800" w:type="dxa"/>
            <w:vAlign w:val="bottom"/>
            <w:shd w:val="clear" w:color="auto" w:fill="CCEEFF"/>
          </w:tcPr>
          <w:p>
            <w:pPr>
              <w:ind w:left="140"/>
              <w:spacing w:after="0" w:line="186" w:lineRule="exact"/>
              <w:rPr>
                <w:sz w:val="20"/>
                <w:szCs w:val="20"/>
                <w:color w:val="auto"/>
              </w:rPr>
            </w:pPr>
            <w:r>
              <w:rPr>
                <w:rFonts w:ascii="Arial" w:cs="Arial" w:eastAsia="Arial" w:hAnsi="Arial"/>
                <w:sz w:val="13"/>
                <w:szCs w:val="13"/>
                <w:color w:val="auto"/>
              </w:rPr>
              <w:t>of revenues</w:t>
            </w:r>
            <w:r>
              <w:rPr>
                <w:rFonts w:ascii="Arial" w:cs="Arial" w:eastAsia="Arial" w:hAnsi="Arial"/>
                <w:sz w:val="17"/>
                <w:szCs w:val="17"/>
                <w:color w:val="auto"/>
                <w:vertAlign w:val="superscript"/>
              </w:rPr>
              <w:t>5</w:t>
            </w:r>
          </w:p>
        </w:tc>
        <w:tc>
          <w:tcPr>
            <w:tcW w:w="1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2"/>
          </w:tcPr>
          <w:p>
            <w:pPr>
              <w:spacing w:after="0"/>
              <w:rPr>
                <w:sz w:val="23"/>
                <w:szCs w:val="23"/>
                <w:color w:val="auto"/>
              </w:rPr>
            </w:pPr>
          </w:p>
        </w:tc>
        <w:tc>
          <w:tcPr>
            <w:tcW w:w="1020" w:type="dxa"/>
            <w:vAlign w:val="bottom"/>
            <w:tcBorders>
              <w:bottom w:val="single" w:sz="8" w:color="auto"/>
            </w:tcBorders>
            <w:gridSpan w:val="2"/>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5"/>
        </w:trPr>
        <w:tc>
          <w:tcPr>
            <w:tcW w:w="2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right="53"/>
              <w:spacing w:after="0" w:line="115" w:lineRule="exact"/>
              <w:rPr>
                <w:sz w:val="20"/>
                <w:szCs w:val="20"/>
                <w:color w:val="auto"/>
              </w:rPr>
            </w:pPr>
            <w:r>
              <w:rPr>
                <w:rFonts w:ascii="Arial" w:cs="Arial" w:eastAsia="Arial" w:hAnsi="Arial"/>
                <w:sz w:val="13"/>
                <w:szCs w:val="13"/>
                <w:b w:val="1"/>
                <w:bCs w:val="1"/>
                <w:color w:val="auto"/>
                <w:w w:val="91"/>
              </w:rPr>
              <w:t>Operating</w:t>
            </w:r>
          </w:p>
        </w:tc>
        <w:tc>
          <w:tcPr>
            <w:tcW w:w="120" w:type="dxa"/>
            <w:vAlign w:val="bottom"/>
          </w:tcPr>
          <w:p>
            <w:pPr>
              <w:spacing w:after="0"/>
              <w:rPr>
                <w:sz w:val="10"/>
                <w:szCs w:val="10"/>
                <w:color w:val="auto"/>
              </w:rPr>
            </w:pPr>
          </w:p>
        </w:tc>
        <w:tc>
          <w:tcPr>
            <w:tcW w:w="800" w:type="dxa"/>
            <w:vAlign w:val="bottom"/>
            <w:vMerge w:val="restart"/>
          </w:tcPr>
          <w:p>
            <w:pPr>
              <w:jc w:val="center"/>
              <w:ind w:right="53"/>
              <w:spacing w:after="0"/>
              <w:rPr>
                <w:sz w:val="20"/>
                <w:szCs w:val="20"/>
                <w:color w:val="auto"/>
              </w:rPr>
            </w:pPr>
            <w:r>
              <w:rPr>
                <w:rFonts w:ascii="Arial" w:cs="Arial" w:eastAsia="Arial" w:hAnsi="Arial"/>
                <w:sz w:val="13"/>
                <w:szCs w:val="13"/>
                <w:b w:val="1"/>
                <w:bCs w:val="1"/>
                <w:color w:val="auto"/>
                <w:w w:val="85"/>
              </w:rPr>
              <w:t>Net Income</w:t>
            </w:r>
          </w:p>
        </w:tc>
        <w:tc>
          <w:tcPr>
            <w:tcW w:w="94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auto"/>
                <w:w w:val="87"/>
              </w:rPr>
              <w:t>Basic Earnings</w:t>
            </w:r>
          </w:p>
        </w:tc>
        <w:tc>
          <w:tcPr>
            <w:tcW w:w="102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auto"/>
                <w:w w:val="89"/>
              </w:rPr>
              <w:t>Diluted Earnings</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87"/>
              </w:rPr>
              <w:t>Income</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9"/>
              </w:rPr>
              <w:t>per Share</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89"/>
              </w:rPr>
              <w:t>per Share</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GAAP Measurement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tcPr>
          <w:p>
            <w:pPr>
              <w:ind w:left="140"/>
              <w:spacing w:after="0" w:line="189" w:lineRule="exact"/>
              <w:rPr>
                <w:sz w:val="20"/>
                <w:szCs w:val="20"/>
                <w:color w:val="auto"/>
              </w:rPr>
            </w:pPr>
            <w:r>
              <w:rPr>
                <w:rFonts w:ascii="Arial" w:cs="Arial" w:eastAsia="Arial" w:hAnsi="Arial"/>
                <w:sz w:val="13"/>
                <w:szCs w:val="13"/>
                <w:color w:val="auto"/>
              </w:rPr>
              <w:t>Share-based compensation</w:t>
            </w:r>
            <w:r>
              <w:rPr>
                <w:rFonts w:ascii="Arial" w:cs="Arial" w:eastAsia="Arial" w:hAnsi="Arial"/>
                <w:sz w:val="17"/>
                <w:szCs w:val="17"/>
                <w:color w:val="auto"/>
                <w:vertAlign w:val="superscript"/>
              </w:rPr>
              <w:t>1</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226</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226</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0.29</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0.29</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CEEFF"/>
          </w:tcPr>
          <w:p>
            <w:pPr>
              <w:ind w:left="140"/>
              <w:spacing w:after="0" w:line="189" w:lineRule="exact"/>
              <w:rPr>
                <w:sz w:val="20"/>
                <w:szCs w:val="20"/>
                <w:color w:val="auto"/>
              </w:rPr>
            </w:pPr>
            <w:r>
              <w:rPr>
                <w:rFonts w:ascii="Arial" w:cs="Arial" w:eastAsia="Arial" w:hAnsi="Arial"/>
                <w:sz w:val="13"/>
                <w:szCs w:val="13"/>
                <w:color w:val="auto"/>
              </w:rPr>
              <w:t>Amortization of intangible assets</w:t>
            </w:r>
            <w:r>
              <w:rPr>
                <w:rFonts w:ascii="Arial" w:cs="Arial" w:eastAsia="Arial" w:hAnsi="Arial"/>
                <w:sz w:val="17"/>
                <w:szCs w:val="17"/>
                <w:color w:val="auto"/>
                <w:vertAlign w:val="superscript"/>
              </w:rPr>
              <w:t>2</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tcPr>
          <w:p>
            <w:pPr>
              <w:ind w:left="140"/>
              <w:spacing w:after="0" w:line="189" w:lineRule="exact"/>
              <w:rPr>
                <w:sz w:val="20"/>
                <w:szCs w:val="20"/>
                <w:color w:val="auto"/>
              </w:rPr>
            </w:pPr>
            <w:r>
              <w:rPr>
                <w:rFonts w:ascii="Arial" w:cs="Arial" w:eastAsia="Arial" w:hAnsi="Arial"/>
                <w:sz w:val="13"/>
                <w:szCs w:val="13"/>
                <w:color w:val="auto"/>
              </w:rPr>
              <w:t>Partnership wind down and related costs</w:t>
            </w:r>
            <w:r>
              <w:rPr>
                <w:rFonts w:ascii="Arial" w:cs="Arial" w:eastAsia="Arial" w:hAnsi="Arial"/>
                <w:sz w:val="17"/>
                <w:szCs w:val="17"/>
                <w:color w:val="auto"/>
                <w:vertAlign w:val="superscript"/>
              </w:rPr>
              <w:t>3</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80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color w:val="auto"/>
              </w:rPr>
              <w:t>Merger and acquisition-related fees and other</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0.05</w:t>
            </w:r>
          </w:p>
        </w:tc>
        <w:tc>
          <w:tcPr>
            <w:tcW w:w="1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0.05</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800" w:type="dxa"/>
            <w:vAlign w:val="bottom"/>
            <w:shd w:val="clear" w:color="auto" w:fill="CCEEFF"/>
          </w:tcPr>
          <w:p>
            <w:pPr>
              <w:ind w:left="140"/>
              <w:spacing w:after="0" w:line="186" w:lineRule="exact"/>
              <w:rPr>
                <w:sz w:val="20"/>
                <w:szCs w:val="20"/>
                <w:color w:val="auto"/>
              </w:rPr>
            </w:pPr>
            <w:r>
              <w:rPr>
                <w:rFonts w:ascii="Arial" w:cs="Arial" w:eastAsia="Arial" w:hAnsi="Arial"/>
                <w:sz w:val="13"/>
                <w:szCs w:val="13"/>
                <w:color w:val="auto"/>
              </w:rPr>
              <w:t>expenses</w:t>
            </w:r>
            <w:r>
              <w:rPr>
                <w:rFonts w:ascii="Arial" w:cs="Arial" w:eastAsia="Arial" w:hAnsi="Arial"/>
                <w:sz w:val="17"/>
                <w:szCs w:val="17"/>
                <w:color w:val="auto"/>
                <w:vertAlign w:val="superscript"/>
              </w:rPr>
              <w:t>4</w:t>
            </w: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tcBorders>
              <w:bottom w:val="single" w:sz="8" w:color="CCEEFF"/>
            </w:tcBorders>
          </w:tcPr>
          <w:p>
            <w:pPr>
              <w:ind w:left="140"/>
              <w:spacing w:after="0" w:line="189" w:lineRule="exact"/>
              <w:rPr>
                <w:sz w:val="20"/>
                <w:szCs w:val="20"/>
                <w:color w:val="auto"/>
              </w:rPr>
            </w:pPr>
            <w:r>
              <w:rPr>
                <w:rFonts w:ascii="Arial" w:cs="Arial" w:eastAsia="Arial" w:hAnsi="Arial"/>
                <w:sz w:val="13"/>
                <w:szCs w:val="13"/>
                <w:color w:val="auto"/>
              </w:rPr>
              <w:t>Income tax impacts from items above</w:t>
            </w:r>
            <w:r>
              <w:rPr>
                <w:rFonts w:ascii="Arial" w:cs="Arial" w:eastAsia="Arial" w:hAnsi="Arial"/>
                <w:sz w:val="17"/>
                <w:szCs w:val="17"/>
                <w:color w:val="auto"/>
                <w:vertAlign w:val="superscript"/>
              </w:rPr>
              <w:t>6</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(0.02)</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(0.02)</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Non-GAAP Measurement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1,589</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vMerge w:val="restart"/>
          </w:tcPr>
          <w:p>
            <w:pPr>
              <w:ind w:left="140"/>
              <w:spacing w:after="0" w:line="122" w:lineRule="exact"/>
              <w:rPr>
                <w:sz w:val="20"/>
                <w:szCs w:val="20"/>
                <w:color w:val="auto"/>
              </w:rPr>
            </w:pPr>
            <w:r>
              <w:rPr>
                <w:rFonts w:ascii="Arial" w:cs="Arial" w:eastAsia="Arial" w:hAnsi="Arial"/>
                <w:sz w:val="13"/>
                <w:szCs w:val="13"/>
                <w:color w:val="auto"/>
                <w:w w:val="95"/>
              </w:rPr>
              <w:t>Net effect of deferred revenues and related cost</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800" w:type="dxa"/>
            <w:vAlign w:val="bottom"/>
            <w:vMerge w:val="continue"/>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(308)</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(262)</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(0.33)</w:t>
            </w:r>
          </w:p>
        </w:tc>
        <w:tc>
          <w:tcPr>
            <w:tcW w:w="1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(0.33)</w:t>
            </w: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800" w:type="dxa"/>
            <w:vAlign w:val="bottom"/>
          </w:tcPr>
          <w:p>
            <w:pPr>
              <w:ind w:left="140"/>
              <w:spacing w:after="0"/>
              <w:rPr>
                <w:sz w:val="20"/>
                <w:szCs w:val="20"/>
                <w:color w:val="auto"/>
              </w:rPr>
            </w:pPr>
            <w:r>
              <w:rPr>
                <w:rFonts w:ascii="Arial" w:cs="Arial" w:eastAsia="Arial" w:hAnsi="Arial"/>
                <w:sz w:val="13"/>
                <w:szCs w:val="13"/>
                <w:color w:val="auto"/>
              </w:rPr>
              <w:t>of revenues</w:t>
            </w:r>
            <w:r>
              <w:rPr>
                <w:rFonts w:ascii="Arial" w:cs="Arial" w:eastAsia="Arial" w:hAnsi="Arial"/>
                <w:sz w:val="17"/>
                <w:szCs w:val="17"/>
                <w:color w:val="auto"/>
                <w:vertAlign w:val="superscript"/>
              </w:rPr>
              <w:t>5</w:t>
            </w:r>
          </w:p>
        </w:tc>
        <w:tc>
          <w:tcPr>
            <w:tcW w:w="12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Reflects expenses related to share-based compensation.</w:t>
      </w:r>
    </w:p>
    <w:p>
      <w:pPr>
        <w:spacing w:after="0" w:line="13"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Reflects amortization of intangible assets from purchase price accounting.</w:t>
      </w:r>
    </w:p>
    <w:p>
      <w:pPr>
        <w:spacing w:after="0" w:line="9"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Reflects expenses related to the wind down of our partnership with NetEase in Mainland China in regards to licenses covering the publication of several Blizzard titles which expired in January 2023.</w:t>
      </w:r>
    </w:p>
    <w:p>
      <w:pPr>
        <w:spacing w:after="0" w:line="10"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4</w:t>
      </w:r>
      <w:r>
        <w:rPr>
          <w:rFonts w:ascii="Arial" w:cs="Arial" w:eastAsia="Arial" w:hAnsi="Arial"/>
          <w:sz w:val="10"/>
          <w:szCs w:val="10"/>
          <w:color w:val="auto"/>
        </w:rPr>
        <w:t>Reflects fees and other expenses related to our proposed transaction with Microsoft, primarily legal and advisory fees.</w:t>
      </w:r>
    </w:p>
    <w:p>
      <w:pPr>
        <w:spacing w:after="0"/>
        <w:rPr>
          <w:rFonts w:ascii="Arial" w:cs="Arial" w:eastAsia="Arial" w:hAnsi="Arial"/>
          <w:sz w:val="12"/>
          <w:szCs w:val="12"/>
          <w:color w:val="auto"/>
        </w:rPr>
      </w:pPr>
      <w:r>
        <w:rPr>
          <w:rFonts w:ascii="Arial" w:cs="Arial" w:eastAsia="Arial" w:hAnsi="Arial"/>
          <w:sz w:val="13"/>
          <w:szCs w:val="13"/>
          <w:color w:val="auto"/>
        </w:rPr>
        <w:t>5</w:t>
      </w:r>
      <w:r>
        <w:rPr>
          <w:rFonts w:ascii="Arial" w:cs="Arial" w:eastAsia="Arial" w:hAnsi="Arial"/>
          <w:sz w:val="10"/>
          <w:szCs w:val="10"/>
          <w:color w:val="auto"/>
        </w:rPr>
        <w:t>Reflects the net effect from deferral of revenues and (recognition) of deferred revenues, along with related cost of revenues, on certain of our online-enabled products, including the effects of taxes.</w:t>
      </w:r>
    </w:p>
    <w:p>
      <w:pPr>
        <w:ind w:left="340" w:right="280" w:hanging="324"/>
        <w:spacing w:after="0" w:line="261" w:lineRule="auto"/>
        <w:rPr>
          <w:rFonts w:ascii="Arial" w:cs="Arial" w:eastAsia="Arial" w:hAnsi="Arial"/>
          <w:sz w:val="12"/>
          <w:szCs w:val="12"/>
          <w:color w:val="auto"/>
        </w:rPr>
      </w:pPr>
      <w:r>
        <w:rPr>
          <w:rFonts w:ascii="Arial" w:cs="Arial" w:eastAsia="Arial" w:hAnsi="Arial"/>
          <w:sz w:val="13"/>
          <w:szCs w:val="13"/>
          <w:color w:val="auto"/>
        </w:rPr>
        <w:t>6Reflects the income tax impact associated with the above items. Tax impact on non-GAAP pre-tax income is calculated under the same accounting principles applied to the GAAP pre-tax income under ASC 740, which employs an annual effective tax rate method to the results.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color w:val="auto"/>
        </w:rPr>
        <w:t>The GAAP and non-GAAP earnings per share information is presented as calculated. The sum of these measures, as presented, may differ due to the impact of rounding.</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ind w:right="5220"/>
        <w:spacing w:after="0" w:line="260" w:lineRule="auto"/>
        <w:rPr>
          <w:sz w:val="20"/>
          <w:szCs w:val="20"/>
          <w:color w:val="auto"/>
        </w:rPr>
      </w:pPr>
      <w:r>
        <w:rPr>
          <w:rFonts w:ascii="Arial" w:cs="Arial" w:eastAsia="Arial" w:hAnsi="Arial"/>
          <w:sz w:val="18"/>
          <w:szCs w:val="18"/>
          <w:b w:val="1"/>
          <w:bCs w:val="1"/>
          <w:color w:val="auto"/>
        </w:rPr>
        <w:t>RECONCILIATION OF GAAP NET INCOME TO NON-GAAP MEASURES (Amounts in millions, except per share data)</w:t>
      </w:r>
    </w:p>
    <w:p>
      <w:pPr>
        <w:spacing w:after="0" w:line="200" w:lineRule="exact"/>
        <w:rPr>
          <w:sz w:val="20"/>
          <w:szCs w:val="20"/>
          <w:color w:val="auto"/>
        </w:rPr>
      </w:pPr>
    </w:p>
    <w:p>
      <w:pPr>
        <w:spacing w:after="0" w:line="282"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14"/>
              <w:spacing w:after="0"/>
              <w:rPr>
                <w:sz w:val="20"/>
                <w:szCs w:val="20"/>
                <w:color w:val="auto"/>
              </w:rPr>
            </w:pPr>
            <w:r>
              <w:rPr>
                <w:rFonts w:ascii="Arial" w:cs="Arial" w:eastAsia="Arial" w:hAnsi="Arial"/>
                <w:sz w:val="13"/>
                <w:szCs w:val="13"/>
                <w:b w:val="1"/>
                <w:bCs w:val="1"/>
                <w:color w:val="auto"/>
                <w:w w:val="84"/>
              </w:rPr>
              <w:t>Cost of</w:t>
            </w: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3"/>
              </w:rPr>
              <w:t>Cost of Revenues</w:t>
            </w: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3"/>
              </w:rPr>
              <w:t>Cost of Revenues</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center"/>
              <w:ind w:right="53"/>
              <w:spacing w:after="0"/>
              <w:rPr>
                <w:sz w:val="20"/>
                <w:szCs w:val="20"/>
                <w:color w:val="auto"/>
              </w:rPr>
            </w:pPr>
            <w:r>
              <w:rPr>
                <w:rFonts w:ascii="Arial" w:cs="Arial" w:eastAsia="Arial" w:hAnsi="Arial"/>
                <w:sz w:val="13"/>
                <w:szCs w:val="13"/>
                <w:b w:val="1"/>
                <w:bCs w:val="1"/>
                <w:color w:val="auto"/>
                <w:w w:val="84"/>
              </w:rPr>
              <w:t>Cost of</w:t>
            </w:r>
          </w:p>
        </w:tc>
        <w:tc>
          <w:tcPr>
            <w:tcW w:w="100" w:type="dxa"/>
            <w:vAlign w:val="bottom"/>
          </w:tcPr>
          <w:p>
            <w:pPr>
              <w:spacing w:after="0"/>
              <w:rPr>
                <w:sz w:val="10"/>
                <w:szCs w:val="10"/>
                <w:color w:val="auto"/>
              </w:rPr>
            </w:pPr>
          </w:p>
        </w:tc>
        <w:tc>
          <w:tcPr>
            <w:tcW w:w="860" w:type="dxa"/>
            <w:vAlign w:val="bottom"/>
          </w:tcPr>
          <w:p>
            <w:pPr>
              <w:jc w:val="center"/>
              <w:ind w:right="34"/>
              <w:spacing w:after="0" w:line="122" w:lineRule="exact"/>
              <w:rPr>
                <w:sz w:val="20"/>
                <w:szCs w:val="20"/>
                <w:color w:val="auto"/>
              </w:rPr>
            </w:pPr>
            <w:r>
              <w:rPr>
                <w:rFonts w:ascii="Arial" w:cs="Arial" w:eastAsia="Arial" w:hAnsi="Arial"/>
                <w:sz w:val="13"/>
                <w:szCs w:val="13"/>
                <w:b w:val="1"/>
                <w:bCs w:val="1"/>
                <w:color w:val="auto"/>
                <w:w w:val="85"/>
              </w:rPr>
              <w:t>Revenues—</w:t>
            </w:r>
          </w:p>
        </w:tc>
        <w:tc>
          <w:tcPr>
            <w:tcW w:w="160" w:type="dxa"/>
            <w:vAlign w:val="bottom"/>
          </w:tcPr>
          <w:p>
            <w:pPr>
              <w:spacing w:after="0"/>
              <w:rPr>
                <w:sz w:val="10"/>
                <w:szCs w:val="10"/>
                <w:color w:val="auto"/>
              </w:rPr>
            </w:pPr>
          </w:p>
        </w:tc>
        <w:tc>
          <w:tcPr>
            <w:tcW w:w="840" w:type="dxa"/>
            <w:vAlign w:val="bottom"/>
          </w:tcPr>
          <w:p>
            <w:pPr>
              <w:jc w:val="center"/>
              <w:ind w:right="93"/>
              <w:spacing w:after="0" w:line="122" w:lineRule="exact"/>
              <w:rPr>
                <w:sz w:val="20"/>
                <w:szCs w:val="20"/>
                <w:color w:val="auto"/>
              </w:rPr>
            </w:pPr>
            <w:r>
              <w:rPr>
                <w:rFonts w:ascii="Arial" w:cs="Arial" w:eastAsia="Arial" w:hAnsi="Arial"/>
                <w:sz w:val="13"/>
                <w:szCs w:val="13"/>
                <w:b w:val="1"/>
                <w:bCs w:val="1"/>
                <w:color w:val="auto"/>
                <w:w w:val="96"/>
              </w:rPr>
              <w:t>—In-</w:t>
            </w:r>
          </w:p>
        </w:tc>
        <w:tc>
          <w:tcPr>
            <w:tcW w:w="120" w:type="dxa"/>
            <w:vAlign w:val="bottom"/>
          </w:tcPr>
          <w:p>
            <w:pPr>
              <w:spacing w:after="0"/>
              <w:rPr>
                <w:sz w:val="10"/>
                <w:szCs w:val="10"/>
                <w:color w:val="auto"/>
              </w:rPr>
            </w:pPr>
          </w:p>
        </w:tc>
        <w:tc>
          <w:tcPr>
            <w:tcW w:w="920" w:type="dxa"/>
            <w:vAlign w:val="bottom"/>
          </w:tcPr>
          <w:p>
            <w:pPr>
              <w:jc w:val="center"/>
              <w:ind w:right="54"/>
              <w:spacing w:after="0" w:line="122" w:lineRule="exact"/>
              <w:rPr>
                <w:sz w:val="20"/>
                <w:szCs w:val="20"/>
                <w:color w:val="auto"/>
              </w:rPr>
            </w:pPr>
            <w:r>
              <w:rPr>
                <w:rFonts w:ascii="Arial" w:cs="Arial" w:eastAsia="Arial" w:hAnsi="Arial"/>
                <w:sz w:val="13"/>
                <w:szCs w:val="13"/>
                <w:b w:val="1"/>
                <w:bCs w:val="1"/>
                <w:color w:val="auto"/>
                <w:w w:val="96"/>
              </w:rPr>
              <w:t>—In-</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14"/>
              <w:spacing w:after="0" w:line="131" w:lineRule="exact"/>
              <w:rPr>
                <w:sz w:val="20"/>
                <w:szCs w:val="20"/>
                <w:color w:val="auto"/>
              </w:rPr>
            </w:pPr>
            <w:r>
              <w:rPr>
                <w:rFonts w:ascii="Arial" w:cs="Arial" w:eastAsia="Arial" w:hAnsi="Arial"/>
                <w:sz w:val="13"/>
                <w:szCs w:val="13"/>
                <w:b w:val="1"/>
                <w:bCs w:val="1"/>
                <w:color w:val="auto"/>
                <w:w w:val="85"/>
              </w:rPr>
              <w:t>Product Sales:</w:t>
            </w:r>
          </w:p>
        </w:tc>
        <w:tc>
          <w:tcPr>
            <w:tcW w:w="2040" w:type="dxa"/>
            <w:vAlign w:val="bottom"/>
            <w:gridSpan w:val="4"/>
          </w:tcPr>
          <w:p>
            <w:pPr>
              <w:ind w:left="20"/>
              <w:spacing w:after="0" w:line="131" w:lineRule="exact"/>
              <w:rPr>
                <w:sz w:val="20"/>
                <w:szCs w:val="20"/>
                <w:color w:val="auto"/>
              </w:rPr>
            </w:pPr>
            <w:r>
              <w:rPr>
                <w:rFonts w:ascii="Arial" w:cs="Arial" w:eastAsia="Arial" w:hAnsi="Arial"/>
                <w:sz w:val="13"/>
                <w:szCs w:val="13"/>
                <w:b w:val="1"/>
                <w:bCs w:val="1"/>
                <w:color w:val="auto"/>
                <w:w w:val="87"/>
              </w:rPr>
              <w:t>game/Subs/Other: game/Subs/Other:</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33"/>
              <w:spacing w:after="0" w:line="126" w:lineRule="exact"/>
              <w:rPr>
                <w:sz w:val="20"/>
                <w:szCs w:val="20"/>
                <w:color w:val="auto"/>
              </w:rPr>
            </w:pPr>
            <w:r>
              <w:rPr>
                <w:rFonts w:ascii="Arial" w:cs="Arial" w:eastAsia="Arial" w:hAnsi="Arial"/>
                <w:sz w:val="13"/>
                <w:szCs w:val="13"/>
                <w:b w:val="1"/>
                <w:bCs w:val="1"/>
                <w:color w:val="auto"/>
                <w:w w:val="85"/>
              </w:rPr>
              <w:t>Revenues—</w:t>
            </w:r>
          </w:p>
        </w:tc>
        <w:tc>
          <w:tcPr>
            <w:tcW w:w="100" w:type="dxa"/>
            <w:vAlign w:val="bottom"/>
          </w:tcPr>
          <w:p>
            <w:pPr>
              <w:spacing w:after="0"/>
              <w:rPr>
                <w:sz w:val="10"/>
                <w:szCs w:val="10"/>
                <w:color w:val="auto"/>
              </w:rPr>
            </w:pPr>
          </w:p>
        </w:tc>
        <w:tc>
          <w:tcPr>
            <w:tcW w:w="860" w:type="dxa"/>
            <w:vAlign w:val="bottom"/>
          </w:tcPr>
          <w:p>
            <w:pPr>
              <w:jc w:val="center"/>
              <w:ind w:right="34"/>
              <w:spacing w:after="0" w:line="126" w:lineRule="exact"/>
              <w:rPr>
                <w:sz w:val="20"/>
                <w:szCs w:val="20"/>
                <w:color w:val="auto"/>
              </w:rPr>
            </w:pPr>
            <w:r>
              <w:rPr>
                <w:rFonts w:ascii="Arial" w:cs="Arial" w:eastAsia="Arial" w:hAnsi="Arial"/>
                <w:sz w:val="13"/>
                <w:szCs w:val="13"/>
                <w:b w:val="1"/>
                <w:bCs w:val="1"/>
                <w:color w:val="auto"/>
                <w:w w:val="87"/>
              </w:rPr>
              <w:t>Software</w:t>
            </w:r>
          </w:p>
        </w:tc>
        <w:tc>
          <w:tcPr>
            <w:tcW w:w="1000" w:type="dxa"/>
            <w:vAlign w:val="bottom"/>
            <w:gridSpan w:val="2"/>
          </w:tcPr>
          <w:p>
            <w:pPr>
              <w:ind w:left="20"/>
              <w:spacing w:after="0" w:line="126" w:lineRule="exact"/>
              <w:rPr>
                <w:sz w:val="20"/>
                <w:szCs w:val="20"/>
                <w:color w:val="auto"/>
              </w:rPr>
            </w:pPr>
            <w:r>
              <w:rPr>
                <w:rFonts w:ascii="Arial" w:cs="Arial" w:eastAsia="Arial" w:hAnsi="Arial"/>
                <w:sz w:val="13"/>
                <w:szCs w:val="13"/>
                <w:b w:val="1"/>
                <w:bCs w:val="1"/>
                <w:color w:val="auto"/>
                <w:w w:val="88"/>
              </w:rPr>
              <w:t>Game Operations</w:t>
            </w:r>
          </w:p>
        </w:tc>
        <w:tc>
          <w:tcPr>
            <w:tcW w:w="120" w:type="dxa"/>
            <w:vAlign w:val="bottom"/>
          </w:tcPr>
          <w:p>
            <w:pPr>
              <w:spacing w:after="0"/>
              <w:rPr>
                <w:sz w:val="10"/>
                <w:szCs w:val="10"/>
                <w:color w:val="auto"/>
              </w:rPr>
            </w:pPr>
          </w:p>
        </w:tc>
        <w:tc>
          <w:tcPr>
            <w:tcW w:w="920" w:type="dxa"/>
            <w:vAlign w:val="bottom"/>
          </w:tcPr>
          <w:p>
            <w:pPr>
              <w:jc w:val="center"/>
              <w:ind w:right="54"/>
              <w:spacing w:after="0" w:line="126" w:lineRule="exact"/>
              <w:rPr>
                <w:sz w:val="20"/>
                <w:szCs w:val="20"/>
                <w:color w:val="auto"/>
              </w:rPr>
            </w:pPr>
            <w:r>
              <w:rPr>
                <w:rFonts w:ascii="Arial" w:cs="Arial" w:eastAsia="Arial" w:hAnsi="Arial"/>
                <w:sz w:val="13"/>
                <w:szCs w:val="13"/>
                <w:b w:val="1"/>
                <w:bCs w:val="1"/>
                <w:color w:val="auto"/>
                <w:w w:val="87"/>
              </w:rPr>
              <w:t>Software</w:t>
            </w:r>
          </w:p>
        </w:tc>
        <w:tc>
          <w:tcPr>
            <w:tcW w:w="80" w:type="dxa"/>
            <w:vAlign w:val="bottom"/>
          </w:tcPr>
          <w:p>
            <w:pPr>
              <w:spacing w:after="0"/>
              <w:rPr>
                <w:sz w:val="10"/>
                <w:szCs w:val="10"/>
                <w:color w:val="auto"/>
              </w:rPr>
            </w:pPr>
          </w:p>
        </w:tc>
        <w:tc>
          <w:tcPr>
            <w:tcW w:w="800" w:type="dxa"/>
            <w:vAlign w:val="bottom"/>
            <w:vMerge w:val="restart"/>
          </w:tcPr>
          <w:p>
            <w:pPr>
              <w:jc w:val="right"/>
              <w:ind w:right="154"/>
              <w:spacing w:after="0"/>
              <w:rPr>
                <w:sz w:val="20"/>
                <w:szCs w:val="20"/>
                <w:color w:val="auto"/>
              </w:rPr>
            </w:pPr>
            <w:r>
              <w:rPr>
                <w:rFonts w:ascii="Arial" w:cs="Arial" w:eastAsia="Arial" w:hAnsi="Arial"/>
                <w:sz w:val="13"/>
                <w:szCs w:val="13"/>
                <w:b w:val="1"/>
                <w:bCs w:val="1"/>
                <w:color w:val="auto"/>
              </w:rPr>
              <w:t>Product</w:t>
            </w:r>
          </w:p>
        </w:tc>
        <w:tc>
          <w:tcPr>
            <w:tcW w:w="100" w:type="dxa"/>
            <w:vAlign w:val="bottom"/>
          </w:tcPr>
          <w:p>
            <w:pPr>
              <w:spacing w:after="0"/>
              <w:rPr>
                <w:sz w:val="10"/>
                <w:szCs w:val="10"/>
                <w:color w:val="auto"/>
              </w:rPr>
            </w:pPr>
          </w:p>
        </w:tc>
        <w:tc>
          <w:tcPr>
            <w:tcW w:w="74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auto"/>
                <w:w w:val="92"/>
              </w:rPr>
              <w:t>Sales and</w:t>
            </w:r>
          </w:p>
        </w:tc>
        <w:tc>
          <w:tcPr>
            <w:tcW w:w="100" w:type="dxa"/>
            <w:vAlign w:val="bottom"/>
          </w:tcPr>
          <w:p>
            <w:pPr>
              <w:spacing w:after="0"/>
              <w:rPr>
                <w:sz w:val="10"/>
                <w:szCs w:val="10"/>
                <w:color w:val="auto"/>
              </w:rPr>
            </w:pPr>
          </w:p>
        </w:tc>
        <w:tc>
          <w:tcPr>
            <w:tcW w:w="92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auto"/>
                <w:w w:val="98"/>
              </w:rPr>
              <w:t>General and</w:t>
            </w:r>
          </w:p>
        </w:tc>
        <w:tc>
          <w:tcPr>
            <w:tcW w:w="120" w:type="dxa"/>
            <w:vAlign w:val="bottom"/>
          </w:tcPr>
          <w:p>
            <w:pPr>
              <w:spacing w:after="0"/>
              <w:rPr>
                <w:sz w:val="10"/>
                <w:szCs w:val="10"/>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w w:val="81"/>
              </w:rPr>
              <w:t>Total Costs</w:t>
            </w:r>
          </w:p>
        </w:tc>
        <w:tc>
          <w:tcPr>
            <w:tcW w:w="0" w:type="dxa"/>
            <w:vAlign w:val="bottom"/>
          </w:tcPr>
          <w:p>
            <w:pPr>
              <w:spacing w:after="0"/>
              <w:rPr>
                <w:sz w:val="1"/>
                <w:szCs w:val="1"/>
                <w:color w:val="auto"/>
              </w:rPr>
            </w:pPr>
          </w:p>
        </w:tc>
      </w:tr>
      <w:tr>
        <w:trPr>
          <w:trHeight w:val="122"/>
        </w:trPr>
        <w:tc>
          <w:tcPr>
            <w:tcW w:w="28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Three Months Ended June 30, 2022</w:t>
            </w:r>
          </w:p>
        </w:tc>
        <w:tc>
          <w:tcPr>
            <w:tcW w:w="8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3"/>
              </w:rPr>
              <w:t>Net Revenues</w:t>
            </w:r>
          </w:p>
        </w:tc>
        <w:tc>
          <w:tcPr>
            <w:tcW w:w="9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5"/>
              </w:rPr>
              <w:t>Product Sales:</w:t>
            </w:r>
          </w:p>
        </w:tc>
        <w:tc>
          <w:tcPr>
            <w:tcW w:w="100" w:type="dxa"/>
            <w:vAlign w:val="bottom"/>
          </w:tcPr>
          <w:p>
            <w:pPr>
              <w:spacing w:after="0"/>
              <w:rPr>
                <w:sz w:val="10"/>
                <w:szCs w:val="10"/>
                <w:color w:val="auto"/>
              </w:rPr>
            </w:pPr>
          </w:p>
        </w:tc>
        <w:tc>
          <w:tcPr>
            <w:tcW w:w="860" w:type="dxa"/>
            <w:vAlign w:val="bottom"/>
          </w:tcPr>
          <w:p>
            <w:pPr>
              <w:jc w:val="center"/>
              <w:ind w:right="14"/>
              <w:spacing w:after="0" w:line="122" w:lineRule="exact"/>
              <w:rPr>
                <w:sz w:val="20"/>
                <w:szCs w:val="20"/>
                <w:color w:val="auto"/>
              </w:rPr>
            </w:pPr>
            <w:r>
              <w:rPr>
                <w:rFonts w:ascii="Arial" w:cs="Arial" w:eastAsia="Arial" w:hAnsi="Arial"/>
                <w:sz w:val="13"/>
                <w:szCs w:val="13"/>
                <w:b w:val="1"/>
                <w:bCs w:val="1"/>
                <w:color w:val="auto"/>
                <w:w w:val="87"/>
              </w:rPr>
              <w:t>Royalties and</w:t>
            </w:r>
          </w:p>
        </w:tc>
        <w:tc>
          <w:tcPr>
            <w:tcW w:w="10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0"/>
              </w:rPr>
              <w:t>and Distribution</w:t>
            </w:r>
          </w:p>
        </w:tc>
        <w:tc>
          <w:tcPr>
            <w:tcW w:w="120" w:type="dxa"/>
            <w:vAlign w:val="bottom"/>
          </w:tcPr>
          <w:p>
            <w:pPr>
              <w:spacing w:after="0"/>
              <w:rPr>
                <w:sz w:val="10"/>
                <w:szCs w:val="10"/>
                <w:color w:val="auto"/>
              </w:rPr>
            </w:pPr>
          </w:p>
        </w:tc>
        <w:tc>
          <w:tcPr>
            <w:tcW w:w="920" w:type="dxa"/>
            <w:vAlign w:val="bottom"/>
          </w:tcPr>
          <w:p>
            <w:pPr>
              <w:jc w:val="center"/>
              <w:ind w:right="34"/>
              <w:spacing w:after="0" w:line="122" w:lineRule="exact"/>
              <w:rPr>
                <w:sz w:val="20"/>
                <w:szCs w:val="20"/>
                <w:color w:val="auto"/>
              </w:rPr>
            </w:pPr>
            <w:r>
              <w:rPr>
                <w:rFonts w:ascii="Arial" w:cs="Arial" w:eastAsia="Arial" w:hAnsi="Arial"/>
                <w:sz w:val="13"/>
                <w:szCs w:val="13"/>
                <w:b w:val="1"/>
                <w:bCs w:val="1"/>
                <w:color w:val="auto"/>
                <w:w w:val="87"/>
              </w:rPr>
              <w:t>Royalties and</w:t>
            </w: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8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Product Costs</w:t>
            </w:r>
          </w:p>
        </w:tc>
        <w:tc>
          <w:tcPr>
            <w:tcW w:w="100" w:type="dxa"/>
            <w:vAlign w:val="bottom"/>
          </w:tcPr>
          <w:p>
            <w:pPr>
              <w:spacing w:after="0"/>
              <w:rPr>
                <w:sz w:val="14"/>
                <w:szCs w:val="14"/>
                <w:color w:val="auto"/>
              </w:rPr>
            </w:pPr>
          </w:p>
        </w:tc>
        <w:tc>
          <w:tcPr>
            <w:tcW w:w="860" w:type="dxa"/>
            <w:vAlign w:val="bottom"/>
          </w:tcPr>
          <w:p>
            <w:pPr>
              <w:jc w:val="center"/>
              <w:ind w:right="34"/>
              <w:spacing w:after="0"/>
              <w:rPr>
                <w:sz w:val="20"/>
                <w:szCs w:val="20"/>
                <w:color w:val="auto"/>
              </w:rPr>
            </w:pPr>
            <w:r>
              <w:rPr>
                <w:rFonts w:ascii="Arial" w:cs="Arial" w:eastAsia="Arial" w:hAnsi="Arial"/>
                <w:sz w:val="13"/>
                <w:szCs w:val="13"/>
                <w:b w:val="1"/>
                <w:bCs w:val="1"/>
                <w:color w:val="auto"/>
                <w:w w:val="90"/>
              </w:rPr>
              <w:t>Amortization</w:t>
            </w:r>
          </w:p>
        </w:tc>
        <w:tc>
          <w:tcPr>
            <w:tcW w:w="160" w:type="dxa"/>
            <w:vAlign w:val="bottom"/>
          </w:tcPr>
          <w:p>
            <w:pPr>
              <w:spacing w:after="0"/>
              <w:rPr>
                <w:sz w:val="14"/>
                <w:szCs w:val="14"/>
                <w:color w:val="auto"/>
              </w:rPr>
            </w:pPr>
          </w:p>
        </w:tc>
        <w:tc>
          <w:tcPr>
            <w:tcW w:w="840" w:type="dxa"/>
            <w:vAlign w:val="bottom"/>
          </w:tcPr>
          <w:p>
            <w:pPr>
              <w:jc w:val="center"/>
              <w:ind w:right="73"/>
              <w:spacing w:after="0"/>
              <w:rPr>
                <w:sz w:val="20"/>
                <w:szCs w:val="20"/>
                <w:color w:val="auto"/>
              </w:rPr>
            </w:pPr>
            <w:r>
              <w:rPr>
                <w:rFonts w:ascii="Arial" w:cs="Arial" w:eastAsia="Arial" w:hAnsi="Arial"/>
                <w:sz w:val="13"/>
                <w:szCs w:val="13"/>
                <w:b w:val="1"/>
                <w:bCs w:val="1"/>
                <w:color w:val="auto"/>
                <w:w w:val="82"/>
              </w:rPr>
              <w:t>Costs</w:t>
            </w:r>
          </w:p>
        </w:tc>
        <w:tc>
          <w:tcPr>
            <w:tcW w:w="120" w:type="dxa"/>
            <w:vAlign w:val="bottom"/>
          </w:tcPr>
          <w:p>
            <w:pPr>
              <w:spacing w:after="0"/>
              <w:rPr>
                <w:sz w:val="14"/>
                <w:szCs w:val="14"/>
                <w:color w:val="auto"/>
              </w:rPr>
            </w:pPr>
          </w:p>
        </w:tc>
        <w:tc>
          <w:tcPr>
            <w:tcW w:w="920" w:type="dxa"/>
            <w:vAlign w:val="bottom"/>
          </w:tcPr>
          <w:p>
            <w:pPr>
              <w:jc w:val="center"/>
              <w:ind w:right="54"/>
              <w:spacing w:after="0"/>
              <w:rPr>
                <w:sz w:val="20"/>
                <w:szCs w:val="20"/>
                <w:color w:val="auto"/>
              </w:rPr>
            </w:pPr>
            <w:r>
              <w:rPr>
                <w:rFonts w:ascii="Arial" w:cs="Arial" w:eastAsia="Arial" w:hAnsi="Arial"/>
                <w:sz w:val="13"/>
                <w:szCs w:val="13"/>
                <w:b w:val="1"/>
                <w:bCs w:val="1"/>
                <w:color w:val="auto"/>
                <w:w w:val="90"/>
              </w:rPr>
              <w:t>Amortization</w:t>
            </w:r>
          </w:p>
        </w:tc>
        <w:tc>
          <w:tcPr>
            <w:tcW w:w="80" w:type="dxa"/>
            <w:vAlign w:val="bottom"/>
          </w:tcPr>
          <w:p>
            <w:pPr>
              <w:spacing w:after="0"/>
              <w:rPr>
                <w:sz w:val="14"/>
                <w:szCs w:val="14"/>
                <w:color w:val="auto"/>
              </w:rPr>
            </w:pPr>
          </w:p>
        </w:tc>
        <w:tc>
          <w:tcPr>
            <w:tcW w:w="800" w:type="dxa"/>
            <w:vAlign w:val="bottom"/>
          </w:tcPr>
          <w:p>
            <w:pPr>
              <w:jc w:val="right"/>
              <w:ind w:right="14"/>
              <w:spacing w:after="0"/>
              <w:rPr>
                <w:sz w:val="20"/>
                <w:szCs w:val="20"/>
                <w:color w:val="auto"/>
              </w:rPr>
            </w:pPr>
            <w:r>
              <w:rPr>
                <w:rFonts w:ascii="Arial" w:cs="Arial" w:eastAsia="Arial" w:hAnsi="Arial"/>
                <w:sz w:val="13"/>
                <w:szCs w:val="13"/>
                <w:b w:val="1"/>
                <w:bCs w:val="1"/>
                <w:color w:val="auto"/>
                <w:w w:val="85"/>
              </w:rPr>
              <w:t>Development</w:t>
            </w:r>
          </w:p>
        </w:tc>
        <w:tc>
          <w:tcPr>
            <w:tcW w:w="100" w:type="dxa"/>
            <w:vAlign w:val="bottom"/>
          </w:tcPr>
          <w:p>
            <w:pPr>
              <w:spacing w:after="0"/>
              <w:rPr>
                <w:sz w:val="14"/>
                <w:szCs w:val="14"/>
                <w:color w:val="auto"/>
              </w:rPr>
            </w:pPr>
          </w:p>
        </w:tc>
        <w:tc>
          <w:tcPr>
            <w:tcW w:w="740" w:type="dxa"/>
            <w:vAlign w:val="bottom"/>
          </w:tcPr>
          <w:p>
            <w:pPr>
              <w:jc w:val="right"/>
              <w:ind w:right="74"/>
              <w:spacing w:after="0"/>
              <w:rPr>
                <w:sz w:val="20"/>
                <w:szCs w:val="20"/>
                <w:color w:val="auto"/>
              </w:rPr>
            </w:pPr>
            <w:r>
              <w:rPr>
                <w:rFonts w:ascii="Arial" w:cs="Arial" w:eastAsia="Arial" w:hAnsi="Arial"/>
                <w:sz w:val="13"/>
                <w:szCs w:val="13"/>
                <w:b w:val="1"/>
                <w:bCs w:val="1"/>
                <w:color w:val="auto"/>
                <w:w w:val="94"/>
              </w:rPr>
              <w:t>Marketing</w:t>
            </w:r>
          </w:p>
        </w:tc>
        <w:tc>
          <w:tcPr>
            <w:tcW w:w="100" w:type="dxa"/>
            <w:vAlign w:val="bottom"/>
          </w:tcPr>
          <w:p>
            <w:pPr>
              <w:spacing w:after="0"/>
              <w:rPr>
                <w:sz w:val="14"/>
                <w:szCs w:val="14"/>
                <w:color w:val="auto"/>
              </w:rPr>
            </w:pPr>
          </w:p>
        </w:tc>
        <w:tc>
          <w:tcPr>
            <w:tcW w:w="920" w:type="dxa"/>
            <w:vAlign w:val="bottom"/>
          </w:tcPr>
          <w:p>
            <w:pPr>
              <w:jc w:val="right"/>
              <w:ind w:right="34"/>
              <w:spacing w:after="0"/>
              <w:rPr>
                <w:sz w:val="20"/>
                <w:szCs w:val="20"/>
                <w:color w:val="auto"/>
              </w:rPr>
            </w:pPr>
            <w:r>
              <w:rPr>
                <w:rFonts w:ascii="Arial" w:cs="Arial" w:eastAsia="Arial" w:hAnsi="Arial"/>
                <w:sz w:val="13"/>
                <w:szCs w:val="13"/>
                <w:b w:val="1"/>
                <w:bCs w:val="1"/>
                <w:color w:val="auto"/>
                <w:w w:val="88"/>
              </w:rPr>
              <w:t>Administrative</w:t>
            </w:r>
          </w:p>
        </w:tc>
        <w:tc>
          <w:tcPr>
            <w:tcW w:w="84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and Expenses</w:t>
            </w:r>
          </w:p>
        </w:tc>
        <w:tc>
          <w:tcPr>
            <w:tcW w:w="0" w:type="dxa"/>
            <w:vAlign w:val="bottom"/>
          </w:tcPr>
          <w:p>
            <w:pPr>
              <w:spacing w:after="0"/>
              <w:rPr>
                <w:sz w:val="1"/>
                <w:szCs w:val="1"/>
                <w:color w:val="auto"/>
              </w:rPr>
            </w:pPr>
          </w:p>
        </w:tc>
      </w:tr>
      <w:tr>
        <w:trPr>
          <w:trHeight w:val="25"/>
        </w:trPr>
        <w:tc>
          <w:tcPr>
            <w:tcW w:w="2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GAAP Measurement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1,306</w:t>
            </w:r>
          </w:p>
        </w:tc>
        <w:tc>
          <w:tcPr>
            <w:tcW w:w="0" w:type="dxa"/>
            <w:vAlign w:val="bottom"/>
          </w:tcPr>
          <w:p>
            <w:pPr>
              <w:spacing w:after="0"/>
              <w:rPr>
                <w:sz w:val="1"/>
                <w:szCs w:val="1"/>
                <w:color w:val="auto"/>
              </w:rPr>
            </w:pPr>
          </w:p>
        </w:tc>
      </w:tr>
      <w:tr>
        <w:trPr>
          <w:trHeight w:val="189"/>
        </w:trPr>
        <w:tc>
          <w:tcPr>
            <w:tcW w:w="2800" w:type="dxa"/>
            <w:vAlign w:val="bottom"/>
          </w:tcPr>
          <w:p>
            <w:pPr>
              <w:ind w:left="140"/>
              <w:spacing w:after="0" w:line="189" w:lineRule="exact"/>
              <w:rPr>
                <w:sz w:val="20"/>
                <w:szCs w:val="20"/>
                <w:color w:val="auto"/>
              </w:rPr>
            </w:pPr>
            <w:r>
              <w:rPr>
                <w:rFonts w:ascii="Arial" w:cs="Arial" w:eastAsia="Arial" w:hAnsi="Arial"/>
                <w:sz w:val="13"/>
                <w:szCs w:val="13"/>
                <w:color w:val="auto"/>
              </w:rPr>
              <w:t>Share-based compensation</w:t>
            </w:r>
            <w:r>
              <w:rPr>
                <w:rFonts w:ascii="Arial" w:cs="Arial" w:eastAsia="Arial" w:hAnsi="Arial"/>
                <w:sz w:val="17"/>
                <w:szCs w:val="17"/>
                <w:color w:val="auto"/>
                <w:vertAlign w:val="superscript"/>
              </w:rPr>
              <w:t>1</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89"/>
        </w:trPr>
        <w:tc>
          <w:tcPr>
            <w:tcW w:w="2800" w:type="dxa"/>
            <w:vAlign w:val="bottom"/>
            <w:shd w:val="clear" w:color="auto" w:fill="CCEEFF"/>
          </w:tcPr>
          <w:p>
            <w:pPr>
              <w:ind w:left="140"/>
              <w:spacing w:after="0" w:line="189" w:lineRule="exact"/>
              <w:rPr>
                <w:sz w:val="20"/>
                <w:szCs w:val="20"/>
                <w:color w:val="auto"/>
              </w:rPr>
            </w:pPr>
            <w:r>
              <w:rPr>
                <w:rFonts w:ascii="Arial" w:cs="Arial" w:eastAsia="Arial" w:hAnsi="Arial"/>
                <w:sz w:val="13"/>
                <w:szCs w:val="13"/>
                <w:color w:val="auto"/>
              </w:rPr>
              <w:t>Amortization of intangible assets</w:t>
            </w:r>
            <w:r>
              <w:rPr>
                <w:rFonts w:ascii="Arial" w:cs="Arial" w:eastAsia="Arial" w:hAnsi="Arial"/>
                <w:sz w:val="17"/>
                <w:szCs w:val="17"/>
                <w:color w:val="auto"/>
                <w:vertAlign w:val="superscript"/>
              </w:rPr>
              <w:t>2</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9"/>
        </w:trPr>
        <w:tc>
          <w:tcPr>
            <w:tcW w:w="2800" w:type="dxa"/>
            <w:vAlign w:val="bottom"/>
          </w:tcPr>
          <w:p>
            <w:pPr>
              <w:ind w:left="140"/>
              <w:spacing w:after="0" w:line="189" w:lineRule="exact"/>
              <w:rPr>
                <w:sz w:val="20"/>
                <w:szCs w:val="20"/>
                <w:color w:val="auto"/>
              </w:rPr>
            </w:pPr>
            <w:r>
              <w:rPr>
                <w:rFonts w:ascii="Arial" w:cs="Arial" w:eastAsia="Arial" w:hAnsi="Arial"/>
                <w:sz w:val="13"/>
                <w:szCs w:val="13"/>
                <w:color w:val="auto"/>
              </w:rPr>
              <w:t>Restructuring and related costs</w:t>
            </w:r>
            <w:r>
              <w:rPr>
                <w:rFonts w:ascii="Arial" w:cs="Arial" w:eastAsia="Arial" w:hAnsi="Arial"/>
                <w:sz w:val="17"/>
                <w:szCs w:val="17"/>
                <w:color w:val="auto"/>
                <w:vertAlign w:val="superscript"/>
              </w:rPr>
              <w:t>3</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Merger and acquisition-related fees and other</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75"/>
        </w:trPr>
        <w:tc>
          <w:tcPr>
            <w:tcW w:w="280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3"/>
                <w:szCs w:val="13"/>
                <w:color w:val="auto"/>
              </w:rPr>
              <w:t>expenses</w:t>
            </w:r>
            <w:r>
              <w:rPr>
                <w:rFonts w:ascii="Arial" w:cs="Arial" w:eastAsia="Arial" w:hAnsi="Arial"/>
                <w:sz w:val="17"/>
                <w:szCs w:val="17"/>
                <w:color w:val="auto"/>
                <w:vertAlign w:val="superscript"/>
              </w:rPr>
              <w:t>4</w:t>
            </w: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800" w:type="dxa"/>
            <w:vAlign w:val="bottom"/>
          </w:tcPr>
          <w:p>
            <w:pPr>
              <w:ind w:left="20"/>
              <w:spacing w:after="0"/>
              <w:rPr>
                <w:sz w:val="20"/>
                <w:szCs w:val="20"/>
                <w:color w:val="auto"/>
              </w:rPr>
            </w:pPr>
            <w:r>
              <w:rPr>
                <w:rFonts w:ascii="Arial" w:cs="Arial" w:eastAsia="Arial" w:hAnsi="Arial"/>
                <w:sz w:val="13"/>
                <w:szCs w:val="13"/>
                <w:color w:val="auto"/>
              </w:rPr>
              <w:t>Non-GAAP Measurement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25</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1,191</w:t>
            </w:r>
          </w:p>
        </w:tc>
        <w:tc>
          <w:tcPr>
            <w:tcW w:w="0" w:type="dxa"/>
            <w:vAlign w:val="bottom"/>
          </w:tcPr>
          <w:p>
            <w:pPr>
              <w:spacing w:after="0"/>
              <w:rPr>
                <w:sz w:val="1"/>
                <w:szCs w:val="1"/>
                <w:color w:val="auto"/>
              </w:rPr>
            </w:pP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800" w:type="dxa"/>
            <w:vAlign w:val="bottom"/>
            <w:shd w:val="clear" w:color="auto" w:fill="CCEEFF"/>
          </w:tcPr>
          <w:p>
            <w:pPr>
              <w:ind w:left="140"/>
              <w:spacing w:after="0" w:line="105" w:lineRule="exact"/>
              <w:rPr>
                <w:sz w:val="20"/>
                <w:szCs w:val="20"/>
                <w:color w:val="auto"/>
              </w:rPr>
            </w:pPr>
            <w:r>
              <w:rPr>
                <w:rFonts w:ascii="Arial" w:cs="Arial" w:eastAsia="Arial" w:hAnsi="Arial"/>
                <w:sz w:val="12"/>
                <w:szCs w:val="12"/>
                <w:color w:val="auto"/>
              </w:rPr>
              <w:t>Net effect of deferred revenues and related cost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14</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86"/>
        </w:trPr>
        <w:tc>
          <w:tcPr>
            <w:tcW w:w="2800" w:type="dxa"/>
            <w:vAlign w:val="bottom"/>
            <w:shd w:val="clear" w:color="auto" w:fill="CCEEFF"/>
          </w:tcPr>
          <w:p>
            <w:pPr>
              <w:ind w:left="140"/>
              <w:spacing w:after="0" w:line="186" w:lineRule="exact"/>
              <w:rPr>
                <w:sz w:val="20"/>
                <w:szCs w:val="20"/>
                <w:color w:val="auto"/>
              </w:rPr>
            </w:pPr>
            <w:r>
              <w:rPr>
                <w:rFonts w:ascii="Arial" w:cs="Arial" w:eastAsia="Arial" w:hAnsi="Arial"/>
                <w:sz w:val="13"/>
                <w:szCs w:val="13"/>
                <w:color w:val="auto"/>
              </w:rPr>
              <w:t>of revenues</w:t>
            </w:r>
            <w:r>
              <w:rPr>
                <w:rFonts w:ascii="Arial" w:cs="Arial" w:eastAsia="Arial" w:hAnsi="Arial"/>
                <w:sz w:val="17"/>
                <w:szCs w:val="17"/>
                <w:color w:val="auto"/>
                <w:vertAlign w:val="superscript"/>
              </w:rPr>
              <w:t>5</w:t>
            </w:r>
          </w:p>
        </w:tc>
        <w:tc>
          <w:tcPr>
            <w:tcW w:w="1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spacing w:after="0"/>
              <w:rPr>
                <w:sz w:val="23"/>
                <w:szCs w:val="23"/>
                <w:color w:val="auto"/>
              </w:rPr>
            </w:pPr>
          </w:p>
        </w:tc>
        <w:tc>
          <w:tcPr>
            <w:tcW w:w="1000" w:type="dxa"/>
            <w:vAlign w:val="bottom"/>
            <w:tcBorders>
              <w:bottom w:val="single" w:sz="8" w:color="auto"/>
            </w:tcBorders>
            <w:gridSpan w:val="2"/>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5"/>
        </w:trPr>
        <w:tc>
          <w:tcPr>
            <w:tcW w:w="2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right="53"/>
              <w:spacing w:after="0" w:line="115" w:lineRule="exact"/>
              <w:rPr>
                <w:sz w:val="20"/>
                <w:szCs w:val="20"/>
                <w:color w:val="auto"/>
              </w:rPr>
            </w:pPr>
            <w:r>
              <w:rPr>
                <w:rFonts w:ascii="Arial" w:cs="Arial" w:eastAsia="Arial" w:hAnsi="Arial"/>
                <w:sz w:val="13"/>
                <w:szCs w:val="13"/>
                <w:b w:val="1"/>
                <w:bCs w:val="1"/>
                <w:color w:val="auto"/>
                <w:w w:val="91"/>
              </w:rPr>
              <w:t>Operating</w:t>
            </w:r>
          </w:p>
        </w:tc>
        <w:tc>
          <w:tcPr>
            <w:tcW w:w="120" w:type="dxa"/>
            <w:vAlign w:val="bottom"/>
          </w:tcPr>
          <w:p>
            <w:pPr>
              <w:spacing w:after="0"/>
              <w:rPr>
                <w:sz w:val="10"/>
                <w:szCs w:val="10"/>
                <w:color w:val="auto"/>
              </w:rPr>
            </w:pPr>
          </w:p>
        </w:tc>
        <w:tc>
          <w:tcPr>
            <w:tcW w:w="780" w:type="dxa"/>
            <w:vAlign w:val="bottom"/>
            <w:vMerge w:val="restart"/>
          </w:tcPr>
          <w:p>
            <w:pPr>
              <w:jc w:val="center"/>
              <w:ind w:right="53"/>
              <w:spacing w:after="0"/>
              <w:rPr>
                <w:sz w:val="20"/>
                <w:szCs w:val="20"/>
                <w:color w:val="auto"/>
              </w:rPr>
            </w:pPr>
            <w:r>
              <w:rPr>
                <w:rFonts w:ascii="Arial" w:cs="Arial" w:eastAsia="Arial" w:hAnsi="Arial"/>
                <w:sz w:val="13"/>
                <w:szCs w:val="13"/>
                <w:b w:val="1"/>
                <w:bCs w:val="1"/>
                <w:color w:val="auto"/>
                <w:w w:val="88"/>
              </w:rPr>
              <w:t>Net Income</w:t>
            </w:r>
          </w:p>
        </w:tc>
        <w:tc>
          <w:tcPr>
            <w:tcW w:w="96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auto"/>
                <w:w w:val="85"/>
              </w:rPr>
              <w:t>Basic Earnings</w:t>
            </w:r>
          </w:p>
        </w:tc>
        <w:tc>
          <w:tcPr>
            <w:tcW w:w="100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auto"/>
                <w:w w:val="89"/>
              </w:rPr>
              <w:t>Diluted Earnings</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87"/>
              </w:rPr>
              <w:t>Income</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6"/>
              </w:rPr>
              <w:t>per Share</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86"/>
              </w:rPr>
              <w:t>per Share</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GAAP Measurement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0.36</w:t>
            </w: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0.36</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tcPr>
          <w:p>
            <w:pPr>
              <w:ind w:left="140"/>
              <w:spacing w:after="0" w:line="189" w:lineRule="exact"/>
              <w:rPr>
                <w:sz w:val="20"/>
                <w:szCs w:val="20"/>
                <w:color w:val="auto"/>
              </w:rPr>
            </w:pPr>
            <w:r>
              <w:rPr>
                <w:rFonts w:ascii="Arial" w:cs="Arial" w:eastAsia="Arial" w:hAnsi="Arial"/>
                <w:sz w:val="13"/>
                <w:szCs w:val="13"/>
                <w:color w:val="auto"/>
              </w:rPr>
              <w:t>Share-based compensation</w:t>
            </w:r>
            <w:r>
              <w:rPr>
                <w:rFonts w:ascii="Arial" w:cs="Arial" w:eastAsia="Arial" w:hAnsi="Arial"/>
                <w:sz w:val="17"/>
                <w:szCs w:val="17"/>
                <w:color w:val="auto"/>
                <w:vertAlign w:val="superscript"/>
              </w:rPr>
              <w:t>1</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0.13</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0.13</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CEEFF"/>
          </w:tcPr>
          <w:p>
            <w:pPr>
              <w:ind w:left="140"/>
              <w:spacing w:after="0" w:line="189" w:lineRule="exact"/>
              <w:rPr>
                <w:sz w:val="20"/>
                <w:szCs w:val="20"/>
                <w:color w:val="auto"/>
              </w:rPr>
            </w:pPr>
            <w:r>
              <w:rPr>
                <w:rFonts w:ascii="Arial" w:cs="Arial" w:eastAsia="Arial" w:hAnsi="Arial"/>
                <w:sz w:val="13"/>
                <w:szCs w:val="13"/>
                <w:color w:val="auto"/>
              </w:rPr>
              <w:t>Amortization of intangible assets</w:t>
            </w:r>
            <w:r>
              <w:rPr>
                <w:rFonts w:ascii="Arial" w:cs="Arial" w:eastAsia="Arial" w:hAnsi="Arial"/>
                <w:sz w:val="17"/>
                <w:szCs w:val="17"/>
                <w:color w:val="auto"/>
                <w:vertAlign w:val="superscript"/>
              </w:rPr>
              <w:t>2</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tcPr>
          <w:p>
            <w:pPr>
              <w:ind w:left="140"/>
              <w:spacing w:after="0" w:line="189" w:lineRule="exact"/>
              <w:rPr>
                <w:sz w:val="20"/>
                <w:szCs w:val="20"/>
                <w:color w:val="auto"/>
              </w:rPr>
            </w:pPr>
            <w:r>
              <w:rPr>
                <w:rFonts w:ascii="Arial" w:cs="Arial" w:eastAsia="Arial" w:hAnsi="Arial"/>
                <w:sz w:val="13"/>
                <w:szCs w:val="13"/>
                <w:color w:val="auto"/>
              </w:rPr>
              <w:t>Restructuring and related costs</w:t>
            </w:r>
            <w:r>
              <w:rPr>
                <w:rFonts w:ascii="Arial" w:cs="Arial" w:eastAsia="Arial" w:hAnsi="Arial"/>
                <w:sz w:val="17"/>
                <w:szCs w:val="17"/>
                <w:color w:val="auto"/>
                <w:vertAlign w:val="superscript"/>
              </w:rPr>
              <w:t>3</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80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color w:val="auto"/>
              </w:rPr>
              <w:t>Merger and acquisition-related fees and other</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800" w:type="dxa"/>
            <w:vAlign w:val="bottom"/>
            <w:shd w:val="clear" w:color="auto" w:fill="CCEEFF"/>
          </w:tcPr>
          <w:p>
            <w:pPr>
              <w:ind w:left="140"/>
              <w:spacing w:after="0" w:line="186" w:lineRule="exact"/>
              <w:rPr>
                <w:sz w:val="20"/>
                <w:szCs w:val="20"/>
                <w:color w:val="auto"/>
              </w:rPr>
            </w:pPr>
            <w:r>
              <w:rPr>
                <w:rFonts w:ascii="Arial" w:cs="Arial" w:eastAsia="Arial" w:hAnsi="Arial"/>
                <w:sz w:val="13"/>
                <w:szCs w:val="13"/>
                <w:color w:val="auto"/>
              </w:rPr>
              <w:t>expenses</w:t>
            </w:r>
            <w:r>
              <w:rPr>
                <w:rFonts w:ascii="Arial" w:cs="Arial" w:eastAsia="Arial" w:hAnsi="Arial"/>
                <w:sz w:val="17"/>
                <w:szCs w:val="17"/>
                <w:color w:val="auto"/>
                <w:vertAlign w:val="superscript"/>
              </w:rPr>
              <w:t>4</w:t>
            </w: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tcBorders>
              <w:bottom w:val="single" w:sz="8" w:color="CCEEFF"/>
            </w:tcBorders>
          </w:tcPr>
          <w:p>
            <w:pPr>
              <w:ind w:left="140"/>
              <w:spacing w:after="0" w:line="189" w:lineRule="exact"/>
              <w:rPr>
                <w:sz w:val="20"/>
                <w:szCs w:val="20"/>
                <w:color w:val="auto"/>
              </w:rPr>
            </w:pPr>
            <w:r>
              <w:rPr>
                <w:rFonts w:ascii="Arial" w:cs="Arial" w:eastAsia="Arial" w:hAnsi="Arial"/>
                <w:sz w:val="13"/>
                <w:szCs w:val="13"/>
                <w:color w:val="auto"/>
              </w:rPr>
              <w:t>Income tax impacts from items above</w:t>
            </w:r>
            <w:r>
              <w:rPr>
                <w:rFonts w:ascii="Arial" w:cs="Arial" w:eastAsia="Arial" w:hAnsi="Arial"/>
                <w:sz w:val="17"/>
                <w:szCs w:val="17"/>
                <w:color w:val="auto"/>
                <w:vertAlign w:val="superscript"/>
              </w:rPr>
              <w:t>6</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(0.02)</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(0.02)</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Non-GAAP Measurement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0.49</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0.48</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vMerge w:val="restart"/>
          </w:tcPr>
          <w:p>
            <w:pPr>
              <w:ind w:left="140"/>
              <w:spacing w:after="0" w:line="122" w:lineRule="exact"/>
              <w:rPr>
                <w:sz w:val="20"/>
                <w:szCs w:val="20"/>
                <w:color w:val="auto"/>
              </w:rPr>
            </w:pPr>
            <w:r>
              <w:rPr>
                <w:rFonts w:ascii="Arial" w:cs="Arial" w:eastAsia="Arial" w:hAnsi="Arial"/>
                <w:sz w:val="13"/>
                <w:szCs w:val="13"/>
                <w:color w:val="auto"/>
                <w:w w:val="95"/>
              </w:rPr>
              <w:t>Net effect of deferred revenues and related cost</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800" w:type="dxa"/>
            <w:vAlign w:val="bottom"/>
            <w:vMerge w:val="continue"/>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(0.01)</w:t>
            </w:r>
          </w:p>
        </w:tc>
        <w:tc>
          <w:tcPr>
            <w:tcW w:w="1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800" w:type="dxa"/>
            <w:vAlign w:val="bottom"/>
          </w:tcPr>
          <w:p>
            <w:pPr>
              <w:ind w:left="140"/>
              <w:spacing w:after="0"/>
              <w:rPr>
                <w:sz w:val="20"/>
                <w:szCs w:val="20"/>
                <w:color w:val="auto"/>
              </w:rPr>
            </w:pPr>
            <w:r>
              <w:rPr>
                <w:rFonts w:ascii="Arial" w:cs="Arial" w:eastAsia="Arial" w:hAnsi="Arial"/>
                <w:sz w:val="13"/>
                <w:szCs w:val="13"/>
                <w:color w:val="auto"/>
              </w:rPr>
              <w:t>of revenues</w:t>
            </w:r>
            <w:r>
              <w:rPr>
                <w:rFonts w:ascii="Arial" w:cs="Arial" w:eastAsia="Arial" w:hAnsi="Arial"/>
                <w:sz w:val="17"/>
                <w:szCs w:val="17"/>
                <w:color w:val="auto"/>
                <w:vertAlign w:val="superscript"/>
              </w:rPr>
              <w:t>5</w:t>
            </w:r>
          </w:p>
        </w:tc>
        <w:tc>
          <w:tcPr>
            <w:tcW w:w="12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Reflects expenses related to share-based compensation.</w:t>
      </w:r>
    </w:p>
    <w:p>
      <w:pPr>
        <w:spacing w:after="0" w:line="13"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Reflects amortization of intangible assets from purchase price accounting.</w:t>
      </w:r>
    </w:p>
    <w:p>
      <w:pPr>
        <w:spacing w:after="0" w:line="9"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3</w:t>
      </w:r>
      <w:r>
        <w:rPr>
          <w:rFonts w:ascii="Arial" w:cs="Arial" w:eastAsia="Arial" w:hAnsi="Arial"/>
          <w:sz w:val="10"/>
          <w:szCs w:val="10"/>
          <w:color w:val="auto"/>
        </w:rPr>
        <w:t>Reflects restructuring initiatives.</w:t>
      </w:r>
    </w:p>
    <w:p>
      <w:pPr>
        <w:spacing w:after="0"/>
        <w:rPr>
          <w:rFonts w:ascii="Arial" w:cs="Arial" w:eastAsia="Arial" w:hAnsi="Arial"/>
          <w:sz w:val="13"/>
          <w:szCs w:val="13"/>
          <w:color w:val="auto"/>
        </w:rPr>
      </w:pPr>
      <w:r>
        <w:rPr>
          <w:rFonts w:ascii="Arial" w:cs="Arial" w:eastAsia="Arial" w:hAnsi="Arial"/>
          <w:sz w:val="13"/>
          <w:szCs w:val="13"/>
          <w:color w:val="auto"/>
        </w:rPr>
        <w:t>4</w:t>
      </w:r>
      <w:r>
        <w:rPr>
          <w:rFonts w:ascii="Arial" w:cs="Arial" w:eastAsia="Arial" w:hAnsi="Arial"/>
          <w:sz w:val="10"/>
          <w:szCs w:val="10"/>
          <w:color w:val="auto"/>
        </w:rPr>
        <w:t>Reflects fees and other expenses related to our proposed transaction with Microsoft, primarily legal and advisory fees.</w:t>
      </w:r>
    </w:p>
    <w:p>
      <w:pPr>
        <w:spacing w:after="0"/>
        <w:rPr>
          <w:rFonts w:ascii="Arial" w:cs="Arial" w:eastAsia="Arial" w:hAnsi="Arial"/>
          <w:sz w:val="13"/>
          <w:szCs w:val="13"/>
          <w:color w:val="auto"/>
        </w:rPr>
      </w:pPr>
      <w:r>
        <w:rPr>
          <w:rFonts w:ascii="Arial" w:cs="Arial" w:eastAsia="Arial" w:hAnsi="Arial"/>
          <w:sz w:val="13"/>
          <w:szCs w:val="13"/>
          <w:color w:val="auto"/>
        </w:rPr>
        <w:t>5</w:t>
      </w:r>
      <w:r>
        <w:rPr>
          <w:rFonts w:ascii="Arial" w:cs="Arial" w:eastAsia="Arial" w:hAnsi="Arial"/>
          <w:sz w:val="10"/>
          <w:szCs w:val="10"/>
          <w:color w:val="auto"/>
        </w:rPr>
        <w:t>Reflects the net effect from deferral of revenues and (recognition) of deferred revenues, along with related cost of revenues, on certain of our online-enabled products, including the effects of taxes.</w:t>
      </w:r>
    </w:p>
    <w:p>
      <w:pPr>
        <w:ind w:left="340" w:right="280" w:hanging="324"/>
        <w:spacing w:after="0" w:line="261" w:lineRule="auto"/>
        <w:rPr>
          <w:rFonts w:ascii="Arial" w:cs="Arial" w:eastAsia="Arial" w:hAnsi="Arial"/>
          <w:sz w:val="13"/>
          <w:szCs w:val="13"/>
          <w:color w:val="auto"/>
        </w:rPr>
      </w:pPr>
      <w:r>
        <w:rPr>
          <w:rFonts w:ascii="Arial" w:cs="Arial" w:eastAsia="Arial" w:hAnsi="Arial"/>
          <w:sz w:val="13"/>
          <w:szCs w:val="13"/>
          <w:color w:val="auto"/>
        </w:rPr>
        <w:t>6Reflects the income tax impact associated with the above items. Tax impact on non-GAAP pre-tax income is calculated under the same accounting principles applied to the GAAP pre-tax income under ASC 740, which employs an annual effective tax rate method to the results.</w:t>
      </w: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color w:val="auto"/>
        </w:rPr>
        <w:t>The GAAP and non-GAAP earnings per share information is presented as calculated. The sum of these measures, as presented, may differ due to the impact of rounding.</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ind w:right="5220"/>
        <w:spacing w:after="0" w:line="260" w:lineRule="auto"/>
        <w:rPr>
          <w:sz w:val="20"/>
          <w:szCs w:val="20"/>
          <w:color w:val="auto"/>
        </w:rPr>
      </w:pPr>
      <w:r>
        <w:rPr>
          <w:rFonts w:ascii="Arial" w:cs="Arial" w:eastAsia="Arial" w:hAnsi="Arial"/>
          <w:sz w:val="18"/>
          <w:szCs w:val="18"/>
          <w:b w:val="1"/>
          <w:bCs w:val="1"/>
          <w:color w:val="auto"/>
        </w:rPr>
        <w:t>RECONCILIATION OF GAAP NET INCOME TO NON-GAAP MEASURES (Amounts in millions, except per share data)</w:t>
      </w:r>
    </w:p>
    <w:p>
      <w:pPr>
        <w:spacing w:after="0" w:line="200" w:lineRule="exact"/>
        <w:rPr>
          <w:sz w:val="20"/>
          <w:szCs w:val="20"/>
          <w:color w:val="auto"/>
        </w:rPr>
      </w:pPr>
    </w:p>
    <w:p>
      <w:pPr>
        <w:spacing w:after="0" w:line="282"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right="14"/>
              <w:spacing w:after="0"/>
              <w:rPr>
                <w:sz w:val="20"/>
                <w:szCs w:val="20"/>
                <w:color w:val="auto"/>
              </w:rPr>
            </w:pPr>
            <w:r>
              <w:rPr>
                <w:rFonts w:ascii="Arial" w:cs="Arial" w:eastAsia="Arial" w:hAnsi="Arial"/>
                <w:sz w:val="13"/>
                <w:szCs w:val="13"/>
                <w:b w:val="1"/>
                <w:bCs w:val="1"/>
                <w:color w:val="auto"/>
                <w:w w:val="84"/>
              </w:rPr>
              <w:t>Cost of</w:t>
            </w: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3"/>
              </w:rPr>
              <w:t>Cost of Revenues</w:t>
            </w: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3"/>
              </w:rPr>
              <w:t>Cost of Revenues</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84"/>
              </w:rPr>
              <w:t>Cost of</w:t>
            </w:r>
          </w:p>
        </w:tc>
        <w:tc>
          <w:tcPr>
            <w:tcW w:w="8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Revenues—</w:t>
            </w:r>
          </w:p>
        </w:tc>
        <w:tc>
          <w:tcPr>
            <w:tcW w:w="180" w:type="dxa"/>
            <w:vAlign w:val="bottom"/>
          </w:tcPr>
          <w:p>
            <w:pPr>
              <w:spacing w:after="0"/>
              <w:rPr>
                <w:sz w:val="10"/>
                <w:szCs w:val="10"/>
                <w:color w:val="auto"/>
              </w:rPr>
            </w:pPr>
          </w:p>
        </w:tc>
        <w:tc>
          <w:tcPr>
            <w:tcW w:w="840" w:type="dxa"/>
            <w:vAlign w:val="bottom"/>
          </w:tcPr>
          <w:p>
            <w:pPr>
              <w:jc w:val="center"/>
              <w:ind w:right="93"/>
              <w:spacing w:after="0" w:line="122" w:lineRule="exact"/>
              <w:rPr>
                <w:sz w:val="20"/>
                <w:szCs w:val="20"/>
                <w:color w:val="auto"/>
              </w:rPr>
            </w:pPr>
            <w:r>
              <w:rPr>
                <w:rFonts w:ascii="Arial" w:cs="Arial" w:eastAsia="Arial" w:hAnsi="Arial"/>
                <w:sz w:val="13"/>
                <w:szCs w:val="13"/>
                <w:b w:val="1"/>
                <w:bCs w:val="1"/>
                <w:color w:val="auto"/>
                <w:w w:val="96"/>
              </w:rPr>
              <w:t>—In-</w:t>
            </w:r>
          </w:p>
        </w:tc>
        <w:tc>
          <w:tcPr>
            <w:tcW w:w="120" w:type="dxa"/>
            <w:vAlign w:val="bottom"/>
          </w:tcPr>
          <w:p>
            <w:pPr>
              <w:spacing w:after="0"/>
              <w:rPr>
                <w:sz w:val="10"/>
                <w:szCs w:val="10"/>
                <w:color w:val="auto"/>
              </w:rPr>
            </w:pPr>
          </w:p>
        </w:tc>
        <w:tc>
          <w:tcPr>
            <w:tcW w:w="900" w:type="dxa"/>
            <w:vAlign w:val="bottom"/>
          </w:tcPr>
          <w:p>
            <w:pPr>
              <w:jc w:val="center"/>
              <w:ind w:right="34"/>
              <w:spacing w:after="0" w:line="122" w:lineRule="exact"/>
              <w:rPr>
                <w:sz w:val="20"/>
                <w:szCs w:val="20"/>
                <w:color w:val="auto"/>
              </w:rPr>
            </w:pPr>
            <w:r>
              <w:rPr>
                <w:rFonts w:ascii="Arial" w:cs="Arial" w:eastAsia="Arial" w:hAnsi="Arial"/>
                <w:sz w:val="13"/>
                <w:szCs w:val="13"/>
                <w:b w:val="1"/>
                <w:bCs w:val="1"/>
                <w:color w:val="auto"/>
                <w:w w:val="96"/>
              </w:rPr>
              <w:t>—In-</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14"/>
              <w:spacing w:after="0" w:line="131" w:lineRule="exact"/>
              <w:rPr>
                <w:sz w:val="20"/>
                <w:szCs w:val="20"/>
                <w:color w:val="auto"/>
              </w:rPr>
            </w:pPr>
            <w:r>
              <w:rPr>
                <w:rFonts w:ascii="Arial" w:cs="Arial" w:eastAsia="Arial" w:hAnsi="Arial"/>
                <w:sz w:val="13"/>
                <w:szCs w:val="13"/>
                <w:b w:val="1"/>
                <w:bCs w:val="1"/>
                <w:color w:val="auto"/>
                <w:w w:val="85"/>
              </w:rPr>
              <w:t>Product Sales:</w:t>
            </w:r>
          </w:p>
        </w:tc>
        <w:tc>
          <w:tcPr>
            <w:tcW w:w="2040" w:type="dxa"/>
            <w:vAlign w:val="bottom"/>
            <w:gridSpan w:val="4"/>
          </w:tcPr>
          <w:p>
            <w:pPr>
              <w:ind w:left="20"/>
              <w:spacing w:after="0" w:line="131" w:lineRule="exact"/>
              <w:rPr>
                <w:sz w:val="20"/>
                <w:szCs w:val="20"/>
                <w:color w:val="auto"/>
              </w:rPr>
            </w:pPr>
            <w:r>
              <w:rPr>
                <w:rFonts w:ascii="Arial" w:cs="Arial" w:eastAsia="Arial" w:hAnsi="Arial"/>
                <w:sz w:val="13"/>
                <w:szCs w:val="13"/>
                <w:b w:val="1"/>
                <w:bCs w:val="1"/>
                <w:color w:val="auto"/>
                <w:w w:val="87"/>
              </w:rPr>
              <w:t>game/Subs/Other: game/Subs/Other:</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53"/>
              <w:spacing w:after="0" w:line="126" w:lineRule="exact"/>
              <w:rPr>
                <w:sz w:val="20"/>
                <w:szCs w:val="20"/>
                <w:color w:val="auto"/>
              </w:rPr>
            </w:pPr>
            <w:r>
              <w:rPr>
                <w:rFonts w:ascii="Arial" w:cs="Arial" w:eastAsia="Arial" w:hAnsi="Arial"/>
                <w:sz w:val="13"/>
                <w:szCs w:val="13"/>
                <w:b w:val="1"/>
                <w:bCs w:val="1"/>
                <w:color w:val="auto"/>
                <w:w w:val="85"/>
              </w:rPr>
              <w:t>Revenues—</w:t>
            </w:r>
          </w:p>
        </w:tc>
        <w:tc>
          <w:tcPr>
            <w:tcW w:w="80" w:type="dxa"/>
            <w:vAlign w:val="bottom"/>
          </w:tcPr>
          <w:p>
            <w:pPr>
              <w:spacing w:after="0"/>
              <w:rPr>
                <w:sz w:val="10"/>
                <w:szCs w:val="10"/>
                <w:color w:val="auto"/>
              </w:rPr>
            </w:pPr>
          </w:p>
        </w:tc>
        <w:tc>
          <w:tcPr>
            <w:tcW w:w="8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7"/>
              </w:rPr>
              <w:t>Software</w:t>
            </w:r>
          </w:p>
        </w:tc>
        <w:tc>
          <w:tcPr>
            <w:tcW w:w="1020" w:type="dxa"/>
            <w:vAlign w:val="bottom"/>
            <w:gridSpan w:val="2"/>
          </w:tcPr>
          <w:p>
            <w:pPr>
              <w:ind w:left="40"/>
              <w:spacing w:after="0" w:line="126" w:lineRule="exact"/>
              <w:rPr>
                <w:sz w:val="20"/>
                <w:szCs w:val="20"/>
                <w:color w:val="auto"/>
              </w:rPr>
            </w:pPr>
            <w:r>
              <w:rPr>
                <w:rFonts w:ascii="Arial" w:cs="Arial" w:eastAsia="Arial" w:hAnsi="Arial"/>
                <w:sz w:val="13"/>
                <w:szCs w:val="13"/>
                <w:b w:val="1"/>
                <w:bCs w:val="1"/>
                <w:color w:val="auto"/>
                <w:w w:val="88"/>
              </w:rPr>
              <w:t>Game Operations</w:t>
            </w:r>
          </w:p>
        </w:tc>
        <w:tc>
          <w:tcPr>
            <w:tcW w:w="120" w:type="dxa"/>
            <w:vAlign w:val="bottom"/>
          </w:tcPr>
          <w:p>
            <w:pPr>
              <w:spacing w:after="0"/>
              <w:rPr>
                <w:sz w:val="10"/>
                <w:szCs w:val="10"/>
                <w:color w:val="auto"/>
              </w:rPr>
            </w:pPr>
          </w:p>
        </w:tc>
        <w:tc>
          <w:tcPr>
            <w:tcW w:w="900" w:type="dxa"/>
            <w:vAlign w:val="bottom"/>
          </w:tcPr>
          <w:p>
            <w:pPr>
              <w:jc w:val="center"/>
              <w:ind w:right="34"/>
              <w:spacing w:after="0" w:line="126" w:lineRule="exact"/>
              <w:rPr>
                <w:sz w:val="20"/>
                <w:szCs w:val="20"/>
                <w:color w:val="auto"/>
              </w:rPr>
            </w:pPr>
            <w:r>
              <w:rPr>
                <w:rFonts w:ascii="Arial" w:cs="Arial" w:eastAsia="Arial" w:hAnsi="Arial"/>
                <w:sz w:val="13"/>
                <w:szCs w:val="13"/>
                <w:b w:val="1"/>
                <w:bCs w:val="1"/>
                <w:color w:val="auto"/>
                <w:w w:val="87"/>
              </w:rPr>
              <w:t>Software</w:t>
            </w:r>
          </w:p>
        </w:tc>
        <w:tc>
          <w:tcPr>
            <w:tcW w:w="100" w:type="dxa"/>
            <w:vAlign w:val="bottom"/>
          </w:tcPr>
          <w:p>
            <w:pPr>
              <w:spacing w:after="0"/>
              <w:rPr>
                <w:sz w:val="10"/>
                <w:szCs w:val="10"/>
                <w:color w:val="auto"/>
              </w:rPr>
            </w:pPr>
          </w:p>
        </w:tc>
        <w:tc>
          <w:tcPr>
            <w:tcW w:w="780" w:type="dxa"/>
            <w:vAlign w:val="bottom"/>
            <w:vMerge w:val="restart"/>
          </w:tcPr>
          <w:p>
            <w:pPr>
              <w:jc w:val="right"/>
              <w:ind w:right="154"/>
              <w:spacing w:after="0"/>
              <w:rPr>
                <w:sz w:val="20"/>
                <w:szCs w:val="20"/>
                <w:color w:val="auto"/>
              </w:rPr>
            </w:pPr>
            <w:r>
              <w:rPr>
                <w:rFonts w:ascii="Arial" w:cs="Arial" w:eastAsia="Arial" w:hAnsi="Arial"/>
                <w:sz w:val="13"/>
                <w:szCs w:val="13"/>
                <w:b w:val="1"/>
                <w:bCs w:val="1"/>
                <w:color w:val="auto"/>
              </w:rPr>
              <w:t>Product</w:t>
            </w:r>
          </w:p>
        </w:tc>
        <w:tc>
          <w:tcPr>
            <w:tcW w:w="120" w:type="dxa"/>
            <w:vAlign w:val="bottom"/>
          </w:tcPr>
          <w:p>
            <w:pPr>
              <w:spacing w:after="0"/>
              <w:rPr>
                <w:sz w:val="10"/>
                <w:szCs w:val="10"/>
                <w:color w:val="auto"/>
              </w:rPr>
            </w:pPr>
          </w:p>
        </w:tc>
        <w:tc>
          <w:tcPr>
            <w:tcW w:w="740" w:type="dxa"/>
            <w:vAlign w:val="bottom"/>
            <w:vMerge w:val="restart"/>
          </w:tcPr>
          <w:p>
            <w:pPr>
              <w:jc w:val="right"/>
              <w:ind w:right="114"/>
              <w:spacing w:after="0"/>
              <w:rPr>
                <w:sz w:val="20"/>
                <w:szCs w:val="20"/>
                <w:color w:val="auto"/>
              </w:rPr>
            </w:pPr>
            <w:r>
              <w:rPr>
                <w:rFonts w:ascii="Arial" w:cs="Arial" w:eastAsia="Arial" w:hAnsi="Arial"/>
                <w:sz w:val="13"/>
                <w:szCs w:val="13"/>
                <w:b w:val="1"/>
                <w:bCs w:val="1"/>
                <w:color w:val="auto"/>
                <w:w w:val="88"/>
              </w:rPr>
              <w:t>Sales and</w:t>
            </w:r>
          </w:p>
        </w:tc>
        <w:tc>
          <w:tcPr>
            <w:tcW w:w="100" w:type="dxa"/>
            <w:vAlign w:val="bottom"/>
          </w:tcPr>
          <w:p>
            <w:pPr>
              <w:spacing w:after="0"/>
              <w:rPr>
                <w:sz w:val="10"/>
                <w:szCs w:val="10"/>
                <w:color w:val="auto"/>
              </w:rPr>
            </w:pPr>
          </w:p>
        </w:tc>
        <w:tc>
          <w:tcPr>
            <w:tcW w:w="920" w:type="dxa"/>
            <w:vAlign w:val="bottom"/>
            <w:vMerge w:val="restart"/>
          </w:tcPr>
          <w:p>
            <w:pPr>
              <w:jc w:val="right"/>
              <w:ind w:right="114"/>
              <w:spacing w:after="0"/>
              <w:rPr>
                <w:sz w:val="20"/>
                <w:szCs w:val="20"/>
                <w:color w:val="auto"/>
              </w:rPr>
            </w:pPr>
            <w:r>
              <w:rPr>
                <w:rFonts w:ascii="Arial" w:cs="Arial" w:eastAsia="Arial" w:hAnsi="Arial"/>
                <w:sz w:val="13"/>
                <w:szCs w:val="13"/>
                <w:b w:val="1"/>
                <w:bCs w:val="1"/>
                <w:color w:val="auto"/>
                <w:w w:val="95"/>
              </w:rPr>
              <w:t>General and</w:t>
            </w:r>
          </w:p>
        </w:tc>
        <w:tc>
          <w:tcPr>
            <w:tcW w:w="120" w:type="dxa"/>
            <w:vAlign w:val="bottom"/>
          </w:tcPr>
          <w:p>
            <w:pPr>
              <w:spacing w:after="0"/>
              <w:rPr>
                <w:sz w:val="10"/>
                <w:szCs w:val="10"/>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w w:val="81"/>
              </w:rPr>
              <w:t>Total Costs</w:t>
            </w:r>
          </w:p>
        </w:tc>
        <w:tc>
          <w:tcPr>
            <w:tcW w:w="0" w:type="dxa"/>
            <w:vAlign w:val="bottom"/>
          </w:tcPr>
          <w:p>
            <w:pPr>
              <w:spacing w:after="0"/>
              <w:rPr>
                <w:sz w:val="1"/>
                <w:szCs w:val="1"/>
                <w:color w:val="auto"/>
              </w:rPr>
            </w:pPr>
          </w:p>
        </w:tc>
      </w:tr>
      <w:tr>
        <w:trPr>
          <w:trHeight w:val="122"/>
        </w:trPr>
        <w:tc>
          <w:tcPr>
            <w:tcW w:w="27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Six Months Ended June 30, 2022</w:t>
            </w:r>
          </w:p>
        </w:tc>
        <w:tc>
          <w:tcPr>
            <w:tcW w:w="8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6"/>
              </w:rPr>
              <w:t>Net Revenues</w:t>
            </w:r>
          </w:p>
        </w:tc>
        <w:tc>
          <w:tcPr>
            <w:tcW w:w="92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5"/>
              </w:rPr>
              <w:t>Product Sales:</w:t>
            </w:r>
          </w:p>
        </w:tc>
        <w:tc>
          <w:tcPr>
            <w:tcW w:w="80" w:type="dxa"/>
            <w:vAlign w:val="bottom"/>
          </w:tcPr>
          <w:p>
            <w:pPr>
              <w:spacing w:after="0"/>
              <w:rPr>
                <w:sz w:val="10"/>
                <w:szCs w:val="10"/>
                <w:color w:val="auto"/>
              </w:rPr>
            </w:pPr>
          </w:p>
        </w:tc>
        <w:tc>
          <w:tcPr>
            <w:tcW w:w="860" w:type="dxa"/>
            <w:vAlign w:val="bottom"/>
          </w:tcPr>
          <w:p>
            <w:pPr>
              <w:jc w:val="center"/>
              <w:ind w:right="14"/>
              <w:spacing w:after="0" w:line="122" w:lineRule="exact"/>
              <w:rPr>
                <w:sz w:val="20"/>
                <w:szCs w:val="20"/>
                <w:color w:val="auto"/>
              </w:rPr>
            </w:pPr>
            <w:r>
              <w:rPr>
                <w:rFonts w:ascii="Arial" w:cs="Arial" w:eastAsia="Arial" w:hAnsi="Arial"/>
                <w:sz w:val="13"/>
                <w:szCs w:val="13"/>
                <w:b w:val="1"/>
                <w:bCs w:val="1"/>
                <w:color w:val="auto"/>
                <w:w w:val="87"/>
              </w:rPr>
              <w:t>Royalties and</w:t>
            </w:r>
          </w:p>
        </w:tc>
        <w:tc>
          <w:tcPr>
            <w:tcW w:w="102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0"/>
              </w:rPr>
              <w:t>and Distribution</w:t>
            </w:r>
          </w:p>
        </w:tc>
        <w:tc>
          <w:tcPr>
            <w:tcW w:w="120" w:type="dxa"/>
            <w:vAlign w:val="bottom"/>
          </w:tcPr>
          <w:p>
            <w:pPr>
              <w:spacing w:after="0"/>
              <w:rPr>
                <w:sz w:val="10"/>
                <w:szCs w:val="10"/>
                <w:color w:val="auto"/>
              </w:rPr>
            </w:pPr>
          </w:p>
        </w:tc>
        <w:tc>
          <w:tcPr>
            <w:tcW w:w="900" w:type="dxa"/>
            <w:vAlign w:val="bottom"/>
          </w:tcPr>
          <w:p>
            <w:pPr>
              <w:jc w:val="center"/>
              <w:ind w:right="54"/>
              <w:spacing w:after="0" w:line="122" w:lineRule="exact"/>
              <w:rPr>
                <w:sz w:val="20"/>
                <w:szCs w:val="20"/>
                <w:color w:val="auto"/>
              </w:rPr>
            </w:pPr>
            <w:r>
              <w:rPr>
                <w:rFonts w:ascii="Arial" w:cs="Arial" w:eastAsia="Arial" w:hAnsi="Arial"/>
                <w:sz w:val="13"/>
                <w:szCs w:val="13"/>
                <w:b w:val="1"/>
                <w:bCs w:val="1"/>
                <w:color w:val="auto"/>
                <w:w w:val="87"/>
              </w:rPr>
              <w:t>Royalties and</w:t>
            </w: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7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Product Costs</w:t>
            </w: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0"/>
              </w:rPr>
              <w:t>Amortization</w:t>
            </w:r>
          </w:p>
        </w:tc>
        <w:tc>
          <w:tcPr>
            <w:tcW w:w="180" w:type="dxa"/>
            <w:vAlign w:val="bottom"/>
          </w:tcPr>
          <w:p>
            <w:pPr>
              <w:spacing w:after="0"/>
              <w:rPr>
                <w:sz w:val="14"/>
                <w:szCs w:val="14"/>
                <w:color w:val="auto"/>
              </w:rPr>
            </w:pPr>
          </w:p>
        </w:tc>
        <w:tc>
          <w:tcPr>
            <w:tcW w:w="840" w:type="dxa"/>
            <w:vAlign w:val="bottom"/>
          </w:tcPr>
          <w:p>
            <w:pPr>
              <w:jc w:val="center"/>
              <w:ind w:right="113"/>
              <w:spacing w:after="0"/>
              <w:rPr>
                <w:sz w:val="20"/>
                <w:szCs w:val="20"/>
                <w:color w:val="auto"/>
              </w:rPr>
            </w:pPr>
            <w:r>
              <w:rPr>
                <w:rFonts w:ascii="Arial" w:cs="Arial" w:eastAsia="Arial" w:hAnsi="Arial"/>
                <w:sz w:val="13"/>
                <w:szCs w:val="13"/>
                <w:b w:val="1"/>
                <w:bCs w:val="1"/>
                <w:color w:val="auto"/>
                <w:w w:val="82"/>
              </w:rPr>
              <w:t>Costs</w:t>
            </w:r>
          </w:p>
        </w:tc>
        <w:tc>
          <w:tcPr>
            <w:tcW w:w="120" w:type="dxa"/>
            <w:vAlign w:val="bottom"/>
          </w:tcPr>
          <w:p>
            <w:pPr>
              <w:spacing w:after="0"/>
              <w:rPr>
                <w:sz w:val="14"/>
                <w:szCs w:val="14"/>
                <w:color w:val="auto"/>
              </w:rPr>
            </w:pPr>
          </w:p>
        </w:tc>
        <w:tc>
          <w:tcPr>
            <w:tcW w:w="900" w:type="dxa"/>
            <w:vAlign w:val="bottom"/>
          </w:tcPr>
          <w:p>
            <w:pPr>
              <w:jc w:val="center"/>
              <w:ind w:right="34"/>
              <w:spacing w:after="0"/>
              <w:rPr>
                <w:sz w:val="20"/>
                <w:szCs w:val="20"/>
                <w:color w:val="auto"/>
              </w:rPr>
            </w:pPr>
            <w:r>
              <w:rPr>
                <w:rFonts w:ascii="Arial" w:cs="Arial" w:eastAsia="Arial" w:hAnsi="Arial"/>
                <w:sz w:val="13"/>
                <w:szCs w:val="13"/>
                <w:b w:val="1"/>
                <w:bCs w:val="1"/>
                <w:color w:val="auto"/>
                <w:w w:val="90"/>
              </w:rPr>
              <w:t>Amortization</w:t>
            </w:r>
          </w:p>
        </w:tc>
        <w:tc>
          <w:tcPr>
            <w:tcW w:w="100" w:type="dxa"/>
            <w:vAlign w:val="bottom"/>
          </w:tcPr>
          <w:p>
            <w:pPr>
              <w:spacing w:after="0"/>
              <w:rPr>
                <w:sz w:val="14"/>
                <w:szCs w:val="14"/>
                <w:color w:val="auto"/>
              </w:rPr>
            </w:pPr>
          </w:p>
        </w:tc>
        <w:tc>
          <w:tcPr>
            <w:tcW w:w="780" w:type="dxa"/>
            <w:vAlign w:val="bottom"/>
          </w:tcPr>
          <w:p>
            <w:pPr>
              <w:jc w:val="right"/>
              <w:ind w:right="14"/>
              <w:spacing w:after="0"/>
              <w:rPr>
                <w:sz w:val="20"/>
                <w:szCs w:val="20"/>
                <w:color w:val="auto"/>
              </w:rPr>
            </w:pPr>
            <w:r>
              <w:rPr>
                <w:rFonts w:ascii="Arial" w:cs="Arial" w:eastAsia="Arial" w:hAnsi="Arial"/>
                <w:sz w:val="13"/>
                <w:szCs w:val="13"/>
                <w:b w:val="1"/>
                <w:bCs w:val="1"/>
                <w:color w:val="auto"/>
                <w:w w:val="83"/>
              </w:rPr>
              <w:t>Development</w:t>
            </w:r>
          </w:p>
        </w:tc>
        <w:tc>
          <w:tcPr>
            <w:tcW w:w="120" w:type="dxa"/>
            <w:vAlign w:val="bottom"/>
          </w:tcPr>
          <w:p>
            <w:pPr>
              <w:spacing w:after="0"/>
              <w:rPr>
                <w:sz w:val="14"/>
                <w:szCs w:val="14"/>
                <w:color w:val="auto"/>
              </w:rPr>
            </w:pPr>
          </w:p>
        </w:tc>
        <w:tc>
          <w:tcPr>
            <w:tcW w:w="740" w:type="dxa"/>
            <w:vAlign w:val="bottom"/>
          </w:tcPr>
          <w:p>
            <w:pPr>
              <w:jc w:val="right"/>
              <w:ind w:right="74"/>
              <w:spacing w:after="0"/>
              <w:rPr>
                <w:sz w:val="20"/>
                <w:szCs w:val="20"/>
                <w:color w:val="auto"/>
              </w:rPr>
            </w:pPr>
            <w:r>
              <w:rPr>
                <w:rFonts w:ascii="Arial" w:cs="Arial" w:eastAsia="Arial" w:hAnsi="Arial"/>
                <w:sz w:val="13"/>
                <w:szCs w:val="13"/>
                <w:b w:val="1"/>
                <w:bCs w:val="1"/>
                <w:color w:val="auto"/>
                <w:w w:val="94"/>
              </w:rPr>
              <w:t>Marketing</w:t>
            </w:r>
          </w:p>
        </w:tc>
        <w:tc>
          <w:tcPr>
            <w:tcW w:w="100" w:type="dxa"/>
            <w:vAlign w:val="bottom"/>
          </w:tcPr>
          <w:p>
            <w:pPr>
              <w:spacing w:after="0"/>
              <w:rPr>
                <w:sz w:val="14"/>
                <w:szCs w:val="14"/>
                <w:color w:val="auto"/>
              </w:rPr>
            </w:pPr>
          </w:p>
        </w:tc>
        <w:tc>
          <w:tcPr>
            <w:tcW w:w="920" w:type="dxa"/>
            <w:vAlign w:val="bottom"/>
          </w:tcPr>
          <w:p>
            <w:pPr>
              <w:jc w:val="right"/>
              <w:ind w:right="34"/>
              <w:spacing w:after="0"/>
              <w:rPr>
                <w:sz w:val="20"/>
                <w:szCs w:val="20"/>
                <w:color w:val="auto"/>
              </w:rPr>
            </w:pPr>
            <w:r>
              <w:rPr>
                <w:rFonts w:ascii="Arial" w:cs="Arial" w:eastAsia="Arial" w:hAnsi="Arial"/>
                <w:sz w:val="13"/>
                <w:szCs w:val="13"/>
                <w:b w:val="1"/>
                <w:bCs w:val="1"/>
                <w:color w:val="auto"/>
                <w:w w:val="88"/>
              </w:rPr>
              <w:t>Administrative</w:t>
            </w:r>
          </w:p>
        </w:tc>
        <w:tc>
          <w:tcPr>
            <w:tcW w:w="84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and Expenses</w:t>
            </w:r>
          </w:p>
        </w:tc>
        <w:tc>
          <w:tcPr>
            <w:tcW w:w="0" w:type="dxa"/>
            <w:vAlign w:val="bottom"/>
          </w:tcPr>
          <w:p>
            <w:pPr>
              <w:spacing w:after="0"/>
              <w:rPr>
                <w:sz w:val="1"/>
                <w:szCs w:val="1"/>
                <w:color w:val="auto"/>
              </w:rPr>
            </w:pPr>
          </w:p>
        </w:tc>
      </w:tr>
      <w:tr>
        <w:trPr>
          <w:trHeight w:val="25"/>
        </w:trPr>
        <w:tc>
          <w:tcPr>
            <w:tcW w:w="2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GAAP Measurement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2,595</w:t>
            </w:r>
          </w:p>
        </w:tc>
        <w:tc>
          <w:tcPr>
            <w:tcW w:w="0" w:type="dxa"/>
            <w:vAlign w:val="bottom"/>
          </w:tcPr>
          <w:p>
            <w:pPr>
              <w:spacing w:after="0"/>
              <w:rPr>
                <w:sz w:val="1"/>
                <w:szCs w:val="1"/>
                <w:color w:val="auto"/>
              </w:rPr>
            </w:pPr>
          </w:p>
        </w:tc>
      </w:tr>
      <w:tr>
        <w:trPr>
          <w:trHeight w:val="189"/>
        </w:trPr>
        <w:tc>
          <w:tcPr>
            <w:tcW w:w="2780" w:type="dxa"/>
            <w:vAlign w:val="bottom"/>
          </w:tcPr>
          <w:p>
            <w:pPr>
              <w:ind w:left="140"/>
              <w:spacing w:after="0" w:line="189" w:lineRule="exact"/>
              <w:rPr>
                <w:sz w:val="20"/>
                <w:szCs w:val="20"/>
                <w:color w:val="auto"/>
              </w:rPr>
            </w:pPr>
            <w:r>
              <w:rPr>
                <w:rFonts w:ascii="Arial" w:cs="Arial" w:eastAsia="Arial" w:hAnsi="Arial"/>
                <w:sz w:val="13"/>
                <w:szCs w:val="13"/>
                <w:color w:val="auto"/>
              </w:rPr>
              <w:t>Share-based compensation</w:t>
            </w:r>
            <w:r>
              <w:rPr>
                <w:rFonts w:ascii="Arial" w:cs="Arial" w:eastAsia="Arial" w:hAnsi="Arial"/>
                <w:sz w:val="17"/>
                <w:szCs w:val="17"/>
                <w:color w:val="auto"/>
                <w:vertAlign w:val="superscript"/>
              </w:rPr>
              <w:t>1</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189"/>
        </w:trPr>
        <w:tc>
          <w:tcPr>
            <w:tcW w:w="2780" w:type="dxa"/>
            <w:vAlign w:val="bottom"/>
            <w:shd w:val="clear" w:color="auto" w:fill="CCEEFF"/>
          </w:tcPr>
          <w:p>
            <w:pPr>
              <w:ind w:left="140"/>
              <w:spacing w:after="0" w:line="189" w:lineRule="exact"/>
              <w:rPr>
                <w:sz w:val="20"/>
                <w:szCs w:val="20"/>
                <w:color w:val="auto"/>
              </w:rPr>
            </w:pPr>
            <w:r>
              <w:rPr>
                <w:rFonts w:ascii="Arial" w:cs="Arial" w:eastAsia="Arial" w:hAnsi="Arial"/>
                <w:sz w:val="13"/>
                <w:szCs w:val="13"/>
                <w:color w:val="auto"/>
              </w:rPr>
              <w:t>Amortization of intangible assets</w:t>
            </w:r>
            <w:r>
              <w:rPr>
                <w:rFonts w:ascii="Arial" w:cs="Arial" w:eastAsia="Arial" w:hAnsi="Arial"/>
                <w:sz w:val="17"/>
                <w:szCs w:val="17"/>
                <w:color w:val="auto"/>
                <w:vertAlign w:val="superscript"/>
              </w:rPr>
              <w:t>2</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9"/>
        </w:trPr>
        <w:tc>
          <w:tcPr>
            <w:tcW w:w="2780" w:type="dxa"/>
            <w:vAlign w:val="bottom"/>
          </w:tcPr>
          <w:p>
            <w:pPr>
              <w:ind w:left="140"/>
              <w:spacing w:after="0" w:line="189" w:lineRule="exact"/>
              <w:rPr>
                <w:sz w:val="20"/>
                <w:szCs w:val="20"/>
                <w:color w:val="auto"/>
              </w:rPr>
            </w:pPr>
            <w:r>
              <w:rPr>
                <w:rFonts w:ascii="Arial" w:cs="Arial" w:eastAsia="Arial" w:hAnsi="Arial"/>
                <w:sz w:val="13"/>
                <w:szCs w:val="13"/>
                <w:color w:val="auto"/>
              </w:rPr>
              <w:t>Restructuring and related costs</w:t>
            </w:r>
            <w:r>
              <w:rPr>
                <w:rFonts w:ascii="Arial" w:cs="Arial" w:eastAsia="Arial" w:hAnsi="Arial"/>
                <w:sz w:val="17"/>
                <w:szCs w:val="17"/>
                <w:color w:val="auto"/>
                <w:vertAlign w:val="superscript"/>
              </w:rPr>
              <w:t>3</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78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w w:val="99"/>
              </w:rPr>
              <w:t>Merger and acquisition-related fees and other</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75"/>
        </w:trPr>
        <w:tc>
          <w:tcPr>
            <w:tcW w:w="278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3"/>
                <w:szCs w:val="13"/>
                <w:color w:val="auto"/>
              </w:rPr>
              <w:t>expenses</w:t>
            </w:r>
            <w:r>
              <w:rPr>
                <w:rFonts w:ascii="Arial" w:cs="Arial" w:eastAsia="Arial" w:hAnsi="Arial"/>
                <w:sz w:val="17"/>
                <w:szCs w:val="17"/>
                <w:color w:val="auto"/>
                <w:vertAlign w:val="superscript"/>
              </w:rPr>
              <w:t>4</w:t>
            </w: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780" w:type="dxa"/>
            <w:vAlign w:val="bottom"/>
          </w:tcPr>
          <w:p>
            <w:pPr>
              <w:ind w:left="20"/>
              <w:spacing w:after="0"/>
              <w:rPr>
                <w:sz w:val="20"/>
                <w:szCs w:val="20"/>
                <w:color w:val="auto"/>
              </w:rPr>
            </w:pPr>
            <w:r>
              <w:rPr>
                <w:rFonts w:ascii="Arial" w:cs="Arial" w:eastAsia="Arial" w:hAnsi="Arial"/>
                <w:sz w:val="13"/>
                <w:szCs w:val="13"/>
                <w:color w:val="auto"/>
              </w:rPr>
              <w:t>Non-GAAP Measurement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3,412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2,349</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780" w:type="dxa"/>
            <w:vAlign w:val="bottom"/>
            <w:shd w:val="clear" w:color="auto" w:fill="CCEEFF"/>
          </w:tcPr>
          <w:p>
            <w:pPr>
              <w:ind w:left="140"/>
              <w:spacing w:after="0" w:line="105" w:lineRule="exact"/>
              <w:rPr>
                <w:sz w:val="20"/>
                <w:szCs w:val="20"/>
                <w:color w:val="auto"/>
              </w:rPr>
            </w:pPr>
            <w:r>
              <w:rPr>
                <w:rFonts w:ascii="Arial" w:cs="Arial" w:eastAsia="Arial" w:hAnsi="Arial"/>
                <w:sz w:val="12"/>
                <w:szCs w:val="12"/>
                <w:color w:val="auto"/>
              </w:rPr>
              <w:t>Net effect of deferred revenues and related cost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86"/>
        </w:trPr>
        <w:tc>
          <w:tcPr>
            <w:tcW w:w="2780" w:type="dxa"/>
            <w:vAlign w:val="bottom"/>
            <w:shd w:val="clear" w:color="auto" w:fill="CCEEFF"/>
          </w:tcPr>
          <w:p>
            <w:pPr>
              <w:ind w:left="140"/>
              <w:spacing w:after="0" w:line="186" w:lineRule="exact"/>
              <w:rPr>
                <w:sz w:val="20"/>
                <w:szCs w:val="20"/>
                <w:color w:val="auto"/>
              </w:rPr>
            </w:pPr>
            <w:r>
              <w:rPr>
                <w:rFonts w:ascii="Arial" w:cs="Arial" w:eastAsia="Arial" w:hAnsi="Arial"/>
                <w:sz w:val="13"/>
                <w:szCs w:val="13"/>
                <w:color w:val="auto"/>
              </w:rPr>
              <w:t>of revenues</w:t>
            </w:r>
            <w:r>
              <w:rPr>
                <w:rFonts w:ascii="Arial" w:cs="Arial" w:eastAsia="Arial" w:hAnsi="Arial"/>
                <w:sz w:val="17"/>
                <w:szCs w:val="17"/>
                <w:color w:val="auto"/>
                <w:vertAlign w:val="superscript"/>
              </w:rPr>
              <w:t>5</w:t>
            </w:r>
          </w:p>
        </w:tc>
        <w:tc>
          <w:tcPr>
            <w:tcW w:w="1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2"/>
          </w:tcPr>
          <w:p>
            <w:pPr>
              <w:spacing w:after="0"/>
              <w:rPr>
                <w:sz w:val="23"/>
                <w:szCs w:val="23"/>
                <w:color w:val="auto"/>
              </w:rPr>
            </w:pPr>
          </w:p>
        </w:tc>
        <w:tc>
          <w:tcPr>
            <w:tcW w:w="1020" w:type="dxa"/>
            <w:vAlign w:val="bottom"/>
            <w:tcBorders>
              <w:bottom w:val="single" w:sz="8" w:color="auto"/>
            </w:tcBorders>
            <w:gridSpan w:val="2"/>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5"/>
        </w:trPr>
        <w:tc>
          <w:tcPr>
            <w:tcW w:w="2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right="33"/>
              <w:spacing w:after="0" w:line="115" w:lineRule="exact"/>
              <w:rPr>
                <w:sz w:val="20"/>
                <w:szCs w:val="20"/>
                <w:color w:val="auto"/>
              </w:rPr>
            </w:pPr>
            <w:r>
              <w:rPr>
                <w:rFonts w:ascii="Arial" w:cs="Arial" w:eastAsia="Arial" w:hAnsi="Arial"/>
                <w:sz w:val="13"/>
                <w:szCs w:val="13"/>
                <w:b w:val="1"/>
                <w:bCs w:val="1"/>
                <w:color w:val="auto"/>
                <w:w w:val="87"/>
              </w:rPr>
              <w:t>Operating</w:t>
            </w:r>
          </w:p>
        </w:tc>
        <w:tc>
          <w:tcPr>
            <w:tcW w:w="120" w:type="dxa"/>
            <w:vAlign w:val="bottom"/>
          </w:tcPr>
          <w:p>
            <w:pPr>
              <w:spacing w:after="0"/>
              <w:rPr>
                <w:sz w:val="10"/>
                <w:szCs w:val="10"/>
                <w:color w:val="auto"/>
              </w:rPr>
            </w:pPr>
          </w:p>
        </w:tc>
        <w:tc>
          <w:tcPr>
            <w:tcW w:w="80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88"/>
              </w:rPr>
              <w:t>Net Income</w:t>
            </w:r>
          </w:p>
        </w:tc>
        <w:tc>
          <w:tcPr>
            <w:tcW w:w="94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auto"/>
                <w:w w:val="85"/>
              </w:rPr>
              <w:t>Basic Earnings</w:t>
            </w:r>
          </w:p>
        </w:tc>
        <w:tc>
          <w:tcPr>
            <w:tcW w:w="102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auto"/>
                <w:w w:val="89"/>
              </w:rPr>
              <w:t>Diluted Earnings</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87"/>
              </w:rPr>
              <w:t>Income</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per Share</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86"/>
              </w:rPr>
              <w:t>per Share</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GAAP Measurement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0.86</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0.86</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80" w:type="dxa"/>
            <w:vAlign w:val="bottom"/>
          </w:tcPr>
          <w:p>
            <w:pPr>
              <w:ind w:left="140"/>
              <w:spacing w:after="0" w:line="189" w:lineRule="exact"/>
              <w:rPr>
                <w:sz w:val="20"/>
                <w:szCs w:val="20"/>
                <w:color w:val="auto"/>
              </w:rPr>
            </w:pPr>
            <w:r>
              <w:rPr>
                <w:rFonts w:ascii="Arial" w:cs="Arial" w:eastAsia="Arial" w:hAnsi="Arial"/>
                <w:sz w:val="13"/>
                <w:szCs w:val="13"/>
                <w:color w:val="auto"/>
              </w:rPr>
              <w:t>Share-based compensation</w:t>
            </w:r>
            <w:r>
              <w:rPr>
                <w:rFonts w:ascii="Arial" w:cs="Arial" w:eastAsia="Arial" w:hAnsi="Arial"/>
                <w:sz w:val="17"/>
                <w:szCs w:val="17"/>
                <w:color w:val="auto"/>
                <w:vertAlign w:val="superscript"/>
              </w:rPr>
              <w:t>1</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199</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199</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0.25</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0.25</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CCEEFF"/>
          </w:tcPr>
          <w:p>
            <w:pPr>
              <w:ind w:left="140"/>
              <w:spacing w:after="0" w:line="189" w:lineRule="exact"/>
              <w:rPr>
                <w:sz w:val="20"/>
                <w:szCs w:val="20"/>
                <w:color w:val="auto"/>
              </w:rPr>
            </w:pPr>
            <w:r>
              <w:rPr>
                <w:rFonts w:ascii="Arial" w:cs="Arial" w:eastAsia="Arial" w:hAnsi="Arial"/>
                <w:sz w:val="13"/>
                <w:szCs w:val="13"/>
                <w:color w:val="auto"/>
              </w:rPr>
              <w:t>Amortization of intangible assets</w:t>
            </w:r>
            <w:r>
              <w:rPr>
                <w:rFonts w:ascii="Arial" w:cs="Arial" w:eastAsia="Arial" w:hAnsi="Arial"/>
                <w:sz w:val="17"/>
                <w:szCs w:val="17"/>
                <w:color w:val="auto"/>
                <w:vertAlign w:val="superscript"/>
              </w:rPr>
              <w:t>2</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80" w:type="dxa"/>
            <w:vAlign w:val="bottom"/>
          </w:tcPr>
          <w:p>
            <w:pPr>
              <w:ind w:left="140"/>
              <w:spacing w:after="0" w:line="189" w:lineRule="exact"/>
              <w:rPr>
                <w:sz w:val="20"/>
                <w:szCs w:val="20"/>
                <w:color w:val="auto"/>
              </w:rPr>
            </w:pPr>
            <w:r>
              <w:rPr>
                <w:rFonts w:ascii="Arial" w:cs="Arial" w:eastAsia="Arial" w:hAnsi="Arial"/>
                <w:sz w:val="13"/>
                <w:szCs w:val="13"/>
                <w:color w:val="auto"/>
              </w:rPr>
              <w:t>Restructuring and related costs</w:t>
            </w:r>
            <w:r>
              <w:rPr>
                <w:rFonts w:ascii="Arial" w:cs="Arial" w:eastAsia="Arial" w:hAnsi="Arial"/>
                <w:sz w:val="17"/>
                <w:szCs w:val="17"/>
                <w:color w:val="auto"/>
                <w:vertAlign w:val="superscript"/>
              </w:rPr>
              <w:t>3</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(0.01)</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78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color w:val="auto"/>
                <w:w w:val="99"/>
              </w:rPr>
              <w:t>Merger and acquisition-related fees and other</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0.06</w:t>
            </w:r>
          </w:p>
        </w:tc>
        <w:tc>
          <w:tcPr>
            <w:tcW w:w="1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0.06</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780" w:type="dxa"/>
            <w:vAlign w:val="bottom"/>
            <w:shd w:val="clear" w:color="auto" w:fill="CCEEFF"/>
          </w:tcPr>
          <w:p>
            <w:pPr>
              <w:ind w:left="140"/>
              <w:spacing w:after="0" w:line="186" w:lineRule="exact"/>
              <w:rPr>
                <w:sz w:val="20"/>
                <w:szCs w:val="20"/>
                <w:color w:val="auto"/>
              </w:rPr>
            </w:pPr>
            <w:r>
              <w:rPr>
                <w:rFonts w:ascii="Arial" w:cs="Arial" w:eastAsia="Arial" w:hAnsi="Arial"/>
                <w:sz w:val="13"/>
                <w:szCs w:val="13"/>
                <w:color w:val="auto"/>
              </w:rPr>
              <w:t>expenses</w:t>
            </w:r>
            <w:r>
              <w:rPr>
                <w:rFonts w:ascii="Arial" w:cs="Arial" w:eastAsia="Arial" w:hAnsi="Arial"/>
                <w:sz w:val="17"/>
                <w:szCs w:val="17"/>
                <w:color w:val="auto"/>
                <w:vertAlign w:val="superscript"/>
              </w:rPr>
              <w:t>4</w:t>
            </w: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80" w:type="dxa"/>
            <w:vAlign w:val="bottom"/>
            <w:tcBorders>
              <w:bottom w:val="single" w:sz="8" w:color="CCEEFF"/>
            </w:tcBorders>
          </w:tcPr>
          <w:p>
            <w:pPr>
              <w:ind w:left="140"/>
              <w:spacing w:after="0" w:line="189" w:lineRule="exact"/>
              <w:rPr>
                <w:sz w:val="20"/>
                <w:szCs w:val="20"/>
                <w:color w:val="auto"/>
              </w:rPr>
            </w:pPr>
            <w:r>
              <w:rPr>
                <w:rFonts w:ascii="Arial" w:cs="Arial" w:eastAsia="Arial" w:hAnsi="Arial"/>
                <w:sz w:val="13"/>
                <w:szCs w:val="13"/>
                <w:color w:val="auto"/>
              </w:rPr>
              <w:t>Income tax impacts from items above</w:t>
            </w:r>
            <w:r>
              <w:rPr>
                <w:rFonts w:ascii="Arial" w:cs="Arial" w:eastAsia="Arial" w:hAnsi="Arial"/>
                <w:sz w:val="17"/>
                <w:szCs w:val="17"/>
                <w:color w:val="auto"/>
                <w:vertAlign w:val="superscript"/>
              </w:rPr>
              <w:t>5</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(0.05)</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(0.05)</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Non-GAAP Measurement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882</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140"/>
              <w:spacing w:after="0" w:line="122" w:lineRule="exact"/>
              <w:rPr>
                <w:sz w:val="20"/>
                <w:szCs w:val="20"/>
                <w:color w:val="auto"/>
              </w:rPr>
            </w:pPr>
            <w:r>
              <w:rPr>
                <w:rFonts w:ascii="Arial" w:cs="Arial" w:eastAsia="Arial" w:hAnsi="Arial"/>
                <w:sz w:val="13"/>
                <w:szCs w:val="13"/>
                <w:color w:val="auto"/>
                <w:w w:val="95"/>
              </w:rPr>
              <w:t>Net effect of deferred revenues and related cost</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780" w:type="dxa"/>
            <w:vAlign w:val="bottom"/>
            <w:vMerge w:val="continue"/>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(236)</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(213)</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(0.27)</w:t>
            </w:r>
          </w:p>
        </w:tc>
        <w:tc>
          <w:tcPr>
            <w:tcW w:w="18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(0.27)</w:t>
            </w: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780" w:type="dxa"/>
            <w:vAlign w:val="bottom"/>
          </w:tcPr>
          <w:p>
            <w:pPr>
              <w:ind w:left="140"/>
              <w:spacing w:after="0"/>
              <w:rPr>
                <w:sz w:val="20"/>
                <w:szCs w:val="20"/>
                <w:color w:val="auto"/>
              </w:rPr>
            </w:pPr>
            <w:r>
              <w:rPr>
                <w:rFonts w:ascii="Arial" w:cs="Arial" w:eastAsia="Arial" w:hAnsi="Arial"/>
                <w:sz w:val="13"/>
                <w:szCs w:val="13"/>
                <w:color w:val="auto"/>
              </w:rPr>
              <w:t>of revenues</w:t>
            </w:r>
            <w:r>
              <w:rPr>
                <w:rFonts w:ascii="Arial" w:cs="Arial" w:eastAsia="Arial" w:hAnsi="Arial"/>
                <w:sz w:val="17"/>
                <w:szCs w:val="17"/>
                <w:color w:val="auto"/>
                <w:vertAlign w:val="superscript"/>
              </w:rPr>
              <w:t>5</w:t>
            </w:r>
          </w:p>
        </w:tc>
        <w:tc>
          <w:tcPr>
            <w:tcW w:w="12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Reflects expenses related to share-based compensation.</w:t>
      </w:r>
    </w:p>
    <w:p>
      <w:pPr>
        <w:spacing w:after="0" w:line="13"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Reflects amortization of intangible assets from purchase price accounting.</w:t>
      </w:r>
    </w:p>
    <w:p>
      <w:pPr>
        <w:spacing w:after="0" w:line="9"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3</w:t>
      </w:r>
      <w:r>
        <w:rPr>
          <w:rFonts w:ascii="Arial" w:cs="Arial" w:eastAsia="Arial" w:hAnsi="Arial"/>
          <w:sz w:val="10"/>
          <w:szCs w:val="10"/>
          <w:color w:val="auto"/>
        </w:rPr>
        <w:t>Reflects restructuring initiatives.</w:t>
      </w:r>
    </w:p>
    <w:p>
      <w:pPr>
        <w:spacing w:after="0"/>
        <w:rPr>
          <w:rFonts w:ascii="Arial" w:cs="Arial" w:eastAsia="Arial" w:hAnsi="Arial"/>
          <w:sz w:val="13"/>
          <w:szCs w:val="13"/>
          <w:color w:val="auto"/>
        </w:rPr>
      </w:pPr>
      <w:r>
        <w:rPr>
          <w:rFonts w:ascii="Arial" w:cs="Arial" w:eastAsia="Arial" w:hAnsi="Arial"/>
          <w:sz w:val="13"/>
          <w:szCs w:val="13"/>
          <w:color w:val="auto"/>
        </w:rPr>
        <w:t>4</w:t>
      </w:r>
      <w:r>
        <w:rPr>
          <w:rFonts w:ascii="Arial" w:cs="Arial" w:eastAsia="Arial" w:hAnsi="Arial"/>
          <w:sz w:val="10"/>
          <w:szCs w:val="10"/>
          <w:color w:val="auto"/>
        </w:rPr>
        <w:t>Reflects fees and other expenses related to our proposed transaction with Microsoft, primarily legal and advisory fees.</w:t>
      </w:r>
    </w:p>
    <w:p>
      <w:pPr>
        <w:spacing w:after="0"/>
        <w:rPr>
          <w:rFonts w:ascii="Arial" w:cs="Arial" w:eastAsia="Arial" w:hAnsi="Arial"/>
          <w:sz w:val="13"/>
          <w:szCs w:val="13"/>
          <w:color w:val="auto"/>
        </w:rPr>
      </w:pPr>
      <w:r>
        <w:rPr>
          <w:rFonts w:ascii="Arial" w:cs="Arial" w:eastAsia="Arial" w:hAnsi="Arial"/>
          <w:sz w:val="13"/>
          <w:szCs w:val="13"/>
          <w:color w:val="auto"/>
        </w:rPr>
        <w:t>5</w:t>
      </w:r>
      <w:r>
        <w:rPr>
          <w:rFonts w:ascii="Arial" w:cs="Arial" w:eastAsia="Arial" w:hAnsi="Arial"/>
          <w:sz w:val="10"/>
          <w:szCs w:val="10"/>
          <w:color w:val="auto"/>
        </w:rPr>
        <w:t>Reflects the net effect from deferral of revenues and (recognition) of deferred revenues, along with related cost of revenues, on certain of our online-enabled products, including the effects of taxes.</w:t>
      </w:r>
    </w:p>
    <w:p>
      <w:pPr>
        <w:ind w:left="340" w:right="280" w:hanging="324"/>
        <w:spacing w:after="0" w:line="261" w:lineRule="auto"/>
        <w:rPr>
          <w:rFonts w:ascii="Arial" w:cs="Arial" w:eastAsia="Arial" w:hAnsi="Arial"/>
          <w:sz w:val="13"/>
          <w:szCs w:val="13"/>
          <w:color w:val="auto"/>
        </w:rPr>
      </w:pPr>
      <w:r>
        <w:rPr>
          <w:rFonts w:ascii="Arial" w:cs="Arial" w:eastAsia="Arial" w:hAnsi="Arial"/>
          <w:sz w:val="13"/>
          <w:szCs w:val="13"/>
          <w:color w:val="auto"/>
        </w:rPr>
        <w:t>6Reflects the income tax impact associated with the above items. Tax impact on non-GAAP pre-tax income is calculated under the same accounting principles applied to the GAAP pre-tax income under ASC 740, which employs an annual effective tax rate method to the results.</w:t>
      </w: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color w:val="auto"/>
        </w:rPr>
        <w:t>The GAAP and non-GAAP earnings per share information is presented as calculated. The sum of these measures, as presented, may differ due to the impact of rounding.</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millions)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 Increase / (Decrease)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6"/>
        </w:trPr>
        <w:tc>
          <w:tcPr>
            <w:tcW w:w="2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1"/>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Activision</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Blizzard</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King</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Activision</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Blizzard</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King</w:t>
            </w: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r>
      <w:tr>
        <w:trPr>
          <w:trHeight w:val="184"/>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Segment Net Revenues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82"/>
        </w:trPr>
        <w:tc>
          <w:tcPr>
            <w:tcW w:w="2940" w:type="dxa"/>
            <w:vAlign w:val="bottom"/>
          </w:tcPr>
          <w:p>
            <w:pPr>
              <w:ind w:left="140"/>
              <w:spacing w:after="0"/>
              <w:rPr>
                <w:sz w:val="20"/>
                <w:szCs w:val="20"/>
                <w:color w:val="auto"/>
              </w:rPr>
            </w:pPr>
            <w:r>
              <w:rPr>
                <w:rFonts w:ascii="Arial" w:cs="Arial" w:eastAsia="Arial" w:hAnsi="Arial"/>
                <w:sz w:val="14"/>
                <w:szCs w:val="14"/>
                <w:color w:val="auto"/>
              </w:rPr>
              <w:t>Net revenues from external customers</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574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1,049</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747</w:t>
            </w: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2,370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659</w:t>
            </w:r>
          </w:p>
        </w:tc>
        <w:tc>
          <w:tcPr>
            <w:tcW w:w="760" w:type="dxa"/>
            <w:vAlign w:val="bottom"/>
            <w:gridSpan w:val="2"/>
          </w:tcPr>
          <w:p>
            <w:pPr>
              <w:jc w:val="right"/>
              <w:ind w:right="488"/>
              <w:spacing w:after="0"/>
              <w:rPr>
                <w:sz w:val="20"/>
                <w:szCs w:val="20"/>
                <w:color w:val="auto"/>
              </w:rPr>
            </w:pPr>
            <w:r>
              <w:rPr>
                <w:rFonts w:ascii="Arial" w:cs="Arial" w:eastAsia="Arial" w:hAnsi="Arial"/>
                <w:sz w:val="14"/>
                <w:szCs w:val="14"/>
                <w:color w:val="auto"/>
              </w:rPr>
              <w:t>$</w:t>
            </w:r>
          </w:p>
        </w:tc>
        <w:tc>
          <w:tcPr>
            <w:tcW w:w="260" w:type="dxa"/>
            <w:vAlign w:val="bottom"/>
          </w:tcPr>
          <w:p>
            <w:pPr>
              <w:ind w:left="40"/>
              <w:spacing w:after="0"/>
              <w:rPr>
                <w:sz w:val="20"/>
                <w:szCs w:val="20"/>
                <w:color w:val="auto"/>
              </w:rPr>
            </w:pPr>
            <w:r>
              <w:rPr>
                <w:rFonts w:ascii="Arial" w:cs="Arial" w:eastAsia="Arial" w:hAnsi="Arial"/>
                <w:sz w:val="14"/>
                <w:szCs w:val="14"/>
                <w:color w:val="auto"/>
              </w:rPr>
              <w:t>63</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806</w:t>
            </w: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3"/>
        </w:trPr>
        <w:tc>
          <w:tcPr>
            <w:tcW w:w="2940" w:type="dxa"/>
            <w:vAlign w:val="bottom"/>
            <w:shd w:val="clear" w:color="auto" w:fill="CCEEFF"/>
          </w:tcPr>
          <w:p>
            <w:pPr>
              <w:ind w:left="140"/>
              <w:spacing w:after="0" w:line="202" w:lineRule="exact"/>
              <w:rPr>
                <w:sz w:val="20"/>
                <w:szCs w:val="20"/>
                <w:color w:val="auto"/>
              </w:rPr>
            </w:pPr>
            <w:r>
              <w:rPr>
                <w:rFonts w:ascii="Arial" w:cs="Arial" w:eastAsia="Arial" w:hAnsi="Arial"/>
                <w:sz w:val="14"/>
                <w:szCs w:val="14"/>
                <w:color w:val="auto"/>
              </w:rPr>
              <w:t>Intersegment net revenues</w:t>
            </w:r>
            <w:r>
              <w:rPr>
                <w:rFonts w:ascii="Arial" w:cs="Arial" w:eastAsia="Arial" w:hAnsi="Arial"/>
                <w:sz w:val="18"/>
                <w:szCs w:val="18"/>
                <w:color w:val="auto"/>
                <w:vertAlign w:val="superscript"/>
              </w:rPr>
              <w:t>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2940" w:type="dxa"/>
            <w:vAlign w:val="bottom"/>
          </w:tcPr>
          <w:p>
            <w:pPr>
              <w:ind w:left="140"/>
              <w:spacing w:after="0"/>
              <w:rPr>
                <w:sz w:val="20"/>
                <w:szCs w:val="20"/>
                <w:color w:val="auto"/>
              </w:rPr>
            </w:pPr>
            <w:r>
              <w:rPr>
                <w:rFonts w:ascii="Arial" w:cs="Arial" w:eastAsia="Arial" w:hAnsi="Arial"/>
                <w:sz w:val="14"/>
                <w:szCs w:val="14"/>
                <w:color w:val="auto"/>
              </w:rPr>
              <w:t>Segment net revenues</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747</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2,379</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657</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w:t>
            </w: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62"/>
        </w:trPr>
        <w:tc>
          <w:tcPr>
            <w:tcW w:w="2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r>
      <w:tr>
        <w:trPr>
          <w:trHeight w:val="194"/>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Segment operating income</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167</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409</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266</w:t>
            </w: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842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75</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315</w:t>
            </w:r>
          </w:p>
        </w:tc>
        <w:tc>
          <w:tcPr>
            <w:tcW w:w="760" w:type="dxa"/>
            <w:vAlign w:val="bottom"/>
            <w:gridSpan w:val="2"/>
          </w:tcPr>
          <w:p>
            <w:pPr>
              <w:jc w:val="right"/>
              <w:ind w:right="488"/>
              <w:spacing w:after="0"/>
              <w:rPr>
                <w:sz w:val="20"/>
                <w:szCs w:val="20"/>
                <w:color w:val="auto"/>
              </w:rPr>
            </w:pPr>
            <w:r>
              <w:rPr>
                <w:rFonts w:ascii="Arial" w:cs="Arial" w:eastAsia="Arial" w:hAnsi="Arial"/>
                <w:sz w:val="14"/>
                <w:szCs w:val="14"/>
                <w:color w:val="auto"/>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(5)</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385</w:t>
            </w:r>
          </w:p>
        </w:tc>
      </w:tr>
      <w:tr>
        <w:trPr>
          <w:trHeight w:val="89"/>
        </w:trPr>
        <w:tc>
          <w:tcPr>
            <w:tcW w:w="2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r>
      <w:tr>
        <w:trPr>
          <w:trHeight w:val="186"/>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Operating Margin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35.4 %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bl>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6"/>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Activision</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Blizzard</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King</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89"/>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Segment Net Revenues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2"/>
        </w:trPr>
        <w:tc>
          <w:tcPr>
            <w:tcW w:w="3040" w:type="dxa"/>
            <w:vAlign w:val="bottom"/>
            <w:gridSpan w:val="2"/>
          </w:tcPr>
          <w:p>
            <w:pPr>
              <w:ind w:left="140"/>
              <w:spacing w:after="0"/>
              <w:rPr>
                <w:sz w:val="20"/>
                <w:szCs w:val="20"/>
                <w:color w:val="auto"/>
              </w:rPr>
            </w:pPr>
            <w:r>
              <w:rPr>
                <w:rFonts w:ascii="Arial" w:cs="Arial" w:eastAsia="Arial" w:hAnsi="Arial"/>
                <w:sz w:val="14"/>
                <w:szCs w:val="14"/>
                <w:color w:val="auto"/>
              </w:rPr>
              <w:t>Net revenues from external customers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490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390</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684</w:t>
            </w: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1,564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3"/>
        </w:trPr>
        <w:tc>
          <w:tcPr>
            <w:tcW w:w="3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Intersegment net revenues</w:t>
            </w:r>
            <w:r>
              <w:rPr>
                <w:rFonts w:ascii="Arial" w:cs="Arial" w:eastAsia="Arial" w:hAnsi="Arial"/>
                <w:sz w:val="9"/>
                <w:szCs w:val="9"/>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83"/>
        </w:trPr>
        <w:tc>
          <w:tcPr>
            <w:tcW w:w="3040" w:type="dxa"/>
            <w:vAlign w:val="bottom"/>
            <w:gridSpan w:val="2"/>
          </w:tcPr>
          <w:p>
            <w:pPr>
              <w:ind w:left="140"/>
              <w:spacing w:after="0"/>
              <w:rPr>
                <w:sz w:val="20"/>
                <w:szCs w:val="20"/>
                <w:color w:val="auto"/>
              </w:rPr>
            </w:pPr>
            <w:r>
              <w:rPr>
                <w:rFonts w:ascii="Arial" w:cs="Arial" w:eastAsia="Arial" w:hAnsi="Arial"/>
                <w:sz w:val="14"/>
                <w:szCs w:val="14"/>
                <w:color w:val="auto"/>
              </w:rPr>
              <w:t>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1,575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62"/>
        </w:trPr>
        <w:tc>
          <w:tcPr>
            <w:tcW w:w="2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188"/>
        </w:trPr>
        <w:tc>
          <w:tcPr>
            <w:tcW w:w="3040" w:type="dxa"/>
            <w:vAlign w:val="bottom"/>
            <w:gridSpan w:val="2"/>
          </w:tcPr>
          <w:p>
            <w:pPr>
              <w:ind w:left="20"/>
              <w:spacing w:after="0"/>
              <w:rPr>
                <w:sz w:val="20"/>
                <w:szCs w:val="20"/>
                <w:color w:val="auto"/>
              </w:rPr>
            </w:pPr>
            <w:r>
              <w:rPr>
                <w:rFonts w:ascii="Arial" w:cs="Arial" w:eastAsia="Arial" w:hAnsi="Arial"/>
                <w:sz w:val="14"/>
                <w:szCs w:val="14"/>
                <w:b w:val="1"/>
                <w:bCs w:val="1"/>
                <w:color w:val="auto"/>
              </w:rPr>
              <w:t>Segment operating income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94</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271</w:t>
            </w: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457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96"/>
        </w:trPr>
        <w:tc>
          <w:tcPr>
            <w:tcW w:w="2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186"/>
        </w:trPr>
        <w:tc>
          <w:tcPr>
            <w:tcW w:w="304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Margin</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74"/>
        </w:trPr>
        <w:tc>
          <w:tcPr>
            <w:tcW w:w="304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8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w w:val="96"/>
              </w:rPr>
              <w:t>$ Increase / (Decrease)</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6"/>
        </w:trPr>
        <w:tc>
          <w:tcPr>
            <w:tcW w:w="2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2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Activision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Blizzard</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King</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Activision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Blizzard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King</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r>
      <w:tr>
        <w:trPr>
          <w:trHeight w:val="189"/>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Segment Net Revenues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2"/>
        </w:trPr>
        <w:tc>
          <w:tcPr>
            <w:tcW w:w="3040" w:type="dxa"/>
            <w:vAlign w:val="bottom"/>
            <w:gridSpan w:val="2"/>
          </w:tcPr>
          <w:p>
            <w:pPr>
              <w:ind w:left="140"/>
              <w:spacing w:after="0"/>
              <w:rPr>
                <w:sz w:val="20"/>
                <w:szCs w:val="20"/>
                <w:color w:val="auto"/>
              </w:rPr>
            </w:pPr>
            <w:r>
              <w:rPr>
                <w:rFonts w:ascii="Arial" w:cs="Arial" w:eastAsia="Arial" w:hAnsi="Arial"/>
                <w:sz w:val="14"/>
                <w:szCs w:val="14"/>
                <w:color w:val="auto"/>
              </w:rPr>
              <w:t>Net revenues from external customers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1,154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1,484</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1,486</w:t>
            </w: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4,124</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829</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1,160</w:t>
            </w: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9"/>
        </w:trPr>
        <w:tc>
          <w:tcPr>
            <w:tcW w:w="30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4"/>
                <w:szCs w:val="14"/>
                <w:color w:val="auto"/>
              </w:rPr>
              <w:t>Intersegment net revenues</w:t>
            </w:r>
            <w:r>
              <w:rPr>
                <w:rFonts w:ascii="Arial" w:cs="Arial" w:eastAsia="Arial" w:hAnsi="Arial"/>
                <w:sz w:val="18"/>
                <w:szCs w:val="18"/>
                <w:color w:val="auto"/>
                <w:vertAlign w:val="superscript"/>
              </w:rPr>
              <w:t>1</w:t>
            </w: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3040" w:type="dxa"/>
            <w:vAlign w:val="bottom"/>
            <w:gridSpan w:val="2"/>
          </w:tcPr>
          <w:p>
            <w:pPr>
              <w:ind w:left="140"/>
              <w:spacing w:after="0"/>
              <w:rPr>
                <w:sz w:val="20"/>
                <w:szCs w:val="20"/>
                <w:color w:val="auto"/>
              </w:rPr>
            </w:pPr>
            <w:r>
              <w:rPr>
                <w:rFonts w:ascii="Arial" w:cs="Arial" w:eastAsia="Arial" w:hAnsi="Arial"/>
                <w:sz w:val="14"/>
                <w:szCs w:val="14"/>
                <w:color w:val="auto"/>
              </w:rPr>
              <w:t>Segment net revenues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1,154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1,501</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1,486</w:t>
            </w: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4,141</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826</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1,157</w:t>
            </w: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62"/>
        </w:trPr>
        <w:tc>
          <w:tcPr>
            <w:tcW w:w="2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r>
      <w:tr>
        <w:trPr>
          <w:trHeight w:val="188"/>
        </w:trPr>
        <w:tc>
          <w:tcPr>
            <w:tcW w:w="3040" w:type="dxa"/>
            <w:vAlign w:val="bottom"/>
            <w:gridSpan w:val="2"/>
          </w:tcPr>
          <w:p>
            <w:pPr>
              <w:ind w:left="20"/>
              <w:spacing w:after="0"/>
              <w:rPr>
                <w:sz w:val="20"/>
                <w:szCs w:val="20"/>
                <w:color w:val="auto"/>
              </w:rPr>
            </w:pPr>
            <w:r>
              <w:rPr>
                <w:rFonts w:ascii="Arial" w:cs="Arial" w:eastAsia="Arial" w:hAnsi="Arial"/>
                <w:sz w:val="14"/>
                <w:szCs w:val="14"/>
                <w:b w:val="1"/>
                <w:bCs w:val="1"/>
                <w:color w:val="auto"/>
              </w:rPr>
              <w:t>Segment operating income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346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466</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507</w:t>
            </w: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1,319</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195</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318</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506</w:t>
            </w:r>
          </w:p>
        </w:tc>
      </w:tr>
      <w:tr>
        <w:trPr>
          <w:trHeight w:val="96"/>
        </w:trPr>
        <w:tc>
          <w:tcPr>
            <w:tcW w:w="2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r>
      <w:tr>
        <w:trPr>
          <w:trHeight w:val="186"/>
        </w:trPr>
        <w:tc>
          <w:tcPr>
            <w:tcW w:w="304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Margin</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31.9 %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74"/>
        </w:trPr>
        <w:tc>
          <w:tcPr>
            <w:tcW w:w="2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8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5"/>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1"/>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Activision</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Blizzard</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King</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Segment Net Revenues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86"/>
        </w:trPr>
        <w:tc>
          <w:tcPr>
            <w:tcW w:w="3040" w:type="dxa"/>
            <w:vAlign w:val="bottom"/>
            <w:gridSpan w:val="2"/>
          </w:tcPr>
          <w:p>
            <w:pPr>
              <w:ind w:left="140"/>
              <w:spacing w:after="0"/>
              <w:rPr>
                <w:sz w:val="20"/>
                <w:szCs w:val="20"/>
                <w:color w:val="auto"/>
              </w:rPr>
            </w:pPr>
            <w:r>
              <w:rPr>
                <w:rFonts w:ascii="Arial" w:cs="Arial" w:eastAsia="Arial" w:hAnsi="Arial"/>
                <w:sz w:val="14"/>
                <w:szCs w:val="14"/>
                <w:color w:val="auto"/>
              </w:rPr>
              <w:t>Net revenues from external customers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943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655</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1,366</w:t>
            </w: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2,964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6"/>
        </w:trPr>
        <w:tc>
          <w:tcPr>
            <w:tcW w:w="3040" w:type="dxa"/>
            <w:vAlign w:val="bottom"/>
            <w:gridSpan w:val="2"/>
            <w:shd w:val="clear" w:color="auto" w:fill="CCEEFF"/>
          </w:tcPr>
          <w:p>
            <w:pPr>
              <w:ind w:left="140"/>
              <w:spacing w:after="0" w:line="206" w:lineRule="exact"/>
              <w:rPr>
                <w:sz w:val="20"/>
                <w:szCs w:val="20"/>
                <w:color w:val="auto"/>
              </w:rPr>
            </w:pPr>
            <w:r>
              <w:rPr>
                <w:rFonts w:ascii="Arial" w:cs="Arial" w:eastAsia="Arial" w:hAnsi="Arial"/>
                <w:sz w:val="14"/>
                <w:szCs w:val="14"/>
                <w:color w:val="auto"/>
              </w:rPr>
              <w:t>Intersegment net revenues</w:t>
            </w:r>
            <w:r>
              <w:rPr>
                <w:rFonts w:ascii="Arial" w:cs="Arial" w:eastAsia="Arial" w:hAnsi="Arial"/>
                <w:sz w:val="18"/>
                <w:szCs w:val="18"/>
                <w:color w:val="auto"/>
                <w:vertAlign w:val="superscript"/>
              </w:rPr>
              <w:t>1</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3040" w:type="dxa"/>
            <w:vAlign w:val="bottom"/>
            <w:gridSpan w:val="2"/>
          </w:tcPr>
          <w:p>
            <w:pPr>
              <w:ind w:left="140"/>
              <w:spacing w:after="0"/>
              <w:rPr>
                <w:sz w:val="20"/>
                <w:szCs w:val="20"/>
                <w:color w:val="auto"/>
              </w:rPr>
            </w:pPr>
            <w:r>
              <w:rPr>
                <w:rFonts w:ascii="Arial" w:cs="Arial" w:eastAsia="Arial" w:hAnsi="Arial"/>
                <w:sz w:val="14"/>
                <w:szCs w:val="14"/>
                <w:color w:val="auto"/>
              </w:rPr>
              <w:t>Segment net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73"/>
        </w:trPr>
        <w:tc>
          <w:tcPr>
            <w:tcW w:w="29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194"/>
        </w:trPr>
        <w:tc>
          <w:tcPr>
            <w:tcW w:w="3040" w:type="dxa"/>
            <w:vAlign w:val="bottom"/>
            <w:tcBorders>
              <w:top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Segment operating income</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151</w:t>
            </w:r>
          </w:p>
        </w:tc>
        <w:tc>
          <w:tcPr>
            <w:tcW w:w="24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148</w:t>
            </w:r>
          </w:p>
        </w:tc>
        <w:tc>
          <w:tcPr>
            <w:tcW w:w="280" w:type="dxa"/>
            <w:vAlign w:val="bottom"/>
            <w:tcBorders>
              <w:top w:val="single" w:sz="8" w:color="CCEEFF"/>
            </w:tcBorders>
            <w:gridSpan w:val="2"/>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514</w:t>
            </w:r>
          </w:p>
        </w:tc>
        <w:tc>
          <w:tcPr>
            <w:tcW w:w="320" w:type="dxa"/>
            <w:vAlign w:val="bottom"/>
            <w:tcBorders>
              <w:top w:val="single" w:sz="8" w:color="CCEEFF"/>
            </w:tcBorders>
            <w:gridSpan w:val="2"/>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tcPr>
          <w:p>
            <w:pPr>
              <w:jc w:val="right"/>
              <w:ind w:right="108"/>
              <w:spacing w:after="0"/>
              <w:rPr>
                <w:sz w:val="20"/>
                <w:szCs w:val="20"/>
                <w:color w:val="auto"/>
              </w:rPr>
            </w:pPr>
            <w:r>
              <w:rPr>
                <w:rFonts w:ascii="Arial" w:cs="Arial" w:eastAsia="Arial" w:hAnsi="Arial"/>
                <w:sz w:val="14"/>
                <w:szCs w:val="14"/>
                <w:color w:val="auto"/>
              </w:rPr>
              <w:t>813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03"/>
        </w:trPr>
        <w:tc>
          <w:tcPr>
            <w:tcW w:w="2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186"/>
        </w:trPr>
        <w:tc>
          <w:tcPr>
            <w:tcW w:w="304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Margin</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27.2 %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bl>
    <w:p>
      <w:pPr>
        <w:spacing w:after="0" w:line="326"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Intersegment revenues reflect licensing and service fees charged between segments.</w:t>
      </w:r>
    </w:p>
    <w:p>
      <w:pPr>
        <w:spacing w:after="0" w:line="200" w:lineRule="exact"/>
        <w:rPr>
          <w:sz w:val="20"/>
          <w:szCs w:val="20"/>
          <w:color w:val="auto"/>
        </w:rPr>
      </w:pPr>
    </w:p>
    <w:p>
      <w:pPr>
        <w:spacing w:after="0" w:line="285" w:lineRule="exact"/>
        <w:rPr>
          <w:sz w:val="20"/>
          <w:szCs w:val="20"/>
          <w:color w:val="auto"/>
        </w:rPr>
      </w:pPr>
    </w:p>
    <w:p>
      <w:pPr>
        <w:ind w:right="20"/>
        <w:spacing w:after="0" w:line="318" w:lineRule="auto"/>
        <w:rPr>
          <w:sz w:val="20"/>
          <w:szCs w:val="20"/>
          <w:color w:val="auto"/>
        </w:rPr>
      </w:pPr>
      <w:r>
        <w:rPr>
          <w:rFonts w:ascii="Arial" w:cs="Arial" w:eastAsia="Arial" w:hAnsi="Arial"/>
          <w:sz w:val="10"/>
          <w:szCs w:val="10"/>
          <w:color w:val="auto"/>
        </w:rPr>
        <w:t>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(including liability awards accounted for under ASC 718); amortization of intangible assets as a result of purchase price accounting; fees and other expenses (including legal fees, costs, expenses and accruals) related to acquisitions, associated</w:t>
      </w:r>
    </w:p>
    <w:p>
      <w:pPr>
        <w:ind w:right="180"/>
        <w:spacing w:after="0" w:line="258" w:lineRule="auto"/>
        <w:rPr>
          <w:sz w:val="20"/>
          <w:szCs w:val="20"/>
          <w:color w:val="auto"/>
        </w:rPr>
      </w:pPr>
      <w:r>
        <w:rPr>
          <w:rFonts w:ascii="Arial" w:cs="Arial" w:eastAsia="Arial" w:hAnsi="Arial"/>
          <w:sz w:val="13"/>
          <w:szCs w:val="13"/>
          <w:color w:val="auto"/>
        </w:rPr>
        <w:t xml:space="preserve">integration activities, and financings; certain restructuring and related costs; certain partnership wind down and related costs; and other non-cash charges. </w:t>
      </w:r>
      <w:r>
        <w:rPr>
          <w:rFonts w:ascii="Arial" w:cs="Arial" w:eastAsia="Arial" w:hAnsi="Arial"/>
          <w:sz w:val="13"/>
          <w:szCs w:val="13"/>
          <w:b w:val="1"/>
          <w:bCs w:val="1"/>
          <w:color w:val="auto"/>
        </w:rPr>
        <w:t>See the following page for the reconciliation tables of segment</w:t>
      </w:r>
      <w:r>
        <w:rPr>
          <w:rFonts w:ascii="Arial" w:cs="Arial" w:eastAsia="Arial" w:hAnsi="Arial"/>
          <w:sz w:val="13"/>
          <w:szCs w:val="13"/>
          <w:color w:val="auto"/>
        </w:rPr>
        <w:t xml:space="preserve"> </w:t>
      </w:r>
      <w:r>
        <w:rPr>
          <w:rFonts w:ascii="Arial" w:cs="Arial" w:eastAsia="Arial" w:hAnsi="Arial"/>
          <w:sz w:val="13"/>
          <w:szCs w:val="13"/>
          <w:b w:val="1"/>
          <w:bCs w:val="1"/>
          <w:color w:val="auto"/>
        </w:rPr>
        <w:t>revenues and operating income to consolidated net revenues and consolidated income before income tax expense.</w:t>
      </w:r>
    </w:p>
    <w:p>
      <w:pPr>
        <w:spacing w:after="0" w:line="220" w:lineRule="exact"/>
        <w:rPr>
          <w:sz w:val="20"/>
          <w:szCs w:val="20"/>
          <w:color w:val="auto"/>
        </w:rPr>
      </w:pPr>
    </w:p>
    <w:p>
      <w:pPr>
        <w:ind w:right="500"/>
        <w:spacing w:after="0" w:line="255" w:lineRule="auto"/>
        <w:rPr>
          <w:sz w:val="20"/>
          <w:szCs w:val="20"/>
          <w:color w:val="auto"/>
        </w:rPr>
      </w:pPr>
      <w:r>
        <w:rPr>
          <w:rFonts w:ascii="Arial" w:cs="Arial" w:eastAsia="Arial" w:hAnsi="Arial"/>
          <w:sz w:val="13"/>
          <w:szCs w:val="13"/>
          <w:color w:val="auto"/>
        </w:rPr>
        <w:t>Our operating segments are also consistent with our internal organization structure, the way we assess operating performance and allocate resources, and the availability of separate financial information. We do not aggregate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20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w w:val="98"/>
              </w:rPr>
              <w:t>Six Months Ended June 30,</w:t>
            </w:r>
          </w:p>
        </w:tc>
        <w:tc>
          <w:tcPr>
            <w:tcW w:w="0" w:type="dxa"/>
            <w:vAlign w:val="bottom"/>
          </w:tcPr>
          <w:p>
            <w:pPr>
              <w:spacing w:after="0"/>
              <w:rPr>
                <w:sz w:val="1"/>
                <w:szCs w:val="1"/>
                <w:color w:val="auto"/>
              </w:rPr>
            </w:pPr>
          </w:p>
        </w:tc>
      </w:tr>
      <w:tr>
        <w:trPr>
          <w:trHeight w:val="232"/>
        </w:trPr>
        <w:tc>
          <w:tcPr>
            <w:tcW w:w="47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4"/>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Reconciliation to consolidated net revenues: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140"/>
              <w:spacing w:after="0"/>
              <w:rPr>
                <w:sz w:val="20"/>
                <w:szCs w:val="20"/>
                <w:color w:val="auto"/>
              </w:rPr>
            </w:pPr>
            <w:r>
              <w:rPr>
                <w:rFonts w:ascii="Arial" w:cs="Arial" w:eastAsia="Arial" w:hAnsi="Arial"/>
                <w:sz w:val="18"/>
                <w:szCs w:val="18"/>
                <w:color w:val="auto"/>
              </w:rPr>
              <w:t>Segment net revenues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2,379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1,575</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4,141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140"/>
              <w:spacing w:after="0" w:line="236" w:lineRule="exact"/>
              <w:rPr>
                <w:sz w:val="20"/>
                <w:szCs w:val="20"/>
                <w:color w:val="auto"/>
              </w:rPr>
            </w:pPr>
            <w:r>
              <w:rPr>
                <w:rFonts w:ascii="Arial" w:cs="Arial" w:eastAsia="Arial" w:hAnsi="Arial"/>
                <w:sz w:val="18"/>
                <w:szCs w:val="18"/>
                <w:color w:val="auto"/>
              </w:rPr>
              <w:t>Revenues from non-reportable segments</w:t>
            </w:r>
            <w:r>
              <w:rPr>
                <w:rFonts w:ascii="Arial" w:cs="Arial" w:eastAsia="Arial" w:hAnsi="Arial"/>
                <w:sz w:val="23"/>
                <w:szCs w:val="23"/>
                <w:color w:val="auto"/>
                <w:vertAlign w:val="superscript"/>
              </w:rPr>
              <w:t>1</w:t>
            </w:r>
          </w:p>
        </w:tc>
        <w:tc>
          <w:tcPr>
            <w:tcW w:w="10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75"/>
        </w:trPr>
        <w:tc>
          <w:tcPr>
            <w:tcW w:w="4700" w:type="dxa"/>
            <w:vAlign w:val="bottom"/>
          </w:tcPr>
          <w:p>
            <w:pPr>
              <w:ind w:left="140"/>
              <w:spacing w:after="0" w:line="176" w:lineRule="exact"/>
              <w:rPr>
                <w:sz w:val="20"/>
                <w:szCs w:val="20"/>
                <w:color w:val="auto"/>
              </w:rPr>
            </w:pPr>
            <w:r>
              <w:rPr>
                <w:rFonts w:ascii="Arial" w:cs="Arial" w:eastAsia="Arial" w:hAnsi="Arial"/>
                <w:sz w:val="18"/>
                <w:szCs w:val="18"/>
                <w:color w:val="auto"/>
              </w:rPr>
              <w:t>Net effect from recognition (deferral) of deferred net</w:t>
            </w:r>
          </w:p>
        </w:tc>
        <w:tc>
          <w:tcPr>
            <w:tcW w:w="10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43"/>
        </w:trPr>
        <w:tc>
          <w:tcPr>
            <w:tcW w:w="4700" w:type="dxa"/>
            <w:vAlign w:val="bottom"/>
          </w:tcPr>
          <w:p>
            <w:pPr>
              <w:ind w:left="220"/>
              <w:spacing w:after="0" w:line="243" w:lineRule="exact"/>
              <w:rPr>
                <w:sz w:val="20"/>
                <w:szCs w:val="20"/>
                <w:color w:val="auto"/>
              </w:rPr>
            </w:pPr>
            <w:r>
              <w:rPr>
                <w:rFonts w:ascii="Arial" w:cs="Arial" w:eastAsia="Arial" w:hAnsi="Arial"/>
                <w:sz w:val="18"/>
                <w:szCs w:val="18"/>
                <w:color w:val="auto"/>
              </w:rPr>
              <w:t>revenues</w:t>
            </w:r>
            <w:r>
              <w:rPr>
                <w:rFonts w:ascii="Arial" w:cs="Arial" w:eastAsia="Arial" w:hAnsi="Arial"/>
                <w:sz w:val="23"/>
                <w:szCs w:val="23"/>
                <w:color w:val="auto"/>
                <w:vertAlign w:val="superscript"/>
              </w:rPr>
              <w:t>2</w:t>
            </w:r>
          </w:p>
        </w:tc>
        <w:tc>
          <w:tcPr>
            <w:tcW w:w="1000" w:type="dxa"/>
            <w:vAlign w:val="bottom"/>
          </w:tcPr>
          <w:p>
            <w:pPr>
              <w:spacing w:after="0"/>
              <w:rPr>
                <w:sz w:val="21"/>
                <w:szCs w:val="21"/>
                <w:color w:val="auto"/>
              </w:rPr>
            </w:pPr>
          </w:p>
        </w:tc>
        <w:tc>
          <w:tcPr>
            <w:tcW w:w="5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shd w:val="clear" w:color="auto" w:fill="CCEEFF"/>
          </w:tcPr>
          <w:p>
            <w:pPr>
              <w:ind w:left="140"/>
              <w:spacing w:after="0" w:line="230" w:lineRule="exact"/>
              <w:rPr>
                <w:sz w:val="20"/>
                <w:szCs w:val="20"/>
                <w:color w:val="auto"/>
              </w:rPr>
            </w:pPr>
            <w:r>
              <w:rPr>
                <w:rFonts w:ascii="Arial" w:cs="Arial" w:eastAsia="Arial" w:hAnsi="Arial"/>
                <w:sz w:val="18"/>
                <w:szCs w:val="18"/>
                <w:color w:val="auto"/>
              </w:rPr>
              <w:t>Elimination of intersegment revenues</w:t>
            </w:r>
            <w:r>
              <w:rPr>
                <w:rFonts w:ascii="Arial" w:cs="Arial" w:eastAsia="Arial" w:hAnsi="Arial"/>
                <w:sz w:val="23"/>
                <w:szCs w:val="23"/>
                <w:color w:val="auto"/>
                <w:vertAlign w:val="superscript"/>
              </w:rPr>
              <w:t>3</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4700" w:type="dxa"/>
            <w:vAlign w:val="bottom"/>
          </w:tcPr>
          <w:p>
            <w:pPr>
              <w:ind w:left="140"/>
              <w:spacing w:after="0"/>
              <w:rPr>
                <w:sz w:val="20"/>
                <w:szCs w:val="20"/>
                <w:color w:val="auto"/>
              </w:rPr>
            </w:pPr>
            <w:r>
              <w:rPr>
                <w:rFonts w:ascii="Arial" w:cs="Arial" w:eastAsia="Arial" w:hAnsi="Arial"/>
                <w:sz w:val="18"/>
                <w:szCs w:val="18"/>
                <w:color w:val="auto"/>
              </w:rPr>
              <w:t>Consolidated net revenues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2,207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1,644</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4,590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700" w:type="dxa"/>
            <w:vAlign w:val="bottom"/>
          </w:tcPr>
          <w:p>
            <w:pPr>
              <w:ind w:left="140"/>
              <w:spacing w:after="0" w:line="184" w:lineRule="exact"/>
              <w:rPr>
                <w:sz w:val="20"/>
                <w:szCs w:val="20"/>
                <w:color w:val="auto"/>
              </w:rPr>
            </w:pPr>
            <w:r>
              <w:rPr>
                <w:rFonts w:ascii="Arial" w:cs="Arial" w:eastAsia="Arial" w:hAnsi="Arial"/>
                <w:sz w:val="18"/>
                <w:szCs w:val="18"/>
                <w:b w:val="1"/>
                <w:bCs w:val="1"/>
                <w:color w:val="auto"/>
                <w:w w:val="92"/>
              </w:rPr>
              <w:t>Reconciliation to consolidated income before income tax</w:t>
            </w: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220"/>
              <w:spacing w:after="0"/>
              <w:rPr>
                <w:sz w:val="20"/>
                <w:szCs w:val="20"/>
                <w:color w:val="auto"/>
              </w:rPr>
            </w:pPr>
            <w:r>
              <w:rPr>
                <w:rFonts w:ascii="Arial" w:cs="Arial" w:eastAsia="Arial" w:hAnsi="Arial"/>
                <w:sz w:val="18"/>
                <w:szCs w:val="18"/>
                <w:b w:val="1"/>
                <w:bCs w:val="1"/>
                <w:color w:val="auto"/>
              </w:rPr>
              <w:t>expense:</w:t>
            </w: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Segment operating income</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43"/>
        </w:trPr>
        <w:tc>
          <w:tcPr>
            <w:tcW w:w="4700" w:type="dxa"/>
            <w:vAlign w:val="bottom"/>
          </w:tcPr>
          <w:p>
            <w:pPr>
              <w:ind w:left="140"/>
              <w:spacing w:after="0" w:line="243" w:lineRule="exact"/>
              <w:rPr>
                <w:sz w:val="20"/>
                <w:szCs w:val="20"/>
                <w:color w:val="auto"/>
              </w:rPr>
            </w:pPr>
            <w:r>
              <w:rPr>
                <w:rFonts w:ascii="Arial" w:cs="Arial" w:eastAsia="Arial" w:hAnsi="Arial"/>
                <w:sz w:val="18"/>
                <w:szCs w:val="18"/>
                <w:color w:val="auto"/>
              </w:rPr>
              <w:t>Operating income (loss) from non-reportable segments</w:t>
            </w:r>
            <w:r>
              <w:rPr>
                <w:rFonts w:ascii="Arial" w:cs="Arial" w:eastAsia="Arial" w:hAnsi="Arial"/>
                <w:sz w:val="23"/>
                <w:szCs w:val="23"/>
                <w:color w:val="auto"/>
                <w:vertAlign w:val="superscript"/>
              </w:rPr>
              <w:t>1</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Net effect from recognition (deferral) of deferred net</w:t>
            </w:r>
          </w:p>
        </w:tc>
        <w:tc>
          <w:tcPr>
            <w:tcW w:w="10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revenues and related cost of revenues</w:t>
            </w:r>
            <w:r>
              <w:rPr>
                <w:rFonts w:ascii="Arial" w:cs="Arial" w:eastAsia="Arial" w:hAnsi="Arial"/>
                <w:sz w:val="23"/>
                <w:szCs w:val="23"/>
                <w:color w:val="auto"/>
                <w:vertAlign w:val="superscript"/>
              </w:rPr>
              <w:t>2</w:t>
            </w:r>
          </w:p>
        </w:tc>
        <w:tc>
          <w:tcPr>
            <w:tcW w:w="100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40"/>
              <w:spacing w:after="0" w:line="243" w:lineRule="exact"/>
              <w:rPr>
                <w:sz w:val="20"/>
                <w:szCs w:val="20"/>
                <w:color w:val="auto"/>
              </w:rPr>
            </w:pPr>
            <w:r>
              <w:rPr>
                <w:rFonts w:ascii="Arial" w:cs="Arial" w:eastAsia="Arial" w:hAnsi="Arial"/>
                <w:sz w:val="18"/>
                <w:szCs w:val="18"/>
                <w:color w:val="auto"/>
              </w:rPr>
              <w:t>Share-based compensation expense</w:t>
            </w:r>
            <w:r>
              <w:rPr>
                <w:rFonts w:ascii="Arial" w:cs="Arial" w:eastAsia="Arial" w:hAnsi="Arial"/>
                <w:sz w:val="23"/>
                <w:szCs w:val="23"/>
                <w:color w:val="auto"/>
                <w:vertAlign w:val="superscript"/>
              </w:rPr>
              <w:t>4</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line="230" w:lineRule="exact"/>
              <w:rPr>
                <w:sz w:val="20"/>
                <w:szCs w:val="20"/>
                <w:color w:val="auto"/>
              </w:rPr>
            </w:pPr>
            <w:r>
              <w:rPr>
                <w:rFonts w:ascii="Arial" w:cs="Arial" w:eastAsia="Arial" w:hAnsi="Arial"/>
                <w:sz w:val="18"/>
                <w:szCs w:val="18"/>
                <w:color w:val="auto"/>
              </w:rPr>
              <w:t>Restructuring and related costs</w:t>
            </w:r>
            <w:r>
              <w:rPr>
                <w:rFonts w:ascii="Arial" w:cs="Arial" w:eastAsia="Arial" w:hAnsi="Arial"/>
                <w:sz w:val="23"/>
                <w:szCs w:val="23"/>
                <w:color w:val="auto"/>
                <w:vertAlign w:val="superscript"/>
              </w:rPr>
              <w:t>5</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Partnership wind down and related costs</w:t>
            </w:r>
            <w:r>
              <w:rPr>
                <w:rFonts w:ascii="Arial" w:cs="Arial" w:eastAsia="Arial" w:hAnsi="Arial"/>
                <w:sz w:val="23"/>
                <w:szCs w:val="23"/>
                <w:color w:val="auto"/>
                <w:vertAlign w:val="superscript"/>
              </w:rPr>
              <w:t>6</w:t>
            </w: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Merger and acquisition-related fees and other expenses</w:t>
            </w:r>
            <w:r>
              <w:rPr>
                <w:rFonts w:ascii="Arial" w:cs="Arial" w:eastAsia="Arial" w:hAnsi="Arial"/>
                <w:sz w:val="23"/>
                <w:szCs w:val="23"/>
                <w:color w:val="auto"/>
                <w:vertAlign w:val="superscript"/>
              </w:rPr>
              <w:t>7</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 operating income</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Interest expense from debt</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700" w:type="dxa"/>
            <w:vAlign w:val="bottom"/>
          </w:tcPr>
          <w:p>
            <w:pPr>
              <w:ind w:left="140"/>
              <w:spacing w:after="0"/>
              <w:rPr>
                <w:sz w:val="20"/>
                <w:szCs w:val="20"/>
                <w:color w:val="auto"/>
              </w:rPr>
            </w:pPr>
            <w:r>
              <w:rPr>
                <w:rFonts w:ascii="Arial" w:cs="Arial" w:eastAsia="Arial" w:hAnsi="Arial"/>
                <w:sz w:val="18"/>
                <w:szCs w:val="18"/>
                <w:color w:val="auto"/>
              </w:rPr>
              <w:t>Consolidated income before income tax expense</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724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321</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1,619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Includes other income and expenses outside of our reportable segments, including our distribution business and unallocated corporate income and expenses.</w:t>
      </w:r>
    </w:p>
    <w:p>
      <w:pPr>
        <w:spacing w:after="0" w:line="31"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the net effect from (deferral) of revenues and recognition of deferred revenues, along with related cost of revenues, on certain of our online-enabled products.</w:t>
      </w:r>
    </w:p>
    <w:p>
      <w:pPr>
        <w:spacing w:after="0" w:line="3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3   Intersegment revenues reflect licensing and service fees charged between segments.</w:t>
      </w:r>
    </w:p>
    <w:p>
      <w:pPr>
        <w:spacing w:after="0" w:line="1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4   Reflects expenses related to share-based compensation.</w:t>
      </w:r>
    </w:p>
    <w:p>
      <w:pPr>
        <w:spacing w:after="0" w:line="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5   Reflects restructuring initiatives.</w:t>
      </w:r>
    </w:p>
    <w:p>
      <w:pPr>
        <w:spacing w:after="0" w:line="15" w:lineRule="exact"/>
        <w:rPr>
          <w:rFonts w:ascii="Arial" w:cs="Arial" w:eastAsia="Arial" w:hAnsi="Arial"/>
          <w:sz w:val="14"/>
          <w:szCs w:val="14"/>
          <w:color w:val="auto"/>
        </w:rPr>
      </w:pPr>
    </w:p>
    <w:p>
      <w:pPr>
        <w:ind w:left="340" w:right="100" w:hanging="324"/>
        <w:spacing w:after="0" w:line="248" w:lineRule="auto"/>
        <w:rPr>
          <w:rFonts w:ascii="Arial" w:cs="Arial" w:eastAsia="Arial" w:hAnsi="Arial"/>
          <w:sz w:val="14"/>
          <w:szCs w:val="14"/>
          <w:color w:val="auto"/>
        </w:rPr>
      </w:pPr>
      <w:r>
        <w:rPr>
          <w:rFonts w:ascii="Arial" w:cs="Arial" w:eastAsia="Arial" w:hAnsi="Arial"/>
          <w:sz w:val="16"/>
          <w:szCs w:val="16"/>
          <w:color w:val="auto"/>
        </w:rPr>
        <w:t>6 Reflects expenses related to the wind down of our partnership with NetEase in Mainland China in regards to licenses covering the publication of several Blizzard titles which expired in January 2023.</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7   Reflects fees and other expenses related to our proposed transaction with Microsoft, primarily legal and advisory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DISTRIBUTION CHANNEL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June 30, 2022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 Increase</w:t>
            </w:r>
          </w:p>
        </w:tc>
        <w:tc>
          <w:tcPr>
            <w:tcW w:w="100" w:type="dxa"/>
            <w:vAlign w:val="bottom"/>
          </w:tcPr>
          <w:p>
            <w:pPr>
              <w:spacing w:after="0"/>
              <w:rPr>
                <w:sz w:val="19"/>
                <w:szCs w:val="19"/>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 Increase</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2"/>
                <w:szCs w:val="2"/>
                <w:color w:val="auto"/>
              </w:rPr>
            </w:pPr>
          </w:p>
        </w:tc>
        <w:tc>
          <w:tcPr>
            <w:tcW w:w="11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 of Total</w:t>
            </w:r>
            <w:r>
              <w:rPr>
                <w:rFonts w:ascii="Arial" w:cs="Arial" w:eastAsia="Arial" w:hAnsi="Arial"/>
                <w:sz w:val="21"/>
                <w:szCs w:val="21"/>
                <w:b w:val="1"/>
                <w:bCs w:val="1"/>
                <w:color w:val="auto"/>
                <w:vertAlign w:val="superscript"/>
              </w:rPr>
              <w:t>1</w:t>
            </w: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2"/>
                <w:szCs w:val="2"/>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 of Total</w:t>
            </w:r>
            <w:r>
              <w:rPr>
                <w:rFonts w:ascii="Arial" w:cs="Arial" w:eastAsia="Arial" w:hAnsi="Arial"/>
                <w:sz w:val="21"/>
                <w:szCs w:val="21"/>
                <w:b w:val="1"/>
                <w:bCs w:val="1"/>
                <w:color w:val="auto"/>
                <w:vertAlign w:val="superscript"/>
              </w:rPr>
              <w:t>1</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(Decrease)</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(Decrease)</w:t>
            </w: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 by Distribution Channel</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40"/>
              <w:spacing w:after="0" w:line="216" w:lineRule="exact"/>
              <w:rPr>
                <w:sz w:val="20"/>
                <w:szCs w:val="20"/>
                <w:color w:val="auto"/>
              </w:rPr>
            </w:pPr>
            <w:r>
              <w:rPr>
                <w:rFonts w:ascii="Arial" w:cs="Arial" w:eastAsia="Arial" w:hAnsi="Arial"/>
                <w:sz w:val="16"/>
                <w:szCs w:val="16"/>
                <w:color w:val="auto"/>
              </w:rPr>
              <w:t>Digital online channels</w:t>
            </w:r>
            <w:r>
              <w:rPr>
                <w:rFonts w:ascii="Arial" w:cs="Arial" w:eastAsia="Arial" w:hAnsi="Arial"/>
                <w:sz w:val="21"/>
                <w:szCs w:val="21"/>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2,012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91 %</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1,474</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90 %</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538</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Retail channels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4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6"/>
        </w:trPr>
        <w:tc>
          <w:tcPr>
            <w:tcW w:w="4080" w:type="dxa"/>
            <w:vAlign w:val="bottom"/>
          </w:tcPr>
          <w:p>
            <w:pPr>
              <w:ind w:left="14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80" w:type="dxa"/>
            <w:vAlign w:val="bottom"/>
            <w:gridSpan w:val="2"/>
          </w:tcPr>
          <w:p>
            <w:pPr>
              <w:jc w:val="right"/>
              <w:ind w:right="1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consolidated 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2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Change in deferred revenues</w:t>
            </w:r>
            <w:r>
              <w:rPr>
                <w:rFonts w:ascii="Arial" w:cs="Arial" w:eastAsia="Arial" w:hAnsi="Arial"/>
                <w:sz w:val="21"/>
                <w:szCs w:val="21"/>
                <w:b w:val="1"/>
                <w:bCs w:val="1"/>
                <w:color w:val="auto"/>
                <w:vertAlign w:val="superscript"/>
              </w:rPr>
              <w:t>4</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40"/>
              <w:spacing w:after="0" w:line="216" w:lineRule="exact"/>
              <w:rPr>
                <w:sz w:val="20"/>
                <w:szCs w:val="20"/>
                <w:color w:val="auto"/>
              </w:rPr>
            </w:pPr>
            <w:r>
              <w:rPr>
                <w:rFonts w:ascii="Arial" w:cs="Arial" w:eastAsia="Arial" w:hAnsi="Arial"/>
                <w:sz w:val="16"/>
                <w:szCs w:val="16"/>
                <w:color w:val="auto"/>
              </w:rPr>
              <w:t>Digital online channels</w:t>
            </w:r>
            <w:r>
              <w:rPr>
                <w:rFonts w:ascii="Arial" w:cs="Arial" w:eastAsia="Arial" w:hAnsi="Arial"/>
                <w:sz w:val="21"/>
                <w:szCs w:val="21"/>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Retail channels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4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80" w:type="dxa"/>
            <w:vAlign w:val="bottom"/>
            <w:tcBorders>
              <w:bottom w:val="single" w:sz="8" w:color="CCEEFF"/>
            </w:tcBorders>
            <w:shd w:val="clear" w:color="auto" w:fill="CCEEFF"/>
          </w:tcPr>
          <w:p>
            <w:pPr>
              <w:ind w:left="220"/>
              <w:spacing w:after="0" w:line="183" w:lineRule="exact"/>
              <w:rPr>
                <w:sz w:val="20"/>
                <w:szCs w:val="20"/>
                <w:color w:val="auto"/>
              </w:rPr>
            </w:pPr>
            <w:r>
              <w:rPr>
                <w:rFonts w:ascii="Arial" w:cs="Arial" w:eastAsia="Arial" w:hAnsi="Arial"/>
                <w:sz w:val="16"/>
                <w:szCs w:val="16"/>
                <w:color w:val="auto"/>
              </w:rPr>
              <w:t>Total changes in deferred revenues</w:t>
            </w: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June 30, 2022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 Increase</w:t>
            </w:r>
          </w:p>
        </w:tc>
        <w:tc>
          <w:tcPr>
            <w:tcW w:w="100" w:type="dxa"/>
            <w:vAlign w:val="bottom"/>
          </w:tcPr>
          <w:p>
            <w:pPr>
              <w:spacing w:after="0"/>
              <w:rPr>
                <w:sz w:val="19"/>
                <w:szCs w:val="19"/>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 Increase</w:t>
            </w: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2"/>
                <w:szCs w:val="2"/>
                <w:color w:val="auto"/>
              </w:rPr>
            </w:pPr>
          </w:p>
        </w:tc>
        <w:tc>
          <w:tcPr>
            <w:tcW w:w="1140" w:type="dxa"/>
            <w:vAlign w:val="bottom"/>
            <w:vMerge w:val="restart"/>
          </w:tcPr>
          <w:p>
            <w:pPr>
              <w:jc w:val="right"/>
              <w:ind w:right="99"/>
              <w:spacing w:after="0" w:line="240" w:lineRule="exact"/>
              <w:rPr>
                <w:sz w:val="20"/>
                <w:szCs w:val="20"/>
                <w:color w:val="auto"/>
              </w:rPr>
            </w:pPr>
            <w:r>
              <w:rPr>
                <w:rFonts w:ascii="Arial" w:cs="Arial" w:eastAsia="Arial" w:hAnsi="Arial"/>
                <w:sz w:val="16"/>
                <w:szCs w:val="16"/>
                <w:b w:val="1"/>
                <w:bCs w:val="1"/>
                <w:color w:val="auto"/>
              </w:rPr>
              <w:t>% of Total</w:t>
            </w:r>
            <w:r>
              <w:rPr>
                <w:rFonts w:ascii="Arial" w:cs="Arial" w:eastAsia="Arial" w:hAnsi="Arial"/>
                <w:sz w:val="21"/>
                <w:szCs w:val="21"/>
                <w:b w:val="1"/>
                <w:bCs w:val="1"/>
                <w:color w:val="auto"/>
                <w:vertAlign w:val="superscript"/>
              </w:rPr>
              <w:t>1</w:t>
            </w: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2"/>
                <w:szCs w:val="2"/>
                <w:color w:val="auto"/>
              </w:rPr>
            </w:pPr>
          </w:p>
        </w:tc>
        <w:tc>
          <w:tcPr>
            <w:tcW w:w="1120" w:type="dxa"/>
            <w:vAlign w:val="bottom"/>
            <w:vMerge w:val="restart"/>
          </w:tcPr>
          <w:p>
            <w:pPr>
              <w:jc w:val="right"/>
              <w:ind w:right="79"/>
              <w:spacing w:after="0" w:line="240" w:lineRule="exact"/>
              <w:rPr>
                <w:sz w:val="20"/>
                <w:szCs w:val="20"/>
                <w:color w:val="auto"/>
              </w:rPr>
            </w:pPr>
            <w:r>
              <w:rPr>
                <w:rFonts w:ascii="Arial" w:cs="Arial" w:eastAsia="Arial" w:hAnsi="Arial"/>
                <w:sz w:val="16"/>
                <w:szCs w:val="16"/>
                <w:b w:val="1"/>
                <w:bCs w:val="1"/>
                <w:color w:val="auto"/>
              </w:rPr>
              <w:t>% of Total</w:t>
            </w:r>
            <w:r>
              <w:rPr>
                <w:rFonts w:ascii="Arial" w:cs="Arial" w:eastAsia="Arial" w:hAnsi="Arial"/>
                <w:sz w:val="21"/>
                <w:szCs w:val="21"/>
                <w:b w:val="1"/>
                <w:bCs w:val="1"/>
                <w:color w:val="auto"/>
                <w:vertAlign w:val="superscript"/>
              </w:rPr>
              <w:t>1</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(Decrease)</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(Decrease)</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 by Distribution Channel</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40"/>
              <w:spacing w:after="0" w:line="216" w:lineRule="exact"/>
              <w:rPr>
                <w:sz w:val="20"/>
                <w:szCs w:val="20"/>
                <w:color w:val="auto"/>
              </w:rPr>
            </w:pPr>
            <w:r>
              <w:rPr>
                <w:rFonts w:ascii="Arial" w:cs="Arial" w:eastAsia="Arial" w:hAnsi="Arial"/>
                <w:sz w:val="16"/>
                <w:szCs w:val="16"/>
                <w:color w:val="auto"/>
              </w:rPr>
              <w:t>Digital online channels</w:t>
            </w:r>
            <w:r>
              <w:rPr>
                <w:rFonts w:ascii="Arial" w:cs="Arial" w:eastAsia="Arial" w:hAnsi="Arial"/>
                <w:sz w:val="21"/>
                <w:szCs w:val="21"/>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4,168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91 %</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3,063</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90 %</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1,105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Retail channels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4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80" w:type="dxa"/>
            <w:vAlign w:val="bottom"/>
            <w:tcBorders>
              <w:bottom w:val="single" w:sz="8" w:color="CCEEFF"/>
            </w:tcBorders>
            <w:gridSpan w:val="2"/>
          </w:tcPr>
          <w:p>
            <w:pPr>
              <w:jc w:val="right"/>
              <w:ind w:right="1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consolidated 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12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Change in deferred revenues</w:t>
            </w:r>
            <w:r>
              <w:rPr>
                <w:rFonts w:ascii="Arial" w:cs="Arial" w:eastAsia="Arial" w:hAnsi="Arial"/>
                <w:sz w:val="21"/>
                <w:szCs w:val="21"/>
                <w:b w:val="1"/>
                <w:bCs w:val="1"/>
                <w:color w:val="auto"/>
                <w:vertAlign w:val="superscript"/>
              </w:rPr>
              <w:t>4</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40"/>
              <w:spacing w:after="0" w:line="216" w:lineRule="exact"/>
              <w:rPr>
                <w:sz w:val="20"/>
                <w:szCs w:val="20"/>
                <w:color w:val="auto"/>
              </w:rPr>
            </w:pPr>
            <w:r>
              <w:rPr>
                <w:rFonts w:ascii="Arial" w:cs="Arial" w:eastAsia="Arial" w:hAnsi="Arial"/>
                <w:sz w:val="16"/>
                <w:szCs w:val="16"/>
                <w:color w:val="auto"/>
              </w:rPr>
              <w:t>Digital online channels</w:t>
            </w:r>
            <w:r>
              <w:rPr>
                <w:rFonts w:ascii="Arial" w:cs="Arial" w:eastAsia="Arial" w:hAnsi="Arial"/>
                <w:sz w:val="21"/>
                <w:szCs w:val="21"/>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Retail channels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4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changes in deferred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percentages of total are presented as calculated. Therefore, the sum of these percentages, as presented, may differ due to the impact of rounding.</w:t>
      </w:r>
    </w:p>
    <w:p>
      <w:pPr>
        <w:spacing w:after="0" w:line="19"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Net revenues from Digital online channels represent revenues from digitally-distributed downloadable content, microtransactions, subscriptions, and products, as well</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licensing royalties.</w:t>
      </w:r>
    </w:p>
    <w:p>
      <w:pPr>
        <w:spacing w:after="0" w:line="1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Net revenues from Other primarily include revenues from our distribution business, the Overwatch League, and the Call of Duty League.</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4   Reflects the net effect from deferral of revenues and (recognition) of deferred revenues on certain of our online-enabled products.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PLATFORM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34"/>
        </w:trPr>
        <w:tc>
          <w:tcPr>
            <w:tcW w:w="4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June 30, 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ind w:left="40"/>
              <w:spacing w:after="0"/>
              <w:rPr>
                <w:sz w:val="20"/>
                <w:szCs w:val="20"/>
                <w:color w:val="auto"/>
              </w:rPr>
            </w:pPr>
            <w:r>
              <w:rPr>
                <w:rFonts w:ascii="Arial" w:cs="Arial" w:eastAsia="Arial" w:hAnsi="Arial"/>
                <w:sz w:val="16"/>
                <w:szCs w:val="16"/>
                <w:b w:val="1"/>
                <w:bCs w:val="1"/>
                <w:color w:val="auto"/>
              </w:rPr>
              <w:t>$ Increase</w:t>
            </w: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3"/>
              </w:rPr>
              <w:t>% Increase</w:t>
            </w:r>
          </w:p>
        </w:tc>
      </w:tr>
      <w:tr>
        <w:trPr>
          <w:trHeight w:val="229"/>
        </w:trPr>
        <w:tc>
          <w:tcPr>
            <w:tcW w:w="4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99"/>
              <w:spacing w:after="0" w:line="229" w:lineRule="exact"/>
              <w:rPr>
                <w:sz w:val="20"/>
                <w:szCs w:val="20"/>
                <w:color w:val="auto"/>
              </w:rPr>
            </w:pPr>
            <w:r>
              <w:rPr>
                <w:rFonts w:ascii="Arial" w:cs="Arial" w:eastAsia="Arial" w:hAnsi="Arial"/>
                <w:sz w:val="16"/>
                <w:szCs w:val="16"/>
                <w:b w:val="1"/>
                <w:bCs w:val="1"/>
                <w:color w:val="auto"/>
              </w:rPr>
              <w:t>% of Total</w:t>
            </w:r>
            <w:r>
              <w:rPr>
                <w:rFonts w:ascii="Arial" w:cs="Arial" w:eastAsia="Arial" w:hAnsi="Arial"/>
                <w:sz w:val="21"/>
                <w:szCs w:val="21"/>
                <w:b w:val="1"/>
                <w:bCs w:val="1"/>
                <w:color w:val="auto"/>
                <w:vertAlign w:val="superscript"/>
              </w:rPr>
              <w:t>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99"/>
              <w:spacing w:after="0" w:line="229" w:lineRule="exact"/>
              <w:rPr>
                <w:sz w:val="20"/>
                <w:szCs w:val="20"/>
                <w:color w:val="auto"/>
              </w:rPr>
            </w:pPr>
            <w:r>
              <w:rPr>
                <w:rFonts w:ascii="Arial" w:cs="Arial" w:eastAsia="Arial" w:hAnsi="Arial"/>
                <w:sz w:val="16"/>
                <w:szCs w:val="16"/>
                <w:b w:val="1"/>
                <w:bCs w:val="1"/>
                <w:color w:val="auto"/>
              </w:rPr>
              <w:t>% of Total</w:t>
            </w:r>
            <w:r>
              <w:rPr>
                <w:rFonts w:ascii="Arial" w:cs="Arial" w:eastAsia="Arial" w:hAnsi="Arial"/>
                <w:sz w:val="21"/>
                <w:szCs w:val="21"/>
                <w:b w:val="1"/>
                <w:bCs w:val="1"/>
                <w:color w:val="auto"/>
                <w:vertAlign w:val="superscript"/>
              </w:rPr>
              <w:t>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(Decrease)</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(Decrease)</w:t>
            </w:r>
          </w:p>
        </w:tc>
      </w:tr>
      <w:tr>
        <w:trPr>
          <w:trHeight w:val="210"/>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 by Platform</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4080" w:type="dxa"/>
            <w:vAlign w:val="bottom"/>
          </w:tcPr>
          <w:p>
            <w:pPr>
              <w:ind w:left="140"/>
              <w:spacing w:after="0"/>
              <w:rPr>
                <w:sz w:val="20"/>
                <w:szCs w:val="20"/>
                <w:color w:val="auto"/>
              </w:rPr>
            </w:pPr>
            <w:r>
              <w:rPr>
                <w:rFonts w:ascii="Arial" w:cs="Arial" w:eastAsia="Arial" w:hAnsi="Arial"/>
                <w:sz w:val="16"/>
                <w:szCs w:val="16"/>
                <w:color w:val="auto"/>
              </w:rPr>
              <w:t>Console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556</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376</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23 %</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48 %</w:t>
            </w:r>
          </w:p>
        </w:tc>
      </w:tr>
      <w:tr>
        <w:trPr>
          <w:trHeight w:val="219"/>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PC</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2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2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2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79</w:t>
            </w:r>
          </w:p>
        </w:tc>
      </w:tr>
      <w:tr>
        <w:trPr>
          <w:trHeight w:val="216"/>
        </w:trPr>
        <w:tc>
          <w:tcPr>
            <w:tcW w:w="4080" w:type="dxa"/>
            <w:vAlign w:val="bottom"/>
          </w:tcPr>
          <w:p>
            <w:pPr>
              <w:ind w:left="140"/>
              <w:spacing w:after="0" w:line="216" w:lineRule="exact"/>
              <w:rPr>
                <w:sz w:val="20"/>
                <w:szCs w:val="20"/>
                <w:color w:val="auto"/>
              </w:rPr>
            </w:pPr>
            <w:r>
              <w:rPr>
                <w:rFonts w:ascii="Arial" w:cs="Arial" w:eastAsia="Arial" w:hAnsi="Arial"/>
                <w:sz w:val="16"/>
                <w:szCs w:val="16"/>
                <w:color w:val="auto"/>
              </w:rPr>
              <w:t>Mobile and ancillary</w:t>
            </w:r>
            <w:r>
              <w:rPr>
                <w:rFonts w:ascii="Arial" w:cs="Arial" w:eastAsia="Arial" w:hAnsi="Arial"/>
                <w:sz w:val="21"/>
                <w:szCs w:val="21"/>
                <w:color w:val="auto"/>
                <w:vertAlign w:val="superscript"/>
              </w:rPr>
              <w:t>2</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943</w:t>
            </w:r>
          </w:p>
        </w:tc>
        <w:tc>
          <w:tcPr>
            <w:tcW w:w="1260" w:type="dxa"/>
            <w:vAlign w:val="bottom"/>
            <w:gridSpan w:val="2"/>
          </w:tcPr>
          <w:p>
            <w:pPr>
              <w:jc w:val="right"/>
              <w:ind w:right="1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831</w:t>
            </w:r>
          </w:p>
        </w:tc>
        <w:tc>
          <w:tcPr>
            <w:tcW w:w="1260" w:type="dxa"/>
            <w:vAlign w:val="bottom"/>
            <w:gridSpan w:val="2"/>
          </w:tcPr>
          <w:p>
            <w:pPr>
              <w:jc w:val="right"/>
              <w:ind w:right="11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w:t>
            </w:r>
          </w:p>
        </w:tc>
        <w:tc>
          <w:tcPr>
            <w:tcW w:w="1280" w:type="dxa"/>
            <w:vAlign w:val="bottom"/>
            <w:gridSpan w:val="2"/>
          </w:tcPr>
          <w:p>
            <w:pPr>
              <w:jc w:val="right"/>
              <w:ind w:right="119"/>
              <w:spacing w:after="0"/>
              <w:rPr>
                <w:sz w:val="20"/>
                <w:szCs w:val="20"/>
                <w:color w:val="auto"/>
              </w:rPr>
            </w:pPr>
            <w:r>
              <w:rPr>
                <w:rFonts w:ascii="Arial" w:cs="Arial" w:eastAsia="Arial" w:hAnsi="Arial"/>
                <w:sz w:val="16"/>
                <w:szCs w:val="16"/>
                <w:color w:val="auto"/>
              </w:rPr>
              <w:t>13</w:t>
            </w:r>
          </w:p>
        </w:tc>
      </w:tr>
      <w:tr>
        <w:trPr>
          <w:trHeight w:val="216"/>
        </w:trPr>
        <w:tc>
          <w:tcPr>
            <w:tcW w:w="408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9</w:t>
            </w:r>
          </w:p>
        </w:tc>
      </w:tr>
      <w:tr>
        <w:trPr>
          <w:trHeight w:val="209"/>
        </w:trPr>
        <w:tc>
          <w:tcPr>
            <w:tcW w:w="4080" w:type="dxa"/>
            <w:vAlign w:val="bottom"/>
          </w:tcPr>
          <w:p>
            <w:pPr>
              <w:ind w:left="220"/>
              <w:spacing w:after="0"/>
              <w:rPr>
                <w:sz w:val="20"/>
                <w:szCs w:val="20"/>
                <w:color w:val="auto"/>
              </w:rPr>
            </w:pPr>
            <w:r>
              <w:rPr>
                <w:rFonts w:ascii="Arial" w:cs="Arial" w:eastAsia="Arial" w:hAnsi="Arial"/>
                <w:sz w:val="16"/>
                <w:szCs w:val="16"/>
                <w:color w:val="auto"/>
              </w:rPr>
              <w:t>Total consolidated net revenues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2,207</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1,644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563</w:t>
            </w:r>
          </w:p>
        </w:tc>
        <w:tc>
          <w:tcPr>
            <w:tcW w:w="1280" w:type="dxa"/>
            <w:vAlign w:val="bottom"/>
            <w:gridSpan w:val="2"/>
          </w:tcPr>
          <w:p>
            <w:pPr>
              <w:jc w:val="right"/>
              <w:ind w:right="119"/>
              <w:spacing w:after="0"/>
              <w:rPr>
                <w:sz w:val="20"/>
                <w:szCs w:val="20"/>
                <w:color w:val="auto"/>
              </w:rPr>
            </w:pPr>
            <w:r>
              <w:rPr>
                <w:rFonts w:ascii="Arial" w:cs="Arial" w:eastAsia="Arial" w:hAnsi="Arial"/>
                <w:sz w:val="16"/>
                <w:szCs w:val="16"/>
                <w:color w:val="auto"/>
              </w:rPr>
              <w:t>34</w:t>
            </w: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210"/>
        </w:trPr>
        <w:tc>
          <w:tcPr>
            <w:tcW w:w="4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408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Change in deferred revenues</w:t>
            </w:r>
            <w:r>
              <w:rPr>
                <w:rFonts w:ascii="Arial" w:cs="Arial" w:eastAsia="Arial" w:hAnsi="Arial"/>
                <w:sz w:val="21"/>
                <w:szCs w:val="21"/>
                <w:b w:val="1"/>
                <w:bCs w:val="1"/>
                <w:color w:val="auto"/>
                <w:vertAlign w:val="superscript"/>
              </w:rPr>
              <w:t>4</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4080" w:type="dxa"/>
            <w:vAlign w:val="bottom"/>
          </w:tcPr>
          <w:p>
            <w:pPr>
              <w:ind w:left="140"/>
              <w:spacing w:after="0"/>
              <w:rPr>
                <w:sz w:val="20"/>
                <w:szCs w:val="20"/>
                <w:color w:val="auto"/>
              </w:rPr>
            </w:pPr>
            <w:r>
              <w:rPr>
                <w:rFonts w:ascii="Arial" w:cs="Arial" w:eastAsia="Arial" w:hAnsi="Arial"/>
                <w:sz w:val="16"/>
                <w:szCs w:val="16"/>
                <w:color w:val="auto"/>
              </w:rPr>
              <w:t>PC</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408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Mobile and ancillary</w:t>
            </w:r>
            <w:r>
              <w:rPr>
                <w:rFonts w:ascii="Arial" w:cs="Arial" w:eastAsia="Arial" w:hAnsi="Arial"/>
                <w:sz w:val="21"/>
                <w:szCs w:val="21"/>
                <w:color w:val="auto"/>
                <w:vertAlign w:val="superscript"/>
              </w:rPr>
              <w:t>2</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6"/>
        </w:trPr>
        <w:tc>
          <w:tcPr>
            <w:tcW w:w="4080" w:type="dxa"/>
            <w:vAlign w:val="bottom"/>
          </w:tcPr>
          <w:p>
            <w:pPr>
              <w:ind w:left="14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3"/>
        </w:trPr>
        <w:tc>
          <w:tcPr>
            <w:tcW w:w="4080" w:type="dxa"/>
            <w:vAlign w:val="bottom"/>
            <w:tcBorders>
              <w:bottom w:val="single" w:sz="8" w:color="CCEEFF"/>
            </w:tcBorders>
            <w:shd w:val="clear" w:color="auto" w:fill="CCEEFF"/>
          </w:tcPr>
          <w:p>
            <w:pPr>
              <w:ind w:left="220"/>
              <w:spacing w:after="0" w:line="183" w:lineRule="exact"/>
              <w:rPr>
                <w:sz w:val="20"/>
                <w:szCs w:val="20"/>
                <w:color w:val="auto"/>
              </w:rPr>
            </w:pPr>
            <w:r>
              <w:rPr>
                <w:rFonts w:ascii="Arial" w:cs="Arial" w:eastAsia="Arial" w:hAnsi="Arial"/>
                <w:sz w:val="16"/>
                <w:szCs w:val="16"/>
                <w:color w:val="auto"/>
              </w:rPr>
              <w:t>Total changes in deferred revenues</w:t>
            </w: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7"/>
        </w:trPr>
        <w:tc>
          <w:tcPr>
            <w:tcW w:w="4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37"/>
        </w:trPr>
        <w:tc>
          <w:tcPr>
            <w:tcW w:w="4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June 30, 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ind w:left="40"/>
              <w:spacing w:after="0"/>
              <w:rPr>
                <w:sz w:val="20"/>
                <w:szCs w:val="20"/>
                <w:color w:val="auto"/>
              </w:rPr>
            </w:pPr>
            <w:r>
              <w:rPr>
                <w:rFonts w:ascii="Arial" w:cs="Arial" w:eastAsia="Arial" w:hAnsi="Arial"/>
                <w:sz w:val="16"/>
                <w:szCs w:val="16"/>
                <w:b w:val="1"/>
                <w:bCs w:val="1"/>
                <w:color w:val="auto"/>
              </w:rPr>
              <w:t>$ Increase</w:t>
            </w: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3"/>
              </w:rPr>
              <w:t>% Increase</w:t>
            </w:r>
          </w:p>
        </w:tc>
      </w:tr>
      <w:tr>
        <w:trPr>
          <w:trHeight w:val="226"/>
        </w:trPr>
        <w:tc>
          <w:tcPr>
            <w:tcW w:w="4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99"/>
              <w:spacing w:after="0" w:line="226" w:lineRule="exact"/>
              <w:rPr>
                <w:sz w:val="20"/>
                <w:szCs w:val="20"/>
                <w:color w:val="auto"/>
              </w:rPr>
            </w:pPr>
            <w:r>
              <w:rPr>
                <w:rFonts w:ascii="Arial" w:cs="Arial" w:eastAsia="Arial" w:hAnsi="Arial"/>
                <w:sz w:val="16"/>
                <w:szCs w:val="16"/>
                <w:b w:val="1"/>
                <w:bCs w:val="1"/>
                <w:color w:val="auto"/>
              </w:rPr>
              <w:t>% of Total</w:t>
            </w:r>
            <w:r>
              <w:rPr>
                <w:rFonts w:ascii="Arial" w:cs="Arial" w:eastAsia="Arial" w:hAnsi="Arial"/>
                <w:sz w:val="21"/>
                <w:szCs w:val="21"/>
                <w:b w:val="1"/>
                <w:bCs w:val="1"/>
                <w:color w:val="auto"/>
                <w:vertAlign w:val="superscript"/>
              </w:rPr>
              <w:t>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99"/>
              <w:spacing w:after="0" w:line="226" w:lineRule="exact"/>
              <w:rPr>
                <w:sz w:val="20"/>
                <w:szCs w:val="20"/>
                <w:color w:val="auto"/>
              </w:rPr>
            </w:pPr>
            <w:r>
              <w:rPr>
                <w:rFonts w:ascii="Arial" w:cs="Arial" w:eastAsia="Arial" w:hAnsi="Arial"/>
                <w:sz w:val="16"/>
                <w:szCs w:val="16"/>
                <w:b w:val="1"/>
                <w:bCs w:val="1"/>
                <w:color w:val="auto"/>
              </w:rPr>
              <w:t>% of Total</w:t>
            </w:r>
            <w:r>
              <w:rPr>
                <w:rFonts w:ascii="Arial" w:cs="Arial" w:eastAsia="Arial" w:hAnsi="Arial"/>
                <w:sz w:val="21"/>
                <w:szCs w:val="21"/>
                <w:b w:val="1"/>
                <w:bCs w:val="1"/>
                <w:color w:val="auto"/>
                <w:vertAlign w:val="superscript"/>
              </w:rPr>
              <w:t>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(Decrease)</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(Decrease)</w:t>
            </w:r>
          </w:p>
        </w:tc>
      </w:tr>
      <w:tr>
        <w:trPr>
          <w:trHeight w:val="210"/>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 by Platform</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4080" w:type="dxa"/>
            <w:vAlign w:val="bottom"/>
          </w:tcPr>
          <w:p>
            <w:pPr>
              <w:ind w:left="140"/>
              <w:spacing w:after="0"/>
              <w:rPr>
                <w:sz w:val="20"/>
                <w:szCs w:val="20"/>
                <w:color w:val="auto"/>
              </w:rPr>
            </w:pPr>
            <w:r>
              <w:rPr>
                <w:rFonts w:ascii="Arial" w:cs="Arial" w:eastAsia="Arial" w:hAnsi="Arial"/>
                <w:sz w:val="16"/>
                <w:szCs w:val="16"/>
                <w:color w:val="auto"/>
              </w:rPr>
              <w:t>Console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1,194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26 %</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859</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39 %</w:t>
            </w:r>
          </w:p>
        </w:tc>
      </w:tr>
      <w:tr>
        <w:trPr>
          <w:trHeight w:val="219"/>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PC</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12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2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2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76</w:t>
            </w:r>
          </w:p>
        </w:tc>
      </w:tr>
      <w:tr>
        <w:trPr>
          <w:trHeight w:val="216"/>
        </w:trPr>
        <w:tc>
          <w:tcPr>
            <w:tcW w:w="4080" w:type="dxa"/>
            <w:vAlign w:val="bottom"/>
          </w:tcPr>
          <w:p>
            <w:pPr>
              <w:ind w:left="140"/>
              <w:spacing w:after="0" w:line="216" w:lineRule="exact"/>
              <w:rPr>
                <w:sz w:val="20"/>
                <w:szCs w:val="20"/>
                <w:color w:val="auto"/>
              </w:rPr>
            </w:pPr>
            <w:r>
              <w:rPr>
                <w:rFonts w:ascii="Arial" w:cs="Arial" w:eastAsia="Arial" w:hAnsi="Arial"/>
                <w:sz w:val="16"/>
                <w:szCs w:val="16"/>
                <w:color w:val="auto"/>
              </w:rPr>
              <w:t>Mobile and ancillary</w:t>
            </w:r>
            <w:r>
              <w:rPr>
                <w:rFonts w:ascii="Arial" w:cs="Arial" w:eastAsia="Arial" w:hAnsi="Arial"/>
                <w:sz w:val="21"/>
                <w:szCs w:val="21"/>
                <w:color w:val="auto"/>
                <w:vertAlign w:val="superscript"/>
              </w:rPr>
              <w:t>2</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1,900</w:t>
            </w:r>
          </w:p>
        </w:tc>
        <w:tc>
          <w:tcPr>
            <w:tcW w:w="1260" w:type="dxa"/>
            <w:vAlign w:val="bottom"/>
            <w:gridSpan w:val="2"/>
          </w:tcPr>
          <w:p>
            <w:pPr>
              <w:jc w:val="right"/>
              <w:ind w:right="1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1,639</w:t>
            </w:r>
          </w:p>
        </w:tc>
        <w:tc>
          <w:tcPr>
            <w:tcW w:w="1260" w:type="dxa"/>
            <w:vAlign w:val="bottom"/>
            <w:gridSpan w:val="2"/>
          </w:tcPr>
          <w:p>
            <w:pPr>
              <w:jc w:val="right"/>
              <w:ind w:right="11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261</w:t>
            </w:r>
          </w:p>
        </w:tc>
        <w:tc>
          <w:tcPr>
            <w:tcW w:w="1280" w:type="dxa"/>
            <w:vAlign w:val="bottom"/>
            <w:gridSpan w:val="2"/>
          </w:tcPr>
          <w:p>
            <w:pPr>
              <w:jc w:val="right"/>
              <w:ind w:right="119"/>
              <w:spacing w:after="0"/>
              <w:rPr>
                <w:sz w:val="20"/>
                <w:szCs w:val="20"/>
                <w:color w:val="auto"/>
              </w:rPr>
            </w:pPr>
            <w:r>
              <w:rPr>
                <w:rFonts w:ascii="Arial" w:cs="Arial" w:eastAsia="Arial" w:hAnsi="Arial"/>
                <w:sz w:val="16"/>
                <w:szCs w:val="16"/>
                <w:color w:val="auto"/>
              </w:rPr>
              <w:t>16</w:t>
            </w:r>
          </w:p>
        </w:tc>
      </w:tr>
      <w:tr>
        <w:trPr>
          <w:trHeight w:val="216"/>
        </w:trPr>
        <w:tc>
          <w:tcPr>
            <w:tcW w:w="408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r>
      <w:tr>
        <w:trPr>
          <w:trHeight w:val="210"/>
        </w:trPr>
        <w:tc>
          <w:tcPr>
            <w:tcW w:w="4080" w:type="dxa"/>
            <w:vAlign w:val="bottom"/>
          </w:tcPr>
          <w:p>
            <w:pPr>
              <w:ind w:left="220"/>
              <w:spacing w:after="0"/>
              <w:rPr>
                <w:sz w:val="20"/>
                <w:szCs w:val="20"/>
                <w:color w:val="auto"/>
              </w:rPr>
            </w:pPr>
            <w:r>
              <w:rPr>
                <w:rFonts w:ascii="Arial" w:cs="Arial" w:eastAsia="Arial" w:hAnsi="Arial"/>
                <w:sz w:val="16"/>
                <w:szCs w:val="16"/>
                <w:color w:val="auto"/>
              </w:rPr>
              <w:t>Total consolidated net revenues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4,590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3,412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1,178</w:t>
            </w:r>
          </w:p>
        </w:tc>
        <w:tc>
          <w:tcPr>
            <w:tcW w:w="1280" w:type="dxa"/>
            <w:vAlign w:val="bottom"/>
            <w:gridSpan w:val="2"/>
          </w:tcPr>
          <w:p>
            <w:pPr>
              <w:jc w:val="right"/>
              <w:ind w:right="119"/>
              <w:spacing w:after="0"/>
              <w:rPr>
                <w:sz w:val="20"/>
                <w:szCs w:val="20"/>
                <w:color w:val="auto"/>
              </w:rPr>
            </w:pPr>
            <w:r>
              <w:rPr>
                <w:rFonts w:ascii="Arial" w:cs="Arial" w:eastAsia="Arial" w:hAnsi="Arial"/>
                <w:sz w:val="16"/>
                <w:szCs w:val="16"/>
                <w:color w:val="auto"/>
              </w:rPr>
              <w:t>35</w:t>
            </w: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223"/>
        </w:trPr>
        <w:tc>
          <w:tcPr>
            <w:tcW w:w="4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6"/>
        </w:trPr>
        <w:tc>
          <w:tcPr>
            <w:tcW w:w="408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Change in deferred revenues</w:t>
            </w:r>
            <w:r>
              <w:rPr>
                <w:rFonts w:ascii="Arial" w:cs="Arial" w:eastAsia="Arial" w:hAnsi="Arial"/>
                <w:sz w:val="21"/>
                <w:szCs w:val="21"/>
                <w:b w:val="1"/>
                <w:bCs w:val="1"/>
                <w:color w:val="auto"/>
                <w:vertAlign w:val="superscript"/>
              </w:rPr>
              <w:t>4</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4080" w:type="dxa"/>
            <w:vAlign w:val="bottom"/>
          </w:tcPr>
          <w:p>
            <w:pPr>
              <w:ind w:left="140"/>
              <w:spacing w:after="0"/>
              <w:rPr>
                <w:sz w:val="20"/>
                <w:szCs w:val="20"/>
                <w:color w:val="auto"/>
              </w:rPr>
            </w:pPr>
            <w:r>
              <w:rPr>
                <w:rFonts w:ascii="Arial" w:cs="Arial" w:eastAsia="Arial" w:hAnsi="Arial"/>
                <w:sz w:val="16"/>
                <w:szCs w:val="16"/>
                <w:color w:val="auto"/>
              </w:rPr>
              <w:t>PC</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408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Mobile and ancillary</w:t>
            </w:r>
            <w:r>
              <w:rPr>
                <w:rFonts w:ascii="Arial" w:cs="Arial" w:eastAsia="Arial" w:hAnsi="Arial"/>
                <w:sz w:val="21"/>
                <w:szCs w:val="21"/>
                <w:color w:val="auto"/>
                <w:vertAlign w:val="superscript"/>
              </w:rPr>
              <w:t>2</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6"/>
        </w:trPr>
        <w:tc>
          <w:tcPr>
            <w:tcW w:w="408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changes in deferred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287"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percentages of total are presented as calculated. Therefore, the sum of these percentages, as presented, may differ due to the impact of rounding.</w:t>
      </w:r>
    </w:p>
    <w:p>
      <w:pPr>
        <w:spacing w:after="0" w:line="2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2   Net revenues from Mobile and ancillary primarily include revenues from mobile devices.</w:t>
      </w:r>
    </w:p>
    <w:p>
      <w:pPr>
        <w:spacing w:after="0" w:line="15" w:lineRule="exact"/>
        <w:rPr>
          <w:rFonts w:ascii="Arial" w:cs="Arial" w:eastAsia="Arial" w:hAnsi="Arial"/>
          <w:sz w:val="16"/>
          <w:szCs w:val="16"/>
          <w:color w:val="auto"/>
        </w:rPr>
      </w:pPr>
    </w:p>
    <w:p>
      <w:pPr>
        <w:ind w:right="2020"/>
        <w:spacing w:after="0" w:line="290" w:lineRule="auto"/>
        <w:rPr>
          <w:rFonts w:ascii="Arial" w:cs="Arial" w:eastAsia="Arial" w:hAnsi="Arial"/>
          <w:sz w:val="16"/>
          <w:szCs w:val="16"/>
          <w:color w:val="auto"/>
        </w:rPr>
      </w:pPr>
      <w:r>
        <w:rPr>
          <w:rFonts w:ascii="Arial" w:cs="Arial" w:eastAsia="Arial" w:hAnsi="Arial"/>
          <w:sz w:val="15"/>
          <w:szCs w:val="15"/>
          <w:color w:val="auto"/>
        </w:rPr>
        <w:t>3 Net revenues from Other primarily include revenues from our distribution business, the Overwatch League, and the Call of Duty League. 4 Reflects the net effect from deferral of revenues and (recognition) of deferred revenues on certain of our online-enabled products.</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GEOGRAPHIC REGION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34"/>
        </w:trPr>
        <w:tc>
          <w:tcPr>
            <w:tcW w:w="4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June 30, 2022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ind w:left="40"/>
              <w:spacing w:after="0"/>
              <w:rPr>
                <w:sz w:val="20"/>
                <w:szCs w:val="20"/>
                <w:color w:val="auto"/>
              </w:rPr>
            </w:pPr>
            <w:r>
              <w:rPr>
                <w:rFonts w:ascii="Arial" w:cs="Arial" w:eastAsia="Arial" w:hAnsi="Arial"/>
                <w:sz w:val="16"/>
                <w:szCs w:val="16"/>
                <w:b w:val="1"/>
                <w:bCs w:val="1"/>
                <w:color w:val="auto"/>
              </w:rPr>
              <w:t>$ Increase</w:t>
            </w: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3"/>
              </w:rPr>
              <w:t>% Increase</w:t>
            </w:r>
          </w:p>
        </w:tc>
      </w:tr>
      <w:tr>
        <w:trPr>
          <w:trHeight w:val="229"/>
        </w:trPr>
        <w:tc>
          <w:tcPr>
            <w:tcW w:w="4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99"/>
              <w:spacing w:after="0" w:line="229" w:lineRule="exact"/>
              <w:rPr>
                <w:sz w:val="20"/>
                <w:szCs w:val="20"/>
                <w:color w:val="auto"/>
              </w:rPr>
            </w:pPr>
            <w:r>
              <w:rPr>
                <w:rFonts w:ascii="Arial" w:cs="Arial" w:eastAsia="Arial" w:hAnsi="Arial"/>
                <w:sz w:val="16"/>
                <w:szCs w:val="16"/>
                <w:b w:val="1"/>
                <w:bCs w:val="1"/>
                <w:color w:val="auto"/>
              </w:rPr>
              <w:t>% of Total</w:t>
            </w:r>
            <w:r>
              <w:rPr>
                <w:rFonts w:ascii="Arial" w:cs="Arial" w:eastAsia="Arial" w:hAnsi="Arial"/>
                <w:sz w:val="21"/>
                <w:szCs w:val="21"/>
                <w:b w:val="1"/>
                <w:bCs w:val="1"/>
                <w:color w:val="auto"/>
                <w:vertAlign w:val="superscript"/>
              </w:rPr>
              <w:t>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79"/>
              <w:spacing w:after="0" w:line="229" w:lineRule="exact"/>
              <w:rPr>
                <w:sz w:val="20"/>
                <w:szCs w:val="20"/>
                <w:color w:val="auto"/>
              </w:rPr>
            </w:pPr>
            <w:r>
              <w:rPr>
                <w:rFonts w:ascii="Arial" w:cs="Arial" w:eastAsia="Arial" w:hAnsi="Arial"/>
                <w:sz w:val="16"/>
                <w:szCs w:val="16"/>
                <w:b w:val="1"/>
                <w:bCs w:val="1"/>
                <w:color w:val="auto"/>
              </w:rPr>
              <w:t>% of Total</w:t>
            </w:r>
            <w:r>
              <w:rPr>
                <w:rFonts w:ascii="Arial" w:cs="Arial" w:eastAsia="Arial" w:hAnsi="Arial"/>
                <w:sz w:val="21"/>
                <w:szCs w:val="21"/>
                <w:b w:val="1"/>
                <w:bCs w:val="1"/>
                <w:color w:val="auto"/>
                <w:vertAlign w:val="superscript"/>
              </w:rPr>
              <w:t>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(Decrease)</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(Decrease)</w:t>
            </w:r>
          </w:p>
        </w:tc>
      </w:tr>
      <w:tr>
        <w:trPr>
          <w:trHeight w:val="210"/>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 by Geographic Region</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4080" w:type="dxa"/>
            <w:vAlign w:val="bottom"/>
          </w:tcPr>
          <w:p>
            <w:pPr>
              <w:ind w:left="140"/>
              <w:spacing w:after="0"/>
              <w:rPr>
                <w:sz w:val="20"/>
                <w:szCs w:val="20"/>
                <w:color w:val="auto"/>
              </w:rPr>
            </w:pPr>
            <w:r>
              <w:rPr>
                <w:rFonts w:ascii="Arial" w:cs="Arial" w:eastAsia="Arial" w:hAnsi="Arial"/>
                <w:sz w:val="16"/>
                <w:szCs w:val="16"/>
                <w:color w:val="auto"/>
              </w:rPr>
              <w:t>Americas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1,278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58 %</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982</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60 %</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296</w:t>
            </w:r>
          </w:p>
        </w:tc>
        <w:tc>
          <w:tcPr>
            <w:tcW w:w="1280" w:type="dxa"/>
            <w:vAlign w:val="bottom"/>
            <w:gridSpan w:val="2"/>
          </w:tcPr>
          <w:p>
            <w:pPr>
              <w:ind w:left="920"/>
              <w:spacing w:after="0"/>
              <w:rPr>
                <w:sz w:val="20"/>
                <w:szCs w:val="20"/>
                <w:color w:val="auto"/>
              </w:rPr>
            </w:pPr>
            <w:r>
              <w:rPr>
                <w:rFonts w:ascii="Arial" w:cs="Arial" w:eastAsia="Arial" w:hAnsi="Arial"/>
                <w:sz w:val="16"/>
                <w:szCs w:val="16"/>
                <w:color w:val="auto"/>
                <w:w w:val="93"/>
              </w:rPr>
              <w:t>30 %</w:t>
            </w:r>
          </w:p>
        </w:tc>
      </w:tr>
      <w:tr>
        <w:trPr>
          <w:trHeight w:val="219"/>
        </w:trPr>
        <w:tc>
          <w:tcPr>
            <w:tcW w:w="408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EMEA</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2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24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40</w:t>
            </w:r>
          </w:p>
        </w:tc>
      </w:tr>
      <w:tr>
        <w:trPr>
          <w:trHeight w:val="213"/>
        </w:trPr>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Asia Pacific</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280" w:type="dxa"/>
            <w:vAlign w:val="bottom"/>
            <w:tcBorders>
              <w:bottom w:val="single" w:sz="8" w:color="CCEEFF"/>
            </w:tcBorders>
            <w:gridSpan w:val="2"/>
          </w:tcPr>
          <w:p>
            <w:pPr>
              <w:ind w:left="920"/>
              <w:spacing w:after="0"/>
              <w:rPr>
                <w:sz w:val="20"/>
                <w:szCs w:val="20"/>
                <w:color w:val="auto"/>
              </w:rPr>
            </w:pPr>
            <w:r>
              <w:rPr>
                <w:rFonts w:ascii="Arial" w:cs="Arial" w:eastAsia="Arial" w:hAnsi="Arial"/>
                <w:sz w:val="16"/>
                <w:szCs w:val="16"/>
                <w:color w:val="auto"/>
              </w:rPr>
              <w:t>40</w:t>
            </w:r>
          </w:p>
        </w:tc>
      </w:tr>
      <w:tr>
        <w:trPr>
          <w:trHeight w:val="233"/>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consolidated 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34</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r>
        <w:trPr>
          <w:trHeight w:val="190"/>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40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Change in deferred revenues</w:t>
            </w:r>
            <w:r>
              <w:rPr>
                <w:rFonts w:ascii="Arial" w:cs="Arial" w:eastAsia="Arial" w:hAnsi="Arial"/>
                <w:sz w:val="21"/>
                <w:szCs w:val="21"/>
                <w:b w:val="1"/>
                <w:bCs w:val="1"/>
                <w:color w:val="auto"/>
                <w:vertAlign w:val="superscript"/>
              </w:rPr>
              <w:t>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4080" w:type="dxa"/>
            <w:vAlign w:val="bottom"/>
          </w:tcPr>
          <w:p>
            <w:pPr>
              <w:ind w:left="140"/>
              <w:spacing w:after="0"/>
              <w:rPr>
                <w:sz w:val="20"/>
                <w:szCs w:val="20"/>
                <w:color w:val="auto"/>
              </w:rPr>
            </w:pPr>
            <w:r>
              <w:rPr>
                <w:rFonts w:ascii="Arial" w:cs="Arial" w:eastAsia="Arial" w:hAnsi="Arial"/>
                <w:sz w:val="16"/>
                <w:szCs w:val="16"/>
                <w:color w:val="auto"/>
              </w:rPr>
              <w:t>Americas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408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EMEA</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6"/>
        </w:trPr>
        <w:tc>
          <w:tcPr>
            <w:tcW w:w="4080" w:type="dxa"/>
            <w:vAlign w:val="bottom"/>
          </w:tcPr>
          <w:p>
            <w:pPr>
              <w:ind w:left="140"/>
              <w:spacing w:after="0"/>
              <w:rPr>
                <w:sz w:val="20"/>
                <w:szCs w:val="20"/>
                <w:color w:val="auto"/>
              </w:rPr>
            </w:pPr>
            <w:r>
              <w:rPr>
                <w:rFonts w:ascii="Arial" w:cs="Arial" w:eastAsia="Arial" w:hAnsi="Arial"/>
                <w:sz w:val="16"/>
                <w:szCs w:val="16"/>
                <w:color w:val="auto"/>
              </w:rPr>
              <w:t>Asia Pacific</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3"/>
        </w:trPr>
        <w:tc>
          <w:tcPr>
            <w:tcW w:w="4080" w:type="dxa"/>
            <w:vAlign w:val="bottom"/>
            <w:tcBorders>
              <w:bottom w:val="single" w:sz="8" w:color="CCEEFF"/>
            </w:tcBorders>
            <w:shd w:val="clear" w:color="auto" w:fill="CCEEFF"/>
          </w:tcPr>
          <w:p>
            <w:pPr>
              <w:ind w:left="220"/>
              <w:spacing w:after="0" w:line="183" w:lineRule="exact"/>
              <w:rPr>
                <w:sz w:val="20"/>
                <w:szCs w:val="20"/>
                <w:color w:val="auto"/>
              </w:rPr>
            </w:pPr>
            <w:r>
              <w:rPr>
                <w:rFonts w:ascii="Arial" w:cs="Arial" w:eastAsia="Arial" w:hAnsi="Arial"/>
                <w:sz w:val="16"/>
                <w:szCs w:val="16"/>
                <w:color w:val="auto"/>
              </w:rPr>
              <w:t>Total changes in deferred revenues</w:t>
            </w: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6"/>
        </w:trPr>
        <w:tc>
          <w:tcPr>
            <w:tcW w:w="4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37"/>
        </w:trPr>
        <w:tc>
          <w:tcPr>
            <w:tcW w:w="4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June 30, 2022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ind w:left="40"/>
              <w:spacing w:after="0"/>
              <w:rPr>
                <w:sz w:val="20"/>
                <w:szCs w:val="20"/>
                <w:color w:val="auto"/>
              </w:rPr>
            </w:pPr>
            <w:r>
              <w:rPr>
                <w:rFonts w:ascii="Arial" w:cs="Arial" w:eastAsia="Arial" w:hAnsi="Arial"/>
                <w:sz w:val="16"/>
                <w:szCs w:val="16"/>
                <w:b w:val="1"/>
                <w:bCs w:val="1"/>
                <w:color w:val="auto"/>
              </w:rPr>
              <w:t>$ Increase</w:t>
            </w: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3"/>
              </w:rPr>
              <w:t>% Increase</w:t>
            </w:r>
          </w:p>
        </w:tc>
      </w:tr>
      <w:tr>
        <w:trPr>
          <w:trHeight w:val="226"/>
        </w:trPr>
        <w:tc>
          <w:tcPr>
            <w:tcW w:w="4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99"/>
              <w:spacing w:after="0" w:line="226" w:lineRule="exact"/>
              <w:rPr>
                <w:sz w:val="20"/>
                <w:szCs w:val="20"/>
                <w:color w:val="auto"/>
              </w:rPr>
            </w:pPr>
            <w:r>
              <w:rPr>
                <w:rFonts w:ascii="Arial" w:cs="Arial" w:eastAsia="Arial" w:hAnsi="Arial"/>
                <w:sz w:val="16"/>
                <w:szCs w:val="16"/>
                <w:b w:val="1"/>
                <w:bCs w:val="1"/>
                <w:color w:val="auto"/>
              </w:rPr>
              <w:t>% of Total</w:t>
            </w:r>
            <w:r>
              <w:rPr>
                <w:rFonts w:ascii="Arial" w:cs="Arial" w:eastAsia="Arial" w:hAnsi="Arial"/>
                <w:sz w:val="21"/>
                <w:szCs w:val="21"/>
                <w:b w:val="1"/>
                <w:bCs w:val="1"/>
                <w:color w:val="auto"/>
                <w:vertAlign w:val="superscript"/>
              </w:rPr>
              <w:t>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79"/>
              <w:spacing w:after="0" w:line="226" w:lineRule="exact"/>
              <w:rPr>
                <w:sz w:val="20"/>
                <w:szCs w:val="20"/>
                <w:color w:val="auto"/>
              </w:rPr>
            </w:pPr>
            <w:r>
              <w:rPr>
                <w:rFonts w:ascii="Arial" w:cs="Arial" w:eastAsia="Arial" w:hAnsi="Arial"/>
                <w:sz w:val="16"/>
                <w:szCs w:val="16"/>
                <w:b w:val="1"/>
                <w:bCs w:val="1"/>
                <w:color w:val="auto"/>
              </w:rPr>
              <w:t>% of Total</w:t>
            </w:r>
            <w:r>
              <w:rPr>
                <w:rFonts w:ascii="Arial" w:cs="Arial" w:eastAsia="Arial" w:hAnsi="Arial"/>
                <w:sz w:val="21"/>
                <w:szCs w:val="21"/>
                <w:b w:val="1"/>
                <w:bCs w:val="1"/>
                <w:color w:val="auto"/>
                <w:vertAlign w:val="superscript"/>
              </w:rPr>
              <w:t>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(Decrease)</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(Decrease)</w:t>
            </w:r>
          </w:p>
        </w:tc>
      </w:tr>
      <w:tr>
        <w:trPr>
          <w:trHeight w:val="210"/>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 by Geographic Region</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4080" w:type="dxa"/>
            <w:vAlign w:val="bottom"/>
          </w:tcPr>
          <w:p>
            <w:pPr>
              <w:ind w:left="140"/>
              <w:spacing w:after="0"/>
              <w:rPr>
                <w:sz w:val="20"/>
                <w:szCs w:val="20"/>
                <w:color w:val="auto"/>
              </w:rPr>
            </w:pPr>
            <w:r>
              <w:rPr>
                <w:rFonts w:ascii="Arial" w:cs="Arial" w:eastAsia="Arial" w:hAnsi="Arial"/>
                <w:sz w:val="16"/>
                <w:szCs w:val="16"/>
                <w:color w:val="auto"/>
              </w:rPr>
              <w:t>Americas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2,656</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58 %</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1,999</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59 %</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657</w:t>
            </w:r>
          </w:p>
        </w:tc>
        <w:tc>
          <w:tcPr>
            <w:tcW w:w="1280" w:type="dxa"/>
            <w:vAlign w:val="bottom"/>
            <w:gridSpan w:val="2"/>
          </w:tcPr>
          <w:p>
            <w:pPr>
              <w:ind w:left="920"/>
              <w:spacing w:after="0"/>
              <w:rPr>
                <w:sz w:val="20"/>
                <w:szCs w:val="20"/>
                <w:color w:val="auto"/>
              </w:rPr>
            </w:pPr>
            <w:r>
              <w:rPr>
                <w:rFonts w:ascii="Arial" w:cs="Arial" w:eastAsia="Arial" w:hAnsi="Arial"/>
                <w:sz w:val="16"/>
                <w:szCs w:val="16"/>
                <w:color w:val="auto"/>
                <w:w w:val="93"/>
              </w:rPr>
              <w:t>33 %</w:t>
            </w:r>
          </w:p>
        </w:tc>
      </w:tr>
      <w:tr>
        <w:trPr>
          <w:trHeight w:val="219"/>
        </w:trPr>
        <w:tc>
          <w:tcPr>
            <w:tcW w:w="408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EMEA</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12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24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36</w:t>
            </w:r>
          </w:p>
        </w:tc>
      </w:tr>
      <w:tr>
        <w:trPr>
          <w:trHeight w:val="213"/>
        </w:trPr>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Asia Pacific</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280" w:type="dxa"/>
            <w:vAlign w:val="bottom"/>
            <w:tcBorders>
              <w:bottom w:val="single" w:sz="8" w:color="CCEEFF"/>
            </w:tcBorders>
            <w:gridSpan w:val="2"/>
          </w:tcPr>
          <w:p>
            <w:pPr>
              <w:ind w:left="920"/>
              <w:spacing w:after="0"/>
              <w:rPr>
                <w:sz w:val="20"/>
                <w:szCs w:val="20"/>
                <w:color w:val="auto"/>
              </w:rPr>
            </w:pPr>
            <w:r>
              <w:rPr>
                <w:rFonts w:ascii="Arial" w:cs="Arial" w:eastAsia="Arial" w:hAnsi="Arial"/>
                <w:sz w:val="16"/>
                <w:szCs w:val="16"/>
                <w:color w:val="auto"/>
              </w:rPr>
              <w:t>38</w:t>
            </w:r>
          </w:p>
        </w:tc>
      </w:tr>
      <w:tr>
        <w:trPr>
          <w:trHeight w:val="232"/>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consolidated 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35</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r>
        <w:trPr>
          <w:trHeight w:val="204"/>
        </w:trPr>
        <w:tc>
          <w:tcPr>
            <w:tcW w:w="4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40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Change in deferred revenues</w:t>
            </w:r>
            <w:r>
              <w:rPr>
                <w:rFonts w:ascii="Arial" w:cs="Arial" w:eastAsia="Arial" w:hAnsi="Arial"/>
                <w:sz w:val="21"/>
                <w:szCs w:val="21"/>
                <w:b w:val="1"/>
                <w:bCs w:val="1"/>
                <w:color w:val="auto"/>
                <w:vertAlign w:val="superscript"/>
              </w:rPr>
              <w:t>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4080" w:type="dxa"/>
            <w:vAlign w:val="bottom"/>
          </w:tcPr>
          <w:p>
            <w:pPr>
              <w:ind w:left="140"/>
              <w:spacing w:after="0"/>
              <w:rPr>
                <w:sz w:val="20"/>
                <w:szCs w:val="20"/>
                <w:color w:val="auto"/>
              </w:rPr>
            </w:pPr>
            <w:r>
              <w:rPr>
                <w:rFonts w:ascii="Arial" w:cs="Arial" w:eastAsia="Arial" w:hAnsi="Arial"/>
                <w:sz w:val="16"/>
                <w:szCs w:val="16"/>
                <w:color w:val="auto"/>
              </w:rPr>
              <w:t>Americas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408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EMEA</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Asia Pacific</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r>
      <w:tr>
        <w:trPr>
          <w:trHeight w:val="233"/>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changes in deferred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287"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percentages of total are presented as calculated. Therefore, the sum of these percentages, as presented, may differ due to the impact of rounding.</w:t>
      </w:r>
    </w:p>
    <w:p>
      <w:pPr>
        <w:spacing w:after="0" w:line="2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2   Net revenues from EMEA consist of the Europe, Middle East, and Africa geographic regions.</w:t>
      </w:r>
    </w:p>
    <w:p>
      <w:pPr>
        <w:spacing w:after="0" w:line="1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3   Reflects the net effect from deferral of revenues and (recognition) of deferred revenues on certain of our online-enabled products.</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Trailing Twelve</w:t>
            </w:r>
          </w:p>
        </w:tc>
        <w:tc>
          <w:tcPr>
            <w:tcW w:w="0" w:type="dxa"/>
            <w:vAlign w:val="bottom"/>
          </w:tcPr>
          <w:p>
            <w:pPr>
              <w:spacing w:after="0"/>
              <w:rPr>
                <w:sz w:val="1"/>
                <w:szCs w:val="1"/>
                <w:color w:val="auto"/>
              </w:rPr>
            </w:pPr>
          </w:p>
        </w:tc>
      </w:tr>
      <w:tr>
        <w:trPr>
          <w:trHeight w:val="210"/>
        </w:trPr>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Months Ended</w:t>
            </w:r>
          </w:p>
        </w:tc>
        <w:tc>
          <w:tcPr>
            <w:tcW w:w="0" w:type="dxa"/>
            <w:vAlign w:val="bottom"/>
          </w:tcPr>
          <w:p>
            <w:pPr>
              <w:spacing w:after="0"/>
              <w:rPr>
                <w:sz w:val="1"/>
                <w:szCs w:val="1"/>
                <w:color w:val="auto"/>
              </w:rPr>
            </w:pPr>
          </w:p>
        </w:tc>
      </w:tr>
      <w:tr>
        <w:trPr>
          <w:trHeight w:val="168"/>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139"/>
              <w:spacing w:after="0" w:line="168" w:lineRule="exact"/>
              <w:rPr>
                <w:sz w:val="20"/>
                <w:szCs w:val="20"/>
                <w:color w:val="auto"/>
              </w:rPr>
            </w:pPr>
            <w:r>
              <w:rPr>
                <w:rFonts w:ascii="Arial" w:cs="Arial" w:eastAsia="Arial" w:hAnsi="Arial"/>
                <w:sz w:val="16"/>
                <w:szCs w:val="16"/>
                <w:b w:val="1"/>
                <w:bCs w:val="1"/>
                <w:color w:val="auto"/>
                <w:w w:val="95"/>
              </w:rPr>
              <w:t>September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59"/>
              <w:spacing w:after="0" w:line="168" w:lineRule="exact"/>
              <w:rPr>
                <w:sz w:val="20"/>
                <w:szCs w:val="20"/>
                <w:color w:val="auto"/>
              </w:rPr>
            </w:pPr>
            <w:r>
              <w:rPr>
                <w:rFonts w:ascii="Arial" w:cs="Arial" w:eastAsia="Arial" w:hAnsi="Arial"/>
                <w:sz w:val="16"/>
                <w:szCs w:val="16"/>
                <w:b w:val="1"/>
                <w:bCs w:val="1"/>
                <w:color w:val="auto"/>
                <w:w w:val="96"/>
              </w:rPr>
              <w:t>December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259"/>
              <w:spacing w:after="0" w:line="168" w:lineRule="exact"/>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339"/>
              <w:spacing w:after="0" w:line="168" w:lineRule="exact"/>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59"/>
              <w:spacing w:after="0" w:line="168" w:lineRule="exact"/>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3"/>
        </w:trPr>
        <w:tc>
          <w:tcPr>
            <w:tcW w:w="3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2023</w:t>
            </w:r>
          </w:p>
        </w:tc>
        <w:tc>
          <w:tcPr>
            <w:tcW w:w="0" w:type="dxa"/>
            <w:vAlign w:val="bottom"/>
          </w:tcPr>
          <w:p>
            <w:pPr>
              <w:spacing w:after="0"/>
              <w:rPr>
                <w:sz w:val="1"/>
                <w:szCs w:val="1"/>
                <w:color w:val="auto"/>
              </w:rPr>
            </w:pPr>
          </w:p>
        </w:tc>
      </w:tr>
      <w:tr>
        <w:trPr>
          <w:trHeight w:val="212"/>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GAAP 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2,165</w:t>
            </w:r>
          </w:p>
        </w:tc>
        <w:tc>
          <w:tcPr>
            <w:tcW w:w="0" w:type="dxa"/>
            <w:vAlign w:val="bottom"/>
          </w:tcPr>
          <w:p>
            <w:pPr>
              <w:spacing w:after="0"/>
              <w:rPr>
                <w:sz w:val="1"/>
                <w:szCs w:val="1"/>
                <w:color w:val="auto"/>
              </w:rPr>
            </w:pPr>
          </w:p>
        </w:tc>
      </w:tr>
      <w:tr>
        <w:trPr>
          <w:trHeight w:val="213"/>
        </w:trPr>
        <w:tc>
          <w:tcPr>
            <w:tcW w:w="3680" w:type="dxa"/>
            <w:vAlign w:val="bottom"/>
          </w:tcPr>
          <w:p>
            <w:pPr>
              <w:ind w:left="220"/>
              <w:spacing w:after="0"/>
              <w:rPr>
                <w:sz w:val="20"/>
                <w:szCs w:val="20"/>
                <w:color w:val="auto"/>
              </w:rPr>
            </w:pPr>
            <w:r>
              <w:rPr>
                <w:rFonts w:ascii="Arial" w:cs="Arial" w:eastAsia="Arial" w:hAnsi="Arial"/>
                <w:sz w:val="16"/>
                <w:szCs w:val="16"/>
                <w:color w:val="auto"/>
              </w:rPr>
              <w:t>Interest expense from debt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 (expense),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13"/>
        </w:trPr>
        <w:tc>
          <w:tcPr>
            <w:tcW w:w="3680" w:type="dxa"/>
            <w:vAlign w:val="bottom"/>
          </w:tcPr>
          <w:p>
            <w:pPr>
              <w:ind w:left="220"/>
              <w:spacing w:after="0"/>
              <w:rPr>
                <w:sz w:val="20"/>
                <w:szCs w:val="20"/>
                <w:color w:val="auto"/>
              </w:rPr>
            </w:pPr>
            <w:r>
              <w:rPr>
                <w:rFonts w:ascii="Arial" w:cs="Arial" w:eastAsia="Arial" w:hAnsi="Arial"/>
                <w:sz w:val="16"/>
                <w:szCs w:val="16"/>
                <w:color w:val="auto"/>
              </w:rPr>
              <w:t>Provision for income taxes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19"/>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7"/>
        </w:trPr>
        <w:tc>
          <w:tcPr>
            <w:tcW w:w="3680" w:type="dxa"/>
            <w:vAlign w:val="bottom"/>
          </w:tcPr>
          <w:p>
            <w:pPr>
              <w:ind w:left="20"/>
              <w:spacing w:after="0"/>
              <w:rPr>
                <w:sz w:val="20"/>
                <w:szCs w:val="20"/>
                <w:color w:val="auto"/>
              </w:rPr>
            </w:pPr>
            <w:r>
              <w:rPr>
                <w:rFonts w:ascii="Arial" w:cs="Arial" w:eastAsia="Arial" w:hAnsi="Arial"/>
                <w:sz w:val="16"/>
                <w:szCs w:val="16"/>
                <w:b w:val="1"/>
                <w:bCs w:val="1"/>
                <w:color w:val="auto"/>
              </w:rPr>
              <w:t>EBITDA</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514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396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821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601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2,332</w:t>
            </w:r>
          </w:p>
        </w:tc>
        <w:tc>
          <w:tcPr>
            <w:tcW w:w="0" w:type="dxa"/>
            <w:vAlign w:val="bottom"/>
          </w:tcPr>
          <w:p>
            <w:pPr>
              <w:spacing w:after="0"/>
              <w:rPr>
                <w:sz w:val="1"/>
                <w:szCs w:val="1"/>
                <w:color w:val="auto"/>
              </w:rPr>
            </w:pPr>
          </w:p>
        </w:tc>
      </w:tr>
      <w:tr>
        <w:trPr>
          <w:trHeight w:val="259"/>
        </w:trPr>
        <w:tc>
          <w:tcPr>
            <w:tcW w:w="3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line="216" w:lineRule="exact"/>
              <w:rPr>
                <w:sz w:val="20"/>
                <w:szCs w:val="20"/>
                <w:color w:val="auto"/>
              </w:rPr>
            </w:pPr>
            <w:r>
              <w:rPr>
                <w:rFonts w:ascii="Arial" w:cs="Arial" w:eastAsia="Arial" w:hAnsi="Arial"/>
                <w:sz w:val="16"/>
                <w:szCs w:val="16"/>
                <w:color w:val="auto"/>
              </w:rPr>
              <w:t>Share-based compensation expense</w:t>
            </w:r>
            <w:r>
              <w:rPr>
                <w:rFonts w:ascii="Arial" w:cs="Arial" w:eastAsia="Arial" w:hAnsi="Arial"/>
                <w:sz w:val="21"/>
                <w:szCs w:val="21"/>
                <w:color w:val="auto"/>
                <w:vertAlign w:val="superscript"/>
              </w:rPr>
              <w:t>1</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Restructuring and related costs</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line="216" w:lineRule="exact"/>
              <w:rPr>
                <w:sz w:val="20"/>
                <w:szCs w:val="20"/>
                <w:color w:val="auto"/>
              </w:rPr>
            </w:pPr>
            <w:r>
              <w:rPr>
                <w:rFonts w:ascii="Arial" w:cs="Arial" w:eastAsia="Arial" w:hAnsi="Arial"/>
                <w:sz w:val="16"/>
                <w:szCs w:val="16"/>
                <w:color w:val="auto"/>
              </w:rPr>
              <w:t>Partnership wind down and related costs</w:t>
            </w:r>
            <w:r>
              <w:rPr>
                <w:rFonts w:ascii="Arial" w:cs="Arial" w:eastAsia="Arial" w:hAnsi="Arial"/>
                <w:sz w:val="21"/>
                <w:szCs w:val="21"/>
                <w:color w:val="auto"/>
                <w:vertAlign w:val="superscript"/>
              </w:rPr>
              <w:t>3</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62"/>
        </w:trPr>
        <w:tc>
          <w:tcPr>
            <w:tcW w:w="368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Merger and acquisition-related fees and other</w:t>
            </w:r>
          </w:p>
        </w:tc>
        <w:tc>
          <w:tcPr>
            <w:tcW w:w="16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3"/>
        </w:trPr>
        <w:tc>
          <w:tcPr>
            <w:tcW w:w="368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16"/>
                <w:szCs w:val="16"/>
                <w:color w:val="auto"/>
              </w:rPr>
              <w:t>expenses</w:t>
            </w:r>
            <w:r>
              <w:rPr>
                <w:rFonts w:ascii="Arial" w:cs="Arial" w:eastAsia="Arial" w:hAnsi="Arial"/>
                <w:sz w:val="21"/>
                <w:szCs w:val="21"/>
                <w:color w:val="auto"/>
                <w:vertAlign w:val="superscript"/>
              </w:rPr>
              <w:t>4</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628</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594</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970</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722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2,914</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680" w:type="dxa"/>
            <w:vAlign w:val="bottom"/>
          </w:tcPr>
          <w:p>
            <w:pPr>
              <w:ind w:left="20"/>
              <w:spacing w:after="0" w:line="166" w:lineRule="exact"/>
              <w:rPr>
                <w:sz w:val="20"/>
                <w:szCs w:val="20"/>
                <w:color w:val="auto"/>
              </w:rPr>
            </w:pPr>
            <w:r>
              <w:rPr>
                <w:rFonts w:ascii="Arial" w:cs="Arial" w:eastAsia="Arial" w:hAnsi="Arial"/>
                <w:sz w:val="16"/>
                <w:szCs w:val="16"/>
                <w:color w:val="auto"/>
                <w:w w:val="98"/>
              </w:rPr>
              <w:t>Change in deferred net revenues and related cost of</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1,059</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(471)</w:t>
            </w: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162</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275"/>
        </w:trPr>
        <w:tc>
          <w:tcPr>
            <w:tcW w:w="3680" w:type="dxa"/>
            <w:vAlign w:val="bottom"/>
          </w:tcPr>
          <w:p>
            <w:pPr>
              <w:ind w:left="20"/>
              <w:spacing w:after="0"/>
              <w:rPr>
                <w:sz w:val="20"/>
                <w:szCs w:val="20"/>
                <w:color w:val="auto"/>
              </w:rPr>
            </w:pPr>
            <w:r>
              <w:rPr>
                <w:rFonts w:ascii="Arial" w:cs="Arial" w:eastAsia="Arial" w:hAnsi="Arial"/>
                <w:sz w:val="16"/>
                <w:szCs w:val="16"/>
                <w:color w:val="auto"/>
              </w:rPr>
              <w:t>revenues</w:t>
            </w:r>
            <w:r>
              <w:rPr>
                <w:rFonts w:ascii="Arial" w:cs="Arial" w:eastAsia="Arial" w:hAnsi="Arial"/>
                <w:sz w:val="21"/>
                <w:szCs w:val="21"/>
                <w:color w:val="auto"/>
                <w:vertAlign w:val="superscript"/>
              </w:rPr>
              <w:t>5</w:t>
            </w:r>
          </w:p>
        </w:tc>
        <w:tc>
          <w:tcPr>
            <w:tcW w:w="16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280" w:type="dxa"/>
            <w:vAlign w:val="bottom"/>
            <w:gridSpan w:val="2"/>
            <w:vMerge w:val="continue"/>
          </w:tcPr>
          <w:p>
            <w:pPr>
              <w:spacing w:after="0"/>
              <w:rPr>
                <w:sz w:val="23"/>
                <w:szCs w:val="23"/>
                <w:color w:val="auto"/>
              </w:rPr>
            </w:pPr>
          </w:p>
        </w:tc>
        <w:tc>
          <w:tcPr>
            <w:tcW w:w="1260" w:type="dxa"/>
            <w:vAlign w:val="bottom"/>
            <w:vMerge w:val="continue"/>
          </w:tcPr>
          <w:p>
            <w:pPr>
              <w:spacing w:after="0"/>
              <w:rPr>
                <w:sz w:val="23"/>
                <w:szCs w:val="23"/>
                <w:color w:val="auto"/>
              </w:rPr>
            </w:pPr>
          </w:p>
        </w:tc>
        <w:tc>
          <w:tcPr>
            <w:tcW w:w="340" w:type="dxa"/>
            <w:vAlign w:val="bottom"/>
            <w:gridSpan w:val="2"/>
            <w:vMerge w:val="continue"/>
          </w:tcPr>
          <w:p>
            <w:pPr>
              <w:spacing w:after="0"/>
              <w:rPr>
                <w:sz w:val="23"/>
                <w:szCs w:val="23"/>
                <w:color w:val="auto"/>
              </w:rPr>
            </w:pPr>
          </w:p>
        </w:tc>
        <w:tc>
          <w:tcPr>
            <w:tcW w:w="1180" w:type="dxa"/>
            <w:vAlign w:val="bottom"/>
            <w:vMerge w:val="continue"/>
          </w:tcPr>
          <w:p>
            <w:pPr>
              <w:spacing w:after="0"/>
              <w:rPr>
                <w:sz w:val="23"/>
                <w:szCs w:val="23"/>
                <w:color w:val="auto"/>
              </w:rPr>
            </w:pPr>
          </w:p>
        </w:tc>
        <w:tc>
          <w:tcPr>
            <w:tcW w:w="380" w:type="dxa"/>
            <w:vAlign w:val="bottom"/>
            <w:gridSpan w:val="2"/>
            <w:vMerge w:val="continue"/>
          </w:tcPr>
          <w:p>
            <w:pPr>
              <w:spacing w:after="0"/>
              <w:rPr>
                <w:sz w:val="23"/>
                <w:szCs w:val="23"/>
                <w:color w:val="auto"/>
              </w:rPr>
            </w:pPr>
          </w:p>
        </w:tc>
        <w:tc>
          <w:tcPr>
            <w:tcW w:w="1160" w:type="dxa"/>
            <w:vAlign w:val="bottom"/>
            <w:vMerge w:val="continue"/>
          </w:tcPr>
          <w:p>
            <w:pPr>
              <w:spacing w:after="0"/>
              <w:rPr>
                <w:sz w:val="23"/>
                <w:szCs w:val="23"/>
                <w:color w:val="auto"/>
              </w:rPr>
            </w:pPr>
          </w:p>
        </w:tc>
        <w:tc>
          <w:tcPr>
            <w:tcW w:w="240" w:type="dxa"/>
            <w:vAlign w:val="bottom"/>
            <w:gridSpan w:val="2"/>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Reflects expenses related to share-based compensation.</w:t>
      </w:r>
    </w:p>
    <w:p>
      <w:pPr>
        <w:spacing w:after="0" w:line="2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2   Reflects restructuring initiatives.</w:t>
      </w:r>
    </w:p>
    <w:p>
      <w:pPr>
        <w:spacing w:after="0" w:line="15" w:lineRule="exact"/>
        <w:rPr>
          <w:rFonts w:ascii="Arial" w:cs="Arial" w:eastAsia="Arial" w:hAnsi="Arial"/>
          <w:sz w:val="16"/>
          <w:szCs w:val="16"/>
          <w:color w:val="auto"/>
        </w:rPr>
      </w:pPr>
    </w:p>
    <w:p>
      <w:pPr>
        <w:ind w:left="340" w:right="100" w:hanging="324"/>
        <w:spacing w:after="0" w:line="255" w:lineRule="auto"/>
        <w:rPr>
          <w:rFonts w:ascii="Arial" w:cs="Arial" w:eastAsia="Arial" w:hAnsi="Arial"/>
          <w:sz w:val="16"/>
          <w:szCs w:val="16"/>
          <w:color w:val="auto"/>
        </w:rPr>
      </w:pPr>
      <w:r>
        <w:rPr>
          <w:rFonts w:ascii="Arial" w:cs="Arial" w:eastAsia="Arial" w:hAnsi="Arial"/>
          <w:sz w:val="16"/>
          <w:szCs w:val="16"/>
          <w:color w:val="auto"/>
        </w:rPr>
        <w:t>3 Reflects expenses related to the wind down of our partnership with NetEase in Mainland China in regards to licenses covering the publication of several Blizzard titles which expired in January 2023.</w:t>
      </w:r>
    </w:p>
    <w:p>
      <w:pPr>
        <w:spacing w:after="0"/>
        <w:rPr>
          <w:rFonts w:ascii="Arial" w:cs="Arial" w:eastAsia="Arial" w:hAnsi="Arial"/>
          <w:sz w:val="16"/>
          <w:szCs w:val="16"/>
          <w:color w:val="auto"/>
        </w:rPr>
      </w:pPr>
      <w:r>
        <w:rPr>
          <w:rFonts w:ascii="Arial" w:cs="Arial" w:eastAsia="Arial" w:hAnsi="Arial"/>
          <w:sz w:val="16"/>
          <w:szCs w:val="16"/>
          <w:color w:val="auto"/>
        </w:rPr>
        <w:t>4   Reflects fees and other expenses related to our proposed transaction with Microsoft, primarily legal and advisory fees.</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5"/>
          <w:szCs w:val="15"/>
          <w:color w:val="auto"/>
        </w:rPr>
        <w:t>5   Reflects the net effect from deferral of revenues and (recognition) of deferred revenues, along with related cost of revenues, on certain of our online-enabled products.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920" w:type="dxa"/>
            <w:vAlign w:val="bottom"/>
          </w:tcPr>
          <w:p>
            <w:pPr>
              <w:spacing w:after="0"/>
              <w:rPr>
                <w:sz w:val="20"/>
                <w:szCs w:val="20"/>
                <w:color w:val="auto"/>
              </w:rPr>
            </w:pPr>
            <w:r>
              <w:rPr>
                <w:rFonts w:ascii="Arial" w:cs="Arial" w:eastAsia="Arial" w:hAnsi="Arial"/>
                <w:sz w:val="18"/>
                <w:szCs w:val="18"/>
                <w:b w:val="1"/>
                <w:bCs w:val="1"/>
                <w:color w:val="auto"/>
              </w:rPr>
              <w:t>Net Bookings</w:t>
            </w:r>
            <w:r>
              <w:rPr>
                <w:rFonts w:ascii="Arial" w:cs="Arial" w:eastAsia="Arial" w:hAnsi="Arial"/>
                <w:sz w:val="23"/>
                <w:szCs w:val="23"/>
                <w:b w:val="1"/>
                <w:bCs w:val="1"/>
                <w:color w:val="auto"/>
                <w:vertAlign w:val="superscript"/>
              </w:rPr>
              <w:t>1</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4"/>
        </w:trPr>
        <w:tc>
          <w:tcPr>
            <w:tcW w:w="1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w w:val="91"/>
              </w:rPr>
              <w:t>Three Months Ended June 30,</w:t>
            </w:r>
          </w:p>
        </w:tc>
        <w:tc>
          <w:tcPr>
            <w:tcW w:w="10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8"/>
                <w:szCs w:val="18"/>
                <w:b w:val="1"/>
                <w:bCs w:val="1"/>
                <w:color w:val="auto"/>
                <w:w w:val="90"/>
              </w:rPr>
              <w:t>Six Months Ended June 30,</w:t>
            </w:r>
          </w:p>
        </w:tc>
        <w:tc>
          <w:tcPr>
            <w:tcW w:w="1180" w:type="dxa"/>
            <w:vAlign w:val="bottom"/>
            <w:tcBorders>
              <w:bottom w:val="single" w:sz="8" w:color="auto"/>
            </w:tcBorders>
          </w:tcPr>
          <w:p>
            <w:pPr>
              <w:spacing w:after="0"/>
              <w:rPr>
                <w:sz w:val="20"/>
                <w:szCs w:val="20"/>
                <w:color w:val="auto"/>
              </w:rPr>
            </w:pPr>
          </w:p>
        </w:tc>
      </w:tr>
      <w:tr>
        <w:trPr>
          <w:trHeight w:val="178"/>
        </w:trPr>
        <w:tc>
          <w:tcPr>
            <w:tcW w:w="1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ind w:left="40"/>
              <w:spacing w:after="0" w:line="177" w:lineRule="exact"/>
              <w:rPr>
                <w:sz w:val="20"/>
                <w:szCs w:val="20"/>
                <w:color w:val="auto"/>
              </w:rPr>
            </w:pPr>
            <w:r>
              <w:rPr>
                <w:rFonts w:ascii="Arial" w:cs="Arial" w:eastAsia="Arial" w:hAnsi="Arial"/>
                <w:sz w:val="18"/>
                <w:szCs w:val="18"/>
                <w:b w:val="1"/>
                <w:bCs w:val="1"/>
                <w:color w:val="auto"/>
              </w:rPr>
              <w:t>$ Increase</w:t>
            </w:r>
          </w:p>
        </w:tc>
        <w:tc>
          <w:tcPr>
            <w:tcW w:w="1080" w:type="dxa"/>
            <w:vAlign w:val="bottom"/>
          </w:tcPr>
          <w:p>
            <w:pPr>
              <w:jc w:val="right"/>
              <w:ind w:right="50"/>
              <w:spacing w:after="0" w:line="177" w:lineRule="exact"/>
              <w:rPr>
                <w:sz w:val="20"/>
                <w:szCs w:val="20"/>
                <w:color w:val="auto"/>
              </w:rPr>
            </w:pPr>
            <w:r>
              <w:rPr>
                <w:rFonts w:ascii="Arial" w:cs="Arial" w:eastAsia="Arial" w:hAnsi="Arial"/>
                <w:sz w:val="18"/>
                <w:szCs w:val="18"/>
                <w:b w:val="1"/>
                <w:bCs w:val="1"/>
                <w:color w:val="auto"/>
                <w:w w:val="97"/>
              </w:rPr>
              <w:t>% Increase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20"/>
              <w:spacing w:after="0" w:line="177" w:lineRule="exact"/>
              <w:rPr>
                <w:sz w:val="20"/>
                <w:szCs w:val="20"/>
                <w:color w:val="auto"/>
              </w:rPr>
            </w:pPr>
            <w:r>
              <w:rPr>
                <w:rFonts w:ascii="Arial" w:cs="Arial" w:eastAsia="Arial" w:hAnsi="Arial"/>
                <w:sz w:val="18"/>
                <w:szCs w:val="18"/>
                <w:b w:val="1"/>
                <w:bCs w:val="1"/>
                <w:color w:val="auto"/>
              </w:rPr>
              <w:t>$ Increase</w:t>
            </w:r>
          </w:p>
        </w:tc>
        <w:tc>
          <w:tcPr>
            <w:tcW w:w="118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rPr>
              <w:t>% Increase</w:t>
            </w:r>
          </w:p>
        </w:tc>
      </w:tr>
      <w:tr>
        <w:trPr>
          <w:trHeight w:val="234"/>
        </w:trPr>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(Decrease)</w:t>
            </w: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(Decrease)</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(Decrease)</w:t>
            </w: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(Decrease)</w:t>
            </w:r>
          </w:p>
        </w:tc>
      </w:tr>
      <w:tr>
        <w:trPr>
          <w:trHeight w:val="223"/>
        </w:trPr>
        <w:tc>
          <w:tcPr>
            <w:tcW w:w="192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Net bookings</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312"/>
        </w:trPr>
        <w:tc>
          <w:tcPr>
            <w:tcW w:w="1920" w:type="dxa"/>
            <w:vAlign w:val="bottom"/>
          </w:tcPr>
          <w:p>
            <w:pPr>
              <w:ind w:left="20"/>
              <w:spacing w:after="0"/>
              <w:rPr>
                <w:sz w:val="20"/>
                <w:szCs w:val="20"/>
                <w:color w:val="auto"/>
              </w:rPr>
            </w:pPr>
            <w:r>
              <w:rPr>
                <w:rFonts w:ascii="Arial" w:cs="Arial" w:eastAsia="Arial" w:hAnsi="Arial"/>
                <w:sz w:val="18"/>
                <w:szCs w:val="18"/>
                <w:color w:val="auto"/>
              </w:rPr>
              <w:t>In-game net bookings</w:t>
            </w:r>
            <w:r>
              <w:rPr>
                <w:rFonts w:ascii="Arial" w:cs="Arial" w:eastAsia="Arial" w:hAnsi="Arial"/>
                <w:sz w:val="23"/>
                <w:szCs w:val="23"/>
                <w:color w:val="auto"/>
                <w:vertAlign w:val="superscript"/>
              </w:rPr>
              <w:t>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1,562</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1,197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30 %</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2,851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2,208</w:t>
            </w:r>
          </w:p>
        </w:tc>
        <w:tc>
          <w:tcPr>
            <w:tcW w:w="2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643</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29 %</w:t>
            </w:r>
          </w:p>
        </w:tc>
      </w:tr>
    </w:tbl>
    <w:p>
      <w:pPr>
        <w:spacing w:after="0" w:line="245"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monitor net bookings as a key operating metric in evaluating the performance of our business because it enables an analysis of performance based on the timing of</w:t>
      </w:r>
    </w:p>
    <w:p>
      <w:pPr>
        <w:spacing w:after="0" w:line="45" w:lineRule="exact"/>
        <w:rPr>
          <w:sz w:val="20"/>
          <w:szCs w:val="20"/>
          <w:color w:val="auto"/>
        </w:rPr>
      </w:pPr>
    </w:p>
    <w:p>
      <w:pPr>
        <w:jc w:val="both"/>
        <w:ind w:left="340" w:right="100"/>
        <w:spacing w:after="0" w:line="252" w:lineRule="auto"/>
        <w:rPr>
          <w:sz w:val="20"/>
          <w:szCs w:val="20"/>
          <w:color w:val="auto"/>
        </w:rPr>
      </w:pPr>
      <w:r>
        <w:rPr>
          <w:rFonts w:ascii="Arial" w:cs="Arial" w:eastAsia="Arial" w:hAnsi="Arial"/>
          <w:sz w:val="16"/>
          <w:szCs w:val="16"/>
          <w:color w:val="auto"/>
        </w:rPr>
        <w:t>actual transactions with our customers and provides more timely indications of trends in our operating results. Net bookings is the net amount of products and services sold digitally or sold-in physically in the period, and includes license fees, merchandise, and publisher incentives, among others. Net bookings is equal to net revenues excluding the impact from deferrals.</w:t>
      </w:r>
    </w:p>
    <w:p>
      <w:pPr>
        <w:spacing w:after="0" w:line="1" w:lineRule="exact"/>
        <w:rPr>
          <w:sz w:val="20"/>
          <w:szCs w:val="20"/>
          <w:color w:val="auto"/>
        </w:rPr>
      </w:pPr>
    </w:p>
    <w:p>
      <w:pPr>
        <w:ind w:left="340" w:right="240" w:hanging="332"/>
        <w:spacing w:after="0" w:line="270"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In-game net bookings primarily includes the net amount of downloadable content and microtransactions sold during the period, and is equal to in-game net revenues excluding the impact from deferrals.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Monthly Active Users</w:t>
            </w:r>
            <w:r>
              <w:rPr>
                <w:rFonts w:ascii="Arial" w:cs="Arial" w:eastAsia="Arial" w:hAnsi="Arial"/>
                <w:sz w:val="23"/>
                <w:szCs w:val="23"/>
                <w:b w:val="1"/>
                <w:bCs w:val="1"/>
                <w:color w:val="auto"/>
                <w:vertAlign w:val="superscript"/>
              </w:rPr>
              <w:t>3</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6"/>
        </w:trPr>
        <w:tc>
          <w:tcPr>
            <w:tcW w:w="40" w:type="dxa"/>
            <w:vAlign w:val="bottom"/>
          </w:tcPr>
          <w:p>
            <w:pPr>
              <w:spacing w:after="0"/>
              <w:rPr>
                <w:sz w:val="23"/>
                <w:szCs w:val="23"/>
                <w:color w:val="auto"/>
              </w:rPr>
            </w:pPr>
          </w:p>
        </w:tc>
        <w:tc>
          <w:tcPr>
            <w:tcW w:w="1960" w:type="dxa"/>
            <w:vAlign w:val="bottom"/>
            <w:tcBorders>
              <w:bottom w:val="single" w:sz="8" w:color="CCEEFF"/>
            </w:tcBorders>
          </w:tcPr>
          <w:p>
            <w:pPr>
              <w:spacing w:after="0"/>
              <w:rPr>
                <w:sz w:val="23"/>
                <w:szCs w:val="23"/>
                <w:color w:val="auto"/>
              </w:rPr>
            </w:pP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June 30, 2022</w:t>
            </w:r>
          </w:p>
        </w:tc>
        <w:tc>
          <w:tcPr>
            <w:tcW w:w="100" w:type="dxa"/>
            <w:vAlign w:val="bottom"/>
            <w:tcBorders>
              <w:bottom w:val="single" w:sz="8" w:color="CCEEFF"/>
            </w:tcBorders>
          </w:tcPr>
          <w:p>
            <w:pPr>
              <w:spacing w:after="0"/>
              <w:rPr>
                <w:sz w:val="23"/>
                <w:szCs w:val="23"/>
                <w:color w:val="auto"/>
              </w:rPr>
            </w:pPr>
          </w:p>
        </w:tc>
        <w:tc>
          <w:tcPr>
            <w:tcW w:w="1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September 30, 2022</w:t>
            </w:r>
          </w:p>
        </w:tc>
        <w:tc>
          <w:tcPr>
            <w:tcW w:w="100" w:type="dxa"/>
            <w:vAlign w:val="bottom"/>
            <w:tcBorders>
              <w:bottom w:val="single" w:sz="8" w:color="CCEEFF"/>
            </w:tcBorders>
          </w:tcPr>
          <w:p>
            <w:pPr>
              <w:spacing w:after="0"/>
              <w:rPr>
                <w:sz w:val="23"/>
                <w:szCs w:val="23"/>
                <w:color w:val="auto"/>
              </w:rPr>
            </w:pPr>
          </w:p>
        </w:tc>
        <w:tc>
          <w:tcPr>
            <w:tcW w:w="1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December 31, 2022</w:t>
            </w:r>
          </w:p>
        </w:tc>
        <w:tc>
          <w:tcPr>
            <w:tcW w:w="100" w:type="dxa"/>
            <w:vAlign w:val="bottom"/>
            <w:tcBorders>
              <w:bottom w:val="single" w:sz="8" w:color="CCEEFF"/>
            </w:tcBorders>
          </w:tcPr>
          <w:p>
            <w:pPr>
              <w:spacing w:after="0"/>
              <w:rPr>
                <w:sz w:val="23"/>
                <w:szCs w:val="23"/>
                <w:color w:val="auto"/>
              </w:rPr>
            </w:pPr>
          </w:p>
        </w:tc>
        <w:tc>
          <w:tcPr>
            <w:tcW w:w="1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March 31, 2023</w:t>
            </w:r>
          </w:p>
        </w:tc>
        <w:tc>
          <w:tcPr>
            <w:tcW w:w="8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June 30, 2023</w:t>
            </w:r>
          </w:p>
        </w:tc>
      </w:tr>
      <w:tr>
        <w:trPr>
          <w:trHeight w:val="229"/>
        </w:trPr>
        <w:tc>
          <w:tcPr>
            <w:tcW w:w="40" w:type="dxa"/>
            <w:vAlign w:val="bottom"/>
          </w:tcPr>
          <w:p>
            <w:pPr>
              <w:spacing w:after="0"/>
              <w:rPr>
                <w:sz w:val="19"/>
                <w:szCs w:val="19"/>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Activision</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40" w:type="dxa"/>
            <w:vAlign w:val="bottom"/>
          </w:tcPr>
          <w:p>
            <w:pPr>
              <w:spacing w:after="0"/>
              <w:rPr>
                <w:sz w:val="19"/>
                <w:szCs w:val="19"/>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Blizzard</w:t>
            </w:r>
          </w:p>
        </w:tc>
        <w:tc>
          <w:tcPr>
            <w:tcW w:w="1520" w:type="dxa"/>
            <w:vAlign w:val="bottom"/>
          </w:tcPr>
          <w:p>
            <w:pPr>
              <w:jc w:val="right"/>
              <w:spacing w:after="0"/>
              <w:rPr>
                <w:sz w:val="20"/>
                <w:szCs w:val="20"/>
                <w:color w:val="auto"/>
              </w:rPr>
            </w:pPr>
            <w:r>
              <w:rPr>
                <w:rFonts w:ascii="Arial" w:cs="Arial" w:eastAsia="Arial" w:hAnsi="Arial"/>
                <w:sz w:val="18"/>
                <w:szCs w:val="18"/>
                <w:color w:val="auto"/>
              </w:rPr>
              <w:t>27</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0" w:type="dxa"/>
            <w:vAlign w:val="bottom"/>
          </w:tcPr>
          <w:p>
            <w:pPr>
              <w:spacing w:after="0"/>
              <w:rPr>
                <w:sz w:val="21"/>
                <w:szCs w:val="21"/>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King</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23"/>
        </w:trPr>
        <w:tc>
          <w:tcPr>
            <w:tcW w:w="40" w:type="dxa"/>
            <w:vAlign w:val="bottom"/>
          </w:tcPr>
          <w:p>
            <w:pPr>
              <w:spacing w:after="0"/>
              <w:rPr>
                <w:sz w:val="19"/>
                <w:szCs w:val="19"/>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Total MAUs</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r>
      <w:tr>
        <w:trPr>
          <w:trHeight w:val="20"/>
        </w:trPr>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340" w:right="20" w:hanging="332"/>
        <w:spacing w:after="0" w:line="257"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monitor monthly active users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 In certain instances, we rely on third parties to publish our games. In these instances, MAU data is based on information provided to us by those third parties, or, if final data is not available, reasonable estimates of MAUs for these third-party published games.</w:t>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sectPr>
      <w:pgSz w:w="11900" w:h="16838" w:orient="portrait"/>
      <w:cols w:equalWidth="0" w:num="1">
        <w:col w:w="11240"/>
      </w:cols>
      <w:pgMar w:left="320" w:top="12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bullet"/>
      <w:start w:val="1"/>
    </w:lvl>
  </w:abstractNum>
  <w:abstractNum w:abstractNumId="7">
    <w:nsid w:val="8EDBDAB"/>
    <w:multiLevelType w:val="hybridMultilevel"/>
    <w:lvl w:ilvl="0">
      <w:lvlJc w:val="left"/>
      <w:lvlText w:val="2"/>
      <w:numFmt w:val="bullet"/>
      <w:start w:val="1"/>
    </w:lvl>
  </w:abstractNum>
  <w:abstractNum w:abstractNumId="8">
    <w:nsid w:val="79838CB2"/>
    <w:multiLevelType w:val="hybridMultilevel"/>
    <w:lvl w:ilvl="0">
      <w:lvlJc w:val="left"/>
      <w:lvlText w:val="A"/>
      <w:numFmt w:val="bullet"/>
      <w:start w:val="1"/>
    </w:lvl>
  </w:abstractNum>
  <w:abstractNum w:abstractNumId="9">
    <w:nsid w:val="4353D0CD"/>
    <w:multiLevelType w:val="hybridMultilevel"/>
    <w:lvl w:ilvl="0">
      <w:lvlJc w:val="left"/>
      <w:lvlText w:val="B"/>
      <w:numFmt w:val="bullet"/>
      <w:start w:val="1"/>
    </w:lvl>
  </w:abstractNum>
  <w:abstractNum w:abstractNumId="10">
    <w:nsid w:val="B03E0C6"/>
    <w:multiLevelType w:val="hybridMultilevel"/>
    <w:lvl w:ilvl="0">
      <w:lvlJc w:val="left"/>
      <w:lvlText w:val="C"/>
      <w:numFmt w:val="bullet"/>
      <w:start w:val="1"/>
    </w:lvl>
  </w:abstractNum>
  <w:abstractNum w:abstractNumId="11">
    <w:nsid w:val="189A769B"/>
    <w:multiLevelType w:val="hybridMultilevel"/>
    <w:lvl w:ilvl="0">
      <w:lvlJc w:val="left"/>
      <w:lvlText w:val="D"/>
      <w:numFmt w:val="bullet"/>
      <w:start w:val="1"/>
    </w:lvl>
  </w:abstractNum>
  <w:abstractNum w:abstractNumId="12">
    <w:nsid w:val="54E49EB4"/>
    <w:multiLevelType w:val="hybridMultilevel"/>
    <w:lvl w:ilvl="0">
      <w:lvlJc w:val="left"/>
      <w:lvlText w:val="E"/>
      <w:numFmt w:val="bullet"/>
      <w:start w:val="1"/>
    </w:lvl>
    <w:lvl w:ilvl="1">
      <w:lvlJc w:val="left"/>
      <w:lvlText w:val="•"/>
      <w:numFmt w:val="bullet"/>
      <w:start w:val="1"/>
    </w:lvl>
  </w:abstractNum>
  <w:abstractNum w:abstractNumId="13">
    <w:nsid w:val="71F32454"/>
    <w:multiLevelType w:val="hybridMultilevel"/>
    <w:lvl w:ilvl="0">
      <w:lvlJc w:val="left"/>
      <w:lvlText w:val="F"/>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bullet"/>
      <w:start w:val="1"/>
    </w:lvl>
  </w:abstractNum>
  <w:abstractNum w:abstractNumId="16">
    <w:nsid w:val="2901D82"/>
    <w:multiLevelType w:val="hybridMultilevel"/>
    <w:lvl w:ilvl="0">
      <w:lvlJc w:val="left"/>
      <w:lvlText w:val="2"/>
      <w:numFmt w:val="bullet"/>
      <w:start w:val="1"/>
    </w:lvl>
  </w:abstractNum>
  <w:abstractNum w:abstractNumId="17">
    <w:nsid w:val="3A95F874"/>
    <w:multiLevelType w:val="hybridMultilevel"/>
    <w:lvl w:ilvl="0">
      <w:lvlJc w:val="left"/>
      <w:lvlText w:val="1"/>
      <w:numFmt w:val="bullet"/>
      <w:start w:val="1"/>
    </w:lvl>
  </w:abstractNum>
  <w:abstractNum w:abstractNumId="18">
    <w:nsid w:val="8138641"/>
    <w:multiLevelType w:val="hybridMultilevel"/>
    <w:lvl w:ilvl="0">
      <w:lvlJc w:val="left"/>
      <w:lvlText w:val="2"/>
      <w:numFmt w:val="bullet"/>
      <w:start w:val="1"/>
    </w:lvl>
  </w:abstractNum>
  <w:abstractNum w:abstractNumId="19">
    <w:nsid w:val="1E7FF521"/>
    <w:multiLevelType w:val="hybridMultilevel"/>
    <w:lvl w:ilvl="0">
      <w:lvlJc w:val="left"/>
      <w:lvlText w:val="3"/>
      <w:numFmt w:val="bullet"/>
      <w:start w:val="1"/>
    </w:lvl>
  </w:abstractNum>
  <w:abstractNum w:abstractNumId="20">
    <w:nsid w:val="7C3DBD3D"/>
    <w:multiLevelType w:val="hybridMultilevel"/>
    <w:lvl w:ilvl="0">
      <w:lvlJc w:val="left"/>
      <w:lvlText w:val="4"/>
      <w:numFmt w:val="bullet"/>
      <w:start w:val="1"/>
    </w:lvl>
  </w:abstractNum>
  <w:abstractNum w:abstractNumId="21">
    <w:nsid w:val="737B8DDC"/>
    <w:multiLevelType w:val="hybridMultilevel"/>
    <w:lvl w:ilvl="0">
      <w:lvlJc w:val="left"/>
      <w:lvlText w:val="5"/>
      <w:numFmt w:val="bullet"/>
      <w:start w:val="1"/>
    </w:lvl>
  </w:abstractNum>
  <w:abstractNum w:abstractNumId="22">
    <w:nsid w:val="6CEAF087"/>
    <w:multiLevelType w:val="hybridMultilevel"/>
    <w:lvl w:ilvl="0">
      <w:lvlJc w:val="left"/>
      <w:lvlText w:val="1"/>
      <w:numFmt w:val="bullet"/>
      <w:start w:val="1"/>
    </w:lvl>
  </w:abstractNum>
  <w:abstractNum w:abstractNumId="23">
    <w:nsid w:val="22221A70"/>
    <w:multiLevelType w:val="hybridMultilevel"/>
    <w:lvl w:ilvl="0">
      <w:lvlJc w:val="left"/>
      <w:lvlText w:val="2"/>
      <w:numFmt w:val="bullet"/>
      <w:start w:val="1"/>
    </w:lvl>
  </w:abstractNum>
  <w:abstractNum w:abstractNumId="24">
    <w:nsid w:val="4516DDE9"/>
    <w:multiLevelType w:val="hybridMultilevel"/>
    <w:lvl w:ilvl="0">
      <w:lvlJc w:val="left"/>
      <w:lvlText w:val="3"/>
      <w:numFmt w:val="bullet"/>
      <w:start w:val="1"/>
    </w:lvl>
  </w:abstractNum>
  <w:abstractNum w:abstractNumId="25">
    <w:nsid w:val="3006C83E"/>
    <w:multiLevelType w:val="hybridMultilevel"/>
    <w:lvl w:ilvl="0">
      <w:lvlJc w:val="left"/>
      <w:lvlText w:val="1"/>
      <w:numFmt w:val="bullet"/>
      <w:start w:val="1"/>
    </w:lvl>
  </w:abstractNum>
  <w:abstractNum w:abstractNumId="26">
    <w:nsid w:val="614FD4A1"/>
    <w:multiLevelType w:val="hybridMultilevel"/>
    <w:lvl w:ilvl="0">
      <w:lvlJc w:val="left"/>
      <w:lvlText w:val="2"/>
      <w:numFmt w:val="bullet"/>
      <w:start w:val="1"/>
    </w:lvl>
  </w:abstractNum>
  <w:abstractNum w:abstractNumId="27">
    <w:nsid w:val="419AC241"/>
    <w:multiLevelType w:val="hybridMultilevel"/>
    <w:lvl w:ilvl="0">
      <w:lvlJc w:val="left"/>
      <w:lvlText w:val="1"/>
      <w:numFmt w:val="bullet"/>
      <w:start w:val="1"/>
    </w:lvl>
  </w:abstractNum>
  <w:abstractNum w:abstractNumId="28">
    <w:nsid w:val="5577F8E1"/>
    <w:multiLevelType w:val="hybridMultilevel"/>
    <w:lvl w:ilvl="0">
      <w:lvlJc w:val="left"/>
      <w:lvlText w:val="2"/>
      <w:numFmt w:val="bullet"/>
      <w:start w:val="1"/>
    </w:lvl>
  </w:abstractNum>
  <w:abstractNum w:abstractNumId="29">
    <w:nsid w:val="440BADFC"/>
    <w:multiLevelType w:val="hybridMultilevel"/>
    <w:lvl w:ilvl="0">
      <w:lvlJc w:val="left"/>
      <w:lvlText w:val="1"/>
      <w:numFmt w:val="bullet"/>
      <w:start w:val="1"/>
    </w:lvl>
  </w:abstractNum>
  <w:abstractNum w:abstractNumId="30">
    <w:nsid w:val="5072367"/>
    <w:multiLevelType w:val="hybridMultilevel"/>
    <w:lvl w:ilvl="0">
      <w:lvlJc w:val="left"/>
      <w:lvlText w:val="1"/>
      <w:numFmt w:val="bullet"/>
      <w:start w:val="1"/>
    </w:lvl>
  </w:abstractNum>
  <w:abstractNum w:abstractNumId="31">
    <w:nsid w:val="3804823E"/>
    <w:multiLevelType w:val="hybridMultilevel"/>
    <w:lvl w:ilvl="0">
      <w:lvlJc w:val="left"/>
      <w:lvlText w:val="2"/>
      <w:numFmt w:val="bullet"/>
      <w:start w:val="1"/>
    </w:lvl>
  </w:abstractNum>
  <w:abstractNum w:abstractNumId="32">
    <w:nsid w:val="77465F01"/>
    <w:multiLevelType w:val="hybridMultilevel"/>
    <w:lvl w:ilvl="0">
      <w:lvlJc w:val="left"/>
      <w:lvlText w:val="1"/>
      <w:numFmt w:val="bullet"/>
      <w:start w:val="1"/>
    </w:lvl>
  </w:abstractNum>
  <w:abstractNum w:abstractNumId="33">
    <w:nsid w:val="7724C67E"/>
    <w:multiLevelType w:val="hybridMultilevel"/>
    <w:lvl w:ilvl="0">
      <w:lvlJc w:val="left"/>
      <w:lvlText w:val="2"/>
      <w:numFmt w:val="bullet"/>
      <w:start w:val="1"/>
    </w:lvl>
  </w:abstractNum>
  <w:abstractNum w:abstractNumId="34">
    <w:nsid w:val="5C482A97"/>
    <w:multiLevelType w:val="hybridMultilevel"/>
    <w:lvl w:ilvl="0">
      <w:lvlJc w:val="left"/>
      <w:lvlText w:val="3"/>
      <w:numFmt w:val="bullet"/>
      <w:start w:val="1"/>
    </w:lvl>
  </w:abstractNum>
  <w:abstractNum w:abstractNumId="35">
    <w:nsid w:val="2463B9EA"/>
    <w:multiLevelType w:val="hybridMultilevel"/>
    <w:lvl w:ilvl="0">
      <w:lvlJc w:val="left"/>
      <w:lvlText w:val="1"/>
      <w:numFmt w:val="bullet"/>
      <w:start w:val="1"/>
    </w:lvl>
  </w:abstractNum>
  <w:abstractNum w:abstractNumId="36">
    <w:nsid w:val="5E884ADC"/>
    <w:multiLevelType w:val="hybridMultilevel"/>
    <w:lvl w:ilvl="0">
      <w:lvlJc w:val="left"/>
      <w:lvlText w:val="1"/>
      <w:numFmt w:val="bullet"/>
      <w:start w:val="1"/>
    </w:lvl>
  </w:abstractNum>
  <w:abstractNum w:abstractNumId="37">
    <w:nsid w:val="51EAD36B"/>
    <w:multiLevelType w:val="hybridMultilevel"/>
    <w:lvl w:ilvl="0">
      <w:lvlJc w:val="left"/>
      <w:lvlText w:val="1"/>
      <w:numFmt w:val="bullet"/>
      <w:start w:val="1"/>
    </w:lvl>
  </w:abstractNum>
  <w:abstractNum w:abstractNumId="38">
    <w:nsid w:val="2D517796"/>
    <w:multiLevelType w:val="hybridMultilevel"/>
    <w:lvl w:ilvl="0">
      <w:lvlJc w:val="left"/>
      <w:lvlText w:val="1"/>
      <w:numFmt w:val="bullet"/>
      <w:start w:val="1"/>
    </w:lvl>
  </w:abstractNum>
  <w:abstractNum w:abstractNumId="39">
    <w:nsid w:val="580BD78F"/>
    <w:multiLevelType w:val="hybridMultilevel"/>
    <w:lvl w:ilvl="0">
      <w:lvlJc w:val="left"/>
      <w:lvlText w:val="2"/>
      <w:numFmt w:val="bullet"/>
      <w:start w:val="1"/>
    </w:lvl>
  </w:abstractNum>
  <w:abstractNum w:abstractNumId="40">
    <w:nsid w:val="153EA438"/>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hyperlink" Target="http://www.sec.gov/Archives/edgar/data/718877/000130817923000882/latvi2023_defa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2023-07-19T07:50:50Z</dcterms:created>
  <dcterms:modified xsi:type="dcterms:W3CDTF">2023-07-19T07:50:50Z</dcterms:modified>
</cp:coreProperties>
</file>