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TO § 240.13d-1(b), (c) AND (d) AND AMENDMENTS THERETO FILED</w:t>
      </w:r>
    </w:p>
    <w:p>
      <w:pPr>
        <w:jc w:val="center"/>
        <w:ind w:right="-63"/>
        <w:spacing w:after="0" w:line="230" w:lineRule="auto"/>
        <w:rPr>
          <w:sz w:val="20"/>
          <w:szCs w:val="20"/>
          <w:color w:val="auto"/>
        </w:rPr>
      </w:pPr>
      <w:r>
        <w:rPr>
          <w:rFonts w:ascii="Arial" w:cs="Arial" w:eastAsia="Arial" w:hAnsi="Arial"/>
          <w:sz w:val="22"/>
          <w:szCs w:val="22"/>
          <w:b w:val="1"/>
          <w:bCs w:val="1"/>
          <w:color w:val="auto"/>
        </w:rPr>
        <w:t>PURSUANT TO § 240.13d-2</w:t>
      </w:r>
    </w:p>
    <w:p>
      <w:pPr>
        <w:spacing w:after="0" w:line="1"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ACTIVISION BLIZZARD,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00507V109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30,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 (b)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 (c)</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 (d)</w:t>
      </w:r>
    </w:p>
    <w:p>
      <w:pPr>
        <w:spacing w:after="0" w:line="252" w:lineRule="exact"/>
        <w:rPr>
          <w:sz w:val="24"/>
          <w:szCs w:val="24"/>
          <w:color w:val="auto"/>
        </w:rPr>
      </w:pPr>
    </w:p>
    <w:p>
      <w:pPr>
        <w:ind w:left="444" w:hanging="444"/>
        <w:spacing w:after="0" w:line="308" w:lineRule="auto"/>
        <w:tabs>
          <w:tab w:leader="none" w:pos="44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80" w:type="dxa"/>
            <w:vAlign w:val="bottom"/>
            <w:gridSpan w:val="4"/>
          </w:tcPr>
          <w:p>
            <w:pPr>
              <w:jc w:val="center"/>
              <w:spacing w:after="0"/>
              <w:rPr>
                <w:sz w:val="20"/>
                <w:szCs w:val="20"/>
                <w:color w:val="auto"/>
              </w:rPr>
            </w:pPr>
            <w:r>
              <w:rPr>
                <w:rFonts w:ascii="Arial" w:cs="Arial" w:eastAsia="Arial" w:hAnsi="Arial"/>
                <w:sz w:val="18"/>
                <w:szCs w:val="18"/>
                <w:color w:val="auto"/>
                <w:w w:val="91"/>
              </w:rPr>
              <w:t>CUSIP No. 00507V109</w:t>
            </w:r>
          </w:p>
        </w:tc>
        <w:tc>
          <w:tcPr>
            <w:tcW w:w="120" w:type="dxa"/>
            <w:vAlign w:val="bottom"/>
          </w:tcPr>
          <w:p>
            <w:pPr>
              <w:spacing w:after="0"/>
              <w:rPr>
                <w:sz w:val="20"/>
                <w:szCs w:val="20"/>
                <w:color w:val="auto"/>
              </w:rPr>
            </w:pPr>
          </w:p>
        </w:tc>
        <w:tc>
          <w:tcPr>
            <w:tcW w:w="7040" w:type="dxa"/>
            <w:vAlign w:val="bottom"/>
          </w:tcPr>
          <w:p>
            <w:pPr>
              <w:ind w:left="3660"/>
              <w:spacing w:after="0"/>
              <w:rPr>
                <w:sz w:val="20"/>
                <w:szCs w:val="20"/>
                <w:color w:val="auto"/>
              </w:rPr>
            </w:pPr>
            <w:r>
              <w:rPr>
                <w:rFonts w:ascii="Arial" w:cs="Arial" w:eastAsia="Arial" w:hAnsi="Arial"/>
                <w:sz w:val="18"/>
                <w:szCs w:val="18"/>
                <w:color w:val="auto"/>
              </w:rPr>
              <w:t>13G</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w w:val="85"/>
              </w:rPr>
              <w:t>Page 2 of 12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Warren E. Buffett</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8160" w:type="dxa"/>
            <w:vAlign w:val="bottom"/>
            <w:gridSpan w:val="4"/>
          </w:tcPr>
          <w:p>
            <w:pPr>
              <w:ind w:left="2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716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704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United States Citizen</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240" w:type="dxa"/>
            <w:vAlign w:val="bottom"/>
            <w:tcBorders>
              <w:right w:val="single" w:sz="8" w:color="auto"/>
            </w:tcBorders>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14,658,121 shares of Common Stock</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7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14,658,121 shares of Common Stock</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14,658,121 shares of Common Stock</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160" w:type="dxa"/>
            <w:vAlign w:val="bottom"/>
            <w:gridSpan w:val="4"/>
          </w:tcPr>
          <w:p>
            <w:pPr>
              <w:ind w:left="2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Not Applicable.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0"/>
                <w:szCs w:val="20"/>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0"/>
        </w:trPr>
        <w:tc>
          <w:tcPr>
            <w:tcW w:w="1780" w:type="dxa"/>
            <w:vAlign w:val="bottom"/>
            <w:gridSpan w:val="5"/>
          </w:tcPr>
          <w:p>
            <w:pPr>
              <w:jc w:val="center"/>
              <w:spacing w:after="0"/>
              <w:rPr>
                <w:sz w:val="20"/>
                <w:szCs w:val="20"/>
                <w:color w:val="auto"/>
              </w:rPr>
            </w:pPr>
            <w:r>
              <w:rPr>
                <w:rFonts w:ascii="Arial" w:cs="Arial" w:eastAsia="Arial" w:hAnsi="Arial"/>
                <w:sz w:val="18"/>
                <w:szCs w:val="18"/>
                <w:color w:val="auto"/>
                <w:w w:val="91"/>
              </w:rPr>
              <w:t>CUSIP No. 00507V109</w:t>
            </w:r>
          </w:p>
        </w:tc>
        <w:tc>
          <w:tcPr>
            <w:tcW w:w="120" w:type="dxa"/>
            <w:vAlign w:val="bottom"/>
          </w:tcPr>
          <w:p>
            <w:pPr>
              <w:spacing w:after="0"/>
              <w:rPr>
                <w:sz w:val="20"/>
                <w:szCs w:val="20"/>
                <w:color w:val="auto"/>
              </w:rPr>
            </w:pPr>
          </w:p>
        </w:tc>
        <w:tc>
          <w:tcPr>
            <w:tcW w:w="7040" w:type="dxa"/>
            <w:vAlign w:val="bottom"/>
          </w:tcPr>
          <w:p>
            <w:pPr>
              <w:ind w:left="3660"/>
              <w:spacing w:after="0"/>
              <w:rPr>
                <w:sz w:val="20"/>
                <w:szCs w:val="20"/>
                <w:color w:val="auto"/>
              </w:rPr>
            </w:pPr>
            <w:r>
              <w:rPr>
                <w:rFonts w:ascii="Arial" w:cs="Arial" w:eastAsia="Arial" w:hAnsi="Arial"/>
                <w:sz w:val="18"/>
                <w:szCs w:val="18"/>
                <w:color w:val="auto"/>
              </w:rPr>
              <w:t>13G</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w w:val="85"/>
              </w:rPr>
              <w:t>Page 3 of 12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3"/>
          </w:tcPr>
          <w:p>
            <w:pPr>
              <w:spacing w:after="0"/>
              <w:rPr>
                <w:sz w:val="12"/>
                <w:szCs w:val="12"/>
                <w:color w:val="auto"/>
              </w:rPr>
            </w:pPr>
          </w:p>
        </w:tc>
        <w:tc>
          <w:tcPr>
            <w:tcW w:w="7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Berkshire Hathaway Inc.</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8160" w:type="dxa"/>
            <w:vAlign w:val="bottom"/>
            <w:gridSpan w:val="5"/>
          </w:tcPr>
          <w:p>
            <w:pPr>
              <w:ind w:left="2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6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4"/>
                <w:szCs w:val="24"/>
                <w:color w:val="auto"/>
              </w:rPr>
            </w:pPr>
          </w:p>
        </w:tc>
        <w:tc>
          <w:tcPr>
            <w:tcW w:w="716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3"/>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3"/>
          </w:tcPr>
          <w:p>
            <w:pPr>
              <w:spacing w:after="0"/>
              <w:rPr>
                <w:sz w:val="21"/>
                <w:szCs w:val="21"/>
                <w:color w:val="auto"/>
              </w:rPr>
            </w:pPr>
          </w:p>
        </w:tc>
        <w:tc>
          <w:tcPr>
            <w:tcW w:w="704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State of Delaware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240" w:type="dxa"/>
            <w:vAlign w:val="bottom"/>
            <w:tcBorders>
              <w:right w:val="single" w:sz="8" w:color="auto"/>
            </w:tcBorders>
            <w:gridSpan w:val="2"/>
            <w:vMerge w:val="continue"/>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rPr>
              <w:t>BENEFICIALLY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14,658,121 shares of Common Stock</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7</w:t>
            </w:r>
          </w:p>
        </w:tc>
        <w:tc>
          <w:tcPr>
            <w:tcW w:w="120" w:type="dxa"/>
            <w:vAlign w:val="bottom"/>
            <w:tcBorders>
              <w:right w:val="single" w:sz="8" w:color="auto"/>
            </w:tcBorders>
          </w:tcPr>
          <w:p>
            <w:pPr>
              <w:spacing w:after="0"/>
              <w:rPr>
                <w:sz w:val="15"/>
                <w:szCs w:val="15"/>
                <w:color w:val="auto"/>
              </w:rPr>
            </w:pPr>
          </w:p>
        </w:tc>
        <w:tc>
          <w:tcPr>
            <w:tcW w:w="7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8</w:t>
            </w:r>
          </w:p>
        </w:tc>
        <w:tc>
          <w:tcPr>
            <w:tcW w:w="120" w:type="dxa"/>
            <w:vAlign w:val="bottom"/>
            <w:tcBorders>
              <w:right w:val="single" w:sz="8" w:color="auto"/>
            </w:tcBorders>
          </w:tcPr>
          <w:p>
            <w:pPr>
              <w:spacing w:after="0"/>
              <w:rPr>
                <w:sz w:val="12"/>
                <w:szCs w:val="1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14,658,121 shares of Common Stock</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3"/>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14,658,121 shares of Common Stock</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160" w:type="dxa"/>
            <w:vAlign w:val="bottom"/>
            <w:gridSpan w:val="5"/>
          </w:tcPr>
          <w:p>
            <w:pPr>
              <w:ind w:left="2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Not applicable.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0"/>
                <w:szCs w:val="20"/>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5"/>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98"/>
              </w:rPr>
              <w:t>HC, CO</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1780" w:type="dxa"/>
            <w:vAlign w:val="bottom"/>
            <w:gridSpan w:val="4"/>
          </w:tcPr>
          <w:p>
            <w:pPr>
              <w:jc w:val="center"/>
              <w:spacing w:after="0"/>
              <w:rPr>
                <w:sz w:val="20"/>
                <w:szCs w:val="20"/>
                <w:color w:val="auto"/>
              </w:rPr>
            </w:pPr>
            <w:r>
              <w:rPr>
                <w:rFonts w:ascii="Arial" w:cs="Arial" w:eastAsia="Arial" w:hAnsi="Arial"/>
                <w:sz w:val="18"/>
                <w:szCs w:val="18"/>
                <w:color w:val="auto"/>
                <w:w w:val="91"/>
              </w:rPr>
              <w:t>CUSIP No. 00507V109</w:t>
            </w:r>
          </w:p>
        </w:tc>
        <w:tc>
          <w:tcPr>
            <w:tcW w:w="120" w:type="dxa"/>
            <w:vAlign w:val="bottom"/>
          </w:tcPr>
          <w:p>
            <w:pPr>
              <w:spacing w:after="0"/>
              <w:rPr>
                <w:sz w:val="20"/>
                <w:szCs w:val="20"/>
                <w:color w:val="auto"/>
              </w:rPr>
            </w:pPr>
          </w:p>
        </w:tc>
        <w:tc>
          <w:tcPr>
            <w:tcW w:w="7040" w:type="dxa"/>
            <w:vAlign w:val="bottom"/>
          </w:tcPr>
          <w:p>
            <w:pPr>
              <w:ind w:left="3660"/>
              <w:spacing w:after="0"/>
              <w:rPr>
                <w:sz w:val="20"/>
                <w:szCs w:val="20"/>
                <w:color w:val="auto"/>
              </w:rPr>
            </w:pPr>
            <w:r>
              <w:rPr>
                <w:rFonts w:ascii="Arial" w:cs="Arial" w:eastAsia="Arial" w:hAnsi="Arial"/>
                <w:sz w:val="18"/>
                <w:szCs w:val="18"/>
                <w:color w:val="auto"/>
              </w:rPr>
              <w:t>13G</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w w:val="85"/>
              </w:rPr>
              <w:t>Page 4 of 12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National Indemnity Company</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8160" w:type="dxa"/>
            <w:vAlign w:val="bottom"/>
            <w:gridSpan w:val="4"/>
          </w:tcPr>
          <w:p>
            <w:pPr>
              <w:ind w:left="2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716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704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State of Nebraska</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240" w:type="dxa"/>
            <w:vAlign w:val="bottom"/>
            <w:tcBorders>
              <w:right w:val="single" w:sz="8" w:color="auto"/>
            </w:tcBorders>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12,304,470 shares of Common Stock</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7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12,304,470 shares of Common Stock</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12,304,470 shares of Common Stock</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160" w:type="dxa"/>
            <w:vAlign w:val="bottom"/>
            <w:gridSpan w:val="4"/>
          </w:tcPr>
          <w:p>
            <w:pPr>
              <w:ind w:left="2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Not applicable.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0"/>
                <w:szCs w:val="20"/>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IC, CO</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1780" w:type="dxa"/>
            <w:vAlign w:val="bottom"/>
            <w:gridSpan w:val="4"/>
          </w:tcPr>
          <w:p>
            <w:pPr>
              <w:jc w:val="center"/>
              <w:spacing w:after="0"/>
              <w:rPr>
                <w:sz w:val="20"/>
                <w:szCs w:val="20"/>
                <w:color w:val="auto"/>
              </w:rPr>
            </w:pPr>
            <w:r>
              <w:rPr>
                <w:rFonts w:ascii="Arial" w:cs="Arial" w:eastAsia="Arial" w:hAnsi="Arial"/>
                <w:sz w:val="18"/>
                <w:szCs w:val="18"/>
                <w:color w:val="auto"/>
                <w:w w:val="91"/>
              </w:rPr>
              <w:t>CUSIP No. 00507V109</w:t>
            </w:r>
          </w:p>
        </w:tc>
        <w:tc>
          <w:tcPr>
            <w:tcW w:w="120" w:type="dxa"/>
            <w:vAlign w:val="bottom"/>
          </w:tcPr>
          <w:p>
            <w:pPr>
              <w:spacing w:after="0"/>
              <w:rPr>
                <w:sz w:val="20"/>
                <w:szCs w:val="20"/>
                <w:color w:val="auto"/>
              </w:rPr>
            </w:pPr>
          </w:p>
        </w:tc>
        <w:tc>
          <w:tcPr>
            <w:tcW w:w="7040" w:type="dxa"/>
            <w:vAlign w:val="bottom"/>
          </w:tcPr>
          <w:p>
            <w:pPr>
              <w:ind w:left="3660"/>
              <w:spacing w:after="0"/>
              <w:rPr>
                <w:sz w:val="20"/>
                <w:szCs w:val="20"/>
                <w:color w:val="auto"/>
              </w:rPr>
            </w:pPr>
            <w:r>
              <w:rPr>
                <w:rFonts w:ascii="Arial" w:cs="Arial" w:eastAsia="Arial" w:hAnsi="Arial"/>
                <w:sz w:val="18"/>
                <w:szCs w:val="18"/>
                <w:color w:val="auto"/>
              </w:rPr>
              <w:t>13G</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w w:val="85"/>
              </w:rPr>
              <w:t>Page 5 of 12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Berkshire Hathaway International Insurance Ltd.</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8160" w:type="dxa"/>
            <w:vAlign w:val="bottom"/>
            <w:gridSpan w:val="4"/>
          </w:tcPr>
          <w:p>
            <w:pPr>
              <w:ind w:left="2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716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704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United Kingdom</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240" w:type="dxa"/>
            <w:vAlign w:val="bottom"/>
            <w:tcBorders>
              <w:right w:val="single" w:sz="8" w:color="auto"/>
            </w:tcBorders>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368,000 shares of Common Stock</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7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368,000 shares of Common Stock</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368,000 shares of Common Stock</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160" w:type="dxa"/>
            <w:vAlign w:val="bottom"/>
            <w:gridSpan w:val="4"/>
          </w:tcPr>
          <w:p>
            <w:pPr>
              <w:ind w:left="2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Not applicable.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0"/>
                <w:szCs w:val="20"/>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Less than 0.1%</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IC, CO</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0"/>
        </w:trPr>
        <w:tc>
          <w:tcPr>
            <w:tcW w:w="1780" w:type="dxa"/>
            <w:vAlign w:val="bottom"/>
            <w:gridSpan w:val="4"/>
          </w:tcPr>
          <w:p>
            <w:pPr>
              <w:jc w:val="center"/>
              <w:spacing w:after="0"/>
              <w:rPr>
                <w:sz w:val="20"/>
                <w:szCs w:val="20"/>
                <w:color w:val="auto"/>
              </w:rPr>
            </w:pPr>
            <w:r>
              <w:rPr>
                <w:rFonts w:ascii="Arial" w:cs="Arial" w:eastAsia="Arial" w:hAnsi="Arial"/>
                <w:sz w:val="18"/>
                <w:szCs w:val="18"/>
                <w:color w:val="auto"/>
                <w:w w:val="91"/>
              </w:rPr>
              <w:t>CUSIP No. 00507V109</w:t>
            </w:r>
          </w:p>
        </w:tc>
        <w:tc>
          <w:tcPr>
            <w:tcW w:w="120" w:type="dxa"/>
            <w:vAlign w:val="bottom"/>
          </w:tcPr>
          <w:p>
            <w:pPr>
              <w:spacing w:after="0"/>
              <w:rPr>
                <w:sz w:val="20"/>
                <w:szCs w:val="20"/>
                <w:color w:val="auto"/>
              </w:rPr>
            </w:pPr>
          </w:p>
        </w:tc>
        <w:tc>
          <w:tcPr>
            <w:tcW w:w="7040" w:type="dxa"/>
            <w:vAlign w:val="bottom"/>
          </w:tcPr>
          <w:p>
            <w:pPr>
              <w:ind w:left="3660"/>
              <w:spacing w:after="0"/>
              <w:rPr>
                <w:sz w:val="20"/>
                <w:szCs w:val="20"/>
                <w:color w:val="auto"/>
              </w:rPr>
            </w:pPr>
            <w:r>
              <w:rPr>
                <w:rFonts w:ascii="Arial" w:cs="Arial" w:eastAsia="Arial" w:hAnsi="Arial"/>
                <w:sz w:val="18"/>
                <w:szCs w:val="18"/>
                <w:color w:val="auto"/>
              </w:rPr>
              <w:t>13G</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w w:val="85"/>
              </w:rPr>
              <w:t>Page 6 of 12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Mount Vernon Fire Insurance Company</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8160" w:type="dxa"/>
            <w:vAlign w:val="bottom"/>
            <w:gridSpan w:val="4"/>
          </w:tcPr>
          <w:p>
            <w:pPr>
              <w:ind w:left="2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716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704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State of Nebraska</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240" w:type="dxa"/>
            <w:vAlign w:val="bottom"/>
            <w:tcBorders>
              <w:right w:val="single" w:sz="8" w:color="auto"/>
            </w:tcBorders>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68,979 shares of Common Stock</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7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68,979 shares of Common Stock</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68,979 shares of Common Stock</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160" w:type="dxa"/>
            <w:vAlign w:val="bottom"/>
            <w:gridSpan w:val="4"/>
          </w:tcPr>
          <w:p>
            <w:pPr>
              <w:ind w:left="2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Not applicable.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0"/>
                <w:szCs w:val="20"/>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Less than 0.1%</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IC, CO</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0"/>
        </w:trPr>
        <w:tc>
          <w:tcPr>
            <w:tcW w:w="1780" w:type="dxa"/>
            <w:vAlign w:val="bottom"/>
            <w:gridSpan w:val="4"/>
          </w:tcPr>
          <w:p>
            <w:pPr>
              <w:jc w:val="center"/>
              <w:spacing w:after="0"/>
              <w:rPr>
                <w:sz w:val="20"/>
                <w:szCs w:val="20"/>
                <w:color w:val="auto"/>
              </w:rPr>
            </w:pPr>
            <w:r>
              <w:rPr>
                <w:rFonts w:ascii="Arial" w:cs="Arial" w:eastAsia="Arial" w:hAnsi="Arial"/>
                <w:sz w:val="18"/>
                <w:szCs w:val="18"/>
                <w:color w:val="auto"/>
                <w:w w:val="91"/>
              </w:rPr>
              <w:t>CUSIP No. 00507V109</w:t>
            </w:r>
          </w:p>
        </w:tc>
        <w:tc>
          <w:tcPr>
            <w:tcW w:w="120" w:type="dxa"/>
            <w:vAlign w:val="bottom"/>
          </w:tcPr>
          <w:p>
            <w:pPr>
              <w:spacing w:after="0"/>
              <w:rPr>
                <w:sz w:val="20"/>
                <w:szCs w:val="20"/>
                <w:color w:val="auto"/>
              </w:rPr>
            </w:pPr>
          </w:p>
        </w:tc>
        <w:tc>
          <w:tcPr>
            <w:tcW w:w="7040" w:type="dxa"/>
            <w:vAlign w:val="bottom"/>
          </w:tcPr>
          <w:p>
            <w:pPr>
              <w:ind w:left="3660"/>
              <w:spacing w:after="0"/>
              <w:rPr>
                <w:sz w:val="20"/>
                <w:szCs w:val="20"/>
                <w:color w:val="auto"/>
              </w:rPr>
            </w:pPr>
            <w:r>
              <w:rPr>
                <w:rFonts w:ascii="Arial" w:cs="Arial" w:eastAsia="Arial" w:hAnsi="Arial"/>
                <w:sz w:val="18"/>
                <w:szCs w:val="18"/>
                <w:color w:val="auto"/>
              </w:rPr>
              <w:t>13G</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w w:val="85"/>
              </w:rPr>
              <w:t>Page 7 of 12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National Fire &amp; Marine Insurance Company</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8160" w:type="dxa"/>
            <w:vAlign w:val="bottom"/>
            <w:gridSpan w:val="4"/>
          </w:tcPr>
          <w:p>
            <w:pPr>
              <w:ind w:left="2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716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704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State of Nebraska</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240" w:type="dxa"/>
            <w:vAlign w:val="bottom"/>
            <w:tcBorders>
              <w:right w:val="single" w:sz="8" w:color="auto"/>
            </w:tcBorders>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1,144,672 shares of Common Stock</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7"/>
              </w:rPr>
              <w:t>OWNED BY</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40" w:type="dxa"/>
            <w:vAlign w:val="bottom"/>
            <w:tcBorders>
              <w:right w:val="single" w:sz="8" w:color="auto"/>
            </w:tcBorders>
            <w:gridSpan w:val="2"/>
          </w:tcPr>
          <w:p>
            <w:pPr>
              <w:jc w:val="center"/>
              <w:ind w:right="110"/>
              <w:spacing w:after="0" w:line="182" w:lineRule="exact"/>
              <w:rPr>
                <w:sz w:val="20"/>
                <w:szCs w:val="20"/>
                <w:color w:val="auto"/>
              </w:rPr>
            </w:pPr>
            <w:r>
              <w:rPr>
                <w:rFonts w:ascii="Arial" w:cs="Arial" w:eastAsia="Arial" w:hAnsi="Arial"/>
                <w:sz w:val="18"/>
                <w:szCs w:val="18"/>
                <w:color w:val="auto"/>
                <w:w w:val="95"/>
              </w:rPr>
              <w:t>EACH</w:t>
            </w: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7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4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1,144,672 shares of Common Stock</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1,144,672 shares of Common Stock</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160" w:type="dxa"/>
            <w:vAlign w:val="bottom"/>
            <w:gridSpan w:val="4"/>
          </w:tcPr>
          <w:p>
            <w:pPr>
              <w:ind w:left="2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Not applicable.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0"/>
                <w:szCs w:val="20"/>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19"/>
                <w:szCs w:val="19"/>
                <w:color w:val="auto"/>
              </w:rPr>
            </w:pPr>
          </w:p>
        </w:tc>
        <w:tc>
          <w:tcPr>
            <w:tcW w:w="8160" w:type="dxa"/>
            <w:vAlign w:val="bottom"/>
            <w:gridSpan w:val="4"/>
          </w:tcPr>
          <w:p>
            <w:pPr>
              <w:ind w:left="22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IC, CO</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0"/>
        </w:trPr>
        <w:tc>
          <w:tcPr>
            <w:tcW w:w="1780" w:type="dxa"/>
            <w:vAlign w:val="bottom"/>
            <w:gridSpan w:val="5"/>
          </w:tcPr>
          <w:p>
            <w:pPr>
              <w:jc w:val="center"/>
              <w:spacing w:after="0"/>
              <w:rPr>
                <w:sz w:val="20"/>
                <w:szCs w:val="20"/>
                <w:color w:val="auto"/>
              </w:rPr>
            </w:pPr>
            <w:r>
              <w:rPr>
                <w:rFonts w:ascii="Arial" w:cs="Arial" w:eastAsia="Arial" w:hAnsi="Arial"/>
                <w:sz w:val="18"/>
                <w:szCs w:val="18"/>
                <w:color w:val="auto"/>
                <w:w w:val="91"/>
              </w:rPr>
              <w:t>CUSIP No. 00507V109</w:t>
            </w:r>
          </w:p>
        </w:tc>
        <w:tc>
          <w:tcPr>
            <w:tcW w:w="120" w:type="dxa"/>
            <w:vAlign w:val="bottom"/>
          </w:tcPr>
          <w:p>
            <w:pPr>
              <w:spacing w:after="0"/>
              <w:rPr>
                <w:sz w:val="20"/>
                <w:szCs w:val="20"/>
                <w:color w:val="auto"/>
              </w:rPr>
            </w:pPr>
          </w:p>
        </w:tc>
        <w:tc>
          <w:tcPr>
            <w:tcW w:w="7040" w:type="dxa"/>
            <w:vAlign w:val="bottom"/>
          </w:tcPr>
          <w:p>
            <w:pPr>
              <w:ind w:left="3660"/>
              <w:spacing w:after="0"/>
              <w:rPr>
                <w:sz w:val="20"/>
                <w:szCs w:val="20"/>
                <w:color w:val="auto"/>
              </w:rPr>
            </w:pPr>
            <w:r>
              <w:rPr>
                <w:rFonts w:ascii="Arial" w:cs="Arial" w:eastAsia="Arial" w:hAnsi="Arial"/>
                <w:sz w:val="18"/>
                <w:szCs w:val="18"/>
                <w:color w:val="auto"/>
              </w:rPr>
              <w:t>13G</w:t>
            </w:r>
          </w:p>
        </w:tc>
        <w:tc>
          <w:tcPr>
            <w:tcW w:w="2080" w:type="dxa"/>
            <w:vAlign w:val="bottom"/>
            <w:gridSpan w:val="2"/>
          </w:tcPr>
          <w:p>
            <w:pPr>
              <w:ind w:left="700"/>
              <w:spacing w:after="0"/>
              <w:rPr>
                <w:sz w:val="20"/>
                <w:szCs w:val="20"/>
                <w:color w:val="auto"/>
              </w:rPr>
            </w:pPr>
            <w:r>
              <w:rPr>
                <w:rFonts w:ascii="Arial" w:cs="Arial" w:eastAsia="Arial" w:hAnsi="Arial"/>
                <w:sz w:val="18"/>
                <w:szCs w:val="18"/>
                <w:color w:val="auto"/>
                <w:w w:val="85"/>
              </w:rPr>
              <w:t>Page 8 of 12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70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NRG America Holding Company</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8160" w:type="dxa"/>
            <w:vAlign w:val="bottom"/>
            <w:gridSpan w:val="5"/>
          </w:tcPr>
          <w:p>
            <w:pPr>
              <w:ind w:left="220"/>
              <w:spacing w:after="0" w:line="162"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88"/>
              </w:rPr>
              <w:t>☒</w:t>
            </w:r>
          </w:p>
        </w:tc>
        <w:tc>
          <w:tcPr>
            <w:tcW w:w="716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70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SEC USE ONLY</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7040" w:type="dxa"/>
            <w:vAlign w:val="bottom"/>
            <w:tcBorders>
              <w:bottom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State of Nebraska</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1240" w:type="dxa"/>
            <w:vAlign w:val="bottom"/>
            <w:tcBorders>
              <w:right w:val="single" w:sz="8" w:color="auto"/>
            </w:tcBorders>
            <w:gridSpan w:val="3"/>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tcBorders>
          </w:tcPr>
          <w:p>
            <w:pPr>
              <w:spacing w:after="0"/>
              <w:rPr>
                <w:sz w:val="2"/>
                <w:szCs w:val="2"/>
                <w:color w:val="auto"/>
              </w:rPr>
            </w:pPr>
          </w:p>
        </w:tc>
        <w:tc>
          <w:tcPr>
            <w:tcW w:w="1240" w:type="dxa"/>
            <w:vAlign w:val="bottom"/>
            <w:tcBorders>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9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SHARES</w:t>
            </w:r>
          </w:p>
        </w:tc>
        <w:tc>
          <w:tcPr>
            <w:tcW w:w="30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772,000 shares of Common Stock</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4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7"/>
              </w:rPr>
              <w:t>OWNED BY</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40" w:type="dxa"/>
            <w:vAlign w:val="bottom"/>
            <w:tcBorders>
              <w:bottom w:val="single" w:sz="8" w:color="auto"/>
            </w:tcBorders>
            <w:vMerge w:val="continue"/>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94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5"/>
              </w:rPr>
              <w:t>EACH</w:t>
            </w:r>
          </w:p>
        </w:tc>
        <w:tc>
          <w:tcPr>
            <w:tcW w:w="30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7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4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9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PERSON</w:t>
            </w:r>
          </w:p>
        </w:tc>
        <w:tc>
          <w:tcPr>
            <w:tcW w:w="3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NONE</w:t>
            </w:r>
          </w:p>
        </w:tc>
        <w:tc>
          <w:tcPr>
            <w:tcW w:w="19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9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704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04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772,000 shares of Common Stock</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320" w:type="dxa"/>
            <w:vAlign w:val="bottom"/>
            <w:tcBorders>
              <w:bottom w:val="single" w:sz="8" w:color="auto"/>
              <w:right w:val="single" w:sz="8" w:color="auto"/>
            </w:tcBorders>
            <w:gridSpan w:val="2"/>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772,000 shares of Common Stock</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right w:val="single" w:sz="8" w:color="auto"/>
            </w:tcBorders>
          </w:tcPr>
          <w:p>
            <w:pPr>
              <w:spacing w:after="0"/>
              <w:rPr>
                <w:sz w:val="24"/>
                <w:szCs w:val="24"/>
                <w:color w:val="auto"/>
              </w:rPr>
            </w:pPr>
          </w:p>
        </w:tc>
        <w:tc>
          <w:tcPr>
            <w:tcW w:w="8160" w:type="dxa"/>
            <w:vAlign w:val="bottom"/>
            <w:gridSpan w:val="5"/>
          </w:tcPr>
          <w:p>
            <w:pPr>
              <w:ind w:left="22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rPr>
              <w:t>Not applicable.</w:t>
            </w: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spacing w:after="0"/>
              <w:rPr>
                <w:sz w:val="20"/>
                <w:szCs w:val="20"/>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gridSpan w:val="5"/>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spacing w:after="0"/>
              <w:rPr>
                <w:sz w:val="19"/>
                <w:szCs w:val="19"/>
                <w:color w:val="auto"/>
              </w:rPr>
            </w:pPr>
          </w:p>
        </w:tc>
        <w:tc>
          <w:tcPr>
            <w:tcW w:w="8160" w:type="dxa"/>
            <w:vAlign w:val="bottom"/>
            <w:gridSpan w:val="5"/>
          </w:tcPr>
          <w:p>
            <w:pPr>
              <w:ind w:left="22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6"/>
              </w:rPr>
              <w:t>CO</w:t>
            </w: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9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Page 9 of 12 Pages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3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8"/>
        </w:trPr>
        <w:tc>
          <w:tcPr>
            <w:tcW w:w="820" w:type="dxa"/>
            <w:vAlign w:val="bottom"/>
          </w:tcPr>
          <w:p>
            <w:pPr>
              <w:ind w:left="440"/>
              <w:spacing w:after="0"/>
              <w:rPr>
                <w:sz w:val="20"/>
                <w:szCs w:val="20"/>
                <w:color w:val="auto"/>
              </w:rPr>
            </w:pPr>
            <w:r>
              <w:rPr>
                <w:rFonts w:ascii="Arial" w:cs="Arial" w:eastAsia="Arial" w:hAnsi="Arial"/>
                <w:sz w:val="18"/>
                <w:szCs w:val="18"/>
                <w:b w:val="1"/>
                <w:bCs w:val="1"/>
                <w:color w:val="auto"/>
              </w:rPr>
              <w:t>(a)</w:t>
            </w: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Name of Issuer</w:t>
            </w:r>
          </w:p>
        </w:tc>
        <w:tc>
          <w:tcPr>
            <w:tcW w:w="3760" w:type="dxa"/>
            <w:vAlign w:val="bottom"/>
          </w:tcPr>
          <w:p>
            <w:pPr>
              <w:spacing w:after="0"/>
              <w:rPr>
                <w:sz w:val="24"/>
                <w:szCs w:val="24"/>
                <w:color w:val="auto"/>
              </w:rPr>
            </w:pPr>
          </w:p>
        </w:tc>
      </w:tr>
      <w:tr>
        <w:trPr>
          <w:trHeight w:val="324"/>
        </w:trPr>
        <w:tc>
          <w:tcPr>
            <w:tcW w:w="820" w:type="dxa"/>
            <w:vAlign w:val="bottom"/>
          </w:tcPr>
          <w:p>
            <w:pPr>
              <w:spacing w:after="0"/>
              <w:rPr>
                <w:sz w:val="24"/>
                <w:szCs w:val="24"/>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Activision Blizzard, Inc.</w:t>
            </w:r>
          </w:p>
        </w:tc>
        <w:tc>
          <w:tcPr>
            <w:tcW w:w="3760" w:type="dxa"/>
            <w:vAlign w:val="bottom"/>
          </w:tcPr>
          <w:p>
            <w:pPr>
              <w:spacing w:after="0"/>
              <w:rPr>
                <w:sz w:val="24"/>
                <w:szCs w:val="24"/>
                <w:color w:val="auto"/>
              </w:rPr>
            </w:pPr>
          </w:p>
        </w:tc>
      </w:tr>
      <w:tr>
        <w:trPr>
          <w:trHeight w:val="581"/>
        </w:trPr>
        <w:tc>
          <w:tcPr>
            <w:tcW w:w="820" w:type="dxa"/>
            <w:vAlign w:val="bottom"/>
          </w:tcPr>
          <w:p>
            <w:pPr>
              <w:ind w:left="440"/>
              <w:spacing w:after="0"/>
              <w:rPr>
                <w:sz w:val="20"/>
                <w:szCs w:val="20"/>
                <w:color w:val="auto"/>
              </w:rPr>
            </w:pPr>
            <w:r>
              <w:rPr>
                <w:rFonts w:ascii="Arial" w:cs="Arial" w:eastAsia="Arial" w:hAnsi="Arial"/>
                <w:sz w:val="18"/>
                <w:szCs w:val="18"/>
                <w:b w:val="1"/>
                <w:bCs w:val="1"/>
                <w:color w:val="auto"/>
              </w:rPr>
              <w:t>(b)</w:t>
            </w: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Address of Issuer’s Principal Executive Offices</w:t>
            </w:r>
          </w:p>
        </w:tc>
        <w:tc>
          <w:tcPr>
            <w:tcW w:w="3760" w:type="dxa"/>
            <w:vAlign w:val="bottom"/>
          </w:tcPr>
          <w:p>
            <w:pPr>
              <w:spacing w:after="0"/>
              <w:rPr>
                <w:sz w:val="24"/>
                <w:szCs w:val="24"/>
                <w:color w:val="auto"/>
              </w:rPr>
            </w:pPr>
          </w:p>
        </w:tc>
      </w:tr>
      <w:tr>
        <w:trPr>
          <w:trHeight w:val="324"/>
        </w:trPr>
        <w:tc>
          <w:tcPr>
            <w:tcW w:w="820" w:type="dxa"/>
            <w:vAlign w:val="bottom"/>
          </w:tcPr>
          <w:p>
            <w:pPr>
              <w:spacing w:after="0"/>
              <w:rPr>
                <w:sz w:val="24"/>
                <w:szCs w:val="24"/>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2701 Olympic Blvd., Santa Monica, CA 90404</w:t>
            </w:r>
          </w:p>
        </w:tc>
        <w:tc>
          <w:tcPr>
            <w:tcW w:w="3760" w:type="dxa"/>
            <w:vAlign w:val="bottom"/>
          </w:tcPr>
          <w:p>
            <w:pPr>
              <w:spacing w:after="0"/>
              <w:rPr>
                <w:sz w:val="24"/>
                <w:szCs w:val="24"/>
                <w:color w:val="auto"/>
              </w:rPr>
            </w:pP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Item 2(a). Name of Person Filing:</w:t>
            </w:r>
          </w:p>
        </w:tc>
        <w:tc>
          <w:tcPr>
            <w:tcW w:w="376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Item 2(b). Address of Principal Business Office:</w:t>
            </w:r>
          </w:p>
        </w:tc>
        <w:tc>
          <w:tcPr>
            <w:tcW w:w="3760" w:type="dxa"/>
            <w:vAlign w:val="bottom"/>
          </w:tcPr>
          <w:p>
            <w:pPr>
              <w:spacing w:after="0"/>
              <w:rPr>
                <w:sz w:val="24"/>
                <w:szCs w:val="24"/>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Item 2(c). Citizenship:</w:t>
            </w:r>
          </w:p>
        </w:tc>
        <w:tc>
          <w:tcPr>
            <w:tcW w:w="3760" w:type="dxa"/>
            <w:vAlign w:val="bottom"/>
          </w:tcPr>
          <w:p>
            <w:pPr>
              <w:spacing w:after="0"/>
              <w:rPr>
                <w:sz w:val="24"/>
                <w:szCs w:val="24"/>
                <w:color w:val="auto"/>
              </w:rPr>
            </w:pPr>
          </w:p>
        </w:tc>
      </w:tr>
      <w:tr>
        <w:trPr>
          <w:trHeight w:val="445"/>
        </w:trPr>
        <w:tc>
          <w:tcPr>
            <w:tcW w:w="5160" w:type="dxa"/>
            <w:vAlign w:val="bottom"/>
            <w:gridSpan w:val="2"/>
          </w:tcPr>
          <w:p>
            <w:pPr>
              <w:spacing w:after="0"/>
              <w:rPr>
                <w:sz w:val="20"/>
                <w:szCs w:val="20"/>
                <w:color w:val="auto"/>
              </w:rPr>
            </w:pPr>
            <w:r>
              <w:rPr>
                <w:rFonts w:ascii="Arial" w:cs="Arial" w:eastAsia="Arial" w:hAnsi="Arial"/>
                <w:sz w:val="18"/>
                <w:szCs w:val="18"/>
                <w:color w:val="auto"/>
              </w:rPr>
              <w:t>Warren E. Buffett</w:t>
            </w:r>
          </w:p>
        </w:tc>
        <w:tc>
          <w:tcPr>
            <w:tcW w:w="3760" w:type="dxa"/>
            <w:vAlign w:val="bottom"/>
          </w:tcPr>
          <w:p>
            <w:pPr>
              <w:ind w:left="560"/>
              <w:spacing w:after="0"/>
              <w:rPr>
                <w:sz w:val="20"/>
                <w:szCs w:val="20"/>
                <w:color w:val="auto"/>
              </w:rPr>
            </w:pPr>
            <w:r>
              <w:rPr>
                <w:rFonts w:ascii="Arial" w:cs="Arial" w:eastAsia="Arial" w:hAnsi="Arial"/>
                <w:sz w:val="18"/>
                <w:szCs w:val="18"/>
                <w:color w:val="auto"/>
              </w:rPr>
              <w:t>Berkshire Hathaway Inc.</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3555 Farnam Street</w:t>
            </w:r>
          </w:p>
        </w:tc>
        <w:tc>
          <w:tcPr>
            <w:tcW w:w="3760" w:type="dxa"/>
            <w:vAlign w:val="bottom"/>
          </w:tcPr>
          <w:p>
            <w:pPr>
              <w:ind w:left="560"/>
              <w:spacing w:after="0"/>
              <w:rPr>
                <w:sz w:val="20"/>
                <w:szCs w:val="20"/>
                <w:color w:val="auto"/>
              </w:rPr>
            </w:pPr>
            <w:r>
              <w:rPr>
                <w:rFonts w:ascii="Arial" w:cs="Arial" w:eastAsia="Arial" w:hAnsi="Arial"/>
                <w:sz w:val="18"/>
                <w:szCs w:val="18"/>
                <w:color w:val="auto"/>
              </w:rPr>
              <w:t>3555 Farnam Street</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Omaha, Nebraska 68131</w:t>
            </w:r>
          </w:p>
        </w:tc>
        <w:tc>
          <w:tcPr>
            <w:tcW w:w="3760" w:type="dxa"/>
            <w:vAlign w:val="bottom"/>
          </w:tcPr>
          <w:p>
            <w:pPr>
              <w:ind w:left="560"/>
              <w:spacing w:after="0"/>
              <w:rPr>
                <w:sz w:val="20"/>
                <w:szCs w:val="20"/>
                <w:color w:val="auto"/>
              </w:rPr>
            </w:pPr>
            <w:r>
              <w:rPr>
                <w:rFonts w:ascii="Arial" w:cs="Arial" w:eastAsia="Arial" w:hAnsi="Arial"/>
                <w:sz w:val="18"/>
                <w:szCs w:val="18"/>
                <w:color w:val="auto"/>
              </w:rPr>
              <w:t>Omaha, Nebraska 68131</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United States Citizen</w:t>
            </w:r>
          </w:p>
        </w:tc>
        <w:tc>
          <w:tcPr>
            <w:tcW w:w="3760" w:type="dxa"/>
            <w:vAlign w:val="bottom"/>
          </w:tcPr>
          <w:p>
            <w:pPr>
              <w:ind w:left="560"/>
              <w:spacing w:after="0"/>
              <w:rPr>
                <w:sz w:val="20"/>
                <w:szCs w:val="20"/>
                <w:color w:val="auto"/>
              </w:rPr>
            </w:pPr>
            <w:r>
              <w:rPr>
                <w:rFonts w:ascii="Arial" w:cs="Arial" w:eastAsia="Arial" w:hAnsi="Arial"/>
                <w:sz w:val="18"/>
                <w:szCs w:val="18"/>
                <w:color w:val="auto"/>
              </w:rPr>
              <w:t>Delaware corporation</w:t>
            </w: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rPr>
              <w:t>National Indemnity Company</w:t>
            </w:r>
          </w:p>
        </w:tc>
        <w:tc>
          <w:tcPr>
            <w:tcW w:w="3760" w:type="dxa"/>
            <w:vAlign w:val="bottom"/>
          </w:tcPr>
          <w:p>
            <w:pPr>
              <w:ind w:left="560"/>
              <w:spacing w:after="0"/>
              <w:rPr>
                <w:sz w:val="20"/>
                <w:szCs w:val="20"/>
                <w:color w:val="auto"/>
              </w:rPr>
            </w:pPr>
            <w:r>
              <w:rPr>
                <w:rFonts w:ascii="Arial" w:cs="Arial" w:eastAsia="Arial" w:hAnsi="Arial"/>
                <w:sz w:val="18"/>
                <w:szCs w:val="18"/>
                <w:color w:val="auto"/>
              </w:rPr>
              <w:t>Mount Vernon Fire Insurance Company</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1314 Douglas Street</w:t>
            </w:r>
          </w:p>
        </w:tc>
        <w:tc>
          <w:tcPr>
            <w:tcW w:w="3760" w:type="dxa"/>
            <w:vAlign w:val="bottom"/>
          </w:tcPr>
          <w:p>
            <w:pPr>
              <w:ind w:left="560"/>
              <w:spacing w:after="0"/>
              <w:rPr>
                <w:sz w:val="20"/>
                <w:szCs w:val="20"/>
                <w:color w:val="auto"/>
              </w:rPr>
            </w:pPr>
            <w:r>
              <w:rPr>
                <w:rFonts w:ascii="Arial" w:cs="Arial" w:eastAsia="Arial" w:hAnsi="Arial"/>
                <w:sz w:val="18"/>
                <w:szCs w:val="18"/>
                <w:color w:val="auto"/>
              </w:rPr>
              <w:t>1190 Devon Park Drive</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Omaha, Nebraska 68102</w:t>
            </w:r>
          </w:p>
        </w:tc>
        <w:tc>
          <w:tcPr>
            <w:tcW w:w="3760" w:type="dxa"/>
            <w:vAlign w:val="bottom"/>
          </w:tcPr>
          <w:p>
            <w:pPr>
              <w:ind w:left="560"/>
              <w:spacing w:after="0"/>
              <w:rPr>
                <w:sz w:val="20"/>
                <w:szCs w:val="20"/>
                <w:color w:val="auto"/>
              </w:rPr>
            </w:pPr>
            <w:r>
              <w:rPr>
                <w:rFonts w:ascii="Arial" w:cs="Arial" w:eastAsia="Arial" w:hAnsi="Arial"/>
                <w:sz w:val="18"/>
                <w:szCs w:val="18"/>
                <w:color w:val="auto"/>
              </w:rPr>
              <w:t>Wayne, PA 19087</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Nebraska corporation</w:t>
            </w:r>
          </w:p>
        </w:tc>
        <w:tc>
          <w:tcPr>
            <w:tcW w:w="3760" w:type="dxa"/>
            <w:vAlign w:val="bottom"/>
          </w:tcPr>
          <w:p>
            <w:pPr>
              <w:ind w:left="560"/>
              <w:spacing w:after="0"/>
              <w:rPr>
                <w:sz w:val="20"/>
                <w:szCs w:val="20"/>
                <w:color w:val="auto"/>
              </w:rPr>
            </w:pPr>
            <w:r>
              <w:rPr>
                <w:rFonts w:ascii="Arial" w:cs="Arial" w:eastAsia="Arial" w:hAnsi="Arial"/>
                <w:sz w:val="18"/>
                <w:szCs w:val="18"/>
                <w:color w:val="auto"/>
              </w:rPr>
              <w:t>Nebraska corporation</w:t>
            </w:r>
          </w:p>
        </w:tc>
      </w:tr>
      <w:tr>
        <w:trPr>
          <w:trHeight w:val="337"/>
        </w:trPr>
        <w:tc>
          <w:tcPr>
            <w:tcW w:w="5160" w:type="dxa"/>
            <w:vAlign w:val="bottom"/>
            <w:gridSpan w:val="2"/>
          </w:tcPr>
          <w:p>
            <w:pPr>
              <w:spacing w:after="0"/>
              <w:rPr>
                <w:sz w:val="20"/>
                <w:szCs w:val="20"/>
                <w:color w:val="auto"/>
              </w:rPr>
            </w:pPr>
            <w:r>
              <w:rPr>
                <w:rFonts w:ascii="Arial" w:cs="Arial" w:eastAsia="Arial" w:hAnsi="Arial"/>
                <w:sz w:val="18"/>
                <w:szCs w:val="18"/>
                <w:color w:val="auto"/>
              </w:rPr>
              <w:t>Berkshire Hathaway International Insurance Ltd.</w:t>
            </w:r>
          </w:p>
        </w:tc>
        <w:tc>
          <w:tcPr>
            <w:tcW w:w="3760" w:type="dxa"/>
            <w:vAlign w:val="bottom"/>
          </w:tcPr>
          <w:p>
            <w:pPr>
              <w:ind w:left="560"/>
              <w:spacing w:after="0"/>
              <w:rPr>
                <w:sz w:val="20"/>
                <w:szCs w:val="20"/>
                <w:color w:val="auto"/>
              </w:rPr>
            </w:pPr>
            <w:r>
              <w:rPr>
                <w:rFonts w:ascii="Arial" w:cs="Arial" w:eastAsia="Arial" w:hAnsi="Arial"/>
                <w:sz w:val="18"/>
                <w:szCs w:val="18"/>
                <w:color w:val="auto"/>
                <w:w w:val="92"/>
              </w:rPr>
              <w:t>National Fire &amp; Marine Insurance Company</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1314 Douglas Street</w:t>
            </w:r>
          </w:p>
        </w:tc>
        <w:tc>
          <w:tcPr>
            <w:tcW w:w="3760" w:type="dxa"/>
            <w:vAlign w:val="bottom"/>
          </w:tcPr>
          <w:p>
            <w:pPr>
              <w:ind w:left="560"/>
              <w:spacing w:after="0"/>
              <w:rPr>
                <w:sz w:val="20"/>
                <w:szCs w:val="20"/>
                <w:color w:val="auto"/>
              </w:rPr>
            </w:pPr>
            <w:r>
              <w:rPr>
                <w:rFonts w:ascii="Arial" w:cs="Arial" w:eastAsia="Arial" w:hAnsi="Arial"/>
                <w:sz w:val="18"/>
                <w:szCs w:val="18"/>
                <w:color w:val="auto"/>
              </w:rPr>
              <w:t>1314 Douglas Street</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Omaha, NE 68102</w:t>
            </w:r>
          </w:p>
        </w:tc>
        <w:tc>
          <w:tcPr>
            <w:tcW w:w="3760" w:type="dxa"/>
            <w:vAlign w:val="bottom"/>
          </w:tcPr>
          <w:p>
            <w:pPr>
              <w:ind w:left="560"/>
              <w:spacing w:after="0"/>
              <w:rPr>
                <w:sz w:val="20"/>
                <w:szCs w:val="20"/>
                <w:color w:val="auto"/>
              </w:rPr>
            </w:pPr>
            <w:r>
              <w:rPr>
                <w:rFonts w:ascii="Arial" w:cs="Arial" w:eastAsia="Arial" w:hAnsi="Arial"/>
                <w:sz w:val="18"/>
                <w:szCs w:val="18"/>
                <w:color w:val="auto"/>
              </w:rPr>
              <w:t>Omaha, NE 68102</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United Kingdom corporation</w:t>
            </w:r>
          </w:p>
        </w:tc>
        <w:tc>
          <w:tcPr>
            <w:tcW w:w="3760" w:type="dxa"/>
            <w:vAlign w:val="bottom"/>
          </w:tcPr>
          <w:p>
            <w:pPr>
              <w:ind w:left="560"/>
              <w:spacing w:after="0"/>
              <w:rPr>
                <w:sz w:val="20"/>
                <w:szCs w:val="20"/>
                <w:color w:val="auto"/>
              </w:rPr>
            </w:pPr>
            <w:r>
              <w:rPr>
                <w:rFonts w:ascii="Arial" w:cs="Arial" w:eastAsia="Arial" w:hAnsi="Arial"/>
                <w:sz w:val="18"/>
                <w:szCs w:val="18"/>
                <w:color w:val="auto"/>
              </w:rPr>
              <w:t>Nebraska corporation</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NRG America Holding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ectPr>
          <w:pgSz w:w="11900" w:h="16838" w:orient="portrait"/>
          <w:cols w:equalWidth="0" w:num="1">
            <w:col w:w="11020"/>
          </w:cols>
          <w:pgMar w:left="440" w:top="49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Page 10 of 12 Pages</w:t>
      </w:r>
    </w:p>
    <w:p>
      <w:pPr>
        <w:spacing w:after="0" w:line="154" w:lineRule="exact"/>
        <w:rPr>
          <w:sz w:val="20"/>
          <w:szCs w:val="20"/>
          <w:color w:val="auto"/>
        </w:rPr>
      </w:pPr>
    </w:p>
    <w:p>
      <w:pPr>
        <w:ind w:left="980" w:right="8040" w:hanging="544"/>
        <w:spacing w:after="0" w:line="488" w:lineRule="auto"/>
        <w:tabs>
          <w:tab w:leader="none" w:pos="9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w:t>
      </w:r>
    </w:p>
    <w:p>
      <w:pPr>
        <w:spacing w:after="0" w:line="156" w:lineRule="exact"/>
        <w:rPr>
          <w:rFonts w:ascii="Arial" w:cs="Arial" w:eastAsia="Arial" w:hAnsi="Arial"/>
          <w:sz w:val="16"/>
          <w:szCs w:val="16"/>
          <w:b w:val="1"/>
          <w:bCs w:val="1"/>
          <w:color w:val="auto"/>
        </w:rPr>
      </w:pPr>
    </w:p>
    <w:p>
      <w:pPr>
        <w:ind w:left="980" w:right="8820" w:hanging="544"/>
        <w:spacing w:after="0" w:line="397" w:lineRule="auto"/>
        <w:tabs>
          <w:tab w:leader="none" w:pos="9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CUSIP Number 00507V109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 240.13d-2(b) or (c), check whether the person filing is a:</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Warren E. Buffett (an individual who may be deemed to control Berkshire Hathaway Inc.) and Berkshire Hathaway Inc. are each a Parent Holding Company or Control Person, in accordance with § 240.13d-1(b)(1)(ii)(G).</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National Indemnity Company, Berkshire Hathaway International Insurance Ltd., Mount Vernon Fire Insurance Company and National Fire &amp; Marine Insurance Company are Insurance Companies as defined in section 3(a)(19) of the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381" w:lineRule="exact"/>
        <w:rPr>
          <w:sz w:val="20"/>
          <w:szCs w:val="20"/>
          <w:color w:val="auto"/>
        </w:rPr>
      </w:pPr>
    </w:p>
    <w:p>
      <w:pPr>
        <w:ind w:left="980" w:hanging="54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369" w:lineRule="exact"/>
        <w:rPr>
          <w:rFonts w:ascii="Arial" w:cs="Arial" w:eastAsia="Arial" w:hAnsi="Arial"/>
          <w:sz w:val="18"/>
          <w:szCs w:val="18"/>
          <w:b w:val="1"/>
          <w:bCs w:val="1"/>
          <w:color w:val="auto"/>
        </w:rPr>
      </w:pPr>
    </w:p>
    <w:p>
      <w:pPr>
        <w:ind w:left="980" w:hanging="54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369" w:lineRule="exact"/>
        <w:rPr>
          <w:rFonts w:ascii="Arial" w:cs="Arial" w:eastAsia="Arial" w:hAnsi="Arial"/>
          <w:sz w:val="18"/>
          <w:szCs w:val="18"/>
          <w:b w:val="1"/>
          <w:bCs w:val="1"/>
          <w:color w:val="auto"/>
        </w:rPr>
      </w:pPr>
    </w:p>
    <w:p>
      <w:pPr>
        <w:ind w:left="980" w:hanging="54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21" w:lineRule="exact"/>
        <w:rPr>
          <w:rFonts w:ascii="Arial" w:cs="Arial" w:eastAsia="Arial" w:hAnsi="Arial"/>
          <w:sz w:val="18"/>
          <w:szCs w:val="18"/>
          <w:b w:val="1"/>
          <w:bCs w:val="1"/>
          <w:color w:val="auto"/>
        </w:rPr>
      </w:pPr>
    </w:p>
    <w:p>
      <w:pPr>
        <w:ind w:left="1200" w:hanging="213"/>
        <w:spacing w:after="0"/>
        <w:tabs>
          <w:tab w:leader="none" w:pos="1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333" w:lineRule="exact"/>
        <w:rPr>
          <w:rFonts w:ascii="Arial" w:cs="Arial" w:eastAsia="Arial" w:hAnsi="Arial"/>
          <w:sz w:val="18"/>
          <w:szCs w:val="18"/>
          <w:color w:val="auto"/>
        </w:rPr>
      </w:pPr>
    </w:p>
    <w:p>
      <w:pPr>
        <w:ind w:left="1260" w:hanging="273"/>
        <w:spacing w:after="0"/>
        <w:tabs>
          <w:tab w:leader="none" w:pos="12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ectPr>
          <w:pgSz w:w="11900" w:h="16838" w:orient="portrait"/>
          <w:cols w:equalWidth="0" w:num="1">
            <w:col w:w="11020"/>
          </w:cols>
          <w:pgMar w:left="440" w:top="490"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Page 11 of 12 Pages</w:t>
      </w:r>
    </w:p>
    <w:p>
      <w:pPr>
        <w:spacing w:after="0" w:line="158" w:lineRule="exact"/>
        <w:rPr>
          <w:sz w:val="20"/>
          <w:szCs w:val="20"/>
          <w:color w:val="auto"/>
        </w:rPr>
      </w:pPr>
    </w:p>
    <w:p>
      <w:pPr>
        <w:ind w:left="324" w:hanging="324"/>
        <w:spacing w:after="0"/>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4" w:right="6860" w:hanging="4"/>
        <w:spacing w:after="0" w:line="623" w:lineRule="auto"/>
        <w:tabs>
          <w:tab w:leader="none" w:pos="309"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Cover Pages for each of the Reporting Persons</w:t>
      </w:r>
      <w:r>
        <w:rPr>
          <w:rFonts w:ascii="Arial" w:cs="Arial" w:eastAsia="Arial" w:hAnsi="Arial"/>
          <w:sz w:val="16"/>
          <w:szCs w:val="16"/>
          <w:b w:val="1"/>
          <w:bCs w:val="1"/>
          <w:color w:val="auto"/>
        </w:rPr>
        <w:t>.</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4" w:right="640"/>
        <w:spacing w:after="0" w:line="237"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Exhibit A.</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Exhibit A.</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4"/>
          </w:cols>
          <w:pgMar w:left="436" w:top="490"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Page 12 of 12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17th day of July,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Warren E. Buffett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NATIONAL INDEMNITY COMPANY, BERKSHIRE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HATHAWAY INTERNATIONAL INSURANCE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 VERNON FIRE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FIRE &amp; MARINE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NRG AMERICA HOLDING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0"/>
          </w:cols>
          <w:pgMar w:left="440" w:top="490" w:right="439" w:bottom="1440" w:gutter="0" w:footer="0" w:header="0"/>
        </w:sectPr>
      </w:pPr>
    </w:p>
    <w:bookmarkStart w:id="12" w:name="page13"/>
    <w:bookmarkEnd w:id="12"/>
    <w:p>
      <w:pPr>
        <w:jc w:val="center"/>
        <w:ind w:right="-2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RELEVANT SUBSIDIARIES AND MEMBERS OF FILING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PARENT HOLDING COMPANIES OR CONTROL PERSONS: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Warren E. Buffett (an individual who may be deemed to control Berkshire Hathaway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COMPANIES AS DEFINED IN SECTION 3(a)(19) OF THE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International Insurance Ltd.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Mount Vernon Fire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 No Common Stock of Activision Blizzard, Inc. is held directly by Berkshire Hathaway Inc. or by Warren E. Buffett, an individual who may be deemed to control Berkshire Hathaway Inc. 772,000 shares or approximately 0.1% of Common Stock of Activision Blizzard, Inc. are held directly by NRG America Holding Company, which is not a person specified in Rule 13d-1(b)(1)(ii)(A) through (J).</w:t>
      </w:r>
    </w:p>
    <w:p>
      <w:pPr>
        <w:sectPr>
          <w:pgSz w:w="11900" w:h="16838" w:orient="portrait"/>
          <w:cols w:equalWidth="0" w:num="1">
            <w:col w:w="10760"/>
          </w:cols>
          <w:pgMar w:left="440" w:top="121" w:right="699" w:bottom="1440" w:gutter="0" w:footer="0" w:header="0"/>
        </w:sectPr>
      </w:pPr>
    </w:p>
    <w:bookmarkStart w:id="13" w:name="page14"/>
    <w:bookmarkEnd w:id="13"/>
    <w:p>
      <w:pPr>
        <w:jc w:val="center"/>
        <w:ind w:right="-19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persons hereby agree that reports on Schedule 13G, and amendments thereto, with respect to the Common Stock of Store Capital Corporation. may be filed in a single statement on behalf of each of such persons, and further, each of such persons designates Warren E. Buffett as its agent and Attorney-in-Fact for the purpose of executing any and all Schedule 13G filings required to be made by it with the Securities and Exchange Commission.</w:t>
      </w:r>
    </w:p>
    <w:p>
      <w:pPr>
        <w:spacing w:after="0" w:line="214"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6"/>
          <w:szCs w:val="16"/>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Warren E. Buffett</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6"/>
          <w:szCs w:val="16"/>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Warren E. Buffett</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Chairman of the Board</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6"/>
          <w:szCs w:val="16"/>
          <w:color w:val="auto"/>
        </w:rPr>
        <w:t>/s/ Marc D. Hamburg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Marc D. Hamburg</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Chairman of the Board</w:t>
      </w:r>
    </w:p>
    <w:p>
      <w:pPr>
        <w:spacing w:after="0" w:line="2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Berkshire Hathaway International Insurance Ltd.</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6"/>
          <w:szCs w:val="16"/>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Treasurer</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NRG America Holding Company</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6"/>
          <w:szCs w:val="16"/>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Dale D. Geistkemper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Treasurer</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Mount Vernon Fire Insurance Company</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6"/>
          <w:szCs w:val="16"/>
          <w:color w:val="auto"/>
        </w:rPr>
        <w:t>/s/ Stephen J. Rivituso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Stephen J. Rivituso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Executive Vice President</w:t>
      </w:r>
    </w:p>
    <w:p>
      <w:pPr>
        <w:spacing w:after="0" w:line="2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July 17, 2023</w:t>
      </w:r>
      <w:r>
        <w:rPr>
          <w:sz w:val="20"/>
          <w:szCs w:val="20"/>
          <w:color w:val="auto"/>
        </w:rPr>
        <w:tab/>
      </w:r>
      <w:r>
        <w:rPr>
          <w:rFonts w:ascii="Arial" w:cs="Arial" w:eastAsia="Arial" w:hAnsi="Arial"/>
          <w:sz w:val="16"/>
          <w:szCs w:val="16"/>
          <w:color w:val="auto"/>
        </w:rPr>
        <w:t>/s/ Marc D. Hamburg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Marc D. Hamburg</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Chairman</w:t>
      </w:r>
    </w:p>
    <w:sectPr>
      <w:pgSz w:w="11900" w:h="16838" w:orient="portrait"/>
      <w:cols w:equalWidth="0" w:num="1">
        <w:col w:w="10820"/>
      </w:cols>
      <w:pgMar w:left="440" w:top="12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2023-07-17T15:20:41Z</dcterms:created>
  <dcterms:modified xsi:type="dcterms:W3CDTF">2023-07-17T15:20:41Z</dcterms:modified>
</cp:coreProperties>
</file>