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Use these links to rapidly review the document</w:t>
      </w:r>
    </w:p>
    <w:p>
      <w:pPr>
        <w:spacing w:after="0" w:line="4" w:lineRule="exact"/>
        <w:rPr>
          <w:sz w:val="24"/>
          <w:szCs w:val="24"/>
          <w:color w:val="auto"/>
        </w:rPr>
      </w:pPr>
    </w:p>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rPr>
          <w:rFonts w:ascii="Times New Roman" w:cs="Times New Roman" w:eastAsia="Times New Roman" w:hAnsi="Times New Roman"/>
          <w:sz w:val="22"/>
          <w:szCs w:val="22"/>
          <w:u w:val="single" w:color="auto"/>
          <w:color w:val="0000EE"/>
        </w:rPr>
      </w:pPr>
      <w:hyperlink w:anchor="page82">
        <w:r>
          <w:rPr>
            <w:rFonts w:ascii="Times New Roman" w:cs="Times New Roman" w:eastAsia="Times New Roman" w:hAnsi="Times New Roman"/>
            <w:sz w:val="22"/>
            <w:szCs w:val="22"/>
            <w:u w:val="single" w:color="auto"/>
            <w:color w:val="0000EE"/>
          </w:rPr>
          <w:t>FINANCIAL STATEMENTS AND SUPPLEMENTARY DATA</w:t>
        </w:r>
      </w:hyperlink>
    </w:p>
    <w:p>
      <w:pPr>
        <w:spacing w:after="0" w:line="195"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44" w:lineRule="exact"/>
        <w:rPr>
          <w:sz w:val="24"/>
          <w:szCs w:val="24"/>
          <w:color w:val="auto"/>
        </w:rPr>
      </w:pPr>
    </w:p>
    <w:p>
      <w:pPr>
        <w:jc w:val="center"/>
        <w:ind w:right="10320"/>
        <w:spacing w:after="0"/>
        <w:rPr>
          <w:sz w:val="20"/>
          <w:szCs w:val="20"/>
          <w:color w:val="auto"/>
        </w:rPr>
      </w:pPr>
      <w:r>
        <w:rPr>
          <w:rFonts w:ascii="Times New Roman" w:cs="Times New Roman" w:eastAsia="Times New Roman" w:hAnsi="Times New Roman"/>
          <w:sz w:val="18"/>
          <w:szCs w:val="18"/>
          <w:b w:val="1"/>
          <w:bCs w:val="1"/>
          <w:color w:val="auto"/>
        </w:rPr>
        <w:t>(Mark</w:t>
      </w:r>
    </w:p>
    <w:p>
      <w:pPr>
        <w:spacing w:after="0" w:line="23" w:lineRule="exact"/>
        <w:rPr>
          <w:sz w:val="24"/>
          <w:szCs w:val="24"/>
          <w:color w:val="auto"/>
        </w:rPr>
      </w:pPr>
    </w:p>
    <w:p>
      <w:pPr>
        <w:jc w:val="center"/>
        <w:ind w:right="10320"/>
        <w:spacing w:after="0"/>
        <w:rPr>
          <w:sz w:val="20"/>
          <w:szCs w:val="20"/>
          <w:color w:val="auto"/>
        </w:rPr>
      </w:pPr>
      <w:r>
        <w:rPr>
          <w:rFonts w:ascii="Times New Roman" w:cs="Times New Roman" w:eastAsia="Times New Roman" w:hAnsi="Times New Roman"/>
          <w:sz w:val="18"/>
          <w:szCs w:val="18"/>
          <w:b w:val="1"/>
          <w:bCs w:val="1"/>
          <w:color w:val="auto"/>
        </w:rPr>
        <w:t>one)</w:t>
      </w:r>
    </w:p>
    <w:p>
      <w:pPr>
        <w:spacing w:after="0" w:line="223" w:lineRule="exact"/>
        <w:rPr>
          <w:sz w:val="24"/>
          <w:szCs w:val="24"/>
          <w:color w:val="auto"/>
        </w:rPr>
      </w:pPr>
    </w:p>
    <w:p>
      <w:pPr>
        <w:ind w:left="980" w:right="440" w:hanging="661"/>
        <w:spacing w:after="0" w:line="262" w:lineRule="auto"/>
        <w:tabs>
          <w:tab w:leader="none" w:pos="9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19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2018</w:t>
      </w:r>
    </w:p>
    <w:p>
      <w:pPr>
        <w:spacing w:after="0" w:line="25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7" w:lineRule="exact"/>
        <w:rPr>
          <w:sz w:val="24"/>
          <w:szCs w:val="24"/>
          <w:color w:val="auto"/>
        </w:rPr>
      </w:pPr>
    </w:p>
    <w:p>
      <w:pPr>
        <w:ind w:left="980" w:hanging="621"/>
        <w:spacing w:after="0" w:line="262" w:lineRule="auto"/>
        <w:tabs>
          <w:tab w:leader="none" w:pos="9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92" w:lineRule="exact"/>
        <w:rPr>
          <w:sz w:val="24"/>
          <w:szCs w:val="24"/>
          <w:color w:val="auto"/>
        </w:rPr>
      </w:pPr>
    </w:p>
    <w:p>
      <w:pPr>
        <w:ind w:left="3040"/>
        <w:spacing w:after="0"/>
        <w:tabs>
          <w:tab w:leader="none" w:pos="68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25"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Commission File Number 1-15839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153670</wp:posOffset>
            </wp:positionV>
            <wp:extent cx="3378835"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7883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t>ACTIVISION BLIZZARD, INC.</w:t>
      </w:r>
    </w:p>
    <w:p>
      <w:pPr>
        <w:spacing w:after="0" w:line="4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640" w:type="dxa"/>
        <w:tblCellMar>
          <w:top w:w="0" w:type="dxa"/>
          <w:left w:w="0" w:type="dxa"/>
          <w:bottom w:w="0" w:type="dxa"/>
          <w:right w:w="0" w:type="dxa"/>
        </w:tblCellMar>
      </w:tblPr>
      <w:tr>
        <w:trPr>
          <w:trHeight w:val="218"/>
        </w:trPr>
        <w:tc>
          <w:tcPr>
            <w:tcW w:w="5480" w:type="dxa"/>
            <w:vAlign w:val="bottom"/>
          </w:tcPr>
          <w:p>
            <w:pPr>
              <w:jc w:val="center"/>
              <w:ind w:right="119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40" w:type="dxa"/>
            <w:vAlign w:val="bottom"/>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95-4803544</w:t>
            </w:r>
          </w:p>
        </w:tc>
      </w:tr>
      <w:tr>
        <w:trPr>
          <w:trHeight w:val="228"/>
        </w:trPr>
        <w:tc>
          <w:tcPr>
            <w:tcW w:w="5480" w:type="dxa"/>
            <w:vAlign w:val="bottom"/>
          </w:tcPr>
          <w:p>
            <w:pPr>
              <w:jc w:val="center"/>
              <w:ind w:right="1192"/>
              <w:spacing w:after="0"/>
              <w:rPr>
                <w:sz w:val="20"/>
                <w:szCs w:val="20"/>
                <w:color w:val="auto"/>
              </w:rPr>
            </w:pPr>
            <w:r>
              <w:rPr>
                <w:rFonts w:ascii="Times New Roman" w:cs="Times New Roman" w:eastAsia="Times New Roman" w:hAnsi="Times New Roman"/>
                <w:sz w:val="18"/>
                <w:szCs w:val="18"/>
                <w:color w:val="auto"/>
                <w:w w:val="97"/>
              </w:rPr>
              <w:t>(State or other jurisdiction of incorporation or organization)</w:t>
            </w:r>
          </w:p>
        </w:tc>
        <w:tc>
          <w:tcPr>
            <w:tcW w:w="3840" w:type="dxa"/>
            <w:vAlign w:val="bottom"/>
          </w:tcPr>
          <w:p>
            <w:pPr>
              <w:jc w:val="center"/>
              <w:ind w:left="1212"/>
              <w:spacing w:after="0"/>
              <w:rPr>
                <w:sz w:val="20"/>
                <w:szCs w:val="20"/>
                <w:color w:val="auto"/>
              </w:rPr>
            </w:pPr>
            <w:r>
              <w:rPr>
                <w:rFonts w:ascii="Times New Roman" w:cs="Times New Roman" w:eastAsia="Times New Roman" w:hAnsi="Times New Roman"/>
                <w:sz w:val="18"/>
                <w:szCs w:val="18"/>
                <w:color w:val="auto"/>
                <w:w w:val="97"/>
              </w:rPr>
              <w:t>(I.R.S. Employer Identification No.)</w:t>
            </w:r>
          </w:p>
        </w:tc>
      </w:tr>
      <w:tr>
        <w:trPr>
          <w:trHeight w:val="447"/>
        </w:trPr>
        <w:tc>
          <w:tcPr>
            <w:tcW w:w="5480" w:type="dxa"/>
            <w:vAlign w:val="bottom"/>
          </w:tcPr>
          <w:p>
            <w:pPr>
              <w:jc w:val="center"/>
              <w:ind w:right="1172"/>
              <w:spacing w:after="0"/>
              <w:rPr>
                <w:sz w:val="20"/>
                <w:szCs w:val="20"/>
                <w:color w:val="auto"/>
              </w:rPr>
            </w:pPr>
            <w:r>
              <w:rPr>
                <w:rFonts w:ascii="Times New Roman" w:cs="Times New Roman" w:eastAsia="Times New Roman" w:hAnsi="Times New Roman"/>
                <w:sz w:val="18"/>
                <w:szCs w:val="18"/>
                <w:b w:val="1"/>
                <w:bCs w:val="1"/>
                <w:color w:val="auto"/>
                <w:w w:val="97"/>
              </w:rPr>
              <w:t>3100 Ocean Park Boulevard, Santa Monica, CA</w:t>
            </w:r>
          </w:p>
        </w:tc>
        <w:tc>
          <w:tcPr>
            <w:tcW w:w="3840" w:type="dxa"/>
            <w:vAlign w:val="bottom"/>
          </w:tcPr>
          <w:p>
            <w:pPr>
              <w:jc w:val="right"/>
              <w:ind w:right="972"/>
              <w:spacing w:after="0"/>
              <w:rPr>
                <w:sz w:val="20"/>
                <w:szCs w:val="20"/>
                <w:color w:val="auto"/>
              </w:rPr>
            </w:pPr>
            <w:r>
              <w:rPr>
                <w:rFonts w:ascii="Times New Roman" w:cs="Times New Roman" w:eastAsia="Times New Roman" w:hAnsi="Times New Roman"/>
                <w:sz w:val="18"/>
                <w:szCs w:val="18"/>
                <w:b w:val="1"/>
                <w:bCs w:val="1"/>
                <w:color w:val="auto"/>
              </w:rPr>
              <w:t>90405</w:t>
            </w:r>
          </w:p>
        </w:tc>
      </w:tr>
      <w:tr>
        <w:trPr>
          <w:trHeight w:val="228"/>
        </w:trPr>
        <w:tc>
          <w:tcPr>
            <w:tcW w:w="5480" w:type="dxa"/>
            <w:vAlign w:val="bottom"/>
          </w:tcPr>
          <w:p>
            <w:pPr>
              <w:jc w:val="center"/>
              <w:ind w:right="117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3840" w:type="dxa"/>
            <w:vAlign w:val="bottom"/>
          </w:tcPr>
          <w:p>
            <w:pPr>
              <w:jc w:val="center"/>
              <w:ind w:left="1212"/>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0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(310) 255-2000</w:t>
      </w:r>
    </w:p>
    <w:p>
      <w:pPr>
        <w:spacing w:after="0" w:line="227"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720" w:type="dxa"/>
        <w:tblCellMar>
          <w:top w:w="0" w:type="dxa"/>
          <w:left w:w="0" w:type="dxa"/>
          <w:bottom w:w="0" w:type="dxa"/>
          <w:right w:w="0" w:type="dxa"/>
        </w:tblCellMar>
      </w:tblPr>
      <w:tr>
        <w:trPr>
          <w:trHeight w:val="165"/>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Title of each Class</w:t>
            </w:r>
          </w:p>
        </w:tc>
        <w:tc>
          <w:tcPr>
            <w:tcW w:w="1440" w:type="dxa"/>
            <w:vAlign w:val="bottom"/>
          </w:tcPr>
          <w:p>
            <w:pPr>
              <w:spacing w:after="0"/>
              <w:rPr>
                <w:sz w:val="14"/>
                <w:szCs w:val="14"/>
                <w:color w:val="auto"/>
              </w:rPr>
            </w:pP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Name of Each Exchange on Which Registered</w:t>
            </w:r>
          </w:p>
        </w:tc>
      </w:tr>
      <w:tr>
        <w:trPr>
          <w:trHeight w:val="222"/>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Common Stock, par value $.000001 per share</w:t>
            </w:r>
          </w:p>
        </w:tc>
        <w:tc>
          <w:tcPr>
            <w:tcW w:w="144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The Nasdaq Global Select Market</w:t>
            </w:r>
          </w:p>
        </w:tc>
      </w:tr>
    </w:tbl>
    <w:p>
      <w:pPr>
        <w:spacing w:after="0" w:line="18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86" w:lineRule="exact"/>
        <w:rPr>
          <w:sz w:val="24"/>
          <w:szCs w:val="24"/>
          <w:color w:val="auto"/>
        </w:rPr>
      </w:pPr>
    </w:p>
    <w:p>
      <w:pPr>
        <w:ind w:left="4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225" w:lineRule="exact"/>
        <w:rPr>
          <w:sz w:val="24"/>
          <w:szCs w:val="24"/>
          <w:color w:val="auto"/>
        </w:rPr>
      </w:pPr>
    </w:p>
    <w:p>
      <w:pPr>
        <w:ind w:left="4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 (d) of the Act. Yes o No </w:t>
      </w:r>
      <w:r>
        <w:rPr>
          <w:rFonts w:ascii="MS PGothic" w:cs="MS PGothic" w:eastAsia="MS PGothic" w:hAnsi="MS PGothic"/>
          <w:sz w:val="18"/>
          <w:szCs w:val="18"/>
          <w:color w:val="auto"/>
        </w:rPr>
        <w:t>☒</w:t>
      </w:r>
    </w:p>
    <w:p>
      <w:pPr>
        <w:spacing w:after="0" w:line="252" w:lineRule="exact"/>
        <w:rPr>
          <w:sz w:val="24"/>
          <w:szCs w:val="24"/>
          <w:color w:val="auto"/>
        </w:rPr>
      </w:pPr>
    </w:p>
    <w:p>
      <w:pPr>
        <w:ind w:right="60" w:firstLine="395"/>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84" w:lineRule="exact"/>
        <w:rPr>
          <w:sz w:val="24"/>
          <w:szCs w:val="24"/>
          <w:color w:val="auto"/>
        </w:rPr>
      </w:pPr>
    </w:p>
    <w:p>
      <w:pPr>
        <w:ind w:right="120" w:firstLine="395"/>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ectPr>
          <w:pgSz w:w="11900" w:h="16838" w:orient="portrait"/>
          <w:cols w:equalWidth="0" w:num="1">
            <w:col w:w="11140"/>
          </w:cols>
          <w:pgMar w:left="240" w:top="679" w:right="519" w:bottom="0" w:gutter="0" w:footer="0" w:header="0"/>
        </w:sectPr>
      </w:pPr>
    </w:p>
    <w:bookmarkStart w:id="1" w:name="page2"/>
    <w:bookmarkEnd w:id="1"/>
    <w:p>
      <w:pPr>
        <w:ind w:right="80" w:firstLine="395"/>
        <w:spacing w:after="0" w:line="262"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86" w:lineRule="exact"/>
        <w:rPr>
          <w:sz w:val="20"/>
          <w:szCs w:val="20"/>
          <w:color w:val="auto"/>
        </w:rPr>
      </w:pPr>
    </w:p>
    <w:p>
      <w:pPr>
        <w:ind w:right="180" w:firstLine="395"/>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125" w:right="259" w:bottom="1440" w:gutter="0" w:footer="0" w:header="0"/>
        </w:sectPr>
      </w:pPr>
    </w:p>
    <w:p>
      <w:pPr>
        <w:spacing w:after="0" w:line="160" w:lineRule="exact"/>
        <w:rPr>
          <w:sz w:val="20"/>
          <w:szCs w:val="20"/>
          <w:color w:val="auto"/>
        </w:rPr>
      </w:pPr>
    </w:p>
    <w:p>
      <w:pPr>
        <w:ind w:left="40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 o</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both"/>
        <w:ind w:right="440" w:hanging="10"/>
        <w:spacing w:after="0" w:line="339" w:lineRule="auto"/>
        <w:rPr>
          <w:sz w:val="20"/>
          <w:szCs w:val="20"/>
          <w:color w:val="auto"/>
        </w:rPr>
      </w:pPr>
      <w:r>
        <w:rPr>
          <w:rFonts w:ascii="Times New Roman" w:cs="Times New Roman" w:eastAsia="Times New Roman" w:hAnsi="Times New Roman"/>
          <w:sz w:val="16"/>
          <w:szCs w:val="16"/>
          <w:color w:val="auto"/>
        </w:rPr>
        <w:t>Smaller Reporting Company o Emerging Growth Company o</w:t>
      </w:r>
    </w:p>
    <w:p>
      <w:pPr>
        <w:spacing w:after="0" w:line="128" w:lineRule="exact"/>
        <w:rPr>
          <w:sz w:val="20"/>
          <w:szCs w:val="20"/>
          <w:color w:val="auto"/>
        </w:rPr>
      </w:pPr>
    </w:p>
    <w:p>
      <w:pPr>
        <w:sectPr>
          <w:pgSz w:w="11900" w:h="16838" w:orient="portrait"/>
          <w:cols w:equalWidth="0" w:num="4">
            <w:col w:w="2600" w:space="720"/>
            <w:col w:w="1640" w:space="720"/>
            <w:col w:w="2420" w:space="720"/>
            <w:col w:w="2580"/>
          </w:cols>
          <w:pgMar w:left="240" w:top="125" w:right="259" w:bottom="1440" w:gutter="0" w:footer="0" w:header="0"/>
          <w:type w:val="continuous"/>
        </w:sectPr>
      </w:pPr>
    </w:p>
    <w:p>
      <w:pPr>
        <w:ind w:firstLine="395"/>
        <w:spacing w:after="0" w:line="275"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47" w:lineRule="exact"/>
        <w:rPr>
          <w:sz w:val="20"/>
          <w:szCs w:val="20"/>
          <w:color w:val="auto"/>
        </w:rPr>
      </w:pPr>
    </w:p>
    <w:p>
      <w:pPr>
        <w:ind w:left="4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252" w:lineRule="exact"/>
        <w:rPr>
          <w:sz w:val="20"/>
          <w:szCs w:val="20"/>
          <w:color w:val="auto"/>
        </w:rPr>
      </w:pPr>
    </w:p>
    <w:p>
      <w:pPr>
        <w:ind w:right="320" w:firstLine="392"/>
        <w:spacing w:after="0" w:line="275"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on June 30, 2018 (based on the closing sale price as reported on the Nasdaq) was $57,447,460,580.</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at February 21, 2019 was 763,833,873.</w:t>
      </w:r>
    </w:p>
    <w:p>
      <w:pPr>
        <w:spacing w:after="0" w:line="22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7" w:lineRule="exact"/>
        <w:rPr>
          <w:sz w:val="20"/>
          <w:szCs w:val="20"/>
          <w:color w:val="auto"/>
        </w:rPr>
      </w:pPr>
    </w:p>
    <w:p>
      <w:pPr>
        <w:ind w:firstLine="395"/>
        <w:spacing w:after="0" w:line="275" w:lineRule="auto"/>
        <w:rPr>
          <w:sz w:val="20"/>
          <w:szCs w:val="20"/>
          <w:color w:val="auto"/>
        </w:rPr>
      </w:pPr>
      <w:r>
        <w:rPr>
          <w:rFonts w:ascii="Times New Roman" w:cs="Times New Roman" w:eastAsia="Times New Roman" w:hAnsi="Times New Roman"/>
          <w:sz w:val="18"/>
          <w:szCs w:val="18"/>
          <w:color w:val="auto"/>
        </w:rPr>
        <w:t>Portions of the registrant's definitive Proxy Statement, to be filed with the Securities and Exchange Commission with respect to the 2019 Annual Meeting of Shareholders which is expected to be held on June 20, 2019, are incorporated by reference into Part III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477520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40" w:type="dxa"/>
            <w:vAlign w:val="bottom"/>
          </w:tcPr>
          <w:p>
            <w:pPr>
              <w:spacing w:after="0"/>
              <w:rPr>
                <w:sz w:val="14"/>
                <w:szCs w:val="14"/>
                <w:color w:val="auto"/>
              </w:rPr>
            </w:pPr>
          </w:p>
        </w:tc>
        <w:tc>
          <w:tcPr>
            <w:tcW w:w="620" w:type="dxa"/>
            <w:vAlign w:val="bottom"/>
            <w:gridSpan w:val="2"/>
            <w:vMerge w:val="restart"/>
          </w:tcPr>
          <w:p>
            <w:pPr>
              <w:spacing w:after="0"/>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PART I.</w:t>
              </w:r>
            </w:hyperlink>
          </w:p>
        </w:tc>
        <w:tc>
          <w:tcPr>
            <w:tcW w:w="460" w:type="dxa"/>
            <w:vAlign w:val="bottom"/>
            <w:gridSpan w:val="10"/>
            <w:vMerge w:val="restart"/>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620" w:type="dxa"/>
            <w:vAlign w:val="bottom"/>
            <w:tcBorders>
              <w:bottom w:val="single" w:sz="8" w:color="0000EE"/>
            </w:tcBorders>
            <w:gridSpan w:val="2"/>
            <w:vMerge w:val="continue"/>
          </w:tcPr>
          <w:p>
            <w:pPr>
              <w:spacing w:after="0"/>
              <w:rPr>
                <w:sz w:val="14"/>
                <w:szCs w:val="14"/>
                <w:color w:val="auto"/>
              </w:rPr>
            </w:pPr>
          </w:p>
        </w:tc>
        <w:tc>
          <w:tcPr>
            <w:tcW w:w="460" w:type="dxa"/>
            <w:vAlign w:val="bottom"/>
            <w:gridSpan w:val="10"/>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Borders>
              <w:top w:val="single" w:sz="8" w:color="auto"/>
            </w:tcBorders>
            <w:gridSpan w:val="3"/>
          </w:tcPr>
          <w:p>
            <w:pPr>
              <w:spacing w:after="0"/>
              <w:rPr>
                <w:sz w:val="14"/>
                <w:szCs w:val="14"/>
                <w:color w:val="auto"/>
              </w:rPr>
            </w:pPr>
          </w:p>
        </w:tc>
        <w:tc>
          <w:tcPr>
            <w:tcW w:w="100" w:type="dxa"/>
            <w:vAlign w:val="bottom"/>
            <w:tcBorders>
              <w:top w:val="single" w:sz="8" w:color="auto"/>
              <w:bottom w:val="single" w:sz="8" w:color="0000EE"/>
            </w:tcBorders>
          </w:tcPr>
          <w:p>
            <w:pPr>
              <w:jc w:val="right"/>
              <w:spacing w:after="0" w:line="170" w:lineRule="exact"/>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2</w:t>
              </w:r>
            </w:hyperlink>
          </w:p>
        </w:tc>
        <w:tc>
          <w:tcPr>
            <w:tcW w:w="20" w:type="dxa"/>
            <w:vAlign w:val="bottom"/>
            <w:tcBorders>
              <w:top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4"/>
              </w:rPr>
            </w:pPr>
            <w:hyperlink w:anchor="page4">
              <w:r>
                <w:rPr>
                  <w:rFonts w:ascii="Times New Roman" w:cs="Times New Roman" w:eastAsia="Times New Roman" w:hAnsi="Times New Roman"/>
                  <w:sz w:val="18"/>
                  <w:szCs w:val="18"/>
                  <w:color w:val="0000EE"/>
                  <w:w w:val="94"/>
                </w:rPr>
                <w:t>Cautionary Statement</w:t>
              </w:r>
            </w:hyperlink>
          </w:p>
        </w:tc>
        <w:tc>
          <w:tcPr>
            <w:tcW w:w="5740" w:type="dxa"/>
            <w:vAlign w:val="bottom"/>
            <w:gridSpan w:val="13"/>
          </w:tcPr>
          <w:p>
            <w:pPr>
              <w:spacing w:after="0"/>
              <w:rPr>
                <w:sz w:val="17"/>
                <w:szCs w:val="17"/>
                <w:color w:val="auto"/>
              </w:rPr>
            </w:pPr>
          </w:p>
        </w:tc>
        <w:tc>
          <w:tcPr>
            <w:tcW w:w="560" w:type="dxa"/>
            <w:vAlign w:val="bottom"/>
            <w:gridSpan w:val="3"/>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2</w:t>
              </w:r>
            </w:hyperlink>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11"/>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w:t>
              </w:r>
            </w:hyperlink>
          </w:p>
        </w:tc>
        <w:tc>
          <w:tcPr>
            <w:tcW w:w="7240" w:type="dxa"/>
            <w:vAlign w:val="bottom"/>
            <w:gridSpan w:val="21"/>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Business</w:t>
              </w:r>
            </w:hyperlink>
          </w:p>
        </w:tc>
        <w:tc>
          <w:tcPr>
            <w:tcW w:w="680" w:type="dxa"/>
            <w:vAlign w:val="bottom"/>
            <w:gridSpan w:val="5"/>
          </w:tcPr>
          <w:p>
            <w:pPr>
              <w:jc w:val="right"/>
              <w:ind w:right="20"/>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2</w:t>
              </w:r>
            </w:hyperlink>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13">
              <w:r>
                <w:rPr>
                  <w:rFonts w:ascii="Times New Roman" w:cs="Times New Roman" w:eastAsia="Times New Roman" w:hAnsi="Times New Roman"/>
                  <w:sz w:val="18"/>
                  <w:szCs w:val="18"/>
                  <w:color w:val="0000EE"/>
                  <w:w w:val="99"/>
                </w:rPr>
                <w:t>Item 1A.</w:t>
              </w:r>
            </w:hyperlink>
          </w:p>
        </w:tc>
        <w:tc>
          <w:tcPr>
            <w:tcW w:w="240" w:type="dxa"/>
            <w:vAlign w:val="bottom"/>
            <w:gridSpan w:val="2"/>
          </w:tcPr>
          <w:p>
            <w:pPr>
              <w:spacing w:after="0"/>
              <w:rPr>
                <w:sz w:val="17"/>
                <w:szCs w:val="17"/>
                <w:color w:val="auto"/>
              </w:rPr>
            </w:pPr>
          </w:p>
        </w:tc>
        <w:tc>
          <w:tcPr>
            <w:tcW w:w="8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2"/>
              </w:rPr>
            </w:pPr>
            <w:hyperlink w:anchor="page13">
              <w:r>
                <w:rPr>
                  <w:rFonts w:ascii="Times New Roman" w:cs="Times New Roman" w:eastAsia="Times New Roman" w:hAnsi="Times New Roman"/>
                  <w:sz w:val="18"/>
                  <w:szCs w:val="18"/>
                  <w:color w:val="0000EE"/>
                  <w:w w:val="92"/>
                </w:rPr>
                <w:t>Risk Factors</w:t>
              </w:r>
            </w:hyperlink>
          </w:p>
        </w:tc>
        <w:tc>
          <w:tcPr>
            <w:tcW w:w="6380" w:type="dxa"/>
            <w:vAlign w:val="bottom"/>
            <w:gridSpan w:val="17"/>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13">
              <w:r>
                <w:rPr>
                  <w:rFonts w:ascii="Times New Roman" w:cs="Times New Roman" w:eastAsia="Times New Roman" w:hAnsi="Times New Roman"/>
                  <w:sz w:val="18"/>
                  <w:szCs w:val="18"/>
                  <w:color w:val="0000EE"/>
                  <w:w w:val="88"/>
                </w:rPr>
                <w:t>11</w:t>
              </w:r>
            </w:hyperlink>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8"/>
          </w:tcPr>
          <w:p>
            <w:pPr>
              <w:spacing w:after="0" w:line="196" w:lineRule="exact"/>
              <w:rPr>
                <w:rFonts w:ascii="Times New Roman" w:cs="Times New Roman" w:eastAsia="Times New Roman" w:hAnsi="Times New Roman"/>
                <w:sz w:val="18"/>
                <w:szCs w:val="18"/>
                <w:color w:val="0000EE"/>
                <w:w w:val="98"/>
              </w:rPr>
            </w:pPr>
            <w:hyperlink w:anchor="page33">
              <w:r>
                <w:rPr>
                  <w:rFonts w:ascii="Times New Roman" w:cs="Times New Roman" w:eastAsia="Times New Roman" w:hAnsi="Times New Roman"/>
                  <w:sz w:val="18"/>
                  <w:szCs w:val="18"/>
                  <w:color w:val="0000EE"/>
                  <w:w w:val="98"/>
                </w:rPr>
                <w:t>Item 1B.</w:t>
              </w:r>
            </w:hyperlink>
          </w:p>
        </w:tc>
        <w:tc>
          <w:tcPr>
            <w:tcW w:w="260" w:type="dxa"/>
            <w:vAlign w:val="bottom"/>
            <w:gridSpan w:val="3"/>
          </w:tcPr>
          <w:p>
            <w:pPr>
              <w:spacing w:after="0"/>
              <w:rPr>
                <w:sz w:val="17"/>
                <w:szCs w:val="17"/>
                <w:color w:val="auto"/>
              </w:rPr>
            </w:pPr>
          </w:p>
        </w:tc>
        <w:tc>
          <w:tcPr>
            <w:tcW w:w="7240" w:type="dxa"/>
            <w:vAlign w:val="bottom"/>
            <w:gridSpan w:val="21"/>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Unresolved Staff Comments</w:t>
              </w:r>
            </w:hyperlink>
          </w:p>
        </w:tc>
        <w:tc>
          <w:tcPr>
            <w:tcW w:w="680" w:type="dxa"/>
            <w:vAlign w:val="bottom"/>
            <w:gridSpan w:val="5"/>
          </w:tcPr>
          <w:p>
            <w:pPr>
              <w:jc w:val="right"/>
              <w:ind w:right="20"/>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31</w:t>
              </w:r>
            </w:hyperlink>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2.</w:t>
              </w:r>
            </w:hyperlink>
          </w:p>
        </w:tc>
        <w:tc>
          <w:tcPr>
            <w:tcW w:w="260" w:type="dxa"/>
            <w:vAlign w:val="bottom"/>
            <w:gridSpan w:val="3"/>
          </w:tcPr>
          <w:p>
            <w:pPr>
              <w:spacing w:after="0"/>
              <w:rPr>
                <w:sz w:val="17"/>
                <w:szCs w:val="17"/>
                <w:color w:val="auto"/>
              </w:rPr>
            </w:pPr>
          </w:p>
        </w:tc>
        <w:tc>
          <w:tcPr>
            <w:tcW w:w="19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Properties</w:t>
              </w:r>
            </w:hyperlink>
          </w:p>
        </w:tc>
        <w:tc>
          <w:tcPr>
            <w:tcW w:w="5280" w:type="dxa"/>
            <w:vAlign w:val="bottom"/>
            <w:gridSpan w:val="10"/>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33">
              <w:r>
                <w:rPr>
                  <w:rFonts w:ascii="Times New Roman" w:cs="Times New Roman" w:eastAsia="Times New Roman" w:hAnsi="Times New Roman"/>
                  <w:sz w:val="18"/>
                  <w:szCs w:val="18"/>
                  <w:color w:val="0000EE"/>
                  <w:w w:val="88"/>
                </w:rPr>
                <w:t>31</w:t>
              </w:r>
            </w:hyperlink>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11"/>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3.</w:t>
              </w:r>
            </w:hyperlink>
          </w:p>
        </w:tc>
        <w:tc>
          <w:tcPr>
            <w:tcW w:w="7240" w:type="dxa"/>
            <w:vAlign w:val="bottom"/>
            <w:gridSpan w:val="21"/>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Legal Proceedings</w:t>
              </w:r>
            </w:hyperlink>
          </w:p>
        </w:tc>
        <w:tc>
          <w:tcPr>
            <w:tcW w:w="680" w:type="dxa"/>
            <w:vAlign w:val="bottom"/>
            <w:gridSpan w:val="5"/>
          </w:tcPr>
          <w:p>
            <w:pPr>
              <w:jc w:val="right"/>
              <w:ind w:right="20"/>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31</w:t>
              </w:r>
            </w:hyperlink>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11"/>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4.</w:t>
              </w:r>
            </w:hyperlink>
          </w:p>
        </w:tc>
        <w:tc>
          <w:tcPr>
            <w:tcW w:w="7240" w:type="dxa"/>
            <w:vAlign w:val="bottom"/>
            <w:gridSpan w:val="21"/>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Mine Safety Disclosures</w:t>
              </w:r>
            </w:hyperlink>
          </w:p>
        </w:tc>
        <w:tc>
          <w:tcPr>
            <w:tcW w:w="680" w:type="dxa"/>
            <w:vAlign w:val="bottom"/>
            <w:gridSpan w:val="5"/>
          </w:tcPr>
          <w:p>
            <w:pPr>
              <w:jc w:val="right"/>
              <w:ind w:right="20"/>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32</w:t>
              </w:r>
            </w:hyperlink>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5"/>
              </w:rPr>
            </w:pPr>
            <w:hyperlink w:anchor="page35">
              <w:r>
                <w:rPr>
                  <w:rFonts w:ascii="Times New Roman" w:cs="Times New Roman" w:eastAsia="Times New Roman" w:hAnsi="Times New Roman"/>
                  <w:sz w:val="18"/>
                  <w:szCs w:val="18"/>
                  <w:color w:val="0000EE"/>
                  <w:w w:val="95"/>
                </w:rPr>
                <w:t>PART II.</w:t>
              </w:r>
            </w:hyperlink>
          </w:p>
        </w:tc>
        <w:tc>
          <w:tcPr>
            <w:tcW w:w="400" w:type="dxa"/>
            <w:vAlign w:val="bottom"/>
            <w:gridSpan w:val="9"/>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35">
              <w:r>
                <w:rPr>
                  <w:rFonts w:ascii="Times New Roman" w:cs="Times New Roman" w:eastAsia="Times New Roman" w:hAnsi="Times New Roman"/>
                  <w:sz w:val="18"/>
                  <w:szCs w:val="18"/>
                  <w:color w:val="0000EE"/>
                  <w:w w:val="88"/>
                </w:rPr>
                <w:t>33</w:t>
              </w:r>
            </w:hyperlink>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11"/>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Item 5.</w:t>
              </w:r>
            </w:hyperlink>
          </w:p>
        </w:tc>
        <w:tc>
          <w:tcPr>
            <w:tcW w:w="7240" w:type="dxa"/>
            <w:vAlign w:val="bottom"/>
            <w:gridSpan w:val="21"/>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Market for Registrant's Common Equity, Related Stockholder Matters, and Issuer Purchases of</w:t>
              </w:r>
            </w:hyperlink>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3"/>
              </w:rPr>
            </w:pPr>
            <w:hyperlink w:anchor="page35">
              <w:r>
                <w:rPr>
                  <w:rFonts w:ascii="Times New Roman" w:cs="Times New Roman" w:eastAsia="Times New Roman" w:hAnsi="Times New Roman"/>
                  <w:sz w:val="18"/>
                  <w:szCs w:val="18"/>
                  <w:color w:val="0000EE"/>
                  <w:w w:val="93"/>
                </w:rPr>
                <w:t>Equity Securities</w:t>
              </w:r>
            </w:hyperlink>
          </w:p>
        </w:tc>
        <w:tc>
          <w:tcPr>
            <w:tcW w:w="5440" w:type="dxa"/>
            <w:vAlign w:val="bottom"/>
            <w:tcBorders>
              <w:top w:val="single" w:sz="8" w:color="0000EE"/>
            </w:tcBorders>
            <w:gridSpan w:val="15"/>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35">
              <w:r>
                <w:rPr>
                  <w:rFonts w:ascii="Times New Roman" w:cs="Times New Roman" w:eastAsia="Times New Roman" w:hAnsi="Times New Roman"/>
                  <w:sz w:val="18"/>
                  <w:szCs w:val="18"/>
                  <w:color w:val="0000EE"/>
                  <w:w w:val="88"/>
                </w:rPr>
                <w:t>33</w:t>
              </w:r>
            </w:hyperlink>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11"/>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Item 6.</w:t>
              </w:r>
            </w:hyperlink>
          </w:p>
        </w:tc>
        <w:tc>
          <w:tcPr>
            <w:tcW w:w="7240" w:type="dxa"/>
            <w:vAlign w:val="bottom"/>
            <w:gridSpan w:val="21"/>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Selected Financial Data</w:t>
              </w:r>
            </w:hyperlink>
          </w:p>
        </w:tc>
        <w:tc>
          <w:tcPr>
            <w:tcW w:w="680" w:type="dxa"/>
            <w:vAlign w:val="bottom"/>
            <w:gridSpan w:val="5"/>
          </w:tcPr>
          <w:p>
            <w:pPr>
              <w:jc w:val="right"/>
              <w:ind w:right="20"/>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35</w:t>
              </w:r>
            </w:hyperlink>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11"/>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Item 7.</w:t>
              </w:r>
            </w:hyperlink>
          </w:p>
        </w:tc>
        <w:tc>
          <w:tcPr>
            <w:tcW w:w="7240" w:type="dxa"/>
            <w:vAlign w:val="bottom"/>
            <w:gridSpan w:val="21"/>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80" w:type="dxa"/>
            <w:vAlign w:val="bottom"/>
            <w:gridSpan w:val="5"/>
          </w:tcPr>
          <w:p>
            <w:pPr>
              <w:jc w:val="right"/>
              <w:ind w:right="20"/>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36</w:t>
              </w:r>
            </w:hyperlink>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4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79">
              <w:r>
                <w:rPr>
                  <w:rFonts w:ascii="Times New Roman" w:cs="Times New Roman" w:eastAsia="Times New Roman" w:hAnsi="Times New Roman"/>
                  <w:sz w:val="18"/>
                  <w:szCs w:val="18"/>
                  <w:color w:val="0000EE"/>
                  <w:w w:val="99"/>
                </w:rPr>
                <w:t>Item 7A.</w:t>
              </w:r>
            </w:hyperlink>
          </w:p>
        </w:tc>
        <w:tc>
          <w:tcPr>
            <w:tcW w:w="240" w:type="dxa"/>
            <w:vAlign w:val="bottom"/>
            <w:gridSpan w:val="2"/>
          </w:tcPr>
          <w:p>
            <w:pPr>
              <w:spacing w:after="0"/>
              <w:rPr>
                <w:sz w:val="17"/>
                <w:szCs w:val="17"/>
                <w:color w:val="auto"/>
              </w:rPr>
            </w:pPr>
          </w:p>
        </w:tc>
        <w:tc>
          <w:tcPr>
            <w:tcW w:w="41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6"/>
              </w:rPr>
            </w:pPr>
            <w:hyperlink w:anchor="page79">
              <w:r>
                <w:rPr>
                  <w:rFonts w:ascii="Times New Roman" w:cs="Times New Roman" w:eastAsia="Times New Roman" w:hAnsi="Times New Roman"/>
                  <w:sz w:val="18"/>
                  <w:szCs w:val="18"/>
                  <w:color w:val="0000EE"/>
                  <w:w w:val="96"/>
                </w:rPr>
                <w:t>Quantitative and Qualitative Disclosures about Market Risk</w:t>
              </w:r>
            </w:hyperlink>
          </w:p>
        </w:tc>
        <w:tc>
          <w:tcPr>
            <w:tcW w:w="3060" w:type="dxa"/>
            <w:vAlign w:val="bottom"/>
            <w:gridSpan w:val="6"/>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79">
              <w:r>
                <w:rPr>
                  <w:rFonts w:ascii="Times New Roman" w:cs="Times New Roman" w:eastAsia="Times New Roman" w:hAnsi="Times New Roman"/>
                  <w:sz w:val="18"/>
                  <w:szCs w:val="18"/>
                  <w:color w:val="0000EE"/>
                  <w:w w:val="88"/>
                </w:rPr>
                <w:t>77</w:t>
              </w:r>
            </w:hyperlink>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11"/>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Item 8.</w:t>
              </w:r>
            </w:hyperlink>
          </w:p>
        </w:tc>
        <w:tc>
          <w:tcPr>
            <w:tcW w:w="7240" w:type="dxa"/>
            <w:vAlign w:val="bottom"/>
            <w:gridSpan w:val="21"/>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Financial Statements and Supplementary Data</w:t>
              </w:r>
            </w:hyperlink>
          </w:p>
        </w:tc>
        <w:tc>
          <w:tcPr>
            <w:tcW w:w="680" w:type="dxa"/>
            <w:vAlign w:val="bottom"/>
            <w:gridSpan w:val="5"/>
          </w:tcPr>
          <w:p>
            <w:pPr>
              <w:jc w:val="right"/>
              <w:ind w:right="20"/>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80</w:t>
              </w:r>
            </w:hyperlink>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4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11"/>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Item 9.</w:t>
              </w:r>
            </w:hyperlink>
          </w:p>
        </w:tc>
        <w:tc>
          <w:tcPr>
            <w:tcW w:w="7240" w:type="dxa"/>
            <w:vAlign w:val="bottom"/>
            <w:gridSpan w:val="21"/>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Changes in and Disagreements with Accountants on Accounting and Financial Disclosure</w:t>
              </w:r>
            </w:hyperlink>
          </w:p>
        </w:tc>
        <w:tc>
          <w:tcPr>
            <w:tcW w:w="680" w:type="dxa"/>
            <w:vAlign w:val="bottom"/>
            <w:gridSpan w:val="5"/>
          </w:tcPr>
          <w:p>
            <w:pPr>
              <w:jc w:val="right"/>
              <w:ind w:right="20"/>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80</w:t>
              </w:r>
            </w:hyperlink>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40" w:type="dxa"/>
            <w:vAlign w:val="bottom"/>
            <w:tcBorders>
              <w:right w:val="single" w:sz="8" w:color="0000EE"/>
            </w:tcBorders>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82">
              <w:r>
                <w:rPr>
                  <w:rFonts w:ascii="Times New Roman" w:cs="Times New Roman" w:eastAsia="Times New Roman" w:hAnsi="Times New Roman"/>
                  <w:sz w:val="18"/>
                  <w:szCs w:val="18"/>
                  <w:color w:val="0000EE"/>
                  <w:w w:val="99"/>
                </w:rPr>
                <w:t>Item 9A.</w:t>
              </w:r>
            </w:hyperlink>
          </w:p>
        </w:tc>
        <w:tc>
          <w:tcPr>
            <w:tcW w:w="240" w:type="dxa"/>
            <w:vAlign w:val="bottom"/>
            <w:gridSpan w:val="2"/>
          </w:tcPr>
          <w:p>
            <w:pPr>
              <w:spacing w:after="0"/>
              <w:rPr>
                <w:sz w:val="17"/>
                <w:szCs w:val="17"/>
                <w:color w:val="auto"/>
              </w:rPr>
            </w:pPr>
          </w:p>
        </w:tc>
        <w:tc>
          <w:tcPr>
            <w:tcW w:w="16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0"/>
              </w:rPr>
            </w:pPr>
            <w:hyperlink w:anchor="page82">
              <w:r>
                <w:rPr>
                  <w:rFonts w:ascii="Times New Roman" w:cs="Times New Roman" w:eastAsia="Times New Roman" w:hAnsi="Times New Roman"/>
                  <w:sz w:val="18"/>
                  <w:szCs w:val="18"/>
                  <w:color w:val="0000EE"/>
                  <w:w w:val="90"/>
                </w:rPr>
                <w:t>Controls and Procedures</w:t>
              </w:r>
            </w:hyperlink>
          </w:p>
        </w:tc>
        <w:tc>
          <w:tcPr>
            <w:tcW w:w="5600" w:type="dxa"/>
            <w:vAlign w:val="bottom"/>
            <w:gridSpan w:val="12"/>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82">
              <w:r>
                <w:rPr>
                  <w:rFonts w:ascii="Times New Roman" w:cs="Times New Roman" w:eastAsia="Times New Roman" w:hAnsi="Times New Roman"/>
                  <w:sz w:val="18"/>
                  <w:szCs w:val="18"/>
                  <w:color w:val="0000EE"/>
                  <w:w w:val="88"/>
                </w:rPr>
                <w:t>80</w:t>
              </w:r>
            </w:hyperlink>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w:anchor="page83">
              <w:r>
                <w:rPr>
                  <w:rFonts w:ascii="Times New Roman" w:cs="Times New Roman" w:eastAsia="Times New Roman" w:hAnsi="Times New Roman"/>
                  <w:sz w:val="18"/>
                  <w:szCs w:val="18"/>
                  <w:color w:val="0000EE"/>
                  <w:w w:val="98"/>
                </w:rPr>
                <w:t>Item 9B.</w:t>
              </w:r>
            </w:hyperlink>
          </w:p>
        </w:tc>
        <w:tc>
          <w:tcPr>
            <w:tcW w:w="260" w:type="dxa"/>
            <w:vAlign w:val="bottom"/>
            <w:gridSpan w:val="3"/>
          </w:tcPr>
          <w:p>
            <w:pPr>
              <w:spacing w:after="0"/>
              <w:rPr>
                <w:sz w:val="17"/>
                <w:szCs w:val="17"/>
                <w:color w:val="auto"/>
              </w:rPr>
            </w:pPr>
          </w:p>
        </w:tc>
        <w:tc>
          <w:tcPr>
            <w:tcW w:w="12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4"/>
              </w:rPr>
            </w:pPr>
            <w:hyperlink w:anchor="page83">
              <w:r>
                <w:rPr>
                  <w:rFonts w:ascii="Times New Roman" w:cs="Times New Roman" w:eastAsia="Times New Roman" w:hAnsi="Times New Roman"/>
                  <w:sz w:val="18"/>
                  <w:szCs w:val="18"/>
                  <w:color w:val="0000EE"/>
                  <w:w w:val="94"/>
                </w:rPr>
                <w:t>Other Information</w:t>
              </w:r>
            </w:hyperlink>
          </w:p>
        </w:tc>
        <w:tc>
          <w:tcPr>
            <w:tcW w:w="5960" w:type="dxa"/>
            <w:vAlign w:val="bottom"/>
            <w:gridSpan w:val="15"/>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83">
              <w:r>
                <w:rPr>
                  <w:rFonts w:ascii="Times New Roman" w:cs="Times New Roman" w:eastAsia="Times New Roman" w:hAnsi="Times New Roman"/>
                  <w:sz w:val="18"/>
                  <w:szCs w:val="18"/>
                  <w:color w:val="0000EE"/>
                  <w:w w:val="88"/>
                </w:rPr>
                <w:t>81</w:t>
              </w:r>
            </w:hyperlink>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84">
              <w:r>
                <w:rPr>
                  <w:rFonts w:ascii="Times New Roman" w:cs="Times New Roman" w:eastAsia="Times New Roman" w:hAnsi="Times New Roman"/>
                  <w:sz w:val="18"/>
                  <w:szCs w:val="18"/>
                  <w:color w:val="0000EE"/>
                  <w:w w:val="98"/>
                </w:rPr>
                <w:t>PART III.</w:t>
              </w:r>
            </w:hyperlink>
          </w:p>
        </w:tc>
        <w:tc>
          <w:tcPr>
            <w:tcW w:w="340" w:type="dxa"/>
            <w:vAlign w:val="bottom"/>
            <w:gridSpan w:val="7"/>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84">
              <w:r>
                <w:rPr>
                  <w:rFonts w:ascii="Times New Roman" w:cs="Times New Roman" w:eastAsia="Times New Roman" w:hAnsi="Times New Roman"/>
                  <w:sz w:val="18"/>
                  <w:szCs w:val="18"/>
                  <w:color w:val="0000EE"/>
                  <w:w w:val="88"/>
                </w:rPr>
                <w:t>82</w:t>
              </w:r>
            </w:hyperlink>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6"/>
          </w:tcPr>
          <w:p>
            <w:pPr>
              <w:spacing w:after="0" w:line="196" w:lineRule="exact"/>
              <w:rPr>
                <w:rFonts w:ascii="Times New Roman" w:cs="Times New Roman" w:eastAsia="Times New Roman" w:hAnsi="Times New Roman"/>
                <w:sz w:val="18"/>
                <w:szCs w:val="18"/>
                <w:color w:val="0000EE"/>
                <w:w w:val="96"/>
              </w:rPr>
            </w:pPr>
            <w:hyperlink w:anchor="page84">
              <w:r>
                <w:rPr>
                  <w:rFonts w:ascii="Times New Roman" w:cs="Times New Roman" w:eastAsia="Times New Roman" w:hAnsi="Times New Roman"/>
                  <w:sz w:val="18"/>
                  <w:szCs w:val="18"/>
                  <w:color w:val="0000EE"/>
                  <w:w w:val="96"/>
                </w:rPr>
                <w:t>Item 10.</w:t>
              </w:r>
            </w:hyperlink>
          </w:p>
        </w:tc>
        <w:tc>
          <w:tcPr>
            <w:tcW w:w="300" w:type="dxa"/>
            <w:vAlign w:val="bottom"/>
            <w:gridSpan w:val="5"/>
          </w:tcPr>
          <w:p>
            <w:pPr>
              <w:spacing w:after="0"/>
              <w:rPr>
                <w:sz w:val="17"/>
                <w:szCs w:val="17"/>
                <w:color w:val="auto"/>
              </w:rPr>
            </w:pPr>
          </w:p>
        </w:tc>
        <w:tc>
          <w:tcPr>
            <w:tcW w:w="7240" w:type="dxa"/>
            <w:vAlign w:val="bottom"/>
            <w:gridSpan w:val="21"/>
          </w:tcPr>
          <w:p>
            <w:pPr>
              <w:spacing w:after="0" w:line="19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Directors, Executive Officers, and Corporate Governance</w:t>
              </w:r>
            </w:hyperlink>
          </w:p>
        </w:tc>
        <w:tc>
          <w:tcPr>
            <w:tcW w:w="680" w:type="dxa"/>
            <w:vAlign w:val="bottom"/>
            <w:gridSpan w:val="5"/>
          </w:tcPr>
          <w:p>
            <w:pPr>
              <w:jc w:val="right"/>
              <w:ind w:right="20"/>
              <w:spacing w:after="0" w:line="19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82</w:t>
              </w:r>
            </w:hyperlink>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w w:val="96"/>
              </w:rPr>
            </w:pPr>
            <w:hyperlink w:anchor="page84">
              <w:r>
                <w:rPr>
                  <w:rFonts w:ascii="Times New Roman" w:cs="Times New Roman" w:eastAsia="Times New Roman" w:hAnsi="Times New Roman"/>
                  <w:sz w:val="18"/>
                  <w:szCs w:val="18"/>
                  <w:color w:val="0000EE"/>
                  <w:w w:val="96"/>
                </w:rPr>
                <w:t>Item 11.</w:t>
              </w:r>
            </w:hyperlink>
          </w:p>
        </w:tc>
        <w:tc>
          <w:tcPr>
            <w:tcW w:w="300" w:type="dxa"/>
            <w:vAlign w:val="bottom"/>
            <w:gridSpan w:val="5"/>
          </w:tcPr>
          <w:p>
            <w:pPr>
              <w:spacing w:after="0"/>
              <w:rPr>
                <w:sz w:val="17"/>
                <w:szCs w:val="17"/>
                <w:color w:val="auto"/>
              </w:rPr>
            </w:pPr>
          </w:p>
        </w:tc>
        <w:tc>
          <w:tcPr>
            <w:tcW w:w="40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Executive Compensation</w:t>
              </w:r>
            </w:hyperlink>
          </w:p>
        </w:tc>
        <w:tc>
          <w:tcPr>
            <w:tcW w:w="3240" w:type="dxa"/>
            <w:vAlign w:val="bottom"/>
            <w:gridSpan w:val="7"/>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84">
              <w:r>
                <w:rPr>
                  <w:rFonts w:ascii="Times New Roman" w:cs="Times New Roman" w:eastAsia="Times New Roman" w:hAnsi="Times New Roman"/>
                  <w:sz w:val="18"/>
                  <w:szCs w:val="18"/>
                  <w:color w:val="0000EE"/>
                  <w:w w:val="88"/>
                </w:rPr>
                <w:t>82</w:t>
              </w:r>
            </w:hyperlink>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6"/>
          </w:tcPr>
          <w:p>
            <w:pPr>
              <w:spacing w:after="0" w:line="196" w:lineRule="exact"/>
              <w:rPr>
                <w:rFonts w:ascii="Times New Roman" w:cs="Times New Roman" w:eastAsia="Times New Roman" w:hAnsi="Times New Roman"/>
                <w:sz w:val="18"/>
                <w:szCs w:val="18"/>
                <w:color w:val="0000EE"/>
                <w:w w:val="96"/>
              </w:rPr>
            </w:pPr>
            <w:hyperlink w:anchor="page84">
              <w:r>
                <w:rPr>
                  <w:rFonts w:ascii="Times New Roman" w:cs="Times New Roman" w:eastAsia="Times New Roman" w:hAnsi="Times New Roman"/>
                  <w:sz w:val="18"/>
                  <w:szCs w:val="18"/>
                  <w:color w:val="0000EE"/>
                  <w:w w:val="96"/>
                </w:rPr>
                <w:t>Item 12.</w:t>
              </w:r>
            </w:hyperlink>
          </w:p>
        </w:tc>
        <w:tc>
          <w:tcPr>
            <w:tcW w:w="300" w:type="dxa"/>
            <w:vAlign w:val="bottom"/>
            <w:gridSpan w:val="5"/>
          </w:tcPr>
          <w:p>
            <w:pPr>
              <w:spacing w:after="0"/>
              <w:rPr>
                <w:sz w:val="17"/>
                <w:szCs w:val="17"/>
                <w:color w:val="auto"/>
              </w:rPr>
            </w:pPr>
          </w:p>
        </w:tc>
        <w:tc>
          <w:tcPr>
            <w:tcW w:w="7240" w:type="dxa"/>
            <w:vAlign w:val="bottom"/>
            <w:gridSpan w:val="21"/>
          </w:tcPr>
          <w:p>
            <w:pPr>
              <w:spacing w:after="0" w:line="19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Security Ownership of Certain Beneficial Owners and Management and Related Stockholder</w:t>
              </w:r>
            </w:hyperlink>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0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Matters</w:t>
              </w:r>
            </w:hyperlink>
          </w:p>
        </w:tc>
        <w:tc>
          <w:tcPr>
            <w:tcW w:w="740" w:type="dxa"/>
            <w:vAlign w:val="bottom"/>
            <w:gridSpan w:val="2"/>
          </w:tcPr>
          <w:p>
            <w:pPr>
              <w:spacing w:after="0"/>
              <w:rPr>
                <w:sz w:val="17"/>
                <w:szCs w:val="17"/>
                <w:color w:val="auto"/>
              </w:rPr>
            </w:pPr>
          </w:p>
        </w:tc>
        <w:tc>
          <w:tcPr>
            <w:tcW w:w="680" w:type="dxa"/>
            <w:vAlign w:val="bottom"/>
            <w:gridSpan w:val="5"/>
          </w:tcPr>
          <w:p>
            <w:pPr>
              <w:jc w:val="right"/>
              <w:ind w:right="20"/>
              <w:spacing w:after="0" w:line="19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82</w:t>
              </w:r>
            </w:hyperlink>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7"/>
          </w:tcPr>
          <w:p>
            <w:pPr>
              <w:spacing w:after="0" w:line="196" w:lineRule="exact"/>
              <w:rPr>
                <w:rFonts w:ascii="Times New Roman" w:cs="Times New Roman" w:eastAsia="Times New Roman" w:hAnsi="Times New Roman"/>
                <w:sz w:val="18"/>
                <w:szCs w:val="18"/>
                <w:color w:val="0000EE"/>
                <w:w w:val="99"/>
              </w:rPr>
            </w:pPr>
            <w:hyperlink w:anchor="page84">
              <w:r>
                <w:rPr>
                  <w:rFonts w:ascii="Times New Roman" w:cs="Times New Roman" w:eastAsia="Times New Roman" w:hAnsi="Times New Roman"/>
                  <w:sz w:val="18"/>
                  <w:szCs w:val="18"/>
                  <w:color w:val="0000EE"/>
                  <w:w w:val="99"/>
                </w:rPr>
                <w:t>Item 13.</w:t>
              </w:r>
            </w:hyperlink>
          </w:p>
        </w:tc>
        <w:tc>
          <w:tcPr>
            <w:tcW w:w="280" w:type="dxa"/>
            <w:vAlign w:val="bottom"/>
            <w:gridSpan w:val="4"/>
          </w:tcPr>
          <w:p>
            <w:pPr>
              <w:spacing w:after="0"/>
              <w:rPr>
                <w:sz w:val="17"/>
                <w:szCs w:val="17"/>
                <w:color w:val="auto"/>
              </w:rPr>
            </w:pPr>
          </w:p>
        </w:tc>
        <w:tc>
          <w:tcPr>
            <w:tcW w:w="7240" w:type="dxa"/>
            <w:vAlign w:val="bottom"/>
            <w:gridSpan w:val="21"/>
          </w:tcPr>
          <w:p>
            <w:pPr>
              <w:spacing w:after="0" w:line="19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Certain Relationships and Related Transactions, and Director Independence</w:t>
              </w:r>
            </w:hyperlink>
          </w:p>
        </w:tc>
        <w:tc>
          <w:tcPr>
            <w:tcW w:w="680" w:type="dxa"/>
            <w:vAlign w:val="bottom"/>
            <w:gridSpan w:val="5"/>
          </w:tcPr>
          <w:p>
            <w:pPr>
              <w:jc w:val="right"/>
              <w:ind w:right="20"/>
              <w:spacing w:after="0" w:line="19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82</w:t>
              </w:r>
            </w:hyperlink>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w w:val="96"/>
              </w:rPr>
            </w:pPr>
            <w:hyperlink w:anchor="page84">
              <w:r>
                <w:rPr>
                  <w:rFonts w:ascii="Times New Roman" w:cs="Times New Roman" w:eastAsia="Times New Roman" w:hAnsi="Times New Roman"/>
                  <w:sz w:val="18"/>
                  <w:szCs w:val="18"/>
                  <w:color w:val="0000EE"/>
                  <w:w w:val="96"/>
                </w:rPr>
                <w:t>Item 14.</w:t>
              </w:r>
            </w:hyperlink>
          </w:p>
        </w:tc>
        <w:tc>
          <w:tcPr>
            <w:tcW w:w="20" w:type="dxa"/>
            <w:vAlign w:val="bottom"/>
            <w:tcBorders>
              <w:top w:val="single" w:sz="8" w:color="0000EE"/>
            </w:tcBorders>
          </w:tcPr>
          <w:p>
            <w:pPr>
              <w:spacing w:after="0"/>
              <w:rPr>
                <w:sz w:val="17"/>
                <w:szCs w:val="17"/>
                <w:color w:val="auto"/>
              </w:rPr>
            </w:pPr>
          </w:p>
        </w:tc>
        <w:tc>
          <w:tcPr>
            <w:tcW w:w="280" w:type="dxa"/>
            <w:vAlign w:val="bottom"/>
            <w:gridSpan w:val="4"/>
          </w:tcPr>
          <w:p>
            <w:pPr>
              <w:spacing w:after="0"/>
              <w:rPr>
                <w:sz w:val="17"/>
                <w:szCs w:val="17"/>
                <w:color w:val="auto"/>
              </w:rPr>
            </w:pPr>
          </w:p>
        </w:tc>
        <w:tc>
          <w:tcPr>
            <w:tcW w:w="52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Principal Accounting Fees and Services</w:t>
              </w:r>
            </w:hyperlink>
          </w:p>
        </w:tc>
        <w:tc>
          <w:tcPr>
            <w:tcW w:w="1960" w:type="dxa"/>
            <w:vAlign w:val="bottom"/>
            <w:gridSpan w:val="5"/>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84">
              <w:r>
                <w:rPr>
                  <w:rFonts w:ascii="Times New Roman" w:cs="Times New Roman" w:eastAsia="Times New Roman" w:hAnsi="Times New Roman"/>
                  <w:sz w:val="18"/>
                  <w:szCs w:val="18"/>
                  <w:color w:val="0000EE"/>
                  <w:w w:val="88"/>
                </w:rPr>
                <w:t>82</w:t>
              </w:r>
            </w:hyperlink>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4"/>
              </w:rPr>
            </w:pPr>
            <w:hyperlink w:anchor="page85">
              <w:r>
                <w:rPr>
                  <w:rFonts w:ascii="Times New Roman" w:cs="Times New Roman" w:eastAsia="Times New Roman" w:hAnsi="Times New Roman"/>
                  <w:sz w:val="18"/>
                  <w:szCs w:val="18"/>
                  <w:color w:val="0000EE"/>
                  <w:w w:val="94"/>
                </w:rPr>
                <w:t>PART IV.</w:t>
              </w:r>
            </w:hyperlink>
          </w:p>
        </w:tc>
        <w:tc>
          <w:tcPr>
            <w:tcW w:w="360" w:type="dxa"/>
            <w:vAlign w:val="bottom"/>
            <w:gridSpan w:val="8"/>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85">
              <w:r>
                <w:rPr>
                  <w:rFonts w:ascii="Times New Roman" w:cs="Times New Roman" w:eastAsia="Times New Roman" w:hAnsi="Times New Roman"/>
                  <w:sz w:val="18"/>
                  <w:szCs w:val="18"/>
                  <w:color w:val="0000EE"/>
                  <w:w w:val="88"/>
                </w:rPr>
                <w:t>83</w:t>
              </w:r>
            </w:hyperlink>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7"/>
          </w:tcPr>
          <w:p>
            <w:pPr>
              <w:spacing w:after="0" w:line="196" w:lineRule="exact"/>
              <w:rPr>
                <w:rFonts w:ascii="Times New Roman" w:cs="Times New Roman" w:eastAsia="Times New Roman" w:hAnsi="Times New Roman"/>
                <w:sz w:val="18"/>
                <w:szCs w:val="18"/>
                <w:color w:val="0000EE"/>
                <w:w w:val="99"/>
              </w:rPr>
            </w:pPr>
            <w:hyperlink w:anchor="page85">
              <w:r>
                <w:rPr>
                  <w:rFonts w:ascii="Times New Roman" w:cs="Times New Roman" w:eastAsia="Times New Roman" w:hAnsi="Times New Roman"/>
                  <w:sz w:val="18"/>
                  <w:szCs w:val="18"/>
                  <w:color w:val="0000EE"/>
                  <w:w w:val="99"/>
                </w:rPr>
                <w:t>Item 15.</w:t>
              </w:r>
            </w:hyperlink>
          </w:p>
        </w:tc>
        <w:tc>
          <w:tcPr>
            <w:tcW w:w="280" w:type="dxa"/>
            <w:vAlign w:val="bottom"/>
            <w:gridSpan w:val="4"/>
          </w:tcPr>
          <w:p>
            <w:pPr>
              <w:spacing w:after="0"/>
              <w:rPr>
                <w:sz w:val="17"/>
                <w:szCs w:val="17"/>
                <w:color w:val="auto"/>
              </w:rPr>
            </w:pPr>
          </w:p>
        </w:tc>
        <w:tc>
          <w:tcPr>
            <w:tcW w:w="7240" w:type="dxa"/>
            <w:vAlign w:val="bottom"/>
            <w:gridSpan w:val="21"/>
          </w:tcPr>
          <w:p>
            <w:pPr>
              <w:spacing w:after="0" w:line="196"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Exhibits, Financial Statement Schedule</w:t>
              </w:r>
            </w:hyperlink>
          </w:p>
        </w:tc>
        <w:tc>
          <w:tcPr>
            <w:tcW w:w="680" w:type="dxa"/>
            <w:vAlign w:val="bottom"/>
            <w:gridSpan w:val="5"/>
          </w:tcPr>
          <w:p>
            <w:pPr>
              <w:jc w:val="right"/>
              <w:ind w:right="20"/>
              <w:spacing w:after="0" w:line="196"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83</w:t>
              </w:r>
            </w:hyperlink>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85">
              <w:r>
                <w:rPr>
                  <w:rFonts w:ascii="Times New Roman" w:cs="Times New Roman" w:eastAsia="Times New Roman" w:hAnsi="Times New Roman"/>
                  <w:sz w:val="18"/>
                  <w:szCs w:val="18"/>
                  <w:color w:val="0000EE"/>
                  <w:w w:val="99"/>
                </w:rPr>
                <w:t>Item 16.</w:t>
              </w:r>
            </w:hyperlink>
          </w:p>
        </w:tc>
        <w:tc>
          <w:tcPr>
            <w:tcW w:w="280" w:type="dxa"/>
            <w:vAlign w:val="bottom"/>
            <w:gridSpan w:val="4"/>
          </w:tcPr>
          <w:p>
            <w:pPr>
              <w:spacing w:after="0"/>
              <w:rPr>
                <w:sz w:val="17"/>
                <w:szCs w:val="17"/>
                <w:color w:val="auto"/>
              </w:rPr>
            </w:pPr>
          </w:p>
        </w:tc>
        <w:tc>
          <w:tcPr>
            <w:tcW w:w="27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Form 10-K Summary</w:t>
              </w:r>
            </w:hyperlink>
          </w:p>
        </w:tc>
        <w:tc>
          <w:tcPr>
            <w:tcW w:w="4480" w:type="dxa"/>
            <w:vAlign w:val="bottom"/>
            <w:gridSpan w:val="9"/>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85">
              <w:r>
                <w:rPr>
                  <w:rFonts w:ascii="Times New Roman" w:cs="Times New Roman" w:eastAsia="Times New Roman" w:hAnsi="Times New Roman"/>
                  <w:sz w:val="18"/>
                  <w:szCs w:val="18"/>
                  <w:color w:val="0000EE"/>
                  <w:w w:val="88"/>
                </w:rPr>
                <w:t>83</w:t>
              </w:r>
            </w:hyperlink>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7"/>
              </w:rPr>
            </w:pPr>
            <w:hyperlink w:anchor="page154">
              <w:r>
                <w:rPr>
                  <w:rFonts w:ascii="Times New Roman" w:cs="Times New Roman" w:eastAsia="Times New Roman" w:hAnsi="Times New Roman"/>
                  <w:sz w:val="18"/>
                  <w:szCs w:val="18"/>
                  <w:color w:val="0000EE"/>
                  <w:w w:val="97"/>
                </w:rPr>
                <w:t>Exhibit Index</w:t>
              </w:r>
            </w:hyperlink>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2"/>
              </w:rPr>
            </w:pPr>
            <w:hyperlink w:anchor="page154">
              <w:r>
                <w:rPr>
                  <w:rFonts w:ascii="Times New Roman" w:cs="Times New Roman" w:eastAsia="Times New Roman" w:hAnsi="Times New Roman"/>
                  <w:sz w:val="18"/>
                  <w:szCs w:val="18"/>
                  <w:color w:val="0000EE"/>
                  <w:w w:val="92"/>
                </w:rPr>
                <w:t>E-1</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320" w:type="dxa"/>
            <w:vAlign w:val="bottom"/>
            <w:gridSpan w:val="33"/>
          </w:tcPr>
          <w:p>
            <w:pPr>
              <w:spacing w:after="0" w:line="196" w:lineRule="exact"/>
              <w:rPr>
                <w:rFonts w:ascii="Times New Roman" w:cs="Times New Roman" w:eastAsia="Times New Roman" w:hAnsi="Times New Roman"/>
                <w:sz w:val="18"/>
                <w:szCs w:val="18"/>
                <w:color w:val="0000EE"/>
              </w:rPr>
            </w:pPr>
            <w:hyperlink w:anchor="page160">
              <w:r>
                <w:rPr>
                  <w:rFonts w:ascii="Times New Roman" w:cs="Times New Roman" w:eastAsia="Times New Roman" w:hAnsi="Times New Roman"/>
                  <w:sz w:val="18"/>
                  <w:szCs w:val="18"/>
                  <w:color w:val="0000EE"/>
                </w:rPr>
                <w:t>SIGNATURES</w:t>
              </w:r>
            </w:hyperlink>
          </w:p>
        </w:tc>
        <w:tc>
          <w:tcPr>
            <w:tcW w:w="1960" w:type="dxa"/>
            <w:vAlign w:val="bottom"/>
            <w:gridSpan w:val="6"/>
          </w:tcPr>
          <w:p>
            <w:pPr>
              <w:ind w:left="400"/>
              <w:spacing w:after="0" w:line="196" w:lineRule="exact"/>
              <w:rPr>
                <w:rFonts w:ascii="Times New Roman" w:cs="Times New Roman" w:eastAsia="Times New Roman" w:hAnsi="Times New Roman"/>
                <w:sz w:val="18"/>
                <w:szCs w:val="18"/>
                <w:color w:val="0000EE"/>
              </w:rPr>
            </w:pPr>
            <w:hyperlink w:anchor="page160">
              <w:r>
                <w:rPr>
                  <w:rFonts w:ascii="Times New Roman" w:cs="Times New Roman" w:eastAsia="Times New Roman" w:hAnsi="Times New Roman"/>
                  <w:sz w:val="18"/>
                  <w:szCs w:val="18"/>
                  <w:color w:val="0000EE"/>
                </w:rPr>
                <w:t>E-7</w:t>
              </w:r>
            </w:hyperlink>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0" w:type="dxa"/>
            <w:vAlign w:val="bottom"/>
            <w:gridSpan w:val="14"/>
          </w:tcPr>
          <w:p>
            <w:pPr>
              <w:jc w:val="right"/>
              <w:ind w:right="4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225" w:lineRule="exact"/>
        <w:rPr>
          <w:sz w:val="20"/>
          <w:szCs w:val="20"/>
          <w:color w:val="auto"/>
        </w:rPr>
      </w:pPr>
    </w:p>
    <w:p>
      <w:pPr>
        <w:ind w:right="200" w:firstLine="351"/>
        <w:spacing w:after="0" w:line="291" w:lineRule="auto"/>
        <w:rPr>
          <w:sz w:val="20"/>
          <w:szCs w:val="20"/>
          <w:color w:val="auto"/>
        </w:rPr>
      </w:pPr>
      <w:r>
        <w:rPr>
          <w:rFonts w:ascii="Times New Roman" w:cs="Times New Roman" w:eastAsia="Times New Roman" w:hAnsi="Times New Roman"/>
          <w:sz w:val="16"/>
          <w:szCs w:val="16"/>
          <w:i w:val="1"/>
          <w:iCs w:val="1"/>
          <w:color w:val="auto"/>
        </w:rPr>
        <w:t>This Annual Report on Form 10-K contains, or incorporates by reference, certain forward-looking statements within the meaning of the Private Securities Litigation Reform Act of 1995. Such statements consist of any statement other than a recitation of historical facts and include, but are not limited to:</w:t>
      </w:r>
    </w:p>
    <w:p>
      <w:pPr>
        <w:ind w:right="120" w:firstLine="8"/>
        <w:spacing w:after="0" w:line="281" w:lineRule="auto"/>
        <w:tabs>
          <w:tab w:leader="none" w:pos="249"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projections of revenues, expenses, income or loss, earnings or loss per share, cash flow, or other financial items; (2) statements of our plans and objectives, including those related to releases of products or services and restructuring activities; (3) statements of future financial or operating performance, including the impact of tax items thereon; and (4) statements of assumptions underlying such statements. Activision Blizzard, Inc. generally uses words such as "outlook,"</w:t>
      </w:r>
    </w:p>
    <w:p>
      <w:pPr>
        <w:spacing w:after="0" w:line="2" w:lineRule="exact"/>
        <w:rPr>
          <w:rFonts w:ascii="Times New Roman" w:cs="Times New Roman" w:eastAsia="Times New Roman" w:hAnsi="Times New Roman"/>
          <w:sz w:val="16"/>
          <w:szCs w:val="16"/>
          <w:i w:val="1"/>
          <w:iCs w:val="1"/>
          <w:color w:val="auto"/>
        </w:rPr>
      </w:pPr>
    </w:p>
    <w:p>
      <w:pPr>
        <w:spacing w:after="0" w:line="254" w:lineRule="auto"/>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i w:val="1"/>
          <w:iCs w:val="1"/>
          <w:color w:val="auto"/>
        </w:rPr>
        <w:t>"forecast," "will," "could," "should," "would," "to be," "plan," "plans," "believes," "may," "might," "expects," "intends," "intends as," "anticipates," "estimate," "future," "positioned," "potential," "project," "remain," "scheduled," "set to," "subject to," "upcoming" and other similar expressions to help identify forward-looking statements. Forward-looking statements are subject to business and economic risks, reflect management's current expectations, estimates, and projections about our business, and are inherently uncertain and difficult to predict.</w:t>
      </w:r>
    </w:p>
    <w:p>
      <w:pPr>
        <w:spacing w:after="0" w:line="190"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The company cautions that a number of important factors could cause Activision Blizzard, Inc.'s actual future results and other future circumstances to differ materially from those expressed in any forward-looking statements. Some of the risk factors that could cause our actual results to differ from those stated in forward-looking statements can be found in "Risk Factors" included in Part I, Item 1A of this Annual Report on Form 10-K. The forward-looking statements contained herein are based upon information available to us as of the date of this Annual Report on Form 10-K and we assume no obligation to update any such forward-looking statements. Although these forward-looking statements are believed to be true when made, they may ultimately prove to be incorrect. These statements are not guarantees of our future performance and are subject to risks, uncertainties, and other factors, some of which are beyond our control and may cause actual results to differ materially from current expectations.</w:t>
      </w:r>
    </w:p>
    <w:p>
      <w:pPr>
        <w:spacing w:after="0" w:line="189" w:lineRule="exact"/>
        <w:rPr>
          <w:sz w:val="20"/>
          <w:szCs w:val="20"/>
          <w:color w:val="auto"/>
        </w:rPr>
      </w:pPr>
    </w:p>
    <w:p>
      <w:pPr>
        <w:ind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Activision Blizzard Inc.'s names, abbreviations thereof, logos, and product and service designators are all either the registered or unregistered trademarks or trade names of Activision Blizzard. All other product or service names are the property of their respective owners. All dollar amounts referred to in, or contemplated by, this Annual Report on Form 10-K refer to United States ("U.S.") dollars, unless otherwise explicitly stated to the contrary.</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40" w:firstLine="341"/>
        <w:spacing w:after="0" w:line="258" w:lineRule="auto"/>
        <w:rPr>
          <w:sz w:val="20"/>
          <w:szCs w:val="20"/>
          <w:color w:val="auto"/>
        </w:rPr>
      </w:pPr>
      <w:r>
        <w:rPr>
          <w:rFonts w:ascii="Times New Roman" w:cs="Times New Roman" w:eastAsia="Times New Roman" w:hAnsi="Times New Roman"/>
          <w:sz w:val="18"/>
          <w:szCs w:val="18"/>
          <w:color w:val="auto"/>
        </w:rPr>
        <w:t>Activision Blizzard, Inc. is a leading global developer and publisher of interactive entertainment content and services. We develop and distribute content and services on video game consoles, personal computers ("PC"s), and mobile devices. We also operate esports leagues and events and create film and television content based on our intellectual property. The terms "Activision Blizzard," the "Company," "we," "us," and "our" are used to refer collectively to Activision Blizzard, Inc. and its subsidiaries.</w:t>
      </w:r>
    </w:p>
    <w:p>
      <w:pPr>
        <w:spacing w:after="0" w:line="190" w:lineRule="exact"/>
        <w:rPr>
          <w:sz w:val="20"/>
          <w:szCs w:val="20"/>
          <w:color w:val="auto"/>
        </w:rPr>
      </w:pPr>
    </w:p>
    <w:p>
      <w:pPr>
        <w:ind w:right="80" w:firstLine="348"/>
        <w:spacing w:after="0" w:line="262" w:lineRule="auto"/>
        <w:rPr>
          <w:sz w:val="20"/>
          <w:szCs w:val="20"/>
          <w:color w:val="auto"/>
        </w:rPr>
      </w:pPr>
      <w:r>
        <w:rPr>
          <w:rFonts w:ascii="Times New Roman" w:cs="Times New Roman" w:eastAsia="Times New Roman" w:hAnsi="Times New Roman"/>
          <w:sz w:val="18"/>
          <w:szCs w:val="18"/>
          <w:color w:val="auto"/>
        </w:rPr>
        <w:t>The Company was originally incorporated in California in 1979 and was reincorporated in Delaware in December 1992. In connection with the 2008 business combination by and among the Company (then known as Activision, Inc.), Vivendi S.A. ("Vivendi"), and Vivendi Games, Inc., then an indirect wholly-owned subsidiary of Vivendi, we were renamed Activision Blizzard, Inc.</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common stock of Activision Blizzard is traded on The Nasdaq Stock Market under the ticker symbol "ATVI."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King Acquisition</w:t>
      </w:r>
    </w:p>
    <w:p>
      <w:pPr>
        <w:spacing w:after="0" w:line="227"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On February 23, 2016 (the "King Closing Date"), we acquired King Digital Entertainment, a leading interactive mobile entertainment company ("King"), by purchasing all of its outstanding shares (the "King Acquisition"). We made this acquisition because we believed that the addition of King's highly complementary mobile business positioned us as a global leader in interactive entertainment across mobile, console, and PC platforms, and aligned us for future growth. The aggregate purchase price of approximately $5.8 billion was funded with $3.6 billion of existing cash and $2.2 billion of cash from new debt issued by the Company. King's results of operations since the King Closing Date are included in our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Strategy and Vision</w:t>
      </w:r>
    </w:p>
    <w:p>
      <w:pPr>
        <w:spacing w:after="0" w:line="229" w:lineRule="exact"/>
        <w:rPr>
          <w:sz w:val="20"/>
          <w:szCs w:val="20"/>
          <w:color w:val="auto"/>
        </w:rPr>
      </w:pPr>
    </w:p>
    <w:p>
      <w:pPr>
        <w:jc w:val="both"/>
        <w:ind w:right="120" w:firstLine="351"/>
        <w:spacing w:after="0" w:line="262" w:lineRule="auto"/>
        <w:rPr>
          <w:sz w:val="20"/>
          <w:szCs w:val="20"/>
          <w:color w:val="auto"/>
        </w:rPr>
      </w:pPr>
      <w:r>
        <w:rPr>
          <w:rFonts w:ascii="Times New Roman" w:cs="Times New Roman" w:eastAsia="Times New Roman" w:hAnsi="Times New Roman"/>
          <w:sz w:val="18"/>
          <w:szCs w:val="18"/>
          <w:color w:val="auto"/>
        </w:rPr>
        <w:t>Our objective is to continue to be a worldwide leader in the development, publishing, and distribution of high-quality interactive entertainment content and services, as well as related media, that deliver engaging entertainment experiences on a year-round basis. In pursuit of this objective we focus on three strategic pillars: expanding audience reach; driving deep consumer engagement; and providing more opportunities for player investment.</w:t>
      </w:r>
    </w:p>
    <w:p>
      <w:pPr>
        <w:spacing w:after="0" w:line="184" w:lineRule="exact"/>
        <w:rPr>
          <w:sz w:val="20"/>
          <w:szCs w:val="20"/>
          <w:color w:val="auto"/>
        </w:rPr>
      </w:pPr>
    </w:p>
    <w:p>
      <w:pPr>
        <w:ind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Expanding audience reach. </w:t>
      </w:r>
      <w:r>
        <w:rPr>
          <w:rFonts w:ascii="Times New Roman" w:cs="Times New Roman" w:eastAsia="Times New Roman" w:hAnsi="Times New Roman"/>
          <w:sz w:val="18"/>
          <w:szCs w:val="18"/>
          <w:color w:val="auto"/>
        </w:rPr>
        <w:t>Building on our strong established franchises and creating new franchises through compelling new content is at the core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We endeavor to reach as many consumers as possible either through: (1) the purchase of our content and services; (2) engagement in our free-to-play games, which allow consumers to play games with no up-front cost but provide for player investment through sales of downloadable content or via microtransactions; or (3) engagement in other types of media based on our franchises, such as esports and film and television content.</w:t>
      </w:r>
    </w:p>
    <w:p>
      <w:pPr>
        <w:spacing w:after="0" w:line="187" w:lineRule="exact"/>
        <w:rPr>
          <w:sz w:val="20"/>
          <w:szCs w:val="20"/>
          <w:color w:val="auto"/>
        </w:rPr>
      </w:pPr>
    </w:p>
    <w:p>
      <w:pPr>
        <w:ind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Driving deep consumer engagement. </w:t>
      </w:r>
      <w:r>
        <w:rPr>
          <w:rFonts w:ascii="Times New Roman" w:cs="Times New Roman" w:eastAsia="Times New Roman" w:hAnsi="Times New Roman"/>
          <w:sz w:val="18"/>
          <w:szCs w:val="18"/>
          <w:color w:val="auto"/>
        </w:rPr>
        <w:t>Our high-quality entertainment content not only expands our audience reach, but it also drives deep engagement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franchises. We design our games, as well as related media, to provide a depth of content that keeps consumers engaged for a long period of time following a game's release, delivering more value to our players and additional growth opportunities for our franchises.</w:t>
      </w:r>
    </w:p>
    <w:p>
      <w:pPr>
        <w:spacing w:after="0" w:line="181" w:lineRule="exact"/>
        <w:rPr>
          <w:sz w:val="20"/>
          <w:szCs w:val="20"/>
          <w:color w:val="auto"/>
        </w:rPr>
      </w:pPr>
    </w:p>
    <w:p>
      <w:pPr>
        <w:ind w:right="60" w:firstLine="351"/>
        <w:spacing w:after="0" w:line="291" w:lineRule="auto"/>
        <w:rPr>
          <w:sz w:val="20"/>
          <w:szCs w:val="20"/>
          <w:color w:val="auto"/>
        </w:rPr>
      </w:pPr>
      <w:r>
        <w:rPr>
          <w:rFonts w:ascii="Times New Roman" w:cs="Times New Roman" w:eastAsia="Times New Roman" w:hAnsi="Times New Roman"/>
          <w:sz w:val="16"/>
          <w:szCs w:val="16"/>
          <w:i w:val="1"/>
          <w:iCs w:val="1"/>
          <w:color w:val="auto"/>
        </w:rPr>
        <w:t xml:space="preserve">Providing more opportunities for player investment. </w:t>
      </w:r>
      <w:r>
        <w:rPr>
          <w:rFonts w:ascii="Times New Roman" w:cs="Times New Roman" w:eastAsia="Times New Roman" w:hAnsi="Times New Roman"/>
          <w:sz w:val="16"/>
          <w:szCs w:val="16"/>
          <w:color w:val="auto"/>
        </w:rPr>
        <w:t>Increasingly, our consumers are connected to our games online through consoles, PCs, and mobile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devices. This allows us to offer additional digital player investment opportunities directly to our consumers on a year-round basis. In addition to purchasing full games or subscriptions, players can invest in certain of our games and franchises by purchasing incremental "in-game" content (including larger downloadable content or smaller content, via microtransactions). These digital revenue streams tend to be more recurring and have relatively higher profit margins. Further, if executed properly, additional player investment can increase engagement as it provides more frequent and incremental content for our players. In addition, we have begun to generate revenue through offering advertising within certain of our franchises, and we believe there are opportunities to grow new forms of player investment through esports, film and television, and consumer products. We are in the early stages of developing these new revenue streams.</w:t>
      </w:r>
    </w:p>
    <w:p>
      <w:pPr>
        <w:spacing w:after="0" w:line="169"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Our strategy is ultimately aimed at creating shareholder value and enhancing returns. We strive to increase profitability, cash flows, and return on capital— and to do so while keeping our company a great place to work for our employees.</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Based upon our organizational structure, we conduct our business through three reportable segments as follows:</w:t>
      </w:r>
    </w:p>
    <w:p>
      <w:pPr>
        <w:spacing w:after="0" w:line="22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i w:val="1"/>
          <w:iCs w:val="1"/>
          <w:color w:val="auto"/>
        </w:rPr>
        <w:t>(i)</w:t>
      </w:r>
      <w:r>
        <w:rPr>
          <w:sz w:val="20"/>
          <w:szCs w:val="20"/>
          <w:color w:val="auto"/>
        </w:rPr>
        <w:tab/>
      </w:r>
      <w:r>
        <w:rPr>
          <w:rFonts w:ascii="Times New Roman" w:cs="Times New Roman" w:eastAsia="Times New Roman" w:hAnsi="Times New Roman"/>
          <w:sz w:val="16"/>
          <w:szCs w:val="16"/>
          <w:i w:val="1"/>
          <w:iCs w:val="1"/>
          <w:color w:val="auto"/>
        </w:rPr>
        <w:t>Activision Publishing, Inc.</w:t>
      </w:r>
    </w:p>
    <w:p>
      <w:pPr>
        <w:spacing w:after="0" w:line="227" w:lineRule="exact"/>
        <w:rPr>
          <w:sz w:val="20"/>
          <w:szCs w:val="20"/>
          <w:color w:val="auto"/>
        </w:rPr>
      </w:pPr>
    </w:p>
    <w:p>
      <w:pPr>
        <w:ind w:firstLine="341"/>
        <w:spacing w:after="0" w:line="258" w:lineRule="auto"/>
        <w:rPr>
          <w:sz w:val="20"/>
          <w:szCs w:val="20"/>
          <w:color w:val="auto"/>
        </w:rPr>
      </w:pPr>
      <w:r>
        <w:rPr>
          <w:rFonts w:ascii="Times New Roman" w:cs="Times New Roman" w:eastAsia="Times New Roman" w:hAnsi="Times New Roman"/>
          <w:sz w:val="18"/>
          <w:szCs w:val="18"/>
          <w:color w:val="auto"/>
        </w:rPr>
        <w:t>Activision Publishing, Inc. ("Activision") is a leading global developer and publisher of interactive software products and entertainment content, particularly for the console platforms. Activision primarily delivers content through retail and digital channels, including full-game and in-game sales, as well as by licensing software to third-party or related-party companies that distribute Activision products. Activision develops, markets, and sells products primarily based on our internally developed intellectual properties, as well as some licensed properties.</w:t>
      </w:r>
    </w:p>
    <w:p>
      <w:pPr>
        <w:spacing w:after="0" w:line="193" w:lineRule="exact"/>
        <w:rPr>
          <w:sz w:val="20"/>
          <w:szCs w:val="20"/>
          <w:color w:val="auto"/>
        </w:rPr>
      </w:pPr>
    </w:p>
    <w:p>
      <w:pPr>
        <w:ind w:right="140" w:firstLine="341"/>
        <w:spacing w:after="0" w:line="224" w:lineRule="auto"/>
        <w:rPr>
          <w:sz w:val="20"/>
          <w:szCs w:val="20"/>
          <w:color w:val="auto"/>
        </w:rPr>
      </w:pPr>
      <w:r>
        <w:rPr>
          <w:rFonts w:ascii="Times New Roman" w:cs="Times New Roman" w:eastAsia="Times New Roman" w:hAnsi="Times New Roman"/>
          <w:sz w:val="18"/>
          <w:szCs w:val="18"/>
          <w:color w:val="auto"/>
        </w:rPr>
        <w:t>Activision's key product franchise is Call of Duty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 first-person shooter for the console and PC platforms. Call of Duty has been the number one console franchise globally for nine of the last 10 years, based on data from The NPD Group, GfK Chart-Track, and GSD, and our internal estimates of dollar sales on front line games.</w:t>
      </w:r>
    </w:p>
    <w:p>
      <w:pPr>
        <w:spacing w:after="0" w:line="204"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In 2010, Activision entered into an exclusive relationship with Bungie, Inc. ("Bungie") to publish games in the Destiny franchise. Effective December 31, 2018, Activision and Bungie, mutually agreed to terminate their publishing relationship related to the Destiny franchise. As part of this termination, Activision agreed to transfer its publishing rights for the Destiny franchise to Bungie in exchange for cash and Bungie's assumption of on-going customer obligations of Activision. Going forward, Activision no longer has any material rights or obligations related to the Destiny franchise. As a result of the agreement to terminate the relationship, the Company recognized net bookings, a key operating metric, of $20 million, GAAP revenues of $164 million, and GAAP operating income of $91 million for the year ended December 31, 2018.</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  Blizzard Entertainment, Inc.</w:t>
      </w:r>
    </w:p>
    <w:p>
      <w:pPr>
        <w:spacing w:after="0" w:line="227" w:lineRule="exact"/>
        <w:rPr>
          <w:sz w:val="20"/>
          <w:szCs w:val="20"/>
          <w:color w:val="auto"/>
        </w:rPr>
      </w:pPr>
    </w:p>
    <w:p>
      <w:pPr>
        <w:ind w:right="20" w:firstLine="351"/>
        <w:spacing w:after="0" w:line="244" w:lineRule="auto"/>
        <w:rPr>
          <w:sz w:val="20"/>
          <w:szCs w:val="20"/>
          <w:color w:val="auto"/>
        </w:rPr>
      </w:pPr>
      <w:r>
        <w:rPr>
          <w:rFonts w:ascii="Times New Roman" w:cs="Times New Roman" w:eastAsia="Times New Roman" w:hAnsi="Times New Roman"/>
          <w:sz w:val="17"/>
          <w:szCs w:val="17"/>
          <w:color w:val="auto"/>
        </w:rPr>
        <w:t>Blizzard Entertainment, Inc. ("Blizzard") is a leading global developer and publisher of interactive software products and entertainment content, particularly for the PC platform. Blizzard primarily delivers content through retail and digital channels, including subscriptions, full-game, and in-game sales, as well as by licensing software to third-party or related-party companies that distribute Blizzard products. Blizzard also maintains a proprietary online gaming service, Blizzard Battle.net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which facilitates digital distribution of Blizzard content and selected Activision content, online social connectivity, and the creation of user-</w:t>
      </w:r>
    </w:p>
    <w:p>
      <w:pPr>
        <w:ind w:right="60"/>
        <w:spacing w:after="0" w:line="218" w:lineRule="auto"/>
        <w:rPr>
          <w:sz w:val="20"/>
          <w:szCs w:val="20"/>
          <w:color w:val="auto"/>
        </w:rPr>
      </w:pPr>
      <w:r>
        <w:rPr>
          <w:rFonts w:ascii="Times New Roman" w:cs="Times New Roman" w:eastAsia="Times New Roman" w:hAnsi="Times New Roman"/>
          <w:sz w:val="18"/>
          <w:szCs w:val="18"/>
          <w:color w:val="auto"/>
        </w:rPr>
        <w:t>generated content. Blizzard also includes the activities of the Overwatch League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the first major global professional esports league with city-based teams, and our Major League Gaming ("MLG") business, which is responsible for various esports events and serves as a multi-platform network for Activision Blizzard esports content.</w:t>
      </w:r>
    </w:p>
    <w:p>
      <w:pPr>
        <w:spacing w:after="0" w:line="210" w:lineRule="exact"/>
        <w:rPr>
          <w:sz w:val="20"/>
          <w:szCs w:val="20"/>
          <w:color w:val="auto"/>
        </w:rPr>
      </w:pPr>
    </w:p>
    <w:p>
      <w:pPr>
        <w:jc w:val="both"/>
        <w:ind w:right="320" w:firstLine="351"/>
        <w:spacing w:after="0" w:line="223" w:lineRule="auto"/>
        <w:rPr>
          <w:sz w:val="20"/>
          <w:szCs w:val="20"/>
          <w:color w:val="auto"/>
        </w:rPr>
      </w:pPr>
      <w:r>
        <w:rPr>
          <w:rFonts w:ascii="Times New Roman" w:cs="Times New Roman" w:eastAsia="Times New Roman" w:hAnsi="Times New Roman"/>
          <w:sz w:val="17"/>
          <w:szCs w:val="17"/>
          <w:color w:val="auto"/>
        </w:rPr>
        <w:t>Blizzard's key product franchises include: World of Warcraft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a subscription-based massive multi-player online role-playing game for the PC platform; StarCraft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a real-time strategy franchise for the PC platform; Diablo</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an action role-playing franchise for the PC and console platforms; Hearthstone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an online collectible card franchise for the PC and mobile platforms; and Overwatch</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a team-based first-person shooter for the PC and console platforms.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(iii) King Digital Entertainment</w:t>
      </w:r>
    </w:p>
    <w:p>
      <w:pPr>
        <w:spacing w:after="0" w:line="227" w:lineRule="exact"/>
        <w:rPr>
          <w:sz w:val="20"/>
          <w:szCs w:val="20"/>
          <w:color w:val="auto"/>
        </w:rPr>
      </w:pPr>
    </w:p>
    <w:p>
      <w:pPr>
        <w:ind w:right="360" w:firstLine="351"/>
        <w:spacing w:after="0" w:line="339" w:lineRule="auto"/>
        <w:rPr>
          <w:sz w:val="20"/>
          <w:szCs w:val="20"/>
          <w:color w:val="auto"/>
        </w:rPr>
      </w:pPr>
      <w:r>
        <w:rPr>
          <w:rFonts w:ascii="Times New Roman" w:cs="Times New Roman" w:eastAsia="Times New Roman" w:hAnsi="Times New Roman"/>
          <w:sz w:val="16"/>
          <w:szCs w:val="16"/>
          <w:color w:val="auto"/>
        </w:rPr>
        <w:t>King is a leading global developer and publisher of interactive entertainment content and services, primarily on mobile platforms, such as Google Inc.'s ("Google") Android and Apple Inc.'s ("Apple") iOS. King also distributes its content and services on the PC platform, primarily via Facebook. King's</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games are free to play; however, players can acquire in-game items, either with virtual currency or real currency, and we continue to focus on in-game advertising as a growing source of additional revenue.</w:t>
      </w:r>
    </w:p>
    <w:p>
      <w:pPr>
        <w:spacing w:after="0" w:line="174" w:lineRule="exact"/>
        <w:rPr>
          <w:sz w:val="20"/>
          <w:szCs w:val="20"/>
          <w:color w:val="auto"/>
        </w:rPr>
      </w:pPr>
    </w:p>
    <w:p>
      <w:pPr>
        <w:ind w:right="200" w:firstLine="351"/>
        <w:spacing w:after="0" w:line="258" w:lineRule="auto"/>
        <w:rPr>
          <w:sz w:val="20"/>
          <w:szCs w:val="20"/>
          <w:color w:val="auto"/>
        </w:rPr>
      </w:pPr>
      <w:r>
        <w:rPr>
          <w:rFonts w:ascii="Times New Roman" w:cs="Times New Roman" w:eastAsia="Times New Roman" w:hAnsi="Times New Roman"/>
          <w:sz w:val="18"/>
          <w:szCs w:val="18"/>
          <w:color w:val="auto"/>
        </w:rPr>
        <w:t>King's key product franchises, all of which are for the mobile and PC platforms, include: Candy Crush™, which features "match three" games; Farm Heroes™, which also features "match three" games; and Bubble Witch™, which features "bubble shooter" games. King had two of the top 10 highest-grossing titles in the U.S. mobile app stores for the last 21 quarters in a row, according to App Annie Intelligence and internal estimates for the Apple App Store and the Google Play Store combined.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also engage in other businesses that do not represent reportable segments, including:</w:t>
      </w:r>
    </w:p>
    <w:p>
      <w:pPr>
        <w:spacing w:after="0" w:line="239" w:lineRule="exact"/>
        <w:rPr>
          <w:sz w:val="20"/>
          <w:szCs w:val="20"/>
          <w:color w:val="auto"/>
        </w:rPr>
      </w:pPr>
    </w:p>
    <w:p>
      <w:pPr>
        <w:jc w:val="both"/>
        <w:ind w:left="1080" w:right="400" w:hanging="532"/>
        <w:spacing w:after="0" w:line="26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Activision Blizzard Studios ("Studios") business, which is devoted to creating original film and television content based on our library of globally recognized intellectual properties, and which, in September 2018, released the third season of the animated TV series </w:t>
      </w:r>
      <w:r>
        <w:rPr>
          <w:rFonts w:ascii="Times New Roman" w:cs="Times New Roman" w:eastAsia="Times New Roman" w:hAnsi="Times New Roman"/>
          <w:sz w:val="18"/>
          <w:szCs w:val="18"/>
          <w:i w:val="1"/>
          <w:iCs w:val="1"/>
          <w:color w:val="auto"/>
        </w:rPr>
        <w:t>Skylanders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Academy </w:t>
      </w:r>
      <w:r>
        <w:rPr>
          <w:rFonts w:ascii="Times New Roman" w:cs="Times New Roman" w:eastAsia="Times New Roman" w:hAnsi="Times New Roman"/>
          <w:sz w:val="18"/>
          <w:szCs w:val="18"/>
          <w:color w:val="auto"/>
        </w:rPr>
        <w:t>on Netflix; and</w:t>
      </w:r>
    </w:p>
    <w:p>
      <w:pPr>
        <w:spacing w:after="0" w:line="213" w:lineRule="exact"/>
        <w:rPr>
          <w:rFonts w:ascii="Times New Roman" w:cs="Times New Roman" w:eastAsia="Times New Roman" w:hAnsi="Times New Roman"/>
          <w:sz w:val="18"/>
          <w:szCs w:val="18"/>
          <w:color w:val="auto"/>
        </w:rPr>
      </w:pPr>
    </w:p>
    <w:p>
      <w:pPr>
        <w:jc w:val="both"/>
        <w:ind w:left="1080" w:right="300" w:hanging="532"/>
        <w:spacing w:after="0" w:line="26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229"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8"/>
          <w:szCs w:val="18"/>
          <w:color w:val="auto"/>
        </w:rPr>
        <w:t>We develop interactive entertainment content and services, principally for console, PC, and mobile devices, and we market and sell our games through retail and digital distribution channels. Our products span various genres, including first-person shooter, action/adventure, role-playing, strategy, and "match three," among others. We primarily offer the following products and services:</w:t>
      </w:r>
    </w:p>
    <w:p>
      <w:pPr>
        <w:spacing w:after="0" w:line="200" w:lineRule="exact"/>
        <w:rPr>
          <w:sz w:val="20"/>
          <w:szCs w:val="20"/>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full-games, which typically provide access to main game content, primarily for console or PC;</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downloadable content, which provides players with additional in-game content to purchase following the purchase of a full game;</w:t>
      </w:r>
    </w:p>
    <w:p>
      <w:pPr>
        <w:spacing w:after="0" w:line="252" w:lineRule="exact"/>
        <w:rPr>
          <w:rFonts w:ascii="Times New Roman" w:cs="Times New Roman" w:eastAsia="Times New Roman" w:hAnsi="Times New Roman"/>
          <w:sz w:val="18"/>
          <w:szCs w:val="18"/>
          <w:color w:val="auto"/>
        </w:rPr>
      </w:pPr>
    </w:p>
    <w:p>
      <w:pPr>
        <w:ind w:left="1080" w:right="520" w:hanging="532"/>
        <w:spacing w:after="0" w:line="275"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microtransactions, which typically provide relatively small pieces of additional in-game content or enhancements to gameplay, generally at relatively low price points;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subscriptions for players in our World of Warcraft franchise that provide for continual access to the game content.</w:t>
      </w:r>
    </w:p>
    <w:p>
      <w:pPr>
        <w:spacing w:after="0" w:line="225" w:lineRule="exact"/>
        <w:rPr>
          <w:sz w:val="20"/>
          <w:szCs w:val="20"/>
          <w:color w:val="auto"/>
        </w:rPr>
      </w:pPr>
    </w:p>
    <w:p>
      <w:pPr>
        <w:ind w:right="200" w:firstLine="351"/>
        <w:spacing w:after="0" w:line="262" w:lineRule="auto"/>
        <w:rPr>
          <w:sz w:val="20"/>
          <w:szCs w:val="20"/>
          <w:color w:val="auto"/>
        </w:rPr>
      </w:pPr>
      <w:r>
        <w:rPr>
          <w:rFonts w:ascii="Times New Roman" w:cs="Times New Roman" w:eastAsia="Times New Roman" w:hAnsi="Times New Roman"/>
          <w:sz w:val="18"/>
          <w:szCs w:val="18"/>
          <w:color w:val="auto"/>
        </w:rPr>
        <w:t>Providing additional opportunities for player investment outside of full-game purchases has allowed us to shift from our historical seasonality to a more consistently recurring and year-round revenue model. In addition, if executed properly, it allows us to increase player engagement, as it provides more frequent and incremental content for our players.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and Support</w:t>
      </w:r>
    </w:p>
    <w:p>
      <w:pPr>
        <w:spacing w:after="0" w:line="229" w:lineRule="exact"/>
        <w:rPr>
          <w:sz w:val="20"/>
          <w:szCs w:val="20"/>
          <w:color w:val="auto"/>
        </w:rPr>
      </w:pPr>
    </w:p>
    <w:p>
      <w:pPr>
        <w:jc w:val="both"/>
        <w:ind w:right="120" w:firstLine="348"/>
        <w:spacing w:after="0" w:line="301" w:lineRule="auto"/>
        <w:rPr>
          <w:sz w:val="20"/>
          <w:szCs w:val="20"/>
          <w:color w:val="auto"/>
        </w:rPr>
      </w:pPr>
      <w:r>
        <w:rPr>
          <w:rFonts w:ascii="Times New Roman" w:cs="Times New Roman" w:eastAsia="Times New Roman" w:hAnsi="Times New Roman"/>
          <w:sz w:val="16"/>
          <w:szCs w:val="16"/>
          <w:color w:val="auto"/>
        </w:rPr>
        <w:t>We focus on developing enduring franchises backed by well-designed, high-quality games with regular content updates. We build interactive entertainment content with the potential for broad reach, sustainable engagement and year-round player investment. It is our experience that enduring franchises then serve as the basis for sequels, prequels, and related new products and content that can be released over an extended period of time. We believe that the development and distribution of products and content based on established franchises enhances predictability of revenues and the probability of high</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 volume sales and operating profits. We intend to continue development of owned franchises in the future.</w:t>
      </w:r>
    </w:p>
    <w:p>
      <w:pPr>
        <w:spacing w:after="0" w:line="225" w:lineRule="exact"/>
        <w:rPr>
          <w:sz w:val="20"/>
          <w:szCs w:val="20"/>
          <w:color w:val="auto"/>
        </w:rPr>
      </w:pPr>
    </w:p>
    <w:p>
      <w:pPr>
        <w:ind w:right="160" w:firstLine="348"/>
        <w:spacing w:after="0" w:line="301" w:lineRule="auto"/>
        <w:rPr>
          <w:sz w:val="20"/>
          <w:szCs w:val="20"/>
          <w:color w:val="auto"/>
        </w:rPr>
      </w:pPr>
      <w:r>
        <w:rPr>
          <w:rFonts w:ascii="Times New Roman" w:cs="Times New Roman" w:eastAsia="Times New Roman" w:hAnsi="Times New Roman"/>
          <w:sz w:val="16"/>
          <w:szCs w:val="16"/>
          <w:color w:val="auto"/>
        </w:rPr>
        <w:t>We develop and produce our titles using a model in which a group of creative, technical, and production professionals, including designers, producers, programmers, artists, and sound engineers, in coordination with our marketing, finance, analytics, sales, and other professionals, has responsibility for the entire development and production process, including the supervision and coordination of internal and, where appropriate, external resources. We believe this model allows us to deploy the best resources for a given task, by supplementing our internal expertise with top-quality external resources on an as-needed basis.</w:t>
      </w:r>
    </w:p>
    <w:p>
      <w:pPr>
        <w:spacing w:after="0" w:line="157" w:lineRule="exact"/>
        <w:rPr>
          <w:sz w:val="20"/>
          <w:szCs w:val="20"/>
          <w:color w:val="auto"/>
        </w:rPr>
      </w:pPr>
    </w:p>
    <w:p>
      <w:pPr>
        <w:jc w:val="both"/>
        <w:ind w:right="40" w:firstLine="348"/>
        <w:spacing w:after="0" w:line="262" w:lineRule="auto"/>
        <w:rPr>
          <w:sz w:val="20"/>
          <w:szCs w:val="20"/>
          <w:color w:val="auto"/>
        </w:rPr>
      </w:pPr>
      <w:r>
        <w:rPr>
          <w:rFonts w:ascii="Times New Roman" w:cs="Times New Roman" w:eastAsia="Times New Roman" w:hAnsi="Times New Roman"/>
          <w:sz w:val="18"/>
          <w:szCs w:val="18"/>
          <w:color w:val="auto"/>
        </w:rPr>
        <w:t>While most of the content for our franchises is developed by internal studios, we periodically engage independent third-party developers to create content on our behalf. From time to time, we also acquire the license rights to publish and/or distribute software products that are, or will be, independently created by third-party developers.</w:t>
      </w:r>
    </w:p>
    <w:p>
      <w:pPr>
        <w:spacing w:after="0" w:line="186"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We provide various forms of product support. Central technology and development teams review, assess, and provide support to products throughout the development process. Quality assurance personnel are also involved throughout the development and production of published content. We subject all such content to extensive testing before public release to ensure compatibility with appropriate hardware systems and configurations and to minimize the number of bugs and other defects found in the products. To support our content, we generally provide 24-hour game support to players through various means, primarily online and by telephone.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Sales, and Distribution</w:t>
      </w:r>
    </w:p>
    <w:p>
      <w:pPr>
        <w:spacing w:after="0" w:line="229" w:lineRule="exact"/>
        <w:rPr>
          <w:sz w:val="20"/>
          <w:szCs w:val="20"/>
          <w:color w:val="auto"/>
        </w:rPr>
      </w:pPr>
    </w:p>
    <w:p>
      <w:pPr>
        <w:ind w:right="60" w:firstLine="351"/>
        <w:spacing w:after="0" w:line="291" w:lineRule="auto"/>
        <w:rPr>
          <w:sz w:val="20"/>
          <w:szCs w:val="20"/>
          <w:color w:val="auto"/>
        </w:rPr>
      </w:pPr>
      <w:r>
        <w:rPr>
          <w:rFonts w:ascii="Times New Roman" w:cs="Times New Roman" w:eastAsia="Times New Roman" w:hAnsi="Times New Roman"/>
          <w:sz w:val="16"/>
          <w:szCs w:val="16"/>
          <w:color w:val="auto"/>
        </w:rPr>
        <w:t>Many of our products contain software that enables us to connect with our gamers directly. This provides a significant marketing tool that allows us to communicate and market directly to our customers, including through customized advertising and in-game messaging based on customer preferences and trends. Our marketing efforts also include activities on Facebook, Twitter, Twitch, YouTube, and other online social networks, other online advertising, other public relations activity, print and broadcast advertising, coordinated in-store and industry promotions (including merchandising and point of purchase displays), participation in cooperative advertising programs, direct response vehicles, and product sampling through demonstration software distributed through the Internet or the digital online services provided by our partners. From time to time, we also receive marketing support from hardware manufacturers, producers of consumer products related to a game, and retailers in connection with their own promotional efforts, as well as co-marketing from promotional partners.</w:t>
      </w:r>
    </w:p>
    <w:p>
      <w:pPr>
        <w:spacing w:after="0" w:line="167" w:lineRule="exact"/>
        <w:rPr>
          <w:sz w:val="20"/>
          <w:szCs w:val="20"/>
          <w:color w:val="auto"/>
        </w:rPr>
      </w:pPr>
    </w:p>
    <w:p>
      <w:pPr>
        <w:ind w:right="720" w:firstLine="351"/>
        <w:spacing w:after="0" w:line="262" w:lineRule="auto"/>
        <w:rPr>
          <w:sz w:val="20"/>
          <w:szCs w:val="20"/>
          <w:color w:val="auto"/>
        </w:rPr>
      </w:pPr>
      <w:r>
        <w:rPr>
          <w:rFonts w:ascii="Times New Roman" w:cs="Times New Roman" w:eastAsia="Times New Roman" w:hAnsi="Times New Roman"/>
          <w:sz w:val="18"/>
          <w:szCs w:val="18"/>
          <w:color w:val="auto"/>
        </w:rPr>
        <w:t>Our physical products are available for sale in outlets around the world. These products are sold primarily on a direct basis to mass-market retailers (e.g., Target, Walmart), consumer electronics stores (e.g., Best Buy), discount warehouses, game specialty stores (e.g., GameStop), and other stores (e.g., Amazon), or through third-party distribution and licensing arrangements.</w:t>
      </w:r>
    </w:p>
    <w:p>
      <w:pPr>
        <w:spacing w:after="0" w:line="186"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Most of our products and content are also available in a digital format, which allows consumers to purchase and download the content at their convenience directly to their console, PC, or mobile device through our platform partners, including Microsoft Corporation ("Microsoft"), Sony Interactive Entertainment Inc. ("Sony"), Apple, Google, Nintendo Co., Ltd. ("Nintendo"), and Facebook. Blizzard utilizes its proprietary online gaming service, Blizzard Battle.net, to distribute most of Blizzard's content and selected Activision content directly to PC consumers.</w:t>
      </w:r>
    </w:p>
    <w:p>
      <w:pPr>
        <w:spacing w:after="0" w:line="190" w:lineRule="exact"/>
        <w:rPr>
          <w:sz w:val="20"/>
          <w:szCs w:val="20"/>
          <w:color w:val="auto"/>
        </w:rPr>
      </w:pPr>
    </w:p>
    <w:p>
      <w:pPr>
        <w:jc w:val="both"/>
        <w:ind w:right="100" w:firstLine="351"/>
        <w:spacing w:after="0" w:line="262" w:lineRule="auto"/>
        <w:rPr>
          <w:sz w:val="20"/>
          <w:szCs w:val="20"/>
          <w:color w:val="auto"/>
        </w:rPr>
      </w:pPr>
      <w:r>
        <w:rPr>
          <w:rFonts w:ascii="Times New Roman" w:cs="Times New Roman" w:eastAsia="Times New Roman" w:hAnsi="Times New Roman"/>
          <w:sz w:val="18"/>
          <w:szCs w:val="18"/>
          <w:color w:val="auto"/>
        </w:rPr>
        <w:t>In addition to serving as a distribution platform, Blizzard Battle.net offers players communications features, social networking, player matching and digital content delivery and is designed to allow people to connect regardless of which of our games on Blizzard Battle.net they are playing. It attracts millions of active players, making it one of the largest online game-related services in the world.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229" w:lineRule="exact"/>
        <w:rPr>
          <w:sz w:val="20"/>
          <w:szCs w:val="20"/>
          <w:color w:val="auto"/>
        </w:rPr>
      </w:pPr>
    </w:p>
    <w:p>
      <w:pPr>
        <w:jc w:val="both"/>
        <w:ind w:right="20" w:firstLine="348"/>
        <w:spacing w:after="0" w:line="262" w:lineRule="auto"/>
        <w:rPr>
          <w:sz w:val="20"/>
          <w:szCs w:val="20"/>
          <w:color w:val="auto"/>
        </w:rPr>
      </w:pPr>
      <w:r>
        <w:rPr>
          <w:rFonts w:ascii="Times New Roman" w:cs="Times New Roman" w:eastAsia="Times New Roman" w:hAnsi="Times New Roman"/>
          <w:sz w:val="18"/>
          <w:szCs w:val="18"/>
          <w:color w:val="auto"/>
        </w:rPr>
        <w:t>We prepare master program copies for our products on each release platform. With respect to products for Microsoft, Sony, and Nintendo consoles, our disk duplication, packaging, printing, manufacturing, warehousing, assembly, and shipping are performed by third-party subcontractors or distribution facilities owned by us.</w:t>
      </w:r>
    </w:p>
    <w:p>
      <w:pPr>
        <w:spacing w:after="0" w:line="186" w:lineRule="exact"/>
        <w:rPr>
          <w:sz w:val="20"/>
          <w:szCs w:val="20"/>
          <w:color w:val="auto"/>
        </w:rPr>
      </w:pPr>
    </w:p>
    <w:p>
      <w:pPr>
        <w:ind w:right="120" w:firstLine="351"/>
        <w:spacing w:after="0" w:line="310" w:lineRule="auto"/>
        <w:rPr>
          <w:sz w:val="20"/>
          <w:szCs w:val="20"/>
          <w:color w:val="auto"/>
        </w:rPr>
      </w:pPr>
      <w:r>
        <w:rPr>
          <w:rFonts w:ascii="Times New Roman" w:cs="Times New Roman" w:eastAsia="Times New Roman" w:hAnsi="Times New Roman"/>
          <w:sz w:val="16"/>
          <w:szCs w:val="16"/>
          <w:color w:val="auto"/>
        </w:rPr>
        <w:t>Microsoft, Sony, and Nintendo generally specify or control the manufacturing and assembly of finished products and license their hardware technologies to us. In return, we pay an applicable royalty per unit once the manufacturer fills the product order, even if the units do not ultimately sell. We deliver the master materials to the licensor or its approved replicator, who then manufactures the finished goods and delivers them to us for distribution under our label.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Customers and Top Franchises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Customers</w:t>
      </w:r>
    </w:p>
    <w:p>
      <w:pPr>
        <w:spacing w:after="0" w:line="227" w:lineRule="exact"/>
        <w:rPr>
          <w:sz w:val="20"/>
          <w:szCs w:val="20"/>
          <w:color w:val="auto"/>
        </w:rPr>
      </w:pPr>
    </w:p>
    <w:p>
      <w:pPr>
        <w:ind w:firstLine="348"/>
        <w:spacing w:after="0" w:line="293" w:lineRule="auto"/>
        <w:rPr>
          <w:sz w:val="20"/>
          <w:szCs w:val="20"/>
          <w:color w:val="auto"/>
        </w:rPr>
      </w:pPr>
      <w:r>
        <w:rPr>
          <w:rFonts w:ascii="Times New Roman" w:cs="Times New Roman" w:eastAsia="Times New Roman" w:hAnsi="Times New Roman"/>
          <w:sz w:val="16"/>
          <w:szCs w:val="16"/>
          <w:color w:val="auto"/>
        </w:rPr>
        <w:t>While the Company does sell directly to end consumers in certain instances, such as sales through Blizzard's proprietary online gaming service platform, Blizzard Battle.net, in other instances our customers may be platform providers, such as Sony, Microsoft, Google, and Apple, or retailers, such as Walmart and GameStop, who act as distributors of our content to end consumers. For the year ended December 31, 2018, we had three customers—Apple, Sony, and Google— who accounted for 15%, 13%, and 11%, respectively, of net revenues. For the year ended December 31, 2017, we had three customers—Apple, Sony, and Google —who accounted for 16%, 14%, and 10%, respectively, of net revenues. For the year ended December 31, 2016, we had two customers—Sony and Apple—who each accounted for 13% of net revenues. No other customer accounted for 10% or more of our net revenues in the respective periods discussed above.</w:t>
      </w:r>
    </w:p>
    <w:p>
      <w:pPr>
        <w:spacing w:after="0" w:line="165" w:lineRule="exact"/>
        <w:rPr>
          <w:sz w:val="20"/>
          <w:szCs w:val="20"/>
          <w:color w:val="auto"/>
        </w:rPr>
      </w:pPr>
    </w:p>
    <w:p>
      <w:pPr>
        <w:jc w:val="both"/>
        <w:ind w:right="100" w:firstLine="348"/>
        <w:spacing w:after="0" w:line="262" w:lineRule="auto"/>
        <w:rPr>
          <w:sz w:val="20"/>
          <w:szCs w:val="20"/>
          <w:color w:val="auto"/>
        </w:rPr>
      </w:pPr>
      <w:r>
        <w:rPr>
          <w:rFonts w:ascii="Times New Roman" w:cs="Times New Roman" w:eastAsia="Times New Roman" w:hAnsi="Times New Roman"/>
          <w:sz w:val="18"/>
          <w:szCs w:val="18"/>
          <w:color w:val="auto"/>
        </w:rPr>
        <w:t>We had two customers—Sony and NetEase, Inc.—who accounted for 15% and 12%, respectively, of consolidated gross receivables at December 31, 2018. We had three customers—Sony, Microsoft, and Apple—who accounted for 17%, 14%, and 10%, respectively, of consolidated gross receivables at December 31, 2017. No other customer accounted for 10% or more of our consolidated gross receivables in the respective periods discussed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Top Franchises</w:t>
      </w:r>
    </w:p>
    <w:p>
      <w:pPr>
        <w:spacing w:after="0" w:line="227"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2018, our top three franchises—Call of Duty, Candy Crush, and World of Warcraft—collectively accounted for 58% of our net revenues. For the years ended December 31, 2017 and 2016, our top four franchises—Call of Duty, Candy Crush, World of Warcraft, and Overwatch— collectively accounted for 66% and 69% of our net revenues, respectively. No other franchise comprised 10% or more of our net revenues in the respective periods discussed above.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ind w:right="500" w:firstLine="348"/>
        <w:spacing w:after="0" w:line="275" w:lineRule="auto"/>
        <w:rPr>
          <w:sz w:val="20"/>
          <w:szCs w:val="20"/>
          <w:color w:val="auto"/>
        </w:rPr>
      </w:pPr>
      <w:r>
        <w:rPr>
          <w:rFonts w:ascii="Times New Roman" w:cs="Times New Roman" w:eastAsia="Times New Roman" w:hAnsi="Times New Roman"/>
          <w:sz w:val="18"/>
          <w:szCs w:val="18"/>
          <w:color w:val="auto"/>
        </w:rPr>
        <w:t>We compete for the leisure time and discretionary spending of consumers with other interactive entertainment companies, as well as with providers of different forms of entertainment, such as film, television, social networking, music and other consumer products.</w:t>
      </w:r>
    </w:p>
    <w:p>
      <w:pPr>
        <w:spacing w:after="0" w:line="174" w:lineRule="exact"/>
        <w:rPr>
          <w:sz w:val="20"/>
          <w:szCs w:val="20"/>
          <w:color w:val="auto"/>
        </w:rPr>
      </w:pPr>
    </w:p>
    <w:p>
      <w:pPr>
        <w:ind w:right="140" w:firstLine="348"/>
        <w:spacing w:after="0" w:line="258" w:lineRule="auto"/>
        <w:rPr>
          <w:sz w:val="20"/>
          <w:szCs w:val="20"/>
          <w:color w:val="auto"/>
        </w:rPr>
      </w:pPr>
      <w:r>
        <w:rPr>
          <w:rFonts w:ascii="Times New Roman" w:cs="Times New Roman" w:eastAsia="Times New Roman" w:hAnsi="Times New Roman"/>
          <w:sz w:val="18"/>
          <w:szCs w:val="18"/>
          <w:color w:val="auto"/>
        </w:rPr>
        <w:t>The interactive entertainment industry is intensely competitive and new interactive entertainment software products and platforms are regularly introduced. We believe that the main competitive factors in the interactive entertainment industry include: product features, game quality, and playability; brand name recognition; compatibility of products with popular platforms; access to distribution channels; online capability and functionality; ease of use; price; marketing support; and quality of customer service.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 compete with other publishers of video game console, PC, and mobile interactive entertainment software. In addition to third-party software competitors, integrated video game console hardware and software companies, such as Microsoft, Sony, and Nintendo, compete directly with us in the development of software titles for their respective platforms. A number of software publishers have developed and commercialized, or are currently developing, online games for use by consumers.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Like other interactive entertainment companies, our business is significantly dependent on the creation, acquisition, use and protection of intellectual property. Some of this intellectual property is in the form of copyrighted software code, patented technology, and other technology and trade secrets that we use to develop and run our games. Other intellectual property is in the form of copyrighted audio-visual elements that consumers can see, hear, and interact with when they are playing our games.</w:t>
      </w:r>
    </w:p>
    <w:p>
      <w:pPr>
        <w:spacing w:after="0" w:line="190" w:lineRule="exact"/>
        <w:rPr>
          <w:sz w:val="20"/>
          <w:szCs w:val="20"/>
          <w:color w:val="auto"/>
        </w:rPr>
      </w:pPr>
    </w:p>
    <w:p>
      <w:pPr>
        <w:ind w:right="140" w:firstLine="348"/>
        <w:spacing w:after="0" w:line="296" w:lineRule="auto"/>
        <w:rPr>
          <w:sz w:val="20"/>
          <w:szCs w:val="20"/>
          <w:color w:val="auto"/>
        </w:rPr>
      </w:pPr>
      <w:r>
        <w:rPr>
          <w:rFonts w:ascii="Times New Roman" w:cs="Times New Roman" w:eastAsia="Times New Roman" w:hAnsi="Times New Roman"/>
          <w:sz w:val="16"/>
          <w:szCs w:val="16"/>
          <w:color w:val="auto"/>
        </w:rPr>
        <w:t>We develop a majority of our products based on wholly-owned intellectual properties, such as Call of Duty, World of Warcraft, and Candy Crush, among others. In other cases, we obtain intellectual property through licenses and service agreements. Further, our products that play on consoles and mobile platforms include technology that is owned by the platform provider and is licensed non-exclusively to us for use in the relevant product. We also license technology from providers other than console manufacturers in developing our content and services. While we may have renewal rights for some licenses, our business is dependent on our ability to continue to obtain the intellectual property rights from the owners of these rights on reasonable terms and at reasonable rates.</w:t>
      </w:r>
    </w:p>
    <w:p>
      <w:pPr>
        <w:spacing w:after="0" w:line="162" w:lineRule="exact"/>
        <w:rPr>
          <w:sz w:val="20"/>
          <w:szCs w:val="20"/>
          <w:color w:val="auto"/>
        </w:rPr>
      </w:pPr>
    </w:p>
    <w:p>
      <w:pPr>
        <w:ind w:right="100" w:firstLine="348"/>
        <w:spacing w:after="0" w:line="256" w:lineRule="auto"/>
        <w:rPr>
          <w:sz w:val="20"/>
          <w:szCs w:val="20"/>
          <w:color w:val="auto"/>
        </w:rPr>
      </w:pPr>
      <w:r>
        <w:rPr>
          <w:rFonts w:ascii="Times New Roman" w:cs="Times New Roman" w:eastAsia="Times New Roman" w:hAnsi="Times New Roman"/>
          <w:sz w:val="18"/>
          <w:szCs w:val="18"/>
          <w:color w:val="auto"/>
        </w:rPr>
        <w:t>We are actively engaged in enforcement of our copyright, trademark, patent, and trade secret rights against potential infringers of those rights along with other protective activities, including monitoring online channels for distribution of pirated copies and participating in various enforcement initiatives, education programs and legislative activity around the world. For our PC products, we use technological protection measures to prevent piracy and the use of unauthorized copies of our products. For other platforms, the platform providers typically incorporate technological protections and other security measures in their platforms to prevent the use of unlicensed products on those platforms.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executive officers and their biographical summaries are provided below:</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4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Age</w:t>
            </w:r>
          </w:p>
        </w:tc>
        <w:tc>
          <w:tcPr>
            <w:tcW w:w="200" w:type="dxa"/>
            <w:vAlign w:val="bottom"/>
          </w:tcPr>
          <w:p>
            <w:pPr>
              <w:spacing w:after="0"/>
              <w:rPr>
                <w:sz w:val="14"/>
                <w:szCs w:val="14"/>
                <w:color w:val="auto"/>
              </w:rPr>
            </w:pPr>
          </w:p>
        </w:tc>
        <w:tc>
          <w:tcPr>
            <w:tcW w:w="5560" w:type="dxa"/>
            <w:vAlign w:val="bottom"/>
          </w:tcPr>
          <w:p>
            <w:pPr>
              <w:ind w:left="25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A. Kotick</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5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Executive Officer of Activision Blizzard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Collister Johnson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President and Chief Operating Officer of Activision Blizzard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Dennis Durkin</w:t>
            </w:r>
          </w:p>
        </w:tc>
        <w:tc>
          <w:tcPr>
            <w:tcW w:w="4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48</w:t>
            </w:r>
          </w:p>
        </w:tc>
        <w:tc>
          <w:tcPr>
            <w:tcW w:w="5760" w:type="dxa"/>
            <w:vAlign w:val="bottom"/>
            <w:gridSpan w:val="2"/>
            <w:shd w:val="clear" w:color="auto" w:fill="CCEEFF"/>
          </w:tcPr>
          <w:p>
            <w:pPr>
              <w:ind w:left="200"/>
              <w:spacing w:after="0" w:line="201" w:lineRule="exact"/>
              <w:rPr>
                <w:sz w:val="20"/>
                <w:szCs w:val="20"/>
                <w:color w:val="auto"/>
              </w:rPr>
            </w:pPr>
            <w:r>
              <w:rPr>
                <w:rFonts w:ascii="Times New Roman" w:cs="Times New Roman" w:eastAsia="Times New Roman" w:hAnsi="Times New Roman"/>
                <w:sz w:val="18"/>
                <w:szCs w:val="18"/>
                <w:color w:val="auto"/>
              </w:rPr>
              <w:t>Chief Financial Officer of Activision Blizzard and President of Emerging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Brands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Stolz</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People Officer of Activision Blizzard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Walther</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5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Legal Officer of Activision Blizzard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Robert A. Kotick, Chief Executive Officer of Activision Blizzard</w:t>
      </w:r>
    </w:p>
    <w:p>
      <w:pPr>
        <w:spacing w:after="0" w:line="227"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Robert A. Kotick has been a director of Activision Blizzard since February 1991, following his purchase of a significant interest in the Company, which was then on the verge of insolvency, and serves as our Chief Executive Officer. Mr. Kotick was our Chairman and Chief Executive Officer from February 1991 until July 2008, when he became our President and Chief Executive Officer. He served as our President from July 2008 until June 2017, when Mr. Johnson began serving as our President and Chief Operating Officer. Mr. Kotick is also a member of the board of directors of The Coca-Cola Company, a multinational beverage corporation, and the boards of trustees for The Center for Early</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Education and Harvard-Westlake School. He is also vice chairman of the board and chairman of the committee of trustees of the Los Angeles County Museum of Art. In addition, Mr. Kotick is the co-founder and co-chairman of the Call of Duty Endowment, a nonprofit, public benefit corporation that seeks to help organizations that provide job placement and training services for veterans.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Collister Johnson, President and Chief Operating Officer of Activision Blizzard</w:t>
      </w:r>
    </w:p>
    <w:p>
      <w:pPr>
        <w:spacing w:after="0" w:line="227" w:lineRule="exact"/>
        <w:rPr>
          <w:sz w:val="20"/>
          <w:szCs w:val="20"/>
          <w:color w:val="auto"/>
        </w:rPr>
      </w:pPr>
    </w:p>
    <w:p>
      <w:pPr>
        <w:ind w:firstLine="351"/>
        <w:spacing w:after="0" w:line="296" w:lineRule="auto"/>
        <w:rPr>
          <w:sz w:val="20"/>
          <w:szCs w:val="20"/>
          <w:color w:val="auto"/>
        </w:rPr>
      </w:pPr>
      <w:r>
        <w:rPr>
          <w:rFonts w:ascii="Times New Roman" w:cs="Times New Roman" w:eastAsia="Times New Roman" w:hAnsi="Times New Roman"/>
          <w:sz w:val="16"/>
          <w:szCs w:val="16"/>
          <w:color w:val="auto"/>
        </w:rPr>
        <w:t>Collister "Coddy" Johnson has served as our President and Chief Operating Officer since June 2017. From April 2016 until May 2017, he served as the chief operating officer and co-founder of Altschool, a public benefit, education technology company, where he continues to serve on the board of directors. Prior to joining Altschool, he held a number of positions of increasing responsibility at our Company from 2008 to 2016, serving as the chief financial officer and head of operations of Activision, one of our principal operating units, chief operating officer of studios for Activision, and senior vice president and chief of staff to our Chief Executive Officer. Mr. Johnson holds a B.A. degree in ethics, politics, and economics from Yale University and an M.B.A. degree from Stanford University.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Dennis Durkin, Chief Financial Officer of Activision Blizzard and President of Emerging Brands</w:t>
      </w:r>
    </w:p>
    <w:p>
      <w:pPr>
        <w:spacing w:after="0" w:line="227" w:lineRule="exact"/>
        <w:rPr>
          <w:sz w:val="20"/>
          <w:szCs w:val="20"/>
          <w:color w:val="auto"/>
        </w:rPr>
      </w:pPr>
    </w:p>
    <w:p>
      <w:pPr>
        <w:ind w:right="80" w:firstLine="351"/>
        <w:spacing w:after="0" w:line="254" w:lineRule="auto"/>
        <w:rPr>
          <w:sz w:val="20"/>
          <w:szCs w:val="20"/>
          <w:color w:val="auto"/>
        </w:rPr>
      </w:pPr>
      <w:r>
        <w:rPr>
          <w:rFonts w:ascii="Times New Roman" w:cs="Times New Roman" w:eastAsia="Times New Roman" w:hAnsi="Times New Roman"/>
          <w:sz w:val="18"/>
          <w:szCs w:val="18"/>
          <w:color w:val="auto"/>
        </w:rPr>
        <w:t>Dennis Durkin has served as our Chief Financial Officer and President of Emerging Businesses since January 2019. Mr. Durkin joined the Company in March 2012 as our Chief Financial Officer and served in that role until May 2017. He served as our Chief Corporate Officer from May 2017 until January 2019. Prior to joining the Company in 2012, Mr. Durkin held a number of positions of increasing responsibility at Microsoft, a computing software and hardware manufacturer, most recently serving as the corporate vice president and chief operating and financial officer of Microsoft's interactive entertainment business, which included the Xbox console business. Prior to joining Microsoft's interactive entertainment business in 2006, Mr. Durkin spent seven years on Microsoft's corporate development and strategy team, including two years where he was based in London, England, driving pan-European activity. Before joining Microsoft, Mr. Durkin was a financial analyst at Alex. Brown and Company. Mr. Durkin holds a B.A. degree in government from Dartmouth College and an M.B.A. degree from Harvard University.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Brian Stolz, Chief People Officer of Activision Blizzard</w:t>
      </w:r>
    </w:p>
    <w:p>
      <w:pPr>
        <w:spacing w:after="0" w:line="227"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Brian Stolz has served as our Chief People Officer since May 2016. Prior to joining the Company, Mr. Stolz served as Senior Vice President of the neurology, dental, and generics businesses of Valeant Pharmaceuticals. Before that, Mr. Stolz served as Valeant's Executive Vice President of Administration and Chief Human Capital Officer. Prior to joining Valeant, Mr. Stolz held positions as a Principal at ghSMART and as an Associate Principal at McKinsey &amp; Co. Mr. Stolz holds a B.S. degree in finance from Georgetown University and an M.B.A. degree from Harvard University.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Christopher Walther, Chief Legal Officer of Activision Blizzard</w:t>
      </w:r>
    </w:p>
    <w:p>
      <w:pPr>
        <w:spacing w:after="0" w:line="227" w:lineRule="exact"/>
        <w:rPr>
          <w:sz w:val="20"/>
          <w:szCs w:val="20"/>
          <w:color w:val="auto"/>
        </w:rPr>
      </w:pPr>
    </w:p>
    <w:p>
      <w:pPr>
        <w:ind w:right="80" w:firstLine="351"/>
        <w:spacing w:after="0" w:line="285" w:lineRule="auto"/>
        <w:rPr>
          <w:sz w:val="20"/>
          <w:szCs w:val="20"/>
          <w:color w:val="auto"/>
        </w:rPr>
      </w:pPr>
      <w:r>
        <w:rPr>
          <w:rFonts w:ascii="Times New Roman" w:cs="Times New Roman" w:eastAsia="Times New Roman" w:hAnsi="Times New Roman"/>
          <w:sz w:val="16"/>
          <w:szCs w:val="16"/>
          <w:color w:val="auto"/>
        </w:rPr>
        <w:t>Christopher Walther has served as our Chief Legal Officer since November 2009 and served as our Secretary from February 2010 until February 2011. Prior to joining us, Mr. Walther held a number of positions of increasing responsibility within the legal department of The Procter &amp; Gamble Company from 1992 to 2009, including serving as the general counsel for Central and Eastern Europe, Middle East and Africa, general counsel for Northeast Asia and, most recently, as general counsel for Western Europe. Mr. Walther also led Procter &amp; Gamble's corporate and securities and mergers and acquisitions practices. Before joining Procter &amp; Gamble, Mr. Walther served as a law clerk for Senior Judge Harry W. Wellford of the United States Sixth Circuit Court of Appeals. Since 2012,</w:t>
      </w:r>
    </w:p>
    <w:p>
      <w:pPr>
        <w:ind w:right="40"/>
        <w:spacing w:after="0" w:line="255" w:lineRule="auto"/>
        <w:rPr>
          <w:sz w:val="20"/>
          <w:szCs w:val="20"/>
          <w:color w:val="auto"/>
        </w:rPr>
      </w:pPr>
      <w:r>
        <w:rPr>
          <w:rFonts w:ascii="Times New Roman" w:cs="Times New Roman" w:eastAsia="Times New Roman" w:hAnsi="Times New Roman"/>
          <w:sz w:val="18"/>
          <w:szCs w:val="18"/>
          <w:color w:val="auto"/>
        </w:rPr>
        <w:t>Mr. Walther has served on the board of directors of the Alliance for Children's Rights and currently serves as its co-chair. Mr. Walther has also served as our representative on the board of directors of the Entertainment Software Association since 2013 and on its executive committee. Mr. Walther holds a B.A. degree in history and Spanish from Centre College and a J.D. degree from the University of Kentucky College of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ind w:right="280" w:firstLine="341"/>
        <w:spacing w:after="0" w:line="275" w:lineRule="auto"/>
        <w:rPr>
          <w:sz w:val="20"/>
          <w:szCs w:val="20"/>
          <w:color w:val="auto"/>
        </w:rPr>
      </w:pPr>
      <w:r>
        <w:rPr>
          <w:rFonts w:ascii="Times New Roman" w:cs="Times New Roman" w:eastAsia="Times New Roman" w:hAnsi="Times New Roman"/>
          <w:sz w:val="18"/>
          <w:szCs w:val="18"/>
          <w:color w:val="auto"/>
        </w:rPr>
        <w:t>At December 31, 2018, we had approximately 9,900 total full-time and part-time employees. At December 31, 2018, approximately 140 of our full-time employees were subject to fixed-term employment agreements with us.</w:t>
      </w:r>
    </w:p>
    <w:p>
      <w:pPr>
        <w:spacing w:after="0" w:line="174" w:lineRule="exact"/>
        <w:rPr>
          <w:sz w:val="20"/>
          <w:szCs w:val="20"/>
          <w:color w:val="auto"/>
        </w:rPr>
      </w:pPr>
    </w:p>
    <w:p>
      <w:pPr>
        <w:ind w:right="180" w:firstLine="348"/>
        <w:spacing w:after="0" w:line="262" w:lineRule="auto"/>
        <w:rPr>
          <w:sz w:val="20"/>
          <w:szCs w:val="20"/>
          <w:color w:val="auto"/>
        </w:rPr>
      </w:pPr>
      <w:r>
        <w:rPr>
          <w:rFonts w:ascii="Times New Roman" w:cs="Times New Roman" w:eastAsia="Times New Roman" w:hAnsi="Times New Roman"/>
          <w:sz w:val="18"/>
          <w:szCs w:val="18"/>
          <w:color w:val="auto"/>
        </w:rPr>
        <w:t>The majority of our employees in France, Germany, Spain, and Italy are subject to collective agreements as a part of normal business practices in those countries. In addition, certain employees in those countries are subject to collective bargaining agreements. To date, we have not experienced any labor-related work stoppages.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Financial Information</w:t>
      </w:r>
    </w:p>
    <w:p>
      <w:pPr>
        <w:spacing w:after="0" w:line="229" w:lineRule="exact"/>
        <w:rPr>
          <w:sz w:val="20"/>
          <w:szCs w:val="20"/>
          <w:color w:val="auto"/>
        </w:rPr>
      </w:pPr>
    </w:p>
    <w:p>
      <w:pPr>
        <w:ind w:right="100" w:firstLine="351"/>
        <w:spacing w:after="0" w:line="310" w:lineRule="auto"/>
        <w:rPr>
          <w:sz w:val="20"/>
          <w:szCs w:val="20"/>
          <w:color w:val="auto"/>
        </w:rPr>
      </w:pPr>
      <w:r>
        <w:rPr>
          <w:rFonts w:ascii="Times New Roman" w:cs="Times New Roman" w:eastAsia="Times New Roman" w:hAnsi="Times New Roman"/>
          <w:sz w:val="16"/>
          <w:szCs w:val="16"/>
          <w:color w:val="auto"/>
        </w:rPr>
        <w:t>See the Critical Accounting Policies section under Item 7 "Management's Discussion and Analysis of Financial Condition and Results of Operations" for a discussion of our practices with regard to several working capital items, such as rights of return. See the "Management's Overview of Business Trends" under Item 7 "Management's Discussion and Analysis of Financial Condition and Results of Operations" for a discussion of the impact of seasonality on our 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229"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Our website, located at https://www.activisionblizzard.com, allows free-of-charge access to our annual reports on Form 10-K, quarterly reports on Form 10-Q, current reports on Form 8-K, proxy statements and amendments to those documents filed or furnished pursuant to Section 13(a) or 15(d) of the Securities Exchange Act of 1934, as amended (the "Exchange Act"). The information found on our website is not a part of, and is not incorporated by reference into, this or any other report that we file with or furnish to the Securities and Exchange Commission ("SEC").</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SEC filings are also available to the public over the Internet at the SEC's website at https://www.sec.gov.</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25"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We wish to caution the reader that the following important risk factors, and those risk factors described elsewhere in this report or in our other filings with the SEC, could cause our actual results to differ materially from those stated in forward-looking statements contained in this document and elsewhere. These risks are not presented in order of importance or probability of occurrence. Further, the risks described below are not the only risks that we face. Additional risks and uncertainties not currently known to us or that we currently deem immaterial may also impair our business operations. Any of these risks may have a material adverse effect on our business, reputation, financial condition, results of operations, income, revenue, profitability, cash flows, liquidity, or stock price.</w:t>
      </w:r>
    </w:p>
    <w:p>
      <w:pPr>
        <w:spacing w:after="0" w:line="191"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do not consistently deliver popular, high-quality content in a timely manner, or if consumers prefer competing products, our business may be negatively impacted.</w:t>
      </w:r>
    </w:p>
    <w:p>
      <w:pPr>
        <w:spacing w:after="0" w:line="169" w:lineRule="exact"/>
        <w:rPr>
          <w:sz w:val="20"/>
          <w:szCs w:val="20"/>
          <w:color w:val="auto"/>
        </w:rPr>
      </w:pPr>
    </w:p>
    <w:p>
      <w:pPr>
        <w:ind w:right="20" w:firstLine="351"/>
        <w:spacing w:after="0" w:line="287" w:lineRule="auto"/>
        <w:rPr>
          <w:sz w:val="20"/>
          <w:szCs w:val="20"/>
          <w:color w:val="auto"/>
        </w:rPr>
      </w:pPr>
      <w:r>
        <w:rPr>
          <w:rFonts w:ascii="Times New Roman" w:cs="Times New Roman" w:eastAsia="Times New Roman" w:hAnsi="Times New Roman"/>
          <w:sz w:val="16"/>
          <w:szCs w:val="16"/>
          <w:color w:val="auto"/>
        </w:rPr>
        <w:t>Consumer preferences for games are usually cyclical and difficult to predict, and even the most successful content remains popular for only limited periods of time, unless refreshed with new content or otherwise enhanced. In order to remain competitive, we must continuously develop new products or enhancements to our existing products. These products or enhancements may not be well-received by consumers, even if well-reviewed and of high quality. Further, competitors may develop content that imitates or competes with our best-selling games, potentially taking sales away from them or reducing our ability to charge the same prices we have historically charged for our products. These competing products may take a larger share of consumer spending than anticipated, which could cause product sales to fall below expectations. If we do not continue to develop consistently high-quality and well-received games, if our marketing fails to resonate with our consumers, if consumers lose interest in a genre of games we produce, if the use of cross-promotion within our mobile games to retain consumers becomes less effective, or if our competitors develop more successful products or offer competitive products at lower prices, our revenues and profit margins could decline. Further, a failure by us to develop a high-quality product, or our development of a product that is otherwise not well-received, could potentially result in additional expenditures to respond to consumer demands, harm our reputation, and increase the likelihood that our future products will not be well-received. The increased importance of downloadable content to our business amplifies these risks, as downloadable content for poorly-received games typically generates lower-than-expected sales. In addition, our own best-selling products could compete with our other games, reducing sales for those other games.</w:t>
      </w:r>
    </w:p>
    <w:p>
      <w:pPr>
        <w:spacing w:after="0" w:line="389" w:lineRule="exact"/>
        <w:rPr>
          <w:sz w:val="20"/>
          <w:szCs w:val="20"/>
          <w:color w:val="auto"/>
        </w:rPr>
      </w:pPr>
    </w:p>
    <w:p>
      <w:pPr>
        <w:ind w:right="20" w:firstLine="341"/>
        <w:spacing w:after="0" w:line="254" w:lineRule="auto"/>
        <w:rPr>
          <w:sz w:val="20"/>
          <w:szCs w:val="20"/>
          <w:color w:val="auto"/>
        </w:rPr>
      </w:pPr>
      <w:r>
        <w:rPr>
          <w:rFonts w:ascii="Times New Roman" w:cs="Times New Roman" w:eastAsia="Times New Roman" w:hAnsi="Times New Roman"/>
          <w:sz w:val="18"/>
          <w:szCs w:val="18"/>
          <w:color w:val="auto"/>
        </w:rPr>
        <w:t>Additionally, consumer expectations regarding the quality, performance and integrity of our products and services are high. Consumers may be critical of our brands, games, services, and/or business practices for a wide variety of reasons, and such negative reactions may not be foreseeable or within our control to manage effectively. For example, if our games or services, such as our proprietary online gaming service, do not function as consumers expect, whether because they fail to function as advertised or otherwise, our sales may suffer. The risk that this may occur is particularly pronounced with respect to our games with online features because they involve ongoing consumer expectations, which we may not be able to consistently satisfy. Our games with online features are also frequently updated, increasing the risk that a game may contain significant errors, or "bugs." If any of these issues occur, consumers may stop playing the game and may be less likely to return to the game as often in the future, which may negatively impact our business.</w:t>
      </w:r>
    </w:p>
    <w:p>
      <w:pPr>
        <w:spacing w:after="0" w:line="195"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Further, delays in product releases or disruptions following the commercial release of one or more new products could negatively impact our business and reputation and could cause our results of operations to be materially different from expectations. If we fail to release our products in a timely manner, or if we are unable to continue to extend the life of existing games by adding features and functionality that will encourage continued engagement with the game, our business may be negatively impacted.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80" w:firstLine="341"/>
        <w:spacing w:after="0" w:line="258" w:lineRule="auto"/>
        <w:rPr>
          <w:sz w:val="20"/>
          <w:szCs w:val="20"/>
          <w:color w:val="auto"/>
        </w:rPr>
      </w:pPr>
      <w:r>
        <w:rPr>
          <w:rFonts w:ascii="Times New Roman" w:cs="Times New Roman" w:eastAsia="Times New Roman" w:hAnsi="Times New Roman"/>
          <w:sz w:val="18"/>
          <w:szCs w:val="18"/>
          <w:color w:val="auto"/>
        </w:rPr>
        <w:t>Additionally, the amount of lead time and cost involved in the development of high-quality products is increasing, and the longer the lead time involved in developing a product and the greater the allocation of financial resources to such product, the more critical it is that we accurately predict consumer demand for such product. If our future products do not achieve expected consumer acceptance or generate sufficient revenues upon introduction, we may not be able to recover the substantial up-front development and marketing costs associated with those products.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a relatively small number of franchises for a significant portion of our revenues and profits.</w:t>
      </w:r>
    </w:p>
    <w:p>
      <w:pPr>
        <w:spacing w:after="0" w:line="229"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We follow a franchise model and a significant portion of our revenues has historically been derived from products based on a relatively small number of popular franchises. These products are responsible for a disproportionately high percentage of our profits. For example, revenues associated with the Call of Duty, Candy Crush, and World of Warcraft franchises, collectively, accounted for approximately 58% of our net revenues—and a significantly higher percentage of our operating income—for 2018. We expect that a relatively limited number of popular franchises will continue to produce a disproportionately high percentage of our revenues and profits. Due to this dependence on a limited number of franchises, the failure to achieve anticipated results by one or more products based on these franchises could negatively impact our business. Additionally, if the popularity of a franchise declines, we may have to write off the unrecovered portion of the underlying intellectual property assets, which could negatively impact our business.</w:t>
      </w:r>
    </w:p>
    <w:p>
      <w:pPr>
        <w:spacing w:after="0" w:line="19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effectively manage the continued growth in the scope and complexity of our business, including our expansion into new business models that are untested and into adjacent business opportunities with large, established competitors.</w:t>
      </w:r>
    </w:p>
    <w:p>
      <w:pPr>
        <w:spacing w:after="0" w:line="169" w:lineRule="exact"/>
        <w:rPr>
          <w:sz w:val="20"/>
          <w:szCs w:val="20"/>
          <w:color w:val="auto"/>
        </w:rPr>
      </w:pPr>
    </w:p>
    <w:p>
      <w:pPr>
        <w:ind w:right="20" w:firstLine="348"/>
        <w:spacing w:after="0" w:line="252" w:lineRule="auto"/>
        <w:rPr>
          <w:sz w:val="20"/>
          <w:szCs w:val="20"/>
          <w:color w:val="auto"/>
        </w:rPr>
      </w:pPr>
      <w:r>
        <w:rPr>
          <w:rFonts w:ascii="Times New Roman" w:cs="Times New Roman" w:eastAsia="Times New Roman" w:hAnsi="Times New Roman"/>
          <w:sz w:val="18"/>
          <w:szCs w:val="18"/>
          <w:color w:val="auto"/>
        </w:rPr>
        <w:t>We have experienced significant growth in the scope and complexity of our business, including through the King Acquisition and the development of our esports, advertising, Studios, and consumer products businesses, and remain ambitious as to the future growth in the scope and complexity of our business. Our future success depends, in part, on our ability to manage this expanded business and our aspirations for continued expansion. We have dedicated resources both to new business models that are largely untested, as is the case with esports, and to adjacent business opportunities in which very large competitors have an established presence, as is the case with our Studios and consumer products businesses. We do not know to what extent our future expansions will be successful. Further, even if successful, the growth of our business could create significant challenges for our management, operational, and financial resources, and could increase existing strain on, and divert focus from, our core businesses. If not managed effectively, this growth could result in the over-extension of our operating infrastructure, and our management systems, information technology systems, and internal controls and procedures may not be adequate to support this growth. Failure to adequately manage our growth in any of these ways may cause damage to our brand or otherwise negatively impact our business. Further, any failure by these new businesses may damage our reputation or otherwise negatively impact our core business of interactive software products and entertainment content. Conversely, the success of these new businesses is, in large part, contingent on the success of the underlying franchises and, as such, a decline in the popularity of a franchise may impact the success of the new businesses adjacent to that franchise.</w:t>
      </w:r>
    </w:p>
    <w:p>
      <w:pPr>
        <w:spacing w:after="0" w:line="197"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expected financial and operational benefits of our recently announced restructuring plan, and its implementation may negatively impact our business.</w:t>
      </w:r>
    </w:p>
    <w:p>
      <w:pPr>
        <w:spacing w:after="0" w:line="169" w:lineRule="exact"/>
        <w:rPr>
          <w:sz w:val="20"/>
          <w:szCs w:val="20"/>
          <w:color w:val="auto"/>
        </w:rPr>
      </w:pPr>
    </w:p>
    <w:p>
      <w:pPr>
        <w:jc w:val="both"/>
        <w:ind w:right="80" w:firstLine="351"/>
        <w:spacing w:after="0" w:line="262" w:lineRule="auto"/>
        <w:rPr>
          <w:sz w:val="20"/>
          <w:szCs w:val="20"/>
          <w:color w:val="auto"/>
        </w:rPr>
      </w:pPr>
      <w:r>
        <w:rPr>
          <w:rFonts w:ascii="Times New Roman" w:cs="Times New Roman" w:eastAsia="Times New Roman" w:hAnsi="Times New Roman"/>
          <w:sz w:val="18"/>
          <w:szCs w:val="18"/>
          <w:color w:val="auto"/>
        </w:rPr>
        <w:t>In February 2019, we announced a restructuring plan under which we plan to refocus our resources on our largest opportunities and to remove unnecessary levels of complexity and duplication from certain parts of our business. While we believe this restructuring plan will enable us to provide better opportunities for talent, and greater expertise and scale on behalf of our business units, our ability to</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achieve the desired and anticipated benefits from the restructuring plan within our desired and expected timeframe is subject to many estimates and assumptions, and the actual savings and timing for those savings may vary materially based on factors such as local labor regulations, negotiations with third parties, and operational requirements. These estimates and assumptions are also subject to significant economic, competitive and other uncertainties, some of which are beyond our control. Further, there can be no assurance that our business will be more efficient or effective than prior to implementation of the plan, or that additional restructuring plans will not be required or implemented in the future. The implementation of this restructuring plan may also be costly and disruptive to our business or have other negative consequences, such as attrition beyond our planned reduction in workforce or negative impacts on employee morale and productivity, or on our ability to attract and retain highly skilled employees. Any of these consequences could negatively impact our business.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increasing importance of digital sales to our business exposes us to the risks of that business model, including greater competition.</w:t>
      </w:r>
    </w:p>
    <w:p>
      <w:pPr>
        <w:spacing w:after="0" w:line="229"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The proportion of our revenues derived from digital distributional channels, as compared to traditional retail sales, continues to increase. The increased importance of digital channels in our industry increases our potential competition, as the minimum capital needed to produce and publish a digitally delivered game, particularly a new game for mobile platforms, may be significantly less than that needed to produce and publish one that is purchased through retail distribution and is played on a game console or PC. Also, while digitally-distributed products generally have higher profit margins than retail sales, as business shifts to digital distribution, the volume of orders from retailers for physical discs has been, and may continue to be, reduced. Further, the providers of the platforms through which we digitally distribute content are also publishers of their own content distributed on those platforms, and, therefore, a platform provider may give priority to its own products or those of our competitors.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importance of retail sales to our business exposes us to the risks of that business model.</w:t>
      </w:r>
    </w:p>
    <w:p>
      <w:pPr>
        <w:spacing w:after="0" w:line="229"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While the proportion of our revenues derived from digital distributional channels, as compared to traditional retail sales, continues to increase, retail sales remain important to our business. In the United States and Canada, our "boxed" products are often sold on a direct basis to mass-market retailers, consumer electronics stores, discount warehouses and game specialty stores. Our "boxed" products are sold internationally on a direct-to-retail basis, through third-party distribution and licensing arrangements, and through our wholly-owned European distribution subsidiaries. Our sales are made primarily on a purchase order basis without long-term agreements or other forms of commitments, and, due to the increased proportion of our revenue from digital distribution channels, our retail customers and distributors have generally been reducing the levels of inventory they are willing to carry. The loss of, or significant reduction in sales to, any of Activision's principal retail customers or distributors could have adverse consequences.</w:t>
      </w:r>
    </w:p>
    <w:p>
      <w:pPr>
        <w:spacing w:after="0" w:line="195"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Moreover, the importance of retail sales to our business exposes us to the risk of product returns and price protection with respect to our distributors and retailers. In some cases, return policies allow distributors and retailers to return defective, shelf-worn, damaged, and certain other products in accordance with terms granted. Price protection, when granted and applicable, allows these distributors and retailers a credit against amounts owed with respect to merchandise unsold by them. We may permit product returns from, or grant price protection to, distributors and retail customers who meet certain conditions. These conditions may include compliance with applicable payment terms, delivery of weekly inventory and sales information and consistent participation in the launches of premium title releases. We may also consider other factors, including the facilitation of slow-moving inventory and other industry factors. Activision also offers a limited warranty to end users that Activision products will be free from manufacturing defects. Although we maintain a reserve for returns and price protection, and although we may place limits on product returns and price protection, we could be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color w:val="auto"/>
        </w:rPr>
        <w:t>forced to accept substantial product returns and provide substantial price protection to maintain our relationships with retailers and our access to distribution channels. We face similar issues and risks, including exposure to risk of chargebacks, with respect to end users to whom we sell products directly, whether through our proprietary online gaming service or otherwise.</w:t>
      </w:r>
    </w:p>
    <w:p>
      <w:pPr>
        <w:spacing w:after="0" w:line="186" w:lineRule="exact"/>
        <w:rPr>
          <w:sz w:val="20"/>
          <w:szCs w:val="20"/>
          <w:color w:val="auto"/>
        </w:rPr>
      </w:pPr>
    </w:p>
    <w:p>
      <w:pPr>
        <w:ind w:right="80" w:firstLine="351"/>
        <w:spacing w:after="0" w:line="254" w:lineRule="auto"/>
        <w:rPr>
          <w:sz w:val="20"/>
          <w:szCs w:val="20"/>
          <w:color w:val="auto"/>
        </w:rPr>
      </w:pPr>
      <w:r>
        <w:rPr>
          <w:rFonts w:ascii="Times New Roman" w:cs="Times New Roman" w:eastAsia="Times New Roman" w:hAnsi="Times New Roman"/>
          <w:sz w:val="18"/>
          <w:szCs w:val="18"/>
          <w:color w:val="auto"/>
        </w:rPr>
        <w:t>Further, retailers typically have a limited amount of "brick and mortar" shelf space and promotional resources, and there is intense competition for high-quality retail shelf space and promotional support from retailers. Similarly, for online retail sales, there is increasing competition for premium placements on websites. Competition for shelf space or premium online placement may intensify and may require us to increase our marketing expenditures. Further, retailers with limited shelf space typically devote the most and highest quality shelf space to those products expected to be best sellers. We cannot be certain that our new products will consistently achieve such "best seller" status. Due to increased competition for limited shelf space, retailers and distributors are in an increasingly better position to negotiate favorable terms of sale, including price discounts, price protection, marketing and display fees, and product return policies. Our products constitute a relatively small percentage of most retailers' sales volume. We cannot be certain that retailers will continue to purchase our products or provide those products with adequate levels of shelf space and promotional support on acceptable terms.</w:t>
      </w:r>
    </w:p>
    <w:p>
      <w:pPr>
        <w:spacing w:after="0" w:line="192" w:lineRule="exact"/>
        <w:rPr>
          <w:sz w:val="20"/>
          <w:szCs w:val="20"/>
          <w:color w:val="auto"/>
        </w:rPr>
      </w:pPr>
    </w:p>
    <w:p>
      <w:pPr>
        <w:ind w:right="220" w:firstLine="341"/>
        <w:spacing w:after="0" w:line="301" w:lineRule="auto"/>
        <w:rPr>
          <w:sz w:val="20"/>
          <w:szCs w:val="20"/>
          <w:color w:val="auto"/>
        </w:rPr>
      </w:pPr>
      <w:r>
        <w:rPr>
          <w:rFonts w:ascii="Times New Roman" w:cs="Times New Roman" w:eastAsia="Times New Roman" w:hAnsi="Times New Roman"/>
          <w:sz w:val="16"/>
          <w:szCs w:val="16"/>
          <w:color w:val="auto"/>
        </w:rPr>
        <w:t>Additionally, we make provisions for retail inventory price protection based upon certain assumed lowest prices and if competitive pressures force us to lower our prices below those levels, it could similarly have a negative impact on our business. Further, because we pay a licensing fee to the console hardware manufacturer for each physical copy of a product manufactured for that manufacturer's game platform regardless of whether that product is actually sold, if we overestimate demand and make too many physical "boxed" copies of any title, we will incur unrecoverable manufacturing costs for unsold units.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to our reliance on third-party platforms, platform providers are frequently able to influence our products and costs.</w:t>
      </w:r>
    </w:p>
    <w:p>
      <w:pPr>
        <w:spacing w:after="0" w:line="229"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Generally, when we develop interactive entertainment software products for hardware platforms offered by companies such as Sony, Microsoft, or Nintendo, the physical products are replicated exclusively by that hardware manufacturer or their approved replicator. The agreements with these manufacturers include certain provisions, such as approval rights over all software products and related promotional materials and the ability to change the fee they charge for the manufacturing of products, which allow the hardware manufacturers substantial influence over the cost and the release schedule of such interactive entertainment software products. In addition, because each of the manufacturers is also a publisher of games for its own hardware platforms and may manufacture products for other licensees, a manufacturer may give priority to its own products or those of our competitors. Accordingly, console manufacturers like Sony, Microsoft, or Nintendo could cause unanticipated delays in the release of our products, as well as increases to projected development, manufacturing, marketing or distribution costs, any of which could negatively impact our business.</w:t>
      </w:r>
    </w:p>
    <w:p>
      <w:pPr>
        <w:spacing w:after="0" w:line="192" w:lineRule="exact"/>
        <w:rPr>
          <w:sz w:val="20"/>
          <w:szCs w:val="20"/>
          <w:color w:val="auto"/>
        </w:rPr>
      </w:pPr>
    </w:p>
    <w:p>
      <w:pPr>
        <w:ind w:right="20" w:firstLine="348"/>
        <w:spacing w:after="0" w:line="254" w:lineRule="auto"/>
        <w:rPr>
          <w:sz w:val="20"/>
          <w:szCs w:val="20"/>
          <w:color w:val="auto"/>
        </w:rPr>
      </w:pPr>
      <w:r>
        <w:rPr>
          <w:rFonts w:ascii="Times New Roman" w:cs="Times New Roman" w:eastAsia="Times New Roman" w:hAnsi="Times New Roman"/>
          <w:sz w:val="18"/>
          <w:szCs w:val="18"/>
          <w:color w:val="auto"/>
        </w:rPr>
        <w:t>The platform providers also control the networks over which consumers purchase digital products and services for their platforms and through which we provide online game capabilities for our products. The control that the platform providers have over the fee structures and/or retail pricing for products and services for their platforms and online networks could impact the volume of purchases of our products made over their networks and our profitability. With respect to certain downloadable content and microtransactions, the networks provided by these platform providers are the exclusive means of selling and distributing this content. Further, increased competition for limited premium "digital shelf space" has placed the platform providers in an increasingly better position to negotiate favorable terms of sale. If the platform provider establishes terms that restrict our offerings on its platform, significantly impact the financial terms on which these products or services are offered, or</w:t>
      </w:r>
    </w:p>
    <w:p>
      <w:pPr>
        <w:spacing w:after="0" w:line="1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does not approve the inclusion of online capabilities in our console products, our business could be negatively impacted.</w:t>
      </w:r>
    </w:p>
    <w:p>
      <w:pPr>
        <w:spacing w:after="0" w:line="225" w:lineRule="exact"/>
        <w:rPr>
          <w:sz w:val="20"/>
          <w:szCs w:val="20"/>
          <w:color w:val="auto"/>
        </w:rPr>
      </w:pPr>
    </w:p>
    <w:p>
      <w:pPr>
        <w:ind w:right="20" w:firstLine="348"/>
        <w:spacing w:after="0" w:line="289" w:lineRule="auto"/>
        <w:rPr>
          <w:sz w:val="20"/>
          <w:szCs w:val="20"/>
          <w:color w:val="auto"/>
        </w:rPr>
      </w:pPr>
      <w:r>
        <w:rPr>
          <w:rFonts w:ascii="Times New Roman" w:cs="Times New Roman" w:eastAsia="Times New Roman" w:hAnsi="Times New Roman"/>
          <w:sz w:val="16"/>
          <w:szCs w:val="16"/>
          <w:color w:val="auto"/>
        </w:rPr>
        <w:t>We also derive significant revenues from the distribution on third-party mobile and web platforms, such as the Apple App Store, the Google Play Store, and Facebook, and most of the virtual currency we sell is purchased using the payment processing systems of these platform providers. These platforms also serve as significant online distribution platforms for, and/or provide other services critical for the operation of, a number of our games. If these platforms modify their current discovery mechanisms, communication channels available to developers, operating systems, terms of service or other policies (including fees), or they develop their own competitive offerings, our business could be negatively impacted. Additionally, if these platform providers are required to change how they label free-to-play games or take payment for in-app purchases or change how the personal information of consumers is made available to developers, our business could be negatively impacted. These platform providers or their services may be unavailable for short periods of time or experience issues with their in-app purchasing functionality. If either of these events occurs on a prolonged, or even short-term, basis or other similar issues arise that impact players' ability to access our games, access social features or make purchases, it may result in lost revenues and otherwise negatively impact our business.</w:t>
      </w:r>
    </w:p>
    <w:p>
      <w:pPr>
        <w:spacing w:after="0" w:line="384" w:lineRule="exact"/>
        <w:rPr>
          <w:sz w:val="20"/>
          <w:szCs w:val="20"/>
          <w:color w:val="auto"/>
        </w:rPr>
      </w:pPr>
    </w:p>
    <w:p>
      <w:pPr>
        <w:ind w:right="5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the success and availability of video game consoles manufactured by third parties, as well as our ability to develop commercially successful products for these consoles.</w:t>
      </w:r>
    </w:p>
    <w:p>
      <w:pPr>
        <w:spacing w:after="0" w:line="169" w:lineRule="exact"/>
        <w:rPr>
          <w:sz w:val="20"/>
          <w:szCs w:val="20"/>
          <w:color w:val="auto"/>
        </w:rPr>
      </w:pPr>
    </w:p>
    <w:p>
      <w:pPr>
        <w:ind w:right="40" w:firstLine="348"/>
        <w:spacing w:after="0" w:line="253" w:lineRule="auto"/>
        <w:rPr>
          <w:sz w:val="20"/>
          <w:szCs w:val="20"/>
          <w:color w:val="auto"/>
        </w:rPr>
      </w:pPr>
      <w:r>
        <w:rPr>
          <w:rFonts w:ascii="Times New Roman" w:cs="Times New Roman" w:eastAsia="Times New Roman" w:hAnsi="Times New Roman"/>
          <w:sz w:val="18"/>
          <w:szCs w:val="18"/>
          <w:color w:val="auto"/>
        </w:rPr>
        <w:t>We derive a substantial portion of our revenues from the sale of products for play on video game consoles manufactured by third parties, such as Sony's PS4, Microsoft's Xbox One, and Nintendo's Switch. For example, sales of products for consoles accounted for 34% of our consolidated net revenues in 2018. The success of our console business is driven in large part by our ability to accurately predict which consoles will be successful in the marketplace and our ability to develop commercially successful products for these consoles. We also rely on the availability of an adequate supply of these video game consoles and the continued support for these consoles by their manufacturers. We must make product development decisions and commit significant resources well in advance of the anticipated introduction of a new console, and development costs to create content for new consoles may be greater than those costs for the then-current consoles. If increased costs are not offset by higher revenues and other cost efficiencies, our business could be negatively impacted. If the consoles for which we develop new software products or modify existing products do not attain significant consumer acceptance, we may not be able to recover our development costs, which could be significant.</w:t>
      </w:r>
    </w:p>
    <w:p>
      <w:pPr>
        <w:spacing w:after="0" w:line="19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increasing importance of free-to-play games to our business exposes us to the risks of that business model, including the dependence on a relatively small number of consumers for a significant portion of revenues and profits from any given game.</w:t>
      </w:r>
    </w:p>
    <w:p>
      <w:pPr>
        <w:spacing w:after="0" w:line="169" w:lineRule="exact"/>
        <w:rPr>
          <w:sz w:val="20"/>
          <w:szCs w:val="20"/>
          <w:color w:val="auto"/>
        </w:rPr>
      </w:pPr>
    </w:p>
    <w:p>
      <w:pPr>
        <w:ind w:right="80" w:firstLine="341"/>
        <w:spacing w:after="0" w:line="254" w:lineRule="auto"/>
        <w:rPr>
          <w:sz w:val="20"/>
          <w:szCs w:val="20"/>
          <w:color w:val="auto"/>
        </w:rPr>
      </w:pPr>
      <w:r>
        <w:rPr>
          <w:rFonts w:ascii="Times New Roman" w:cs="Times New Roman" w:eastAsia="Times New Roman" w:hAnsi="Times New Roman"/>
          <w:sz w:val="18"/>
          <w:szCs w:val="18"/>
          <w:color w:val="auto"/>
        </w:rPr>
        <w:t xml:space="preserve">As a result of, among other things, the King Acquisition, we are more dependent on our ability to develop, enhance, and monetize free-to-play games, such as the games in our Candy Crush franchise and </w:t>
      </w:r>
      <w:r>
        <w:rPr>
          <w:rFonts w:ascii="Times New Roman" w:cs="Times New Roman" w:eastAsia="Times New Roman" w:hAnsi="Times New Roman"/>
          <w:sz w:val="18"/>
          <w:szCs w:val="18"/>
          <w:i w:val="1"/>
          <w:iCs w:val="1"/>
          <w:color w:val="auto"/>
        </w:rPr>
        <w:t>Hearthstone.</w:t>
      </w:r>
      <w:r>
        <w:rPr>
          <w:rFonts w:ascii="Times New Roman" w:cs="Times New Roman" w:eastAsia="Times New Roman" w:hAnsi="Times New Roman"/>
          <w:sz w:val="18"/>
          <w:szCs w:val="18"/>
          <w:color w:val="auto"/>
        </w:rPr>
        <w:t xml:space="preserve"> As such, we are increasingly exposed to the risks of the free-to-play business model. For example, we may invest in the development of new free-to-play interactive entertainment products that do not achieve significant commercial success, in which case our revenues from those products likely will be lower than anticipated and we may not recover our development costs. Further, if: (1) we are unable to continue to offer free-to-play games that encourage consumers to purchase our virtual currency and subsequently use it to buy our virtual items; (2) we fail to offer monetization features that appeal to these consumers; (3) these consumers do not continue to play our free-to-play games or purchase virtual items at the same rate; (4) our platform providers make it more difficult or expensive for players to purchase our virtual currency; or (5) we cannot encourage significant additional consumers to purchase virtual items in our free-to-play games, our business may be negatively impacted.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20" w:firstLine="351"/>
        <w:spacing w:after="0" w:line="291" w:lineRule="auto"/>
        <w:rPr>
          <w:sz w:val="20"/>
          <w:szCs w:val="20"/>
          <w:color w:val="auto"/>
        </w:rPr>
      </w:pPr>
      <w:r>
        <w:rPr>
          <w:rFonts w:ascii="Times New Roman" w:cs="Times New Roman" w:eastAsia="Times New Roman" w:hAnsi="Times New Roman"/>
          <w:sz w:val="16"/>
          <w:szCs w:val="16"/>
          <w:color w:val="auto"/>
        </w:rPr>
        <w:t>Furthermore, as there are relatively low barriers to entry to developing mobile or online free-to-play or other casual games, we have seen, and expect to continue to see new competitors enter the market and existing competitors to allocate more resources to developing and marketing competing games and applications. We compete, or may compete, with a vast number of small companies and individuals who are able to create and launch casual games and other content using relatively limited resources and with relatively limited start-up time or expertise. Competition for the attention of consumers on mobile devices is intense, as the number of applications on mobile devices has been increasing dramatically, which, in turn, has required increased marketing to garner consumer awareness and attention. This increased competition has negatively impacted, and is expected to continue to negatively impact our business. In addition, a continuing industry shift to free-to-play games could result in a deprioritization of our other products by traditional retailers and distributors.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involved in legal proceedings that have a negative impact on our business.</w:t>
      </w:r>
    </w:p>
    <w:p>
      <w:pPr>
        <w:spacing w:after="0" w:line="229" w:lineRule="exact"/>
        <w:rPr>
          <w:sz w:val="20"/>
          <w:szCs w:val="20"/>
          <w:color w:val="auto"/>
        </w:rPr>
      </w:pPr>
    </w:p>
    <w:p>
      <w:pPr>
        <w:ind w:right="340" w:firstLine="351"/>
        <w:spacing w:after="0" w:line="256" w:lineRule="auto"/>
        <w:rPr>
          <w:sz w:val="20"/>
          <w:szCs w:val="20"/>
          <w:color w:val="auto"/>
        </w:rPr>
      </w:pPr>
      <w:r>
        <w:rPr>
          <w:rFonts w:ascii="Times New Roman" w:cs="Times New Roman" w:eastAsia="Times New Roman" w:hAnsi="Times New Roman"/>
          <w:sz w:val="18"/>
          <w:szCs w:val="18"/>
          <w:color w:val="auto"/>
        </w:rPr>
        <w:t>From time to time, we are involved in claims, suits, investigations, audits and proceedings arising in the ordinary course of our business, including with respect to intellectual property, competition and antitrust matters, regulatory matters, tax matters, privacy matters, labor and employment matters, compliance matters, unclaimed property matters, liability and personal injury claims, product damage claims, collection matters, and/or commercial claims. In addition, negative consumer sentiment about our business practices may result in inquiries or investigations from regulatory agencies and consumer groups, as well as litigation, which, regardless of their outcome, may be damaging to our reputation.</w:t>
      </w:r>
    </w:p>
    <w:p>
      <w:pPr>
        <w:spacing w:after="0" w:line="193"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Claims, suits, investigations, audits, and proceedings are inherently difficult to predict and their results are subject to significant uncertainties, many of which are outside of our control. Regardless of the outcome, such legal proceedings can have a negative impact on us due to legal costs, diversion of management resources and other factors. In addition, it is possible that a resolution of one or more such proceedings could result in reputational harm, substantial settlements, judgments, fines or penalties, criminal sanctions, consent decrees, or orders preventing us from offering certain features, functionalities, products or services, requiring us to change our development process or other business practices.</w:t>
      </w:r>
    </w:p>
    <w:p>
      <w:pPr>
        <w:spacing w:after="0" w:line="193"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There is also inherent uncertainty in determining reserves for these matters. There is significant judgment required in the analysis of these matters, including assessing the probability of potential outcomes and determining whether a potential exposure can be reasonably estimated. In making these determinations, we, in consultation with outside counsel, examine the relevant facts and circumstances on a quarterly basis assuming, as applicable, a combination of settlement and litigated outcomes and strategies. Further, it may take time to develop factors on which reasonable judgments and estimates can be based. If we fail to establish appropriate reserves, our business could be negatively impacted.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rates or exposure to additional tax liabilities could negatively impact our business.</w:t>
      </w:r>
    </w:p>
    <w:p>
      <w:pPr>
        <w:spacing w:after="0" w:line="229" w:lineRule="exact"/>
        <w:rPr>
          <w:sz w:val="20"/>
          <w:szCs w:val="20"/>
          <w:color w:val="auto"/>
        </w:rPr>
      </w:pPr>
    </w:p>
    <w:p>
      <w:pPr>
        <w:ind w:right="240" w:firstLine="348"/>
        <w:spacing w:after="0" w:line="262" w:lineRule="auto"/>
        <w:rPr>
          <w:sz w:val="20"/>
          <w:szCs w:val="20"/>
          <w:color w:val="auto"/>
        </w:rPr>
      </w:pPr>
      <w:r>
        <w:rPr>
          <w:rFonts w:ascii="Times New Roman" w:cs="Times New Roman" w:eastAsia="Times New Roman" w:hAnsi="Times New Roman"/>
          <w:sz w:val="18"/>
          <w:szCs w:val="18"/>
          <w:color w:val="auto"/>
        </w:rPr>
        <w:t>We are subject to income taxes in the United States and other jurisdictions. In the ordinary course of business there are many transactions and calculations where the ultimate income tax determination is uncertain. Significant judgment is required in determining our worldwide income tax provision. Although we believe our income tax estimates are reasonable, the ultimate outcomes may have a negative impact on our business.</w:t>
      </w:r>
    </w:p>
    <w:p>
      <w:pPr>
        <w:spacing w:after="0" w:line="186"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Our income tax liability and effective tax rate could be adversely affected by a variety of factors, including changes in our business, the mix of earnings in countries with differing statutory tax rates, changes in tax laws or tax rulings, changes in interpretations of existing laws, or developments in tax examinations or investigations. Any of these factors could have a negative impact on our business or require us to change the manner in which we operate our business. The tax regimes we are subject to, or operate under, are unsettled and may be subject to significant change. A number of countries are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actively pursuing fundamental changes to the tax laws applicable to multinational companies like us. Furthermore, tax authorities may choose to examine or investigate our tax reporting or tax liability, including under transfer pricing or permanent establishment theories. These proceedings may lead to adjustments or proposed adjustments to our income taxes or provisions for uncertain tax positions.</w:t>
      </w:r>
    </w:p>
    <w:p>
      <w:pPr>
        <w:spacing w:after="0" w:line="186" w:lineRule="exact"/>
        <w:rPr>
          <w:sz w:val="20"/>
          <w:szCs w:val="20"/>
          <w:color w:val="auto"/>
        </w:rPr>
      </w:pPr>
    </w:p>
    <w:p>
      <w:pPr>
        <w:ind w:right="140" w:firstLine="351"/>
        <w:spacing w:after="0" w:line="255" w:lineRule="auto"/>
        <w:rPr>
          <w:sz w:val="20"/>
          <w:szCs w:val="20"/>
          <w:color w:val="auto"/>
        </w:rPr>
      </w:pPr>
      <w:r>
        <w:rPr>
          <w:rFonts w:ascii="Times New Roman" w:cs="Times New Roman" w:eastAsia="Times New Roman" w:hAnsi="Times New Roman"/>
          <w:sz w:val="18"/>
          <w:szCs w:val="18"/>
          <w:color w:val="auto"/>
        </w:rPr>
        <w:t>On December 22, 2017, tax reform legislation known as the Tax Cuts and Jobs Act (the "U.S. Tax Reform Act") was enacted in the United States. The U.S. Tax Reform Act introduced significant changes to U.S. income tax law that have had a meaningful impact on our financial position and effective tax rate. Accounting for the income tax effects of the U.S. Tax Reform Act and subsequent guidance issued required complex new calculations to be performed and significant judgments in interpreting the legislation. Additional guidance may be issued on how the provisions of the U.S. Tax Reform Act will be applied or otherwise administered that is different from our interpretation, which could result in adjustments to the income tax effects of the U.S. Tax Reform Act we have recorded at December 31, 2018. These adjustments could have a negative impact on our business.</w:t>
      </w:r>
    </w:p>
    <w:p>
      <w:pPr>
        <w:spacing w:after="0" w:line="193" w:lineRule="exact"/>
        <w:rPr>
          <w:sz w:val="20"/>
          <w:szCs w:val="20"/>
          <w:color w:val="auto"/>
        </w:rPr>
      </w:pPr>
    </w:p>
    <w:p>
      <w:pPr>
        <w:ind w:firstLine="351"/>
        <w:spacing w:after="0" w:line="293" w:lineRule="auto"/>
        <w:rPr>
          <w:sz w:val="20"/>
          <w:szCs w:val="20"/>
          <w:color w:val="auto"/>
        </w:rPr>
      </w:pPr>
      <w:r>
        <w:rPr>
          <w:rFonts w:ascii="Times New Roman" w:cs="Times New Roman" w:eastAsia="Times New Roman" w:hAnsi="Times New Roman"/>
          <w:sz w:val="16"/>
          <w:szCs w:val="16"/>
          <w:color w:val="auto"/>
        </w:rPr>
        <w:t>In December 2017, we received a Notice of Reassessment from the French Tax Authority ("FTA") related to transfer pricing for intercompany transactions involving one of our French subsidiaries for the 2011 through 2013 tax years. We disagree with the proposed assessment and intend to vigorously contest it. We plan to pursue all remedies available to us to successfully resolve this matter, including administrative remedies with the FTA, and, if necessary, judicial remedies. While we believe our tax provisions at December 31, 2018, are appropriate, until such time as this matter is ultimately resolved we could be subject to significant additional tax liabilities. In addition to the risk of additional tax for the 2011 through 2013 tax years, if litigation regarding this matter were adversely determined and/or if the FTA were to seek adjustments of a similar nature for subsequent years, we could be subject to significant additional tax liabilities.</w:t>
      </w:r>
    </w:p>
    <w:p>
      <w:pPr>
        <w:spacing w:after="0" w:line="165" w:lineRule="exact"/>
        <w:rPr>
          <w:sz w:val="20"/>
          <w:szCs w:val="20"/>
          <w:color w:val="auto"/>
        </w:rPr>
      </w:pPr>
    </w:p>
    <w:p>
      <w:pPr>
        <w:ind w:right="160" w:firstLine="351"/>
        <w:spacing w:after="0" w:line="296" w:lineRule="auto"/>
        <w:rPr>
          <w:sz w:val="20"/>
          <w:szCs w:val="20"/>
          <w:color w:val="auto"/>
        </w:rPr>
      </w:pPr>
      <w:r>
        <w:rPr>
          <w:rFonts w:ascii="Times New Roman" w:cs="Times New Roman" w:eastAsia="Times New Roman" w:hAnsi="Times New Roman"/>
          <w:sz w:val="16"/>
          <w:szCs w:val="16"/>
          <w:color w:val="auto"/>
        </w:rPr>
        <w:t>In December 2018, we received a decision from the Swedish Tax Agency ("STA") informing us of an audit assessment to a Swedish subsidiary of King for the 2016 tax year. We disagree with the STA's decision and intend to vigorously contest it. We plan to pursue all remedies available to us to successfully resolve the matter, including administrative remedies with the STA, multilateral procedures with other relevant taxing jurisdictions, and, if necessary, judicial remedies. Further, we may be required to pay the full assessment to the STA in advance of the final resolution of the matter. While we believe our tax provisions at December 31, 2018, are appropriate, until such time as this matter is ultimately resolved we could be subject to significant additional tax liabilities.</w:t>
      </w:r>
    </w:p>
    <w:p>
      <w:pPr>
        <w:spacing w:after="0" w:line="162" w:lineRule="exact"/>
        <w:rPr>
          <w:sz w:val="20"/>
          <w:szCs w:val="20"/>
          <w:color w:val="auto"/>
        </w:rPr>
      </w:pPr>
    </w:p>
    <w:p>
      <w:pPr>
        <w:ind w:right="60" w:firstLine="348"/>
        <w:spacing w:after="0" w:line="262" w:lineRule="auto"/>
        <w:rPr>
          <w:sz w:val="20"/>
          <w:szCs w:val="20"/>
          <w:color w:val="auto"/>
        </w:rPr>
      </w:pPr>
      <w:r>
        <w:rPr>
          <w:rFonts w:ascii="Times New Roman" w:cs="Times New Roman" w:eastAsia="Times New Roman" w:hAnsi="Times New Roman"/>
          <w:sz w:val="18"/>
          <w:szCs w:val="18"/>
          <w:color w:val="auto"/>
        </w:rPr>
        <w:t>We are also required to pay taxes other than income taxes, such as payroll, sales, use, value-added, net worth, property, and goods and services taxes, in both the United States and various other jurisdictions. Tax authorities regularly examine these non-income taxes. The outcomes from these examinations, changes in the business, changes in applicable tax rules or other tax matters may have a negative impact on our business.</w:t>
      </w:r>
    </w:p>
    <w:p>
      <w:pPr>
        <w:spacing w:after="0" w:line="182"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industry is subject to rapid technological change, and if we do not adapt to, and appropriately allocate our resources among, emerging technologies and business models, our business may be negatively impacted.</w:t>
      </w:r>
    </w:p>
    <w:p>
      <w:pPr>
        <w:spacing w:after="0" w:line="169" w:lineRule="exact"/>
        <w:rPr>
          <w:sz w:val="20"/>
          <w:szCs w:val="20"/>
          <w:color w:val="auto"/>
        </w:rPr>
      </w:pPr>
    </w:p>
    <w:p>
      <w:pPr>
        <w:ind w:right="60" w:firstLine="348"/>
        <w:spacing w:after="0" w:line="254" w:lineRule="auto"/>
        <w:rPr>
          <w:sz w:val="20"/>
          <w:szCs w:val="20"/>
          <w:color w:val="auto"/>
        </w:rPr>
      </w:pPr>
      <w:r>
        <w:rPr>
          <w:rFonts w:ascii="Times New Roman" w:cs="Times New Roman" w:eastAsia="Times New Roman" w:hAnsi="Times New Roman"/>
          <w:sz w:val="18"/>
          <w:szCs w:val="18"/>
          <w:color w:val="auto"/>
        </w:rPr>
        <w:t>Technology changes rapidly in the interactive entertainment industry. We must continually anticipate and adapt our products, distribution channels, and business models to emerging technologies and delivery platforms to stay competitive. Forecasting our revenues and profitability for these new products, distribution channels and business models is inherently uncertain and volatile, and if we invest in the development of interactive entertainment products or distribution channels incorporating a new technology or for a new platform that does not achieve significant commercial success, whether because of competition or otherwise, we may not recover the often substantial "up front" costs of developing and marketing those products and distribution channels, or recover the opportunity cost of diverting management and financial resources away from other products or distribution channels. Further, our competitors may adapt to an emerging technology or business model more quickly or effectively than we do, creating products that are technologically superior to ours, more appealing to consumers, or both.</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firstLine="351"/>
        <w:spacing w:after="0" w:line="258" w:lineRule="auto"/>
        <w:rPr>
          <w:sz w:val="20"/>
          <w:szCs w:val="20"/>
          <w:color w:val="auto"/>
        </w:rPr>
      </w:pPr>
      <w:r>
        <w:rPr>
          <w:rFonts w:ascii="Times New Roman" w:cs="Times New Roman" w:eastAsia="Times New Roman" w:hAnsi="Times New Roman"/>
          <w:sz w:val="18"/>
          <w:szCs w:val="18"/>
          <w:color w:val="auto"/>
        </w:rPr>
        <w:t>If, on the other hand, we elect not to pursue the development of products incorporating a new technology or for new platforms, or otherwise elect not to pursue new business models, that achieve significant commercial success, it may have adverse consequences. It may take significant time and expenditures to shift product development resources to that technology, platform or business model, as the case may be, and it may be more difficult to compete against existing products incorporating that technology or for that platform or against companies using that business model.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within, and to, the interactive entertainment industry is intense, and competitors may succeed in reducing our sales.</w:t>
      </w:r>
    </w:p>
    <w:p>
      <w:pPr>
        <w:spacing w:after="0" w:line="229"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compete with other publishers of interactive entertainment software, both within and outside the United States. Our competitors include very large corporations with significantly greater financial, marketing and product development resources than we have. Our larger competitors may be able to leverage their greater financial, technical, personnel and other resources to provide larger budgets for development and marketing and make higher offers to licensors and developers for commercially desirable properties, as well as adopt more aggressive pricing policies to develop more commercially successful video game products than we do. In addition, competitors with large portfolios and popular games typically have greater influence with platform providers, retailers, distributors and other customers who may, in turn, provide more favorable support to those competitors' games.</w:t>
      </w:r>
    </w:p>
    <w:p>
      <w:pPr>
        <w:spacing w:after="0" w:line="193" w:lineRule="exact"/>
        <w:rPr>
          <w:sz w:val="20"/>
          <w:szCs w:val="20"/>
          <w:color w:val="auto"/>
        </w:rPr>
      </w:pPr>
    </w:p>
    <w:p>
      <w:pPr>
        <w:ind w:right="60" w:firstLine="341"/>
        <w:spacing w:after="0" w:line="258" w:lineRule="auto"/>
        <w:rPr>
          <w:sz w:val="20"/>
          <w:szCs w:val="20"/>
          <w:color w:val="auto"/>
        </w:rPr>
      </w:pPr>
      <w:r>
        <w:rPr>
          <w:rFonts w:ascii="Times New Roman" w:cs="Times New Roman" w:eastAsia="Times New Roman" w:hAnsi="Times New Roman"/>
          <w:sz w:val="18"/>
          <w:szCs w:val="18"/>
          <w:color w:val="auto"/>
        </w:rPr>
        <w:t>Additionally, we compete with other forms of entertainment and leisure activities. As our business continues to expand in complexity and scope, we have increased exposure to additional competitors, including those with access to large existing user bases and control over distribution channels. Further, it is difficult to predict and prepare for rapid changes in consumer demand that could materially alter public preferences for different forms of entertainment and leisure activities. Failure to adequately identify and adapt to these competitive pressures could negatively impact our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sell our products at the prices we planned to, our business may be negatively impacted.</w:t>
      </w:r>
    </w:p>
    <w:p>
      <w:pPr>
        <w:spacing w:after="0" w:line="229"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If we are unable to sell our products at the prices we planned, whether due to competitive pressure, including the continuing industry shift to free-to-play games, because retailers or other third parties elect to price these products at a lower price, or otherwise, it has, and is expected to continue to have, a negative impact on our business. Further, our decisions around the development of new game content are grounded in assumptions about eventual pricing levels. If there is price compression in the market after these decisions are made, it could have a negative impact on our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continue to attract, retain, and motivate skilled personnel, we will be unable to effectively conduct our business.</w:t>
      </w:r>
    </w:p>
    <w:p>
      <w:pPr>
        <w:spacing w:after="0" w:line="229"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Our success depends to a significant extent on our ability to identify, attract, hire, retain, motivate, and utilize the abilities of qualified personnel, particularly personnel with the specialized skills needed to create and sell the high-quality, well-received content upon which our business is substantially dependent. Our industry is generally characterized by a high level of employee mobility, competitive compensation programs, and aggressive recruiting among competitors for employees with technical, marketing, sales, engineering, product development, creative, and/or management skills. We may have difficulties in attracting and retaining skilled personnel or may incur significant costs to do so. If we are unable to attract additional qualified employees or retain and utilize the services of key personnel, it could have a negative impact on our business.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external developers to develop some of our software products.</w:t>
      </w:r>
    </w:p>
    <w:p>
      <w:pPr>
        <w:spacing w:after="0" w:line="229" w:lineRule="exact"/>
        <w:rPr>
          <w:sz w:val="20"/>
          <w:szCs w:val="20"/>
          <w:color w:val="auto"/>
        </w:rPr>
      </w:pPr>
    </w:p>
    <w:p>
      <w:pPr>
        <w:ind w:right="100" w:firstLine="348"/>
        <w:spacing w:after="0" w:line="275" w:lineRule="auto"/>
        <w:rPr>
          <w:sz w:val="20"/>
          <w:szCs w:val="20"/>
          <w:color w:val="auto"/>
        </w:rPr>
      </w:pPr>
      <w:r>
        <w:rPr>
          <w:rFonts w:ascii="Times New Roman" w:cs="Times New Roman" w:eastAsia="Times New Roman" w:hAnsi="Times New Roman"/>
          <w:sz w:val="18"/>
          <w:szCs w:val="18"/>
          <w:color w:val="auto"/>
        </w:rPr>
        <w:t>We rely on external software developers to develop some of our software products. Because we depend on these developers, we are subject to the following risks:</w:t>
      </w:r>
    </w:p>
    <w:p>
      <w:pPr>
        <w:spacing w:after="0" w:line="187" w:lineRule="exact"/>
        <w:rPr>
          <w:sz w:val="20"/>
          <w:szCs w:val="20"/>
          <w:color w:val="auto"/>
        </w:rPr>
      </w:pPr>
    </w:p>
    <w:p>
      <w:pPr>
        <w:jc w:val="both"/>
        <w:ind w:left="1080" w:right="40" w:hanging="532"/>
        <w:spacing w:after="0" w:line="26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strong demand for top-tier developers' resources, combined with the recognition they receive in connection with their work, may cause developers who worked for us in the past either to work for a competitor in the future or to renegotiate agreements with us on terms less favorable to us;</w:t>
      </w:r>
    </w:p>
    <w:p>
      <w:pPr>
        <w:spacing w:after="0" w:line="213" w:lineRule="exact"/>
        <w:rPr>
          <w:rFonts w:ascii="Times New Roman" w:cs="Times New Roman" w:eastAsia="Times New Roman" w:hAnsi="Times New Roman"/>
          <w:sz w:val="18"/>
          <w:szCs w:val="18"/>
          <w:color w:val="auto"/>
        </w:rPr>
      </w:pPr>
    </w:p>
    <w:p>
      <w:pPr>
        <w:ind w:left="1080" w:right="680" w:hanging="532"/>
        <w:spacing w:after="0" w:line="275"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financial resources and business expertise or the inability to retain skilled personnel may force developers out of business prior to completing products for us or require us to fund additional costs;</w:t>
      </w:r>
    </w:p>
    <w:p>
      <w:pPr>
        <w:spacing w:after="0" w:line="187" w:lineRule="exact"/>
        <w:rPr>
          <w:rFonts w:ascii="Times New Roman" w:cs="Times New Roman" w:eastAsia="Times New Roman" w:hAnsi="Times New Roman"/>
          <w:sz w:val="18"/>
          <w:szCs w:val="18"/>
          <w:color w:val="auto"/>
        </w:rPr>
      </w:pPr>
    </w:p>
    <w:p>
      <w:pPr>
        <w:jc w:val="both"/>
        <w:ind w:left="1080" w:right="80" w:hanging="532"/>
        <w:spacing w:after="0" w:line="26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competitor may acquire the business of one or more key developers or sign them to exclusive development arrangements and, in either case, we would not be able to continue to engage such developers' services for our products, except for any period for which the developer is contractually obligated to complete development for us; and</w:t>
      </w:r>
    </w:p>
    <w:p>
      <w:pPr>
        <w:spacing w:after="0" w:line="199" w:lineRule="exact"/>
        <w:rPr>
          <w:rFonts w:ascii="Times New Roman" w:cs="Times New Roman" w:eastAsia="Times New Roman" w:hAnsi="Times New Roman"/>
          <w:sz w:val="18"/>
          <w:szCs w:val="18"/>
          <w:color w:val="auto"/>
        </w:rPr>
      </w:pPr>
    </w:p>
    <w:p>
      <w:pPr>
        <w:ind w:left="1080" w:right="140" w:hanging="532"/>
        <w:spacing w:after="0" w:line="275"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external developers reduces our visibility into, and control over, development schedules and operational outcomes compared to those when utilizing internal development resources.</w:t>
      </w:r>
    </w:p>
    <w:p>
      <w:pPr>
        <w:spacing w:after="0" w:line="170"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engage in strategic transactions and may encounter difficulties in integrating acquired businesses or otherwise realizing the anticipated benefits of these transactions.</w:t>
      </w:r>
    </w:p>
    <w:p>
      <w:pPr>
        <w:spacing w:after="0" w:line="169" w:lineRule="exact"/>
        <w:rPr>
          <w:sz w:val="20"/>
          <w:szCs w:val="20"/>
          <w:color w:val="auto"/>
        </w:rPr>
      </w:pPr>
    </w:p>
    <w:p>
      <w:pPr>
        <w:ind w:firstLine="341"/>
        <w:spacing w:after="0" w:line="252" w:lineRule="auto"/>
        <w:rPr>
          <w:sz w:val="20"/>
          <w:szCs w:val="20"/>
          <w:color w:val="auto"/>
        </w:rPr>
      </w:pPr>
      <w:r>
        <w:rPr>
          <w:rFonts w:ascii="Times New Roman" w:cs="Times New Roman" w:eastAsia="Times New Roman" w:hAnsi="Times New Roman"/>
          <w:sz w:val="18"/>
          <w:szCs w:val="18"/>
          <w:color w:val="auto"/>
        </w:rPr>
        <w:t>As part of our business strategy, from time to time, we acquire, make investments in, or enter into strategic alliances and joint ventures with, complementary businesses. These transactions may involve significant risks and uncertainties, including: (1) in the case of an acquisition, (i) the potential for the acquired business to underperform relative to our expectations and the acquisition price, (ii) the potential for the acquired business to cause our financial results to differ from expectations in any given period, or over the longer-term, (iii) unexpected tax consequences from the acquisition, or the tax treatment of the acquired business's operations going forward, giving rise to incremental tax liabilities that are difficult to predict, (iv) difficulty in integrating the acquired business, its operations, and its employees in an efficient and effective manner, (v) any unknown liabilities or internal control deficiencies assumed as part of the acquisition, and (vi) the potential loss of key employees of the acquired businesses; and (2) in the case of an investment, alliance, or joint venture, (i) our ability to cooperate with our partner, (ii) our partner having economic, business, or legal interests or goals that are inconsistent with ours, and (iii) the potential that our partner may be unable to meet its economic or other obligations, which may require us to fulfill those obligations alone. Further, any such transaction may involve the risk that our senior management's attention will be excessively diverted from our other operations, the risk that our industry does not evolve as anticipated, and that any intellectual property or personnel skills acquired do not prove to be those needed for our future success, and the risk that our strategic objectives, cost savings or other anticipated benefits are otherwise not achieved.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debt could adversely affect our business.</w:t>
      </w:r>
    </w:p>
    <w:p>
      <w:pPr>
        <w:spacing w:after="0" w:line="229" w:lineRule="exact"/>
        <w:rPr>
          <w:sz w:val="20"/>
          <w:szCs w:val="20"/>
          <w:color w:val="auto"/>
        </w:rPr>
      </w:pPr>
    </w:p>
    <w:p>
      <w:pPr>
        <w:ind w:right="40" w:firstLine="341"/>
        <w:spacing w:after="0" w:line="258" w:lineRule="auto"/>
        <w:rPr>
          <w:sz w:val="20"/>
          <w:szCs w:val="20"/>
          <w:color w:val="auto"/>
        </w:rPr>
      </w:pPr>
      <w:r>
        <w:rPr>
          <w:rFonts w:ascii="Times New Roman" w:cs="Times New Roman" w:eastAsia="Times New Roman" w:hAnsi="Times New Roman"/>
          <w:sz w:val="18"/>
          <w:szCs w:val="18"/>
          <w:color w:val="auto"/>
        </w:rPr>
        <w:t>As of December 31, 2018, the Company had approximately $2.7 billion of long-term debt outstanding. Our debt burden could have important consequences, including: increasing our vulnerability to general adverse economic and industry conditions; limiting our flexibility in planning for, or reacting to, changes in our business and our industry; requiring the dedication of a substantial portion of any cash flows from operations for the payment of principal and interest on our indebtedness, thereby reducing the availability of cash flow to fund our operations, growth strategy,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working capital, capital expenditures, future business opportunities, and other general corporate purposes; restricting us from making strategic acquisitions or causing us to make non-strategic divestitures; limiting our ability to obtain additional financing for working capital, capital expenditures, research and development, acquisitions and general corporate or other purposes; limiting our ability to adjust to changing market conditions; and placing us at a competitive disadvantage relative to competitors who have lower levels of debt. Further, though our current long-term debt all bears fixed interest rates, if and when we have borrowings at floating rates of interest, it could expose us to the risk of increased interest rates with respect to those borrowings.</w:t>
      </w:r>
    </w:p>
    <w:p>
      <w:pPr>
        <w:spacing w:after="0" w:line="193" w:lineRule="exact"/>
        <w:rPr>
          <w:sz w:val="20"/>
          <w:szCs w:val="20"/>
          <w:color w:val="auto"/>
        </w:rPr>
      </w:pPr>
    </w:p>
    <w:p>
      <w:pPr>
        <w:ind w:firstLine="341"/>
        <w:spacing w:after="0" w:line="253" w:lineRule="auto"/>
        <w:rPr>
          <w:sz w:val="20"/>
          <w:szCs w:val="20"/>
          <w:color w:val="auto"/>
        </w:rPr>
      </w:pPr>
      <w:r>
        <w:rPr>
          <w:rFonts w:ascii="Times New Roman" w:cs="Times New Roman" w:eastAsia="Times New Roman" w:hAnsi="Times New Roman"/>
          <w:sz w:val="18"/>
          <w:szCs w:val="18"/>
          <w:color w:val="auto"/>
        </w:rPr>
        <w:t>Agreements governing our indebtedness, including our credit agreement entered into on October 11, 2013 (as amended thereafter and from time to time, the "Credit Agreement") and the indentures governing our notes, impose operating and financial restrictions on our activities. These restrictions require us to comply with or maintain certain financial tests and ratios. In addition, under certain circumstances, the Credit Agreement and our indentures may limit or prohibit other activities. In addition, we are required to maintain a maximum total net debt ratio calculated pursuant to a financial maintenance covenant under the Credit Agreement. Further, various risks, uncertainties, and events beyond our control could affect our ability to comply with these covenants. Failure to comply with any of the covenants in our financing agreements could result in a default under those agreements and under other agreements containing cross-default provisions. Such a default would permit lenders to accelerate the maturity of the debt under these agreements. Under these circumstances, we might not have sufficient funds or other resources to satisfy all of our obligations, including our obligations under the Credit Agreement or the indentures governing our notes. In addition, the limitations imposed by financing agreements on our ability to incur additional debt and to take other actions might significantly impair our ability to obtain other financing. There can be no assurances that we will be granted waivers or amendments to these agreements if, for any reason, we are unable to comply with these agreements or that we will be able to refinance our debt on terms acceptable to us, or at all.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borrow funds under our revolving credit facility if we are not able to meet the conditions to borrowing under that facility.</w:t>
      </w:r>
    </w:p>
    <w:p>
      <w:pPr>
        <w:spacing w:after="0" w:line="229" w:lineRule="exact"/>
        <w:rPr>
          <w:sz w:val="20"/>
          <w:szCs w:val="20"/>
          <w:color w:val="auto"/>
        </w:rPr>
      </w:pPr>
    </w:p>
    <w:p>
      <w:pPr>
        <w:jc w:val="both"/>
        <w:ind w:right="200" w:firstLine="348"/>
        <w:spacing w:after="0" w:line="262" w:lineRule="auto"/>
        <w:rPr>
          <w:sz w:val="20"/>
          <w:szCs w:val="20"/>
          <w:color w:val="auto"/>
        </w:rPr>
      </w:pPr>
      <w:r>
        <w:rPr>
          <w:rFonts w:ascii="Times New Roman" w:cs="Times New Roman" w:eastAsia="Times New Roman" w:hAnsi="Times New Roman"/>
          <w:sz w:val="18"/>
          <w:szCs w:val="18"/>
          <w:color w:val="auto"/>
        </w:rPr>
        <w:t>We view our $1.5 billion revolving credit facility as a source of available liquidity. This facility contains various conditions, covenants and representations with which we must be in compliance in order to borrow funds. We have not borrowed under the revolving credit facility to date, but if we wish to do so, there can be no assurance that we will be in compliance with these conditions, covenants and representations at such time.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LIBOR calculation method may change and LIBOR is expected to be phased out after 2021.</w:t>
      </w:r>
    </w:p>
    <w:p>
      <w:pPr>
        <w:spacing w:after="0" w:line="229" w:lineRule="exact"/>
        <w:rPr>
          <w:sz w:val="20"/>
          <w:szCs w:val="20"/>
          <w:color w:val="auto"/>
        </w:rPr>
      </w:pPr>
    </w:p>
    <w:p>
      <w:pPr>
        <w:ind w:right="120" w:firstLine="351"/>
        <w:spacing w:after="0" w:line="301" w:lineRule="auto"/>
        <w:rPr>
          <w:sz w:val="20"/>
          <w:szCs w:val="20"/>
          <w:color w:val="auto"/>
        </w:rPr>
      </w:pPr>
      <w:r>
        <w:rPr>
          <w:rFonts w:ascii="Times New Roman" w:cs="Times New Roman" w:eastAsia="Times New Roman" w:hAnsi="Times New Roman"/>
          <w:sz w:val="16"/>
          <w:szCs w:val="16"/>
          <w:color w:val="auto"/>
        </w:rPr>
        <w:t>Interest on our revolving credit facility, which is scheduled to mature in 2023, is calculated based on LIBOR. On July 27, 2017, the U.K. Financial Conduct Authority (the "FCA") announced that it will no longer require banks to submit rates for the calculation of LIBOR after 2021. In the meantime, actions by the FCA, other regulators, or law enforcement agencies may result in changes to the method by which LIBOR is calculated. At this time, it is not possible to predict the effect of any such changes or any other reforms to LIBOR that may be enacted in the U.K. or elsewhere on our revolving credit facility.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Lawsuits have been filed, and may continue to be filed, against publishers of interactive entertainment software products.</w:t>
      </w:r>
    </w:p>
    <w:p>
      <w:pPr>
        <w:spacing w:after="0" w:line="229" w:lineRule="exact"/>
        <w:rPr>
          <w:sz w:val="20"/>
          <w:szCs w:val="20"/>
          <w:color w:val="auto"/>
        </w:rPr>
      </w:pPr>
    </w:p>
    <w:p>
      <w:pPr>
        <w:ind w:right="220" w:firstLine="351"/>
        <w:spacing w:after="0" w:line="262" w:lineRule="auto"/>
        <w:rPr>
          <w:sz w:val="20"/>
          <w:szCs w:val="20"/>
          <w:color w:val="auto"/>
        </w:rPr>
      </w:pPr>
      <w:r>
        <w:rPr>
          <w:rFonts w:ascii="Times New Roman" w:cs="Times New Roman" w:eastAsia="Times New Roman" w:hAnsi="Times New Roman"/>
          <w:sz w:val="18"/>
          <w:szCs w:val="18"/>
          <w:color w:val="auto"/>
        </w:rPr>
        <w:t>In prior years, lawsuits have been filed against numerous interactive entertainment companies, including against us, by the families of victims of violence, alleging that interactive entertainment products influence the behavior of the perpetrators of such violence. These lawsuits have been dismissed, but similar additional lawsuits could be filed in the future. Although our general liability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insurance carrier has agreed to defend lawsuits of this nature with respect to the prior lawsuits, it is uncertain whether insurance carriers would do so in the future, or if such insurance carriers would cover all or any amounts for which we might be liable if such future lawsuits are not decided in our favor. Further, any such lawsuit could result in increased governmental scrutiny, harm to our reputation, reduced demand by consumers for our products, or decreased willingness by our customers to purchase, or by our partners to provide marketing support for, those products. Such results could divert development and management resources, increase legal fees and other costs, and have other negative impacts on our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seasonality in the sale of our products.</w:t>
      </w:r>
    </w:p>
    <w:p>
      <w:pPr>
        <w:spacing w:after="0" w:line="229" w:lineRule="exact"/>
        <w:rPr>
          <w:sz w:val="20"/>
          <w:szCs w:val="20"/>
          <w:color w:val="auto"/>
        </w:rPr>
      </w:pPr>
    </w:p>
    <w:p>
      <w:pPr>
        <w:ind w:right="80" w:firstLine="348"/>
        <w:spacing w:after="0" w:line="256" w:lineRule="auto"/>
        <w:rPr>
          <w:sz w:val="20"/>
          <w:szCs w:val="20"/>
          <w:color w:val="auto"/>
        </w:rPr>
      </w:pPr>
      <w:r>
        <w:rPr>
          <w:rFonts w:ascii="Times New Roman" w:cs="Times New Roman" w:eastAsia="Times New Roman" w:hAnsi="Times New Roman"/>
          <w:sz w:val="18"/>
          <w:szCs w:val="18"/>
          <w:color w:val="auto"/>
        </w:rPr>
        <w:t>The interactive entertainment industry is somewhat seasonal, with the highest levels of consumer demand occurring during the calendar year-end holiday buying season. As a result, our sales have historically been highest during the fourth quarter of the year, particularly for our Activision segment. Receivables and credit risk are likewise higher during the fourth quarter of the year, as retailers increase their purchases of our products in anticipation of the holiday season. Delays in development, approvals or manufacturing could affect the timing of the release of products, causing us to miss key selling periods such as the year-end holiday buying season, which could negatively impact our business.</w:t>
      </w:r>
    </w:p>
    <w:p>
      <w:pPr>
        <w:spacing w:after="0" w:line="189"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harmed if our distributors, retailers, development and licensing partners, or other third parties with whom we do business act in ways that put our brand at risk.</w:t>
      </w:r>
    </w:p>
    <w:p>
      <w:pPr>
        <w:spacing w:after="0" w:line="169"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In many cases, our business partners are given access to sensitive and proprietary information or control over our intellectual property to provide services and support to our team. These third parties may misappropriate our information or intellectual property and engage in unauthorized use of it or otherwise act in a way that places our brand at risk. The failure of these third parties to provide adequate services and technologies, the failure of third parties to adequately maintain or update their services and technologies, or the misappropriation or misuse of this information or intellectual property could result in a disruption to our business operations or an adverse effect on our reputation and may negatively impact our business.</w:t>
      </w:r>
    </w:p>
    <w:p>
      <w:pPr>
        <w:spacing w:after="0" w:line="18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use open source software in connection with certain of our games and services, which may pose particular risks to our proprietary software, products, and services in a manner that could have a negative impact on our business.</w:t>
      </w:r>
    </w:p>
    <w:p>
      <w:pPr>
        <w:spacing w:after="0" w:line="169" w:lineRule="exact"/>
        <w:rPr>
          <w:sz w:val="20"/>
          <w:szCs w:val="20"/>
          <w:color w:val="auto"/>
        </w:rPr>
      </w:pPr>
    </w:p>
    <w:p>
      <w:pPr>
        <w:ind w:right="120" w:firstLine="348"/>
        <w:spacing w:after="0" w:line="254" w:lineRule="auto"/>
        <w:rPr>
          <w:sz w:val="20"/>
          <w:szCs w:val="20"/>
          <w:color w:val="auto"/>
        </w:rPr>
      </w:pPr>
      <w:r>
        <w:rPr>
          <w:rFonts w:ascii="Times New Roman" w:cs="Times New Roman" w:eastAsia="Times New Roman" w:hAnsi="Times New Roman"/>
          <w:sz w:val="18"/>
          <w:szCs w:val="18"/>
          <w:color w:val="auto"/>
        </w:rPr>
        <w:t>We use open source software in connection with some of the games and services we offer. Some open source software licenses require users who distribute open source software as part of their software to publicly disclose all or part of the source code to such software or make available any derivative works of the open source code on unfavorable terms or at no cost. The terms of various open source licenses have not been interpreted by courts, and there is a risk that such licenses could be construed in a manner that imposes unanticipated conditions or restrictions on our use of the open source software. Were it determined that our use was not in compliance with a particular license, we may be required to release our proprietary source code, pay damages for breach of contract, re-engineer our games or products, discontinue distribution in the event re-engineering cannot be accomplished on a timely basis, or take other remedial action that may divert resources away from our game development efforts, any of which could negatively impact our business.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claims.</w:t>
      </w:r>
    </w:p>
    <w:p>
      <w:pPr>
        <w:spacing w:after="0" w:line="229" w:lineRule="exact"/>
        <w:rPr>
          <w:sz w:val="20"/>
          <w:szCs w:val="20"/>
          <w:color w:val="auto"/>
        </w:rPr>
      </w:pPr>
    </w:p>
    <w:p>
      <w:pPr>
        <w:ind w:right="300" w:firstLine="341"/>
        <w:spacing w:after="0" w:line="262" w:lineRule="auto"/>
        <w:rPr>
          <w:sz w:val="20"/>
          <w:szCs w:val="20"/>
          <w:color w:val="auto"/>
        </w:rPr>
      </w:pPr>
      <w:r>
        <w:rPr>
          <w:rFonts w:ascii="Times New Roman" w:cs="Times New Roman" w:eastAsia="Times New Roman" w:hAnsi="Times New Roman"/>
          <w:sz w:val="18"/>
          <w:szCs w:val="18"/>
          <w:color w:val="auto"/>
        </w:rPr>
        <w:t>As the number of interactive entertainment software products increases and the features and content of these products continue to overlap, software developers have increasingly become subject to infringement claims. Further, many of our products are highly realistic and feature materials that are based on real-world things or people, which may also be the subject of claims of infringement of the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16"/>
          <w:szCs w:val="16"/>
          <w:color w:val="auto"/>
        </w:rPr>
        <w:t>intellectual property of others, including right of publicity, trademark, and unfair competition claims. In addition, our products often utilize complex, cutting-edge technology that may become subject to emerging intellectual property claims of others. Although we take steps to avoid knowingly violating the intellectual property rights of others, third parties may still claim infringement, particularly since there are many companies that focus exclusively on enforcing patent rights.</w:t>
      </w:r>
    </w:p>
    <w:p>
      <w:pPr>
        <w:spacing w:after="0" w:line="151"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From time to time, we receive communications from third parties regarding such claims. Existing or future infringement claims against us, whether meritorious or not, may be time consuming, distracting to management, and expensive to defend. Further, intellectual property litigation or claims could force us to do one or more of the following:</w:t>
      </w:r>
    </w:p>
    <w:p>
      <w:pPr>
        <w:spacing w:after="0" w:line="200" w:lineRule="exact"/>
        <w:rPr>
          <w:sz w:val="20"/>
          <w:szCs w:val="20"/>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incorporating, supporting, or using products or services that incorporate the challenged intellectual property;</w:t>
      </w:r>
    </w:p>
    <w:p>
      <w:pPr>
        <w:spacing w:after="0" w:line="252" w:lineRule="exact"/>
        <w:rPr>
          <w:rFonts w:ascii="Times New Roman" w:cs="Times New Roman" w:eastAsia="Times New Roman" w:hAnsi="Times New Roman"/>
          <w:sz w:val="18"/>
          <w:szCs w:val="18"/>
          <w:color w:val="auto"/>
        </w:rPr>
      </w:pPr>
    </w:p>
    <w:p>
      <w:pPr>
        <w:ind w:left="1080" w:right="260" w:hanging="532"/>
        <w:spacing w:after="0" w:line="275"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infringed intellectual property, which, if available at all, may not be available on commercially favorable terms;</w:t>
      </w:r>
    </w:p>
    <w:p>
      <w:pPr>
        <w:spacing w:after="0" w:line="187" w:lineRule="exact"/>
        <w:rPr>
          <w:rFonts w:ascii="Times New Roman" w:cs="Times New Roman" w:eastAsia="Times New Roman" w:hAnsi="Times New Roman"/>
          <w:sz w:val="18"/>
          <w:szCs w:val="18"/>
          <w:color w:val="auto"/>
        </w:rPr>
      </w:pPr>
    </w:p>
    <w:p>
      <w:pPr>
        <w:ind w:left="1080" w:right="260" w:hanging="532"/>
        <w:spacing w:after="0" w:line="275"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the affected interactive entertainment software products, which could result in additional costs, delay introduction and possibly reduce commercial appeal of the affected products; or</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damages to the holder of the infringed intellectual property for past infringements.</w:t>
      </w:r>
    </w:p>
    <w:p>
      <w:pPr>
        <w:spacing w:after="0" w:line="221"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products are subject to the threat of piracy and unauthorized copying, and inadequate intellectual property laws and other protections could prevent us from enforcing or defending our proprietary technologies. Further, the use of unauthorized "cheat" programs or the use of other unauthorized software modifications by users could impact multiplayer gameplay or lead to reductions in microtransactions in our games.</w:t>
      </w:r>
    </w:p>
    <w:p>
      <w:pPr>
        <w:spacing w:after="0" w:line="183"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We regard our software as proprietary and rely on a variety of methods, including a combination of copyright, patent, trademark and trade secret laws and employee and third-party non-disclosure agreements, to protect our proprietary rights. We own or license various copyrights, patents, trademarks, and trade secrets. The process of registering and protecting these rights in various jurisdictions is expensive and time-consuming. Further, we are aware that some unauthorized copying occurs, and if a significantly greater amount of unauthorized copying of our software products were to occur, it could negatively impact our business.</w:t>
      </w:r>
    </w:p>
    <w:p>
      <w:pPr>
        <w:spacing w:after="0" w:line="193" w:lineRule="exact"/>
        <w:rPr>
          <w:sz w:val="20"/>
          <w:szCs w:val="20"/>
          <w:color w:val="auto"/>
        </w:rPr>
      </w:pPr>
    </w:p>
    <w:p>
      <w:pPr>
        <w:ind w:firstLine="351"/>
        <w:spacing w:after="0" w:line="291" w:lineRule="auto"/>
        <w:rPr>
          <w:sz w:val="20"/>
          <w:szCs w:val="20"/>
          <w:color w:val="auto"/>
        </w:rPr>
      </w:pPr>
      <w:r>
        <w:rPr>
          <w:rFonts w:ascii="Times New Roman" w:cs="Times New Roman" w:eastAsia="Times New Roman" w:hAnsi="Times New Roman"/>
          <w:sz w:val="16"/>
          <w:szCs w:val="16"/>
          <w:color w:val="auto"/>
        </w:rPr>
        <w:t>Piracy is a persistent problem for us, and policing the unauthorized sale, distribution and use of our products is difficult, expensive, and time-consuming. Further, the laws of some countries in which our products are, or may be, distributed either do not protect our products and intellectual property rights to the same extent as the laws of the United States, or are poorly enforced. In addition, though we take steps to make the unauthorized sale, distribution and use of our products more difficult and to enforce and police our rights, as do the manufacturers of consoles and the operators of other platforms on which many of our games are played, these efforts may not be successful in controlling the piracy of our products in all instances. Technology designed to circumvent the protection measures used by console manufacturers and platform operators or by us in our products, the refusal of Internet service providers to remove infringing content in certain instances and the ability to download pirated copies of games from various Internet sites and peer-to-peer networks could result in an expansion in piracy.</w:t>
      </w:r>
    </w:p>
    <w:p>
      <w:pPr>
        <w:spacing w:after="0" w:line="16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In addition, "cheating" programs or other unauthorized software tools and modifications that enable consumers to cheat in games could negatively impact the volume of microtransactions or purchases of downloadable content. In addition, vulnerabilities in the design of our products or the platforms upon which they run could be discovered after their release, which may result in lost revenues from paying consumers or increased cost of developing technological measures to respond to these, either of which could negatively impact our business.</w:t>
      </w:r>
    </w:p>
    <w:p>
      <w:pPr>
        <w:spacing w:after="0" w:line="19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We also cannot be certain that existing intellectual property laws will provide adequate protection for our products in connection with emerging technologies.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insolvency or business failure of any of our business partners could negatively impact us.</w:t>
      </w:r>
    </w:p>
    <w:p>
      <w:pPr>
        <w:spacing w:after="0" w:line="229"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Our sales, whether digital or retail, are concentrated in a small number of large customers. This makes us more vulnerable to collection risk if one or more of these large customers becomes unable to pay for our products or seeks protection under the bankruptcy laws. Retailers and distributors in the interactive entertainment industry have from time to time experienced significant fluctuations in their businesses and a number of them have failed. Challenging economic conditions may impair the ability of our customers to pay for products they have purchased and, as a result, our reserves for doubtful accounts and write-off of accounts receivable could increase and, even if increased, may turn out to be insufficient. Moreover, even in cases where we have insurance to protect against a customer's bankruptcy, insolvency, or liquidation, this insurance typically contains a significant deductible and co-payment obligation and does not cover all instances of non-payment. Further, the insolvency or business failure of other types of business partners could result in disruptions to the manufacturing or distribution of our products or the cancellation of contractual arrangements that we consider to be favorable. A payment default by, or the insolvency or business failure of, a significant business partner could negatively impact our business. In addition, having such a large portion of our total net revenues concentrated in a few customers reduces our negotiating leverage with these customers.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global company and are subject to the risks and uncertainties of conducting business outside the U.S.</w:t>
      </w:r>
    </w:p>
    <w:p>
      <w:pPr>
        <w:spacing w:after="0" w:line="229" w:lineRule="exact"/>
        <w:rPr>
          <w:sz w:val="20"/>
          <w:szCs w:val="20"/>
          <w:color w:val="auto"/>
        </w:rPr>
      </w:pPr>
    </w:p>
    <w:p>
      <w:pPr>
        <w:ind w:firstLine="348"/>
        <w:spacing w:after="0" w:line="291" w:lineRule="auto"/>
        <w:rPr>
          <w:sz w:val="20"/>
          <w:szCs w:val="20"/>
          <w:color w:val="auto"/>
        </w:rPr>
      </w:pPr>
      <w:r>
        <w:rPr>
          <w:rFonts w:ascii="Times New Roman" w:cs="Times New Roman" w:eastAsia="Times New Roman" w:hAnsi="Times New Roman"/>
          <w:sz w:val="16"/>
          <w:szCs w:val="16"/>
          <w:color w:val="auto"/>
        </w:rPr>
        <w:t>We conduct business throughout the world, and we derive a substantial amount of our revenues and profits from international trade, particularly from Europe, Asia, and Australia. Moving forward, we expect that international sales will continue to account for a significant portion of our total revenues and profits and, moreover, that sales in emerging markets in Asia and elsewhere will be an increasingly important part of our international sales. As such, we are, and may be increasingly, subject to risks inherent in foreign trade generally, as well as risks inherent in doing business in emerging markets, including increased tariffs and duties, compliance with economic sanctions, fluctuations in currency exchange rates, shipping delays, increases in transportation costs, international political, regulatory and economic developments, unexpected changes to laws, regulatory requirements, and enforcement on us and our platform partners and differing local business practices, all of which may impact profit margins or make it more difficult, if not impossible, for us to conduct business in foreign markets.</w:t>
      </w:r>
    </w:p>
    <w:p>
      <w:pPr>
        <w:spacing w:after="0" w:line="167" w:lineRule="exact"/>
        <w:rPr>
          <w:sz w:val="20"/>
          <w:szCs w:val="20"/>
          <w:color w:val="auto"/>
        </w:rPr>
      </w:pPr>
    </w:p>
    <w:p>
      <w:pPr>
        <w:ind w:firstLine="341"/>
        <w:spacing w:after="0" w:line="253" w:lineRule="auto"/>
        <w:rPr>
          <w:sz w:val="20"/>
          <w:szCs w:val="20"/>
          <w:color w:val="auto"/>
        </w:rPr>
      </w:pPr>
      <w:r>
        <w:rPr>
          <w:rFonts w:ascii="Times New Roman" w:cs="Times New Roman" w:eastAsia="Times New Roman" w:hAnsi="Times New Roman"/>
          <w:sz w:val="18"/>
          <w:szCs w:val="18"/>
          <w:color w:val="auto"/>
        </w:rPr>
        <w:t>A deterioration in relations between either us or the United States and any country in which we have significant operations or sales, or the implementation of government regulations in such a country, could result in the adoption or expansion of trade restrictions, including economic sanctions, that could have a negative impact on our business. For instance, to operate in China, all games must have regulatory approval. A decision by the Chinese government to revoke its approval for any of our games or to decline to approve any products we desire to sell in China in the future could have a negative impact on our business. Additionally, in the past, legislation has been implemented in China that has required modifications to our products. The future implementation of similar laws or regulations in China or any other country in which we have operations or sales may restrict or prohibit the sale of our products or may require engineering modifications to our products that are not cost-effective, if even feasible at all, or could degrade the consumer experience to the point where consumers cease to purchase such products. The Chinese game approval procedure was suspended from March 2018 until January 2019 and, due to the large number of pending applications, it remains uncertain as to if and when our new products will be approved for release in China. Further, the enforcement of regulations relating to mobile and other games with an online element in China remains uncertain, and further changes, either in the regulations or their enforcement, could have a negative impact on our business in China.</w:t>
      </w:r>
    </w:p>
    <w:p>
      <w:pPr>
        <w:spacing w:after="0" w:line="193" w:lineRule="exact"/>
        <w:rPr>
          <w:sz w:val="20"/>
          <w:szCs w:val="20"/>
          <w:color w:val="auto"/>
        </w:rPr>
      </w:pPr>
    </w:p>
    <w:p>
      <w:pPr>
        <w:ind w:right="900" w:firstLine="348"/>
        <w:spacing w:after="0" w:line="275" w:lineRule="auto"/>
        <w:rPr>
          <w:sz w:val="20"/>
          <w:szCs w:val="20"/>
          <w:color w:val="auto"/>
        </w:rPr>
      </w:pPr>
      <w:r>
        <w:rPr>
          <w:rFonts w:ascii="Times New Roman" w:cs="Times New Roman" w:eastAsia="Times New Roman" w:hAnsi="Times New Roman"/>
          <w:sz w:val="18"/>
          <w:szCs w:val="18"/>
          <w:color w:val="auto"/>
        </w:rPr>
        <w:t>We are also subject to risks that our operations outside the United States could be conducted by our employees, contractors, third-party partners, representatives, or agents in ways that violate the</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Foreign Corrupt Practices Act, the U.K. Anti-Bribery Act or other similar anti-bribery laws, as well as the 2017 U.K. Criminal Finances Act or other similar financial crime laws. While we have policies and procedures, as well as training for our employees, intended to secure compliance with these laws, our employees, contractors, third-party partners, representatives, or agents may take actions that violate our policies. Moreover, it may be more difficult to oversee the conduct of any such persons who are not our employees, potentially exposing us to greater risk from their actions.</w:t>
      </w:r>
    </w:p>
    <w:p>
      <w:pPr>
        <w:spacing w:after="0" w:line="190" w:lineRule="exact"/>
        <w:rPr>
          <w:sz w:val="20"/>
          <w:szCs w:val="20"/>
          <w:color w:val="auto"/>
        </w:rPr>
      </w:pPr>
    </w:p>
    <w:p>
      <w:pPr>
        <w:ind w:right="100" w:firstLine="351"/>
        <w:spacing w:after="0" w:line="310" w:lineRule="auto"/>
        <w:rPr>
          <w:sz w:val="20"/>
          <w:szCs w:val="20"/>
          <w:color w:val="auto"/>
        </w:rPr>
      </w:pPr>
      <w:r>
        <w:rPr>
          <w:rFonts w:ascii="Times New Roman" w:cs="Times New Roman" w:eastAsia="Times New Roman" w:hAnsi="Times New Roman"/>
          <w:sz w:val="16"/>
          <w:szCs w:val="16"/>
          <w:color w:val="auto"/>
        </w:rPr>
        <w:t>In addition, cultural differences may affect consumer preferences and limit the international popularity of games that are popular in the U.S. or require us to modify the content of the games or the method by which we charge our customers for the games to be successful. If we do not correctly assess consumer preferences in the countries in which we sell our products, or if the other risks discussed herein come to fruition, it could negatively impact our business.</w:t>
      </w:r>
    </w:p>
    <w:p>
      <w:pPr>
        <w:spacing w:after="0" w:line="151" w:lineRule="exact"/>
        <w:rPr>
          <w:sz w:val="20"/>
          <w:szCs w:val="20"/>
          <w:color w:val="auto"/>
        </w:rPr>
      </w:pPr>
    </w:p>
    <w:p>
      <w:pPr>
        <w:ind w:firstLine="341"/>
        <w:spacing w:after="0" w:line="288" w:lineRule="auto"/>
        <w:rPr>
          <w:sz w:val="20"/>
          <w:szCs w:val="20"/>
          <w:color w:val="auto"/>
        </w:rPr>
      </w:pPr>
      <w:r>
        <w:rPr>
          <w:rFonts w:ascii="Times New Roman" w:cs="Times New Roman" w:eastAsia="Times New Roman" w:hAnsi="Times New Roman"/>
          <w:sz w:val="16"/>
          <w:szCs w:val="16"/>
          <w:color w:val="auto"/>
        </w:rPr>
        <w:t>Additionally, in June 2016, voters in the United Kingdom approved an advisory referendum to withdraw from the European Union (the "E.U."), commonly referred to as "Brexit." The United Kingdom commenced withdrawal proceedings with the E.U. in March 2017, and, on March 29, 2019, is scheduled to leave the E.U. These withdrawal proceedings have created political and economic uncertainty, particularly in the United Kingdom and the E.U., and this uncertainty may persist for years. The uncertainty surrounding the terms of the United Kingdom's withdrawal and its consequences could adversely impact consumer and investor confidence and the level of sales of discretionary items, including our products. The terms of the United Kingdom's withdrawal could negatively impact global financial markets, including currency exchange rates and interest rates, which could have a negative impact on our business, our suppliers and business partners, or our lenders and financial counterparties. Further, the terms of the United Kingdom's withdrawal and its consequences could potentially cause adverse disruptions to our operations, including our workforce, or the workforce of our suppliers, business partners, lenders or financial counterparties, in the United Kingdom or the E.U. as a result of potential changes to applicable employment or immigration rules, and our systems and information technology infrastructure or that of our suppliers, business partners, lenders or financial counterparties as a result of potential changes to regulations for data security or other data protection rules. Given our extensive global operations, the potential widespread impacts triggered through Brexit could adversely affect our business.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currency exchange rates could negatively impact our business.</w:t>
      </w:r>
    </w:p>
    <w:p>
      <w:pPr>
        <w:spacing w:after="0" w:line="229" w:lineRule="exact"/>
        <w:rPr>
          <w:sz w:val="20"/>
          <w:szCs w:val="20"/>
          <w:color w:val="auto"/>
        </w:rPr>
      </w:pPr>
    </w:p>
    <w:p>
      <w:pPr>
        <w:ind w:right="160" w:firstLine="348"/>
        <w:spacing w:after="0" w:line="291" w:lineRule="auto"/>
        <w:rPr>
          <w:sz w:val="20"/>
          <w:szCs w:val="20"/>
          <w:color w:val="auto"/>
        </w:rPr>
      </w:pPr>
      <w:r>
        <w:rPr>
          <w:rFonts w:ascii="Times New Roman" w:cs="Times New Roman" w:eastAsia="Times New Roman" w:hAnsi="Times New Roman"/>
          <w:sz w:val="16"/>
          <w:szCs w:val="16"/>
          <w:color w:val="auto"/>
        </w:rPr>
        <w:t>We transact business in various currencies other than the U.S. dollar and have significant international sales and expenses denominated in currencies other than the U.S. dollar, subjecting us to currency exchange rate risks. A substantial portion of our international sales and expenses are denominated in local currencies, including euros, British pounds, Australian dollars, South Korean won, Chinese yuan, and Swedish krona, which could fluctuate against the U.S. dollar. Since we have significant international sales but incur the majority of our costs in the United States, the impact of foreign currency fluctuations, particularly the strengthening of the U.S. dollar, may have an asymmetric and disproportional impact on our business. We have, in the past, utilized currency derivative contracts to hedge certain foreign exchange exposures and managed these exposures with natural offsets. However, there can be no assurance that we will continue our hedging programs, or that we will be successful in managing exposure to currency exchange rate risks whether or not we do so.</w:t>
      </w:r>
    </w:p>
    <w:p>
      <w:pPr>
        <w:spacing w:after="0" w:line="163"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games are subject to scrutiny regarding the appropriateness of their content. If we fail to receive our target ratings for certain titles, or if our retailers refuse to sell such titles due to what they perceive to be objectionable content, it could have a negative impact on our business.</w:t>
      </w:r>
    </w:p>
    <w:p>
      <w:pPr>
        <w:spacing w:after="0" w:line="169"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Our console and PC games are subject to ratings by the Entertainment Software Rating Board (the "ESRB"), a self-regulatory body based in the U.S. that provides U.S. and Canadian consumers of interactive entertainment software with ratings information, including information on the content in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such software, such as violence, nudity, or sexual content, along with an assessment of the suitability of the content for certain age groups. Certain other countries have also established content rating systems as prerequisites for product sales in those countries. In addition, certain stores use other ratings systems, such as Apple's use of its proprietary "App Rating System" and Google Play's use of the International Age Rating Coalition (IARC) rating system. If we are unable to obtain the ratings we have targeted for our products, it could have a negative impact on our business. In some instances, we may be required to modify our products to meet the requirements of the rating systems, which could delay or disrupt the release of any given product, or may prevent its sale altogether in certain territories. Further, if one of our games is "re-rated" for any reason, a ratings organization could require corrective actions, which could include a recall, retailers could refuse to sell it and demand that we accept the return of any unsold or returned copies or consumers could demand a refund for copies previously purchased.</w:t>
      </w:r>
    </w:p>
    <w:p>
      <w:pPr>
        <w:spacing w:after="0" w:line="192" w:lineRule="exact"/>
        <w:rPr>
          <w:sz w:val="20"/>
          <w:szCs w:val="20"/>
          <w:color w:val="auto"/>
        </w:rPr>
      </w:pPr>
    </w:p>
    <w:p>
      <w:pPr>
        <w:ind w:firstLine="341"/>
        <w:spacing w:after="0" w:line="256" w:lineRule="auto"/>
        <w:rPr>
          <w:sz w:val="20"/>
          <w:szCs w:val="20"/>
          <w:color w:val="auto"/>
        </w:rPr>
      </w:pPr>
      <w:r>
        <w:rPr>
          <w:rFonts w:ascii="Times New Roman" w:cs="Times New Roman" w:eastAsia="Times New Roman" w:hAnsi="Times New Roman"/>
          <w:sz w:val="18"/>
          <w:szCs w:val="18"/>
          <w:color w:val="auto"/>
        </w:rPr>
        <w:t>Additionally, retailers may decline to sell interactive entertainment software containing what they judge to be graphic violence or sexually explicit material or other content that they deem inappropriate for their businesses, whether because a product received a certain rating by the ESRB or other content rating system, or otherwise. If retailers decline to sell our products based upon their opinion that they contain objectionable themes, graphic violence or sexually explicit material, or other generally objectionable content, we might be required to modify particular titles or forfeit the revenue opportunity of selling such titles with that retailer.</w:t>
      </w:r>
    </w:p>
    <w:p>
      <w:pPr>
        <w:spacing w:after="0" w:line="193"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Further, throughout the history of the interactive entertainment industry, many interactive software products have included hidden content and/or hidden gameplay features, some of which have been accessible through the use of in-game codes or other technological means, that are intended to enhance the gameplay experience. In some cases, such undisclosed content or features have been considered to be objectionable. While publishers are required to disclose pertinent hidden content during the ESRB ratings process, in a few cases, publishers have failed to disclose hidden content, and the ESRB has required the recall of the game, changed the rating or associated content descriptors originally assigned to the product, required the publisher to change the game or game packaging and/or imposed fines on the publisher. Retailers have on occasion reacted to the discovery of such undisclosed content by removing these games from their shelves, refusing to sell them, and demanding that their publishers accept them as product returns. Likewise, some consumers have reacted to the revelation of undisclosed content by refusing to purchase such games, demanding refunds for games they have already purchased, refraining from buying other games published by the company whose game contained the objectionable material, and, on at least one occasion, filing a lawsuit against the publisher of the product containing such content.</w:t>
      </w:r>
    </w:p>
    <w:p>
      <w:pPr>
        <w:spacing w:after="0" w:line="195"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8"/>
          <w:szCs w:val="18"/>
          <w:color w:val="auto"/>
        </w:rPr>
        <w:t>We have implemented preventive measures designed to reduce the possibility of objectionable undisclosed content from appearing in the interactive software products we publish. Nonetheless, these preventive measures are subject to human error, circumvention, overriding, and reasonable resource constraints. If an interactive software product we publish is found to contain undisclosed content, we could be subject to any of these consequences.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or reputation may be harmed as a result of objectionable third party-created content.</w:t>
      </w:r>
    </w:p>
    <w:p>
      <w:pPr>
        <w:spacing w:after="0" w:line="229"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Certain of our games support collaborative online features that allow consumers to post narrative comments, in real time, that are visible to other consumers. Additionally, certain of our games allow consumers to create and share "user-generated content" that is visible to other consumers. From time to time, objectionable and offensive consumer content may be distributed within our games through these features or to gaming websites or forums that allow consumers to post comments. Additionally, we have begun to generate revenue through offering advertising within certain of our franchises. The content of in-game advertisements is generally created and delivered by third-party advertisers without our pre-approval, and, as such, objectionable content may be published in our games by these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advertisers. This objectionable third party-created content may expose us to regulatory action or claims related to content, or otherwise negatively impact our business.</w:t>
      </w:r>
    </w:p>
    <w:p>
      <w:pPr>
        <w:spacing w:after="0" w:line="170"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business, products, and distribution are subject to increasing regulation in key territories. If we do not successfully respond to these regulations, our business could be negatively impacted.</w:t>
      </w:r>
    </w:p>
    <w:p>
      <w:pPr>
        <w:spacing w:after="0" w:line="169" w:lineRule="exact"/>
        <w:rPr>
          <w:sz w:val="20"/>
          <w:szCs w:val="20"/>
          <w:color w:val="auto"/>
        </w:rPr>
      </w:pPr>
    </w:p>
    <w:p>
      <w:pPr>
        <w:ind w:right="220" w:firstLine="348"/>
        <w:spacing w:after="0" w:line="301" w:lineRule="auto"/>
        <w:rPr>
          <w:sz w:val="20"/>
          <w:szCs w:val="20"/>
          <w:color w:val="auto"/>
        </w:rPr>
      </w:pPr>
      <w:r>
        <w:rPr>
          <w:rFonts w:ascii="Times New Roman" w:cs="Times New Roman" w:eastAsia="Times New Roman" w:hAnsi="Times New Roman"/>
          <w:sz w:val="16"/>
          <w:szCs w:val="16"/>
          <w:color w:val="auto"/>
        </w:rPr>
        <w:t>The video game industry continues to evolve, and new and innovative business opportunities are often subject to new attempts at regulation. As such, legislation is continually being introduced, and litigation and regulatory enforcement actions are taking place, that may affect the way in which we, and other industry participants, may offer content and features, and distribute and advertise our products. These laws, regulations, and investigations are related to protection of minors, gambling, consumer privacy, accessibility, advertising, taxation, payments, intellectual property, distribution, and antitrust, among others.</w:t>
      </w:r>
    </w:p>
    <w:p>
      <w:pPr>
        <w:spacing w:after="0" w:line="157" w:lineRule="exact"/>
        <w:rPr>
          <w:sz w:val="20"/>
          <w:szCs w:val="20"/>
          <w:color w:val="auto"/>
        </w:rPr>
      </w:pPr>
    </w:p>
    <w:p>
      <w:pPr>
        <w:ind w:firstLine="351"/>
        <w:spacing w:after="0" w:line="286" w:lineRule="auto"/>
        <w:rPr>
          <w:sz w:val="20"/>
          <w:szCs w:val="20"/>
          <w:color w:val="auto"/>
        </w:rPr>
      </w:pPr>
      <w:r>
        <w:rPr>
          <w:rFonts w:ascii="Times New Roman" w:cs="Times New Roman" w:eastAsia="Times New Roman" w:hAnsi="Times New Roman"/>
          <w:sz w:val="16"/>
          <w:szCs w:val="16"/>
          <w:color w:val="auto"/>
        </w:rPr>
        <w:t>For example, many foreign countries have laws that permit governmental entities to restrict or prohibit marketing or distribution of interactive entertainment software products because of the content therein (and similar legislation has been introduced at one time or another at the federal and state levels in the United States, including legislation that attempts to impose additional taxes based on content). In addition, certain jurisdictions have laws that restrict or prohibit marketing or distribution of interactive entertainment software products with random digital item mechanics, which some of our online games and services include, or subject to such products to additional regulation and oversight, such as reporting to regulators. Also, although we have structured and operate our skill tournaments with applicable laws in mind, including any applicable laws relating to gambling, and believe that playing these games does not constitute gambling, our skill tournaments could in the future become subject to gambling-related rules and regulations and expose us to civil and criminal penalties. We also sometimes offer consumers of our online and casual games various types of contests and promotional opportunities. We are subject to laws in a number of jurisdictions concerning the operation and offering of tournaments and games, many of which are still evolving and could be interpreted in ways that could harm our business. Further, the growth and development of electronic commerce and virtual items and currency may prompt calls for more stringent consumer protection laws that may impose additional burdens or limitations on operations of companies such as ours conducting business through the Internet and mobile devices. Also, existing laws or new laws regarding the marketing of in-app purchases, regulation of currency, banking institutions, unclaimed property, and money laundering may be interpreted to cover virtual currency or goods. Further, in 2018, gaming addiction was listed as a mental health condition for the first time by the World Health Organization, and some countries have introduced legislation attempting to address this issue. Moreover, the public dialogue concerning interactive entertainment may have an adverse impact on our reputation and consumers' willingness to purchase our products.</w:t>
      </w:r>
    </w:p>
    <w:p>
      <w:pPr>
        <w:spacing w:after="0" w:line="388"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The adoption and enforcement of legislation that restricts the marketing, content, business model, or sales of our products in countries in which we do business may harm the sales of our products, as the products we are able to offer to our customers and the size of the potential audience for our products may be limited. We may be required to modify certain product development processes or products or alter our marketing strategies to comply with regulations, which could be costly or delay the release of our products. In addition, the laws and regulations affecting our products vary by territory and may be inconsistent with one another, imposing conflicting or uncertain restrictions. Failure to comply with any applicable legislation may also result in government-imposed fines or other penalties, as well as harm to our reputation. Because the King Acquisition significantly increased our user population, we are subject us to laws and regulations in additional jurisdictions, which may exacerbate the potential adverse impact on our business.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government regulations relating to the Internet could negatively impact our business.</w:t>
      </w:r>
    </w:p>
    <w:p>
      <w:pPr>
        <w:spacing w:after="0" w:line="229"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We rely on our consumers' access to significant levels of Internet bandwidth for the sale and digital delivery of our content and the functionality of our games with online features. Changes in laws or regulations that adversely affect the growth, popularity or use of the Internet, including laws impacting "net neutrality," could impair our consumers' online video game experiences, decrease the demand for our products and services or increase our cost of doing business. Although certain jurisdictions have implemented laws and regulations intended to prevent Internet service providers from discriminating against particular types of legal traffic on their networks, other jurisdictions may lack such laws and regulations or repeal existing laws or regulations. For example, in December 2017, the Federal Communications Commission voted to repeal net neutrality regulations in the U.S. and, following that decision, several states enacted net neutrality regulations. Given uncertainty around these rules relating to the Internet, including changing interpretations, amendments, or repeal of those rules, coupled with the potentially significant political and economic power of local Internet service providers and the relatively significant level of Internet bandwidth access our products and services require, we could experience discriminatory or anti-competitive practices that could impede our growth, cause us to incur additional expenses, or otherwise negatively impact our business.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laws and regulations concerning data privacy are continually evolving. Failure to comply with these laws and regulations could harm our business.</w:t>
      </w:r>
    </w:p>
    <w:p>
      <w:pPr>
        <w:spacing w:after="0" w:line="229"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Consumers play certain of our games online using our own distribution platforms, including Blizzard Battle.net, third-party platforms and networks, through online social platforms, and on mobile devices. We collect and store information about our consumers, including consumers who play these games. In addition, we collect and store information about our employees. We are subject to laws from a variety of jurisdictions regarding privacy and the protection of this information, including the E.U.'s General Data Protection Regulation (the "GDPR"), the U.S. Children's Online Privacy Protection Act ("COPPA"), which regulates the collection, use, and disclosure of personal information from children under 13 years of age, and the California Consumer Privacy Act. Failure to comply with any of these laws or regulations may increase our costs, subject us to expensive and distracting government investigations, and result in substantial fines.</w:t>
      </w:r>
    </w:p>
    <w:p>
      <w:pPr>
        <w:spacing w:after="0" w:line="195" w:lineRule="exact"/>
        <w:rPr>
          <w:sz w:val="20"/>
          <w:szCs w:val="20"/>
          <w:color w:val="auto"/>
        </w:rPr>
      </w:pPr>
    </w:p>
    <w:p>
      <w:pPr>
        <w:ind w:firstLine="351"/>
        <w:spacing w:after="0" w:line="287" w:lineRule="auto"/>
        <w:rPr>
          <w:sz w:val="20"/>
          <w:szCs w:val="20"/>
          <w:color w:val="auto"/>
        </w:rPr>
      </w:pPr>
      <w:r>
        <w:rPr>
          <w:rFonts w:ascii="Times New Roman" w:cs="Times New Roman" w:eastAsia="Times New Roman" w:hAnsi="Times New Roman"/>
          <w:sz w:val="16"/>
          <w:szCs w:val="16"/>
          <w:color w:val="auto"/>
        </w:rPr>
        <w:t>Data privacy protection laws are rapidly changing and likely will continue to do so for the foreseeable future and may be inconsistent from jurisdiction to jurisdiction. For example, the E.U. has traditionally taken a broader view than the United States and certain other jurisdictions as to what is considered personal information and has imposed greater obligations under data privacy and protection regulations, including those imposed under the GDPR. The U.S. government, including the Federal Trade Commission and the Department of Commerce, as well as various U.S. state governments, are continuing to review the need for greater regulation over the collection of personal information and information about consumer behavior on the Internet and on mobile devices. Complying with emerging and changing laws could require us to incur substantial costs or impact our approach to operating and marketing our games. Due to the rapidly changing nature of these data privacy protection laws, there is not always clear guidance from the respective governments and regulators regarding the interpretation of the law, which may create the risk of an inadvertent violation. For example, the California legislature recently passed the California Consumer Privacy Act and the E.U. has proposed further reforms to its existing data protection legal framework, in addition to the GDPR, which may further change our compliance obligations. Various government and consumer agencies worldwide have also called for new regulation and changes in industry practices. In addition, in some cases, we are dependent upon our platform providers and external data processors to assist us in ensuring compliance with these various types of regulations, and a violation by one of these third parties may also subject us to government investigations and result in substantial fines.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Player interaction with our games is subject to our privacy policies, end user license agreements ("EULAs"), and terms of service. If we fail to comply with our posted privacy policies, EULAs, or terms of service, or if we fail to comply with existing privacy-related or data protection laws and regulations, it could result in proceedings or litigation against us by governmental authorities or others, which could result in fines or judgments against us, damage our reputation, impact our financial condition, and harm our business. If regulators, the media, consumers, or employees raise any concerns about our privacy and data protection or consumer protection practices, even if unfounded, this could also result in fines or judgments against us, damage our reputation, negatively impact our financial condition, or damage our business.</w:t>
      </w:r>
    </w:p>
    <w:p>
      <w:pPr>
        <w:spacing w:after="0" w:line="189"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depend on servers and networks to operate our games with online features and our proprietary online gaming service. If we were to lose functionality in any of these areas for any reason, our business may be negatively impacted.</w:t>
      </w:r>
    </w:p>
    <w:p>
      <w:pPr>
        <w:spacing w:after="0" w:line="169"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Our business relies on the continuous operation of servers, some of which are owned and operated by third parties. Although we strive to maintain more than sufficient server capacity, and provide for active redundancy in the event of limited hardware failure, any broad-based catastrophic server malfunction, a significant service-disrupting attack or intrusion by hackers that circumvents security measures, a failure of disaster recovery service or the failure of a company on which we are relying for server capacity to provide that capacity for whatever reason would likely degrade or interrupt the functionality of our games with online features, and could prevent the operation of such games altogether, any of which could result in the loss of sales for, or in, such games. The risk is particularly pronounced with respect to the mobile games published by King, which rely on a small number of third-party owned data centers located in one city, with respect to the functioning of our proprietary online gaming service, Blizzard Battle.net, the disruption of which could prevent Blizzard from delivering content digitally or render all of Blizzard games, as well as selected Activision content for the PC platform, unavailable, or with Activision's multiplayer game services which rely on systems hosted in a hybrid of data centers across the world as well as cloud providers.</w:t>
      </w:r>
    </w:p>
    <w:p>
      <w:pPr>
        <w:spacing w:after="0" w:line="197"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We also rely on networks operated by third parties, such as the PlayStation Network, Xbox Live and Steam, for the sale and digital delivery of downloadable console and PC game content and the functionality of our games with online features. Similarly, we rely on the continued operation of the Apple App Store, the Google Play Store, and Facebook for the sale of virtual currency for our free-to-play games. An extended interruption to any of these services could adversely affect our ability to sell and distribute our digital products and operate our games with online features, which could result in a loss of revenue and otherwise negatively impact our business.</w:t>
      </w:r>
    </w:p>
    <w:p>
      <w:pPr>
        <w:spacing w:after="0" w:line="193"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Further, insufficient server capacity could also negatively impact our business. Conversely, if we overestimate the amount of server capacity required by our business, we may incur additional operating costs.</w:t>
      </w:r>
    </w:p>
    <w:p>
      <w:pPr>
        <w:spacing w:after="0" w:line="170"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Any cybersecurity-related attack, significant data breach or disruption of the information technology systems or networks on which we rely could negatively impact our business.</w:t>
      </w:r>
    </w:p>
    <w:p>
      <w:pPr>
        <w:spacing w:after="0" w:line="169"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In the course of our day-to-day business, we and third parties operating on our behalf create, store, and/or use commercially sensitive information, such as the source code and game assets for our interactive entertainment software products and sensitive and confidential information with respect to our customers, consumers, and employees. A malicious cybersecurity-related attack, intrusion, or disruption by hackers (including through spyware, viruses, phishing, denial of service, and similar attacks) or other breach of the systems on which such source code and assets, account information (including personal information), and other sensitive data is stored could lead to piracy of our software, fraudulent activity, disclosure or misappropriation of, or access to, our customers', consumers' or employees' personal information (including personally identifiable information), or our own business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data. Such incidents could also lead to product code-base and game distribution platform exploitation, should undetected viruses, spyware, or other malware be inserted into our products, services, or networks, or systems used by our consumers. We have implemented cybersecurity programs and the tools, technologies, processes, and procedures intended to secure our data and systems, and prevent and detect unauthorized access to, or loss of, our data, or the data of our customers, consumers, or employees. However, because these cyberattacks may remain undetected for prolonged periods of time and the techniques used by criminal hackers and other third parties to breach systems change frequently, we may be unable to anticipate these techniques or implement adequate preventative measures. A data intrusion into a server for a game with online features or for our proprietary online gaming service could also disrupt the operation of such game or platform. If we are subject to cybersecurity breaches, or a security-related incident that materially disrupts the availability of our products and services, we may have a loss in sales or subscriptions or be forced to pay damages or incur other costs, including from the implementation of additional cyber and physical security measures, or suffer reputational damage. Additionally, while we maintain insurance policies, they may be insufficient to reimburse the Company for all losses or all types of claims that may be caused by cyberbreaches or system or network disruptions. Moreover, if there were a public perception that our data protection measures are inadequate, whether or not the case, it could result in reputational damage and potential harm to our business relationships or the public perception of our business model. In addition, such cybersecurity breaches may subject us to legal claims or proceedings, including regulatory investigations and actions, especially if there is loss, disclosure, or misappropriation of, or access to, our customers' personal information or other sensitive information, or there is otherwise an intrusion into our customers' privacy.</w:t>
      </w:r>
    </w:p>
    <w:p>
      <w:pPr>
        <w:spacing w:after="0" w:line="195" w:lineRule="exact"/>
        <w:rPr>
          <w:sz w:val="20"/>
          <w:szCs w:val="20"/>
          <w:color w:val="auto"/>
        </w:rPr>
      </w:pPr>
    </w:p>
    <w:p>
      <w:pPr>
        <w:ind w:right="5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reported financial results could be significantly impacted by changes in financial accounting standards or by the application of existing or future accounting standards to our business as it evolves.</w:t>
      </w:r>
    </w:p>
    <w:p>
      <w:pPr>
        <w:spacing w:after="0" w:line="169" w:lineRule="exact"/>
        <w:rPr>
          <w:sz w:val="20"/>
          <w:szCs w:val="20"/>
          <w:color w:val="auto"/>
        </w:rPr>
      </w:pPr>
    </w:p>
    <w:p>
      <w:pPr>
        <w:ind w:right="20" w:firstLine="351"/>
        <w:spacing w:after="0" w:line="290" w:lineRule="auto"/>
        <w:rPr>
          <w:sz w:val="20"/>
          <w:szCs w:val="20"/>
          <w:color w:val="auto"/>
        </w:rPr>
      </w:pPr>
      <w:r>
        <w:rPr>
          <w:rFonts w:ascii="Times New Roman" w:cs="Times New Roman" w:eastAsia="Times New Roman" w:hAnsi="Times New Roman"/>
          <w:sz w:val="16"/>
          <w:szCs w:val="16"/>
          <w:color w:val="auto"/>
        </w:rPr>
        <w:t>Our reported financial results are impacted by the accounting policies promulgated by the SEC and national accounting standards bodies and the methods, estimates, and judgments that we use in applying our accounting policies. Policies affecting revenue recognition have affected, and could further significantly affect, the way we report revenues related to our products and services. We recognize a majority of the revenues from video games that include an online service on a deferred basis over an estimated service period for such games. In addition, we defer the cost of revenues of those products. Further, as we increase our downloadable content and add new features to our online services, our estimate of the service period may change, and we could be required to recognize revenues, and defer related costs, over a shorter or longer period of time. As we enhance, expand and diversify our business and product offerings, the application of existing or future financial accounting standards, particularly those relating to the way we account for revenues and income taxes, could have a significant impact on our reported net revenues, net income and earnings per share under accounting principles generally accepted in the United States in any given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our corporate documents and Delaware state law could delay or prevent a change of control.</w:t>
      </w:r>
    </w:p>
    <w:p>
      <w:pPr>
        <w:spacing w:after="0" w:line="229" w:lineRule="exact"/>
        <w:rPr>
          <w:sz w:val="20"/>
          <w:szCs w:val="20"/>
          <w:color w:val="auto"/>
        </w:rPr>
      </w:pPr>
    </w:p>
    <w:p>
      <w:pPr>
        <w:ind w:right="180" w:firstLine="351"/>
        <w:spacing w:after="0" w:line="256" w:lineRule="auto"/>
        <w:rPr>
          <w:sz w:val="20"/>
          <w:szCs w:val="20"/>
          <w:color w:val="auto"/>
        </w:rPr>
      </w:pPr>
      <w:r>
        <w:rPr>
          <w:rFonts w:ascii="Times New Roman" w:cs="Times New Roman" w:eastAsia="Times New Roman" w:hAnsi="Times New Roman"/>
          <w:sz w:val="18"/>
          <w:szCs w:val="18"/>
          <w:color w:val="auto"/>
        </w:rPr>
        <w:t>Our Fourth Amended and Restated Bylaws contain a provision regulating the ability of shareholders to bring matters for action before annual and special meetings. The regulations on shareholder action could make it more difficult for any person seeking to acquire control of the Company to obtain shareholder approval of actions that would support this effort. In addition, our Third Amended and Restated Certificate of Incorporation authorizes the issuance of so-called "blank check" preferred stock. This ability of our Board of Directors to issue and fix the rights and preferences of preferred stock could effectively dilute the interests of any person seeking control or otherwise make it more difficult to obtain control.</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Historically, our stock price has been highly volatile.</w:t>
      </w:r>
    </w:p>
    <w:p>
      <w:pPr>
        <w:spacing w:after="0" w:line="229" w:lineRule="exact"/>
        <w:rPr>
          <w:sz w:val="20"/>
          <w:szCs w:val="20"/>
          <w:color w:val="auto"/>
        </w:rPr>
      </w:pPr>
    </w:p>
    <w:p>
      <w:pPr>
        <w:ind w:right="160" w:firstLine="348"/>
        <w:spacing w:after="0" w:line="275" w:lineRule="auto"/>
        <w:rPr>
          <w:sz w:val="20"/>
          <w:szCs w:val="20"/>
          <w:color w:val="auto"/>
        </w:rPr>
      </w:pPr>
      <w:r>
        <w:rPr>
          <w:rFonts w:ascii="Times New Roman" w:cs="Times New Roman" w:eastAsia="Times New Roman" w:hAnsi="Times New Roman"/>
          <w:sz w:val="18"/>
          <w:szCs w:val="18"/>
          <w:color w:val="auto"/>
        </w:rPr>
        <w:t>The trading price of our common stock has been, and could continue to be, subject to wide fluctuations in response to many factors, including for example, but without limitation:</w:t>
      </w:r>
    </w:p>
    <w:p>
      <w:pPr>
        <w:spacing w:after="0" w:line="187" w:lineRule="exact"/>
        <w:rPr>
          <w:sz w:val="20"/>
          <w:szCs w:val="20"/>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quarter-to-quarter variations in the results of our operations;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new products;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lower prices on competing products;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or release schedules;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in the computer, software, entertainment, media or electronics industries, or in the worldwide economy;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of developments in the overall worldwide audience for interactive entertainment, including announcements of industry sales data;</w:t>
      </w:r>
    </w:p>
    <w:p>
      <w:pPr>
        <w:spacing w:after="0" w:line="261"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introduction of new platforms and delays in the actual release of new platforms;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manufacturers' announcements of price changes for hardware platforms;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hardware platforms;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spending trends;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lawsuits or regulatory investigations in which we are, or may become, involved;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buy/sell recommendations by analysts;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acquisitions of common stock by our directors or executive management;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and expectations regarding our products, plans and strategic position, and those of our competitors and customers.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Catastrophic events may disrupt our business.</w:t>
      </w:r>
    </w:p>
    <w:p>
      <w:pPr>
        <w:spacing w:after="0" w:line="229" w:lineRule="exact"/>
        <w:rPr>
          <w:sz w:val="20"/>
          <w:szCs w:val="20"/>
          <w:color w:val="auto"/>
        </w:rPr>
      </w:pPr>
    </w:p>
    <w:p>
      <w:pPr>
        <w:ind w:right="140" w:firstLine="351"/>
        <w:spacing w:after="0" w:line="255" w:lineRule="auto"/>
        <w:rPr>
          <w:sz w:val="20"/>
          <w:szCs w:val="20"/>
          <w:color w:val="auto"/>
        </w:rPr>
      </w:pPr>
      <w:r>
        <w:rPr>
          <w:rFonts w:ascii="Times New Roman" w:cs="Times New Roman" w:eastAsia="Times New Roman" w:hAnsi="Times New Roman"/>
          <w:sz w:val="18"/>
          <w:szCs w:val="18"/>
          <w:color w:val="auto"/>
        </w:rPr>
        <w:t>Our corporate headquarters and our primary corporate data center are located in the Los Angeles, California area, which is near a major earthquake fault. A major earthquake or other catastrophic event that results in the destruction or disruption of any of our critical business or information technology systems, or otherwise prevents us from conducting our normal business operations, could require significant expenditures to resume operations and negatively impact our business. While we maintain insurance coverage for some of these events, the potential liabilities associated with such events could exceed the insurance coverage we maintain. Further, our system redundancy may be ineffective or inadequate and our disaster recovery planning may not be sufficient for all eventualities. Any such event could also limit the ability of retailers, distributors or our other customers to sell or distribute our products.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general economic conditions decline, demand for our products could decline.</w:t>
      </w:r>
    </w:p>
    <w:p>
      <w:pPr>
        <w:spacing w:after="0" w:line="229"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Purchases of our products and services involve discretionary spending on the part of consumers. Consumers are generally more willing to make discretionary purchases, including purchases of products and services like ours, during periods in which favorable economic conditions prevail. As a result, our products are sensitive to general economic conditions and economic cycles. A reduction or shift in domestic or international consumer spending could result in an increase in our selling and promotional expenses, in an effort to offset that reduction, and could negatively impact our business.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227"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Our principal corporate and administrative offices, which includes our Activision segment's headquarters, are located in Santa Monica, California and consist of approximately 165,000 square feet of leased office space.</w:t>
      </w:r>
    </w:p>
    <w:p>
      <w:pPr>
        <w:spacing w:after="0" w:line="174" w:lineRule="exact"/>
        <w:rPr>
          <w:sz w:val="20"/>
          <w:szCs w:val="20"/>
          <w:color w:val="auto"/>
        </w:rPr>
      </w:pPr>
    </w:p>
    <w:p>
      <w:pPr>
        <w:ind w:right="180" w:firstLine="351"/>
        <w:spacing w:after="0" w:line="256" w:lineRule="auto"/>
        <w:rPr>
          <w:sz w:val="20"/>
          <w:szCs w:val="20"/>
          <w:color w:val="auto"/>
        </w:rPr>
      </w:pPr>
      <w:r>
        <w:rPr>
          <w:rFonts w:ascii="Times New Roman" w:cs="Times New Roman" w:eastAsia="Times New Roman" w:hAnsi="Times New Roman"/>
          <w:sz w:val="18"/>
          <w:szCs w:val="18"/>
          <w:color w:val="auto"/>
        </w:rPr>
        <w:t>Our Activision segment primarily leases office space for development studio personnel, with a total of approximately 475,000 square feet of leased spaces throughout the U.S., primarily in California, New York, and Wisconsin. We also lease approximately 721,000 square feet of office space in Irvine, CA for our Blizzard segment's headquarters, which includes administrative and development studio space, and approximately 68,000 square feet of office space in London, United Kingdom for our King segment's headquarter offices. King also leases approximately 210,000 square feet of office space in Barcelona, Spain for additional administrative and development studio space.</w:t>
      </w:r>
    </w:p>
    <w:p>
      <w:pPr>
        <w:spacing w:after="0" w:line="193"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In total, we have approximately 100 facility leases, primarily for other administrative and sales functions and development studio personnel, in the following countries: Australia, Brazil, Canada, China, France, Germany, Ireland, Italy, Japan, Malta, Mexico, the Netherlands, Romania, Singapore, South Korea, Spain, Sweden, Taiwan, the United Kingdom, and the United States.</w:t>
      </w:r>
    </w:p>
    <w:p>
      <w:pPr>
        <w:spacing w:after="0" w:line="186" w:lineRule="exact"/>
        <w:rPr>
          <w:sz w:val="20"/>
          <w:szCs w:val="20"/>
          <w:color w:val="auto"/>
        </w:rPr>
      </w:pPr>
    </w:p>
    <w:p>
      <w:pPr>
        <w:ind w:right="420" w:firstLine="348"/>
        <w:spacing w:after="0" w:line="275" w:lineRule="auto"/>
        <w:rPr>
          <w:sz w:val="20"/>
          <w:szCs w:val="20"/>
          <w:color w:val="auto"/>
        </w:rPr>
      </w:pPr>
      <w:r>
        <w:rPr>
          <w:rFonts w:ascii="Times New Roman" w:cs="Times New Roman" w:eastAsia="Times New Roman" w:hAnsi="Times New Roman"/>
          <w:sz w:val="18"/>
          <w:szCs w:val="18"/>
          <w:color w:val="auto"/>
        </w:rPr>
        <w:t>The only facilities currently owned by the Company are two European warehouses utilized by the Distribution segment, one located in Burglengenfeld, Germany, and the other in Venlo, the Netherlands.</w:t>
      </w:r>
    </w:p>
    <w:p>
      <w:pPr>
        <w:spacing w:after="0" w:line="174" w:lineRule="exact"/>
        <w:rPr>
          <w:sz w:val="20"/>
          <w:szCs w:val="20"/>
          <w:color w:val="auto"/>
        </w:rPr>
      </w:pPr>
    </w:p>
    <w:p>
      <w:pPr>
        <w:ind w:right="300" w:firstLine="348"/>
        <w:spacing w:after="0" w:line="275" w:lineRule="auto"/>
        <w:rPr>
          <w:sz w:val="20"/>
          <w:szCs w:val="20"/>
          <w:color w:val="auto"/>
        </w:rPr>
      </w:pPr>
      <w:r>
        <w:rPr>
          <w:rFonts w:ascii="Times New Roman" w:cs="Times New Roman" w:eastAsia="Times New Roman" w:hAnsi="Times New Roman"/>
          <w:sz w:val="18"/>
          <w:szCs w:val="18"/>
          <w:color w:val="auto"/>
        </w:rPr>
        <w:t>We anticipate no difficulty in extending the leases of our facilities or obtaining comparable facilities in suitable locations, as needed, and we consider our facilities to be adequate for our current needs.</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27" w:lineRule="exact"/>
        <w:rPr>
          <w:sz w:val="20"/>
          <w:szCs w:val="20"/>
          <w:color w:val="auto"/>
        </w:rPr>
      </w:pPr>
    </w:p>
    <w:p>
      <w:pPr>
        <w:ind w:right="40" w:firstLine="351"/>
        <w:spacing w:after="0" w:line="293" w:lineRule="auto"/>
        <w:rPr>
          <w:sz w:val="20"/>
          <w:szCs w:val="20"/>
          <w:color w:val="auto"/>
        </w:rPr>
      </w:pPr>
      <w:r>
        <w:rPr>
          <w:rFonts w:ascii="Times New Roman" w:cs="Times New Roman" w:eastAsia="Times New Roman" w:hAnsi="Times New Roman"/>
          <w:sz w:val="16"/>
          <w:szCs w:val="16"/>
          <w:color w:val="auto"/>
        </w:rPr>
        <w:t>In December 2018, we received a decision from the STA informing us of an audit assessment to a Swedish subsidiary of King for the 2016 tax year. The STA decision described the basis for issuing a transfer pricing assessment of approximately 3.5kr billion (approximately $400 million) primarily concerning an alleged intercompany asset transfer. We disagree with the STA's decision and intend to vigorously contest it. We plan to pursue all remedies available to us to successfully resolve the matter, including administrative remedies with the STA, multilateral procedures with other relevant taxing jurisdictions, and, if necessary, judicial remedies. Further, we may be required to pay the full assessment to the STA in advance of the final resolution of the matter. While we believe our tax provisions at December 31, 2018, are appropriate, until such time as this matter is ultimately resolved we could be subject to significant additional tax liabilities.</w:t>
      </w:r>
    </w:p>
    <w:p>
      <w:pPr>
        <w:spacing w:after="0" w:line="165" w:lineRule="exact"/>
        <w:rPr>
          <w:sz w:val="20"/>
          <w:szCs w:val="20"/>
          <w:color w:val="auto"/>
        </w:rPr>
      </w:pPr>
    </w:p>
    <w:p>
      <w:pPr>
        <w:ind w:right="200" w:firstLine="351"/>
        <w:spacing w:after="0" w:line="254" w:lineRule="auto"/>
        <w:rPr>
          <w:sz w:val="20"/>
          <w:szCs w:val="20"/>
          <w:color w:val="auto"/>
        </w:rPr>
      </w:pPr>
      <w:r>
        <w:rPr>
          <w:rFonts w:ascii="Times New Roman" w:cs="Times New Roman" w:eastAsia="Times New Roman" w:hAnsi="Times New Roman"/>
          <w:sz w:val="18"/>
          <w:szCs w:val="18"/>
          <w:color w:val="auto"/>
        </w:rPr>
        <w:t>In December 2017, we received a Notice of Reassessment from the FTA related to transfer pricing for intercompany transactions involving one of our French subsidiaries for the 2011 through 2013 tax years. The total assessment, including penalties and interest, was approximately €571 million (approximately $652 million). We disagree with the proposed assessment and intend to vigorously contest it. We plan to pursue all remedies available to us to successfully resolve this matter, including administrative remedies with the FTA and, if necessary, judicial remedies. While we believe our tax provisions at December 31, 2018, are appropriate, until such time as this matter is ultimately resolved we could be subject to significant additional tax liabilities. In addition to the risk of additional tax for the 2011 through 2013 tax years, if litigation regarding this matter were adversely determined and/or if the FTA were to seek adjustments of a similar nature for subsequent years, we could be subject to significant additional tax liabilities.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In addition, we are party to routine claims, suits, investigations, audits, and other proceedings arising in the ordinary course of business, including with respect to intellectual property, competition and antitrust matters, regulatory matters, tax matters, privacy matters, labor and employment matters, compliance matters, unclaimed property matters, liability and personal injury claims, product damage claims, collection matters, and/or commercial claims. In the opinion of management, after consultation with legal counsel, such routine claims and lawsuits are not significant and we do not expect them to have a material adverse effect on our business, financial condition, results of operations, or liquidity.</w:t>
      </w:r>
    </w:p>
    <w:p>
      <w:pPr>
        <w:spacing w:after="0" w:line="1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 and Holders</w:t>
      </w:r>
    </w:p>
    <w:p>
      <w:pPr>
        <w:spacing w:after="0" w:line="229" w:lineRule="exact"/>
        <w:rPr>
          <w:sz w:val="20"/>
          <w:szCs w:val="20"/>
          <w:color w:val="auto"/>
        </w:rPr>
      </w:pPr>
    </w:p>
    <w:p>
      <w:pPr>
        <w:ind w:right="360" w:firstLine="351"/>
        <w:spacing w:after="0" w:line="275" w:lineRule="auto"/>
        <w:rPr>
          <w:sz w:val="20"/>
          <w:szCs w:val="20"/>
          <w:color w:val="auto"/>
        </w:rPr>
      </w:pPr>
      <w:r>
        <w:rPr>
          <w:rFonts w:ascii="Times New Roman" w:cs="Times New Roman" w:eastAsia="Times New Roman" w:hAnsi="Times New Roman"/>
          <w:sz w:val="18"/>
          <w:szCs w:val="18"/>
          <w:color w:val="auto"/>
        </w:rPr>
        <w:t>Our common stock is quoted on the Nasdaq National Market under the symbol "ATVI". At February 21, 2019, there were 1,616 holders of record of our common stock.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Performance Graph</w:t>
      </w:r>
    </w:p>
    <w:p>
      <w:pPr>
        <w:spacing w:after="0" w:line="229" w:lineRule="exact"/>
        <w:rPr>
          <w:sz w:val="20"/>
          <w:szCs w:val="20"/>
          <w:color w:val="auto"/>
        </w:rPr>
      </w:pPr>
    </w:p>
    <w:p>
      <w:pPr>
        <w:ind w:right="80" w:firstLine="348"/>
        <w:spacing w:after="0" w:line="339" w:lineRule="auto"/>
        <w:rPr>
          <w:sz w:val="20"/>
          <w:szCs w:val="20"/>
          <w:color w:val="auto"/>
        </w:rPr>
      </w:pPr>
      <w:r>
        <w:rPr>
          <w:rFonts w:ascii="Times New Roman" w:cs="Times New Roman" w:eastAsia="Times New Roman" w:hAnsi="Times New Roman"/>
          <w:sz w:val="16"/>
          <w:szCs w:val="16"/>
          <w:color w:val="auto"/>
        </w:rPr>
        <w:t>This performance graph shall not be deemed "filed" for purposes of Section 18 of the Exchange Act or otherwise subject to the liabilities under that Section, and shall not be deemed to be incorporated by reference into any filing of Activision Blizzard, Inc. under the Exchange Act or the Securities Act of 1933.</w:t>
      </w:r>
    </w:p>
    <w:p>
      <w:pPr>
        <w:spacing w:after="0" w:line="343" w:lineRule="exact"/>
        <w:rPr>
          <w:sz w:val="20"/>
          <w:szCs w:val="20"/>
          <w:color w:val="auto"/>
        </w:rPr>
      </w:pPr>
    </w:p>
    <w:p>
      <w:pPr>
        <w:jc w:val="center"/>
        <w:ind w:left="260" w:right="278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COMPARISON OF 5-YEAR CUMULATIVE TOTAL RETURN </w:t>
      </w:r>
      <w:r>
        <w:rPr>
          <w:rFonts w:ascii="Times New Roman" w:cs="Times New Roman" w:eastAsia="Times New Roman" w:hAnsi="Times New Roman"/>
          <w:sz w:val="18"/>
          <w:szCs w:val="18"/>
          <w:color w:val="auto"/>
        </w:rPr>
        <w:t>among Activision Blizzard, Inc., the Nasdaq Composite Index, the S&amp;P 500 Index, and the RDG Technology Composite Index</w:t>
      </w:r>
    </w:p>
    <w:p>
      <w:pPr>
        <w:spacing w:after="0" w:line="183" w:lineRule="exact"/>
        <w:rPr>
          <w:sz w:val="20"/>
          <w:szCs w:val="20"/>
          <w:color w:val="auto"/>
        </w:rPr>
      </w:pPr>
    </w:p>
    <w:p>
      <w:pPr>
        <w:jc w:val="both"/>
        <w:ind w:right="60" w:firstLine="348"/>
        <w:spacing w:after="0" w:line="262" w:lineRule="auto"/>
        <w:rPr>
          <w:sz w:val="20"/>
          <w:szCs w:val="20"/>
          <w:color w:val="auto"/>
        </w:rPr>
      </w:pPr>
      <w:r>
        <w:rPr>
          <w:rFonts w:ascii="Times New Roman" w:cs="Times New Roman" w:eastAsia="Times New Roman" w:hAnsi="Times New Roman"/>
          <w:sz w:val="18"/>
          <w:szCs w:val="18"/>
          <w:color w:val="auto"/>
        </w:rPr>
        <w:t>The following graph and table compare the cumulative total stockholder return on our common stock, the Nasdaq Composite Index, the S&amp;P 500 Index, and the RDG Technology Composite Index. The graph and table assume that $100 was invested on December 31, 2013, and that dividends were reinvested daily. The stock price performance on the following graph and table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127635</wp:posOffset>
            </wp:positionV>
            <wp:extent cx="5017135" cy="25044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17135" cy="250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16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Fiscal year ending December 31:</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12/13</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12/14</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12/15</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12/16</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12/17</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12/18</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Activision Blizzard, Inc.</w:t>
            </w:r>
          </w:p>
        </w:tc>
        <w:tc>
          <w:tcPr>
            <w:tcW w:w="1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100.00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114.08</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221.39</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208.19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367.28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271.51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Nasdaq Composite</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114.62</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122.81</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133.19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172.11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165.84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S&amp;P 500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113.69</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115.26</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129.05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150.33</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RDG Technology Composite</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117.81</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122.23</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138.28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189.14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190.13</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Dividends</w:t>
      </w:r>
    </w:p>
    <w:p>
      <w:pPr>
        <w:spacing w:after="0" w:line="229" w:lineRule="exact"/>
        <w:rPr>
          <w:sz w:val="20"/>
          <w:szCs w:val="20"/>
          <w:color w:val="auto"/>
        </w:rPr>
      </w:pPr>
    </w:p>
    <w:p>
      <w:pPr>
        <w:ind w:right="380" w:firstLine="348"/>
        <w:spacing w:after="0" w:line="275" w:lineRule="auto"/>
        <w:rPr>
          <w:sz w:val="20"/>
          <w:szCs w:val="20"/>
          <w:color w:val="auto"/>
        </w:rPr>
      </w:pPr>
      <w:r>
        <w:rPr>
          <w:rFonts w:ascii="Times New Roman" w:cs="Times New Roman" w:eastAsia="Times New Roman" w:hAnsi="Times New Roman"/>
          <w:sz w:val="18"/>
          <w:szCs w:val="18"/>
          <w:color w:val="auto"/>
        </w:rPr>
        <w:t>We have paid a dividend annually since 2010. Below is a summary of cash dividends paid over the past three fiscal years, along with the dividend most recently declared by the Board of Directors that will be paid in May 2019:</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Dividend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60" w:type="dxa"/>
            <w:vAlign w:val="bottom"/>
          </w:tcPr>
          <w:p>
            <w:pPr>
              <w:spacing w:after="0"/>
              <w:rPr>
                <w:sz w:val="12"/>
                <w:szCs w:val="12"/>
                <w:color w:val="auto"/>
              </w:rPr>
            </w:pPr>
          </w:p>
        </w:tc>
        <w:tc>
          <w:tcPr>
            <w:tcW w:w="840" w:type="dxa"/>
            <w:vAlign w:val="bottom"/>
          </w:tcPr>
          <w:p>
            <w:pPr>
              <w:jc w:val="right"/>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Record</w:t>
            </w: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Payment</w:t>
            </w:r>
          </w:p>
        </w:tc>
        <w:tc>
          <w:tcPr>
            <w:tcW w:w="0" w:type="dxa"/>
            <w:vAlign w:val="bottom"/>
          </w:tcPr>
          <w:p>
            <w:pPr>
              <w:spacing w:after="0"/>
              <w:rPr>
                <w:sz w:val="1"/>
                <w:szCs w:val="1"/>
                <w:color w:val="auto"/>
              </w:rPr>
            </w:pPr>
          </w:p>
        </w:tc>
      </w:tr>
      <w:tr>
        <w:trPr>
          <w:trHeight w:val="165"/>
        </w:trPr>
        <w:tc>
          <w:tcPr>
            <w:tcW w:w="3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60" w:type="dxa"/>
            <w:vAlign w:val="bottom"/>
          </w:tcPr>
          <w:p>
            <w:pPr>
              <w:spacing w:after="0"/>
              <w:rPr>
                <w:sz w:val="14"/>
                <w:szCs w:val="14"/>
                <w:color w:val="auto"/>
              </w:rPr>
            </w:pPr>
          </w:p>
        </w:tc>
        <w:tc>
          <w:tcPr>
            <w:tcW w:w="8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3/28/2019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2018</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3/30/2018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5/9/2018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3/30/2017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5/10/2017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2016</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3/30/2016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5/11/2016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180" w:firstLine="351"/>
        <w:spacing w:after="0" w:line="275" w:lineRule="auto"/>
        <w:rPr>
          <w:sz w:val="20"/>
          <w:szCs w:val="20"/>
          <w:color w:val="auto"/>
        </w:rPr>
      </w:pPr>
      <w:r>
        <w:rPr>
          <w:rFonts w:ascii="Times New Roman" w:cs="Times New Roman" w:eastAsia="Times New Roman" w:hAnsi="Times New Roman"/>
          <w:sz w:val="18"/>
          <w:szCs w:val="18"/>
          <w:color w:val="auto"/>
        </w:rPr>
        <w:t>Future dividends will depend upon our earnings, financial condition, cash requirements, anticipated future prospects, and other factors deemed relevant by our Board of Directors. There can be no assurances that dividends will be declared in the future.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10b5-1 Stock Trading Plans</w:t>
      </w:r>
    </w:p>
    <w:p>
      <w:pPr>
        <w:spacing w:after="0" w:line="229"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Company's directors and employees may, at a time they are not aware of material non-public information, enter into plans to purchase or sell shares of our common stock that satisfy the requirements of Exchange Act Rule 10b5-1 ("Rule 10b5-1 Plans"). Rule 10b5-1 Plans permit persons whose ability to purchase or sell our common stock may otherwise be substantially restricted (by quarterly and special stock-trading blackouts and by their possession from time to time of material nonpublic information) to trade on a pre-arranged, "automatic-pilot" basis.</w:t>
      </w:r>
    </w:p>
    <w:p>
      <w:pPr>
        <w:spacing w:after="0" w:line="190" w:lineRule="exact"/>
        <w:rPr>
          <w:sz w:val="20"/>
          <w:szCs w:val="20"/>
          <w:color w:val="auto"/>
        </w:rPr>
      </w:pPr>
    </w:p>
    <w:p>
      <w:pPr>
        <w:ind w:right="240" w:firstLine="348"/>
        <w:spacing w:after="0" w:line="258" w:lineRule="auto"/>
        <w:rPr>
          <w:sz w:val="20"/>
          <w:szCs w:val="20"/>
          <w:color w:val="auto"/>
        </w:rPr>
      </w:pPr>
      <w:r>
        <w:rPr>
          <w:rFonts w:ascii="Times New Roman" w:cs="Times New Roman" w:eastAsia="Times New Roman" w:hAnsi="Times New Roman"/>
          <w:sz w:val="18"/>
          <w:szCs w:val="18"/>
          <w:color w:val="auto"/>
        </w:rPr>
        <w:t>Trading under Rule 10b5-1 Plans is subject to certain conditions, including that the person for whom the plan is created (or anyone else aware of material non-public information acting on such person's behalf) not exercise any subsequent influence regarding the amount, price, and dates of transactions under the plan. In addition, the Company requires Rule 10b5-1 Plans to be established and maintained in accordance with the Company's "Policy on Establishing and Maintaining 10b5-1 Trading Plans."</w:t>
      </w:r>
    </w:p>
    <w:p>
      <w:pPr>
        <w:spacing w:after="0" w:line="190" w:lineRule="exact"/>
        <w:rPr>
          <w:sz w:val="20"/>
          <w:szCs w:val="20"/>
          <w:color w:val="auto"/>
        </w:rPr>
      </w:pPr>
    </w:p>
    <w:p>
      <w:pPr>
        <w:jc w:val="both"/>
        <w:ind w:right="100" w:firstLine="348"/>
        <w:spacing w:after="0" w:line="262" w:lineRule="auto"/>
        <w:rPr>
          <w:sz w:val="20"/>
          <w:szCs w:val="20"/>
          <w:color w:val="auto"/>
        </w:rPr>
      </w:pPr>
      <w:r>
        <w:rPr>
          <w:rFonts w:ascii="Times New Roman" w:cs="Times New Roman" w:eastAsia="Times New Roman" w:hAnsi="Times New Roman"/>
          <w:sz w:val="18"/>
          <w:szCs w:val="18"/>
          <w:color w:val="auto"/>
        </w:rPr>
        <w:t>Trades under a Rule 10b5-1 Plan by our directors and employees are not necessarily indicative of their respective opinions of our current or potential future performance at the time of the trade. Trades by our directors and executive officers pursuant to a Rule 10b5-1 Plan will be disclosed publicly through Form 144 and Form 4 filings with the SEC, in accordance with applicable laws, rules, and regulations.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 of Equity Securities</w:t>
      </w:r>
    </w:p>
    <w:p>
      <w:pPr>
        <w:spacing w:after="0" w:line="229" w:lineRule="exact"/>
        <w:rPr>
          <w:sz w:val="20"/>
          <w:szCs w:val="20"/>
          <w:color w:val="auto"/>
        </w:rPr>
      </w:pPr>
    </w:p>
    <w:p>
      <w:pPr>
        <w:ind w:right="200" w:firstLine="351"/>
        <w:spacing w:after="0" w:line="262" w:lineRule="auto"/>
        <w:rPr>
          <w:sz w:val="20"/>
          <w:szCs w:val="20"/>
          <w:color w:val="auto"/>
        </w:rPr>
      </w:pPr>
      <w:r>
        <w:rPr>
          <w:rFonts w:ascii="Times New Roman" w:cs="Times New Roman" w:eastAsia="Times New Roman" w:hAnsi="Times New Roman"/>
          <w:sz w:val="18"/>
          <w:szCs w:val="18"/>
          <w:color w:val="auto"/>
        </w:rPr>
        <w:t>On January 31, 2019, our Board of Directors authorized a stock repurchase program under which we are authorized to repurchase up to $1.5 billion of our common stock during the two-year period from February 14, 2019 until the earlier of February 13, 2021 and a determination by the Board of Directors to discontinue the repurchase program.</w:t>
      </w:r>
    </w:p>
    <w:p>
      <w:pPr>
        <w:spacing w:after="0" w:line="186" w:lineRule="exact"/>
        <w:rPr>
          <w:sz w:val="20"/>
          <w:szCs w:val="20"/>
          <w:color w:val="auto"/>
        </w:rPr>
      </w:pPr>
    </w:p>
    <w:p>
      <w:pPr>
        <w:ind w:right="200" w:firstLine="351"/>
        <w:spacing w:after="0" w:line="275" w:lineRule="auto"/>
        <w:rPr>
          <w:sz w:val="20"/>
          <w:szCs w:val="20"/>
          <w:color w:val="auto"/>
        </w:rPr>
      </w:pPr>
      <w:r>
        <w:rPr>
          <w:rFonts w:ascii="Times New Roman" w:cs="Times New Roman" w:eastAsia="Times New Roman" w:hAnsi="Times New Roman"/>
          <w:sz w:val="18"/>
          <w:szCs w:val="18"/>
          <w:color w:val="auto"/>
        </w:rPr>
        <w:t>On February 2, 2017, our Board of Directors authorized a stock repurchase program under which we were authorized to repurchase up to $1 billion of our common stock during the two-year period from February 13, 2017 through February 12, 2019. We did not repurchase any shares under this program.</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SELECTED FINANCIAL DATA</w:t>
      </w:r>
    </w:p>
    <w:p>
      <w:pPr>
        <w:spacing w:after="0" w:line="227"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The following table summarizes certain selected consolidated financial data, which should be read in conjunction with our consolidated financial statements and notes thereto in Item 8 and with "Management's Discussion and Analysis of Financial Condition and Results of Operations" included under Item 7 in this Annual Report on Form 10-K. The selected consolidated financial data presented below at and for each of the years in the five-year period ended December 31, 2018, is derived from our consolidated financial statements and include the operations of King commencing on the King Closing Date. All amounts set forth in the following tables are in millions, except per share data.</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w w:val="97"/>
              </w:rPr>
              <w:t>For the Years Ended December 31,</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6,608</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(1)</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6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60" w:type="dxa"/>
            <w:vAlign w:val="bottom"/>
            <w:shd w:val="clear" w:color="auto" w:fill="CCEEFF"/>
          </w:tcPr>
          <w:p>
            <w:pPr>
              <w:spacing w:after="0"/>
              <w:rPr>
                <w:sz w:val="24"/>
                <w:szCs w:val="24"/>
                <w:color w:val="auto"/>
              </w:rPr>
            </w:pPr>
          </w:p>
        </w:tc>
      </w:tr>
      <w:tr>
        <w:trPr>
          <w:trHeight w:val="430"/>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investments (2)</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(3)</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gross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debt (4)</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15" w:lineRule="exact"/>
        <w:rPr>
          <w:sz w:val="20"/>
          <w:szCs w:val="20"/>
          <w:color w:val="auto"/>
        </w:rPr>
      </w:pPr>
    </w:p>
    <w:p>
      <w:pPr>
        <w:jc w:val="both"/>
        <w:ind w:left="1680" w:right="40" w:hanging="531"/>
        <w:spacing w:after="0" w:line="262" w:lineRule="auto"/>
        <w:tabs>
          <w:tab w:leader="none" w:pos="1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2018 and 2017 includes the impact of significant discrete tax-related impacts, including incremental income tax expense due to the application of the U.S. Tax Reform Act. See further discussion in Note 18 of the notes to the consolidated financial statements included in Item 8 of this Annual Report on Form 10-K.</w:t>
      </w:r>
    </w:p>
    <w:p>
      <w:pPr>
        <w:spacing w:after="0" w:line="213" w:lineRule="exact"/>
        <w:rPr>
          <w:rFonts w:ascii="Times New Roman" w:cs="Times New Roman" w:eastAsia="Times New Roman" w:hAnsi="Times New Roman"/>
          <w:sz w:val="18"/>
          <w:szCs w:val="18"/>
          <w:color w:val="auto"/>
        </w:rPr>
      </w:pPr>
    </w:p>
    <w:p>
      <w:pPr>
        <w:ind w:left="1680" w:right="200" w:hanging="531"/>
        <w:spacing w:after="0" w:line="255" w:lineRule="auto"/>
        <w:tabs>
          <w:tab w:leader="none" w:pos="1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investments consists of cash and cash equivalents along with short-term and long-term investments. We had short-term investments of $155 million and did not have any long-term investments as of December 31, 2018. We had short-term investments of $62 million and did not have any long-term investments as of December 31, 2017. We had short-term and long-term investments of $13 million and $13 million, respectively, as of December 31, 2016, $8 million and $9 million, respectively, as of December 31, 2015, and $10 million and $9 million, respectively, as of December 31, 2014. Cash and investments as of December 31, 2015, excludes $3,561 million of cash placed in escrow for the King Acquisition.</w:t>
      </w:r>
    </w:p>
    <w:p>
      <w:pPr>
        <w:spacing w:after="0" w:line="206" w:lineRule="exact"/>
        <w:rPr>
          <w:rFonts w:ascii="Times New Roman" w:cs="Times New Roman" w:eastAsia="Times New Roman" w:hAnsi="Times New Roman"/>
          <w:sz w:val="18"/>
          <w:szCs w:val="18"/>
          <w:color w:val="auto"/>
        </w:rPr>
      </w:pPr>
    </w:p>
    <w:p>
      <w:pPr>
        <w:ind w:left="1680" w:hanging="531"/>
        <w:spacing w:after="0" w:line="275" w:lineRule="auto"/>
        <w:tabs>
          <w:tab w:leader="none" w:pos="1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discussion on our debt obligations, see Note 13 of the notes to the consolidated financial statements included in Item 8 of this Annual Report on Form 10-K.</w:t>
      </w:r>
    </w:p>
    <w:p>
      <w:pPr>
        <w:spacing w:after="0" w:line="187"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debt is defined as long-term debt, gross less cash and investments.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7" w:lineRule="exact"/>
        <w:rPr>
          <w:sz w:val="20"/>
          <w:szCs w:val="20"/>
          <w:color w:val="auto"/>
        </w:rPr>
      </w:pPr>
    </w:p>
    <w:p>
      <w:pPr>
        <w:ind w:right="40" w:firstLine="341"/>
        <w:spacing w:after="0" w:line="258" w:lineRule="auto"/>
        <w:rPr>
          <w:sz w:val="20"/>
          <w:szCs w:val="20"/>
          <w:color w:val="auto"/>
        </w:rPr>
      </w:pPr>
      <w:r>
        <w:rPr>
          <w:rFonts w:ascii="Times New Roman" w:cs="Times New Roman" w:eastAsia="Times New Roman" w:hAnsi="Times New Roman"/>
          <w:sz w:val="18"/>
          <w:szCs w:val="18"/>
          <w:color w:val="auto"/>
        </w:rPr>
        <w:t>Activision Blizzard, Inc. is a leading global developer and publisher of interactive entertainment content and services. We develop and distribute content and services on video game consoles, PC, and mobile devices. We also operate esports leagues and events and create film and television content based on our intellectual property. The terms "Activision Blizzard," the "Company," "we," "us," and "our" are used to refer collectively to Activision Blizzard, Inc. and its subsidiaries.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King Acquisition</w:t>
      </w:r>
    </w:p>
    <w:p>
      <w:pPr>
        <w:spacing w:after="0" w:line="229" w:lineRule="exact"/>
        <w:rPr>
          <w:sz w:val="20"/>
          <w:szCs w:val="20"/>
          <w:color w:val="auto"/>
        </w:rPr>
      </w:pPr>
    </w:p>
    <w:p>
      <w:pPr>
        <w:ind w:right="100" w:firstLine="351"/>
        <w:spacing w:after="0" w:line="339" w:lineRule="auto"/>
        <w:rPr>
          <w:sz w:val="20"/>
          <w:szCs w:val="20"/>
          <w:color w:val="auto"/>
        </w:rPr>
      </w:pPr>
      <w:r>
        <w:rPr>
          <w:rFonts w:ascii="Times New Roman" w:cs="Times New Roman" w:eastAsia="Times New Roman" w:hAnsi="Times New Roman"/>
          <w:sz w:val="16"/>
          <w:szCs w:val="16"/>
          <w:color w:val="auto"/>
        </w:rPr>
        <w:t>On February 23, 2016, we completed the King Acquisition for an aggregate purchase price of approximately $5.8 billion, as further described in Note 23 of the notes to the consolidated financial statements. Our consolidated financial statements include the operations of King commencing on February 23, 2016.</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Based upon our organizational structure, we conduct our business through three reportable segments: Activision, Blizzard, and King.</w:t>
      </w:r>
    </w:p>
    <w:p>
      <w:pPr>
        <w:spacing w:after="0" w:line="22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i w:val="1"/>
          <w:iCs w:val="1"/>
          <w:color w:val="auto"/>
        </w:rPr>
        <w:t>(i)</w:t>
      </w:r>
      <w:r>
        <w:rPr>
          <w:sz w:val="20"/>
          <w:szCs w:val="20"/>
          <w:color w:val="auto"/>
        </w:rPr>
        <w:tab/>
      </w:r>
      <w:r>
        <w:rPr>
          <w:rFonts w:ascii="Times New Roman" w:cs="Times New Roman" w:eastAsia="Times New Roman" w:hAnsi="Times New Roman"/>
          <w:sz w:val="16"/>
          <w:szCs w:val="16"/>
          <w:i w:val="1"/>
          <w:iCs w:val="1"/>
          <w:color w:val="auto"/>
        </w:rPr>
        <w:t>Activision</w:t>
      </w:r>
    </w:p>
    <w:p>
      <w:pPr>
        <w:spacing w:after="0" w:line="227" w:lineRule="exact"/>
        <w:rPr>
          <w:sz w:val="20"/>
          <w:szCs w:val="20"/>
          <w:color w:val="auto"/>
        </w:rPr>
      </w:pPr>
    </w:p>
    <w:p>
      <w:pPr>
        <w:ind w:right="100" w:firstLine="341"/>
        <w:spacing w:after="0" w:line="258" w:lineRule="auto"/>
        <w:rPr>
          <w:sz w:val="20"/>
          <w:szCs w:val="20"/>
          <w:color w:val="auto"/>
        </w:rPr>
      </w:pPr>
      <w:r>
        <w:rPr>
          <w:rFonts w:ascii="Times New Roman" w:cs="Times New Roman" w:eastAsia="Times New Roman" w:hAnsi="Times New Roman"/>
          <w:sz w:val="18"/>
          <w:szCs w:val="18"/>
          <w:color w:val="auto"/>
        </w:rPr>
        <w:t>Activision is a leading global developer and publisher of interactive software products and entertainment content, particularly for the console platforms. Activision primarily delivers content through retail and digital channels, including full-game and in-game sales, as well as by licensing software to third-party or related-party companies that distribute Activision products. Activision develops, markets, and sells products primarily based on our internally developed intellectual properties, as well as some licensed properties.</w:t>
      </w:r>
    </w:p>
    <w:p>
      <w:pPr>
        <w:spacing w:after="0" w:line="190"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In 2010, Activision entered into an exclusive relationship with Bungie to publish games in the Destiny franchise. Effective December 31, 2018, Activision and Bungie mutually agreed to terminate their publishing relationship related to the Destiny franchise. As part of this termination, Activision agreed to transfer its publishing rights for the Destiny franchise to Bungie in exchange for cash and Bungie's assumption of on-going customer obligations of Activision. Going forward, Activision no longer has any material rights or obligations related to the Destiny franchise. As a result of the agreement to terminate the relationship, the Company recognized net bookings—a key operating metric—of $20 million, GAAP revenues of $164 million, and GAAP operating income of $91 million for the year ended December 31, 2018.</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  Blizzard</w:t>
      </w:r>
    </w:p>
    <w:p>
      <w:pPr>
        <w:spacing w:after="0" w:line="22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Blizzard is a leading global developer and publisher of interactive software products and entertainment content, particularly for the PC platform. Blizzard primarily delivers content through retail and digital channels, including subscriptions, full-game, and in-game sales, as well as by licensing software to third-party or related-party companies that distribute Blizzard products. Blizzard also maintains a proprietary online gaming service, Blizzard Battle.net, which facilitates digital distribution of Blizzard content and selected Activision content, online social connectivity, and the creation of user-generated content. Blizzard also includes the activities of the Overwatch League, the first major global professional esports league with city-based teams, and our MLG business, which is responsible for various esports events and serves as a multi-platform network for Activision Blizzard esports content.</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(iii) King</w:t>
      </w:r>
    </w:p>
    <w:p>
      <w:pPr>
        <w:spacing w:after="0" w:line="227" w:lineRule="exact"/>
        <w:rPr>
          <w:sz w:val="20"/>
          <w:szCs w:val="20"/>
          <w:color w:val="auto"/>
        </w:rPr>
      </w:pPr>
    </w:p>
    <w:p>
      <w:pPr>
        <w:ind w:right="100" w:firstLine="351"/>
        <w:spacing w:after="0" w:line="310" w:lineRule="auto"/>
        <w:rPr>
          <w:sz w:val="20"/>
          <w:szCs w:val="20"/>
          <w:color w:val="auto"/>
        </w:rPr>
      </w:pPr>
      <w:r>
        <w:rPr>
          <w:rFonts w:ascii="Times New Roman" w:cs="Times New Roman" w:eastAsia="Times New Roman" w:hAnsi="Times New Roman"/>
          <w:sz w:val="16"/>
          <w:szCs w:val="16"/>
          <w:color w:val="auto"/>
        </w:rPr>
        <w:t>King is a leading global developer and publisher of interactive entertainment content and services, primarily on mobile platforms, such as Google's Android and Apple's iOS. King also distributes its content and services on the PC platform, primarily via Facebook. King's games are free to play; however, players can acquire in-game items, either with virtual currency or real currency, and we continue to focus on in-game advertising as a growing source of additional revenue.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also engage in other businesses that do not represent reportable segments, including:</w:t>
      </w:r>
    </w:p>
    <w:p>
      <w:pPr>
        <w:spacing w:after="0" w:line="239" w:lineRule="exact"/>
        <w:rPr>
          <w:sz w:val="20"/>
          <w:szCs w:val="20"/>
          <w:color w:val="auto"/>
        </w:rPr>
      </w:pPr>
    </w:p>
    <w:p>
      <w:pPr>
        <w:ind w:left="1080" w:right="420" w:hanging="532"/>
        <w:spacing w:after="0" w:line="275"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Studios business, which is devoted to creating original film and television content based on our library of globally recognized intellectual properties; and</w:t>
      </w:r>
    </w:p>
    <w:p>
      <w:pPr>
        <w:spacing w:after="0" w:line="200" w:lineRule="exact"/>
        <w:rPr>
          <w:rFonts w:ascii="Times New Roman" w:cs="Times New Roman" w:eastAsia="Times New Roman" w:hAnsi="Times New Roman"/>
          <w:sz w:val="18"/>
          <w:szCs w:val="18"/>
          <w:color w:val="auto"/>
        </w:rPr>
      </w:pPr>
    </w:p>
    <w:p>
      <w:pPr>
        <w:ind w:left="1080" w:right="100" w:hanging="532"/>
        <w:spacing w:after="0" w:line="339" w:lineRule="auto"/>
        <w:tabs>
          <w:tab w:leader="none" w:pos="10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Results and Highlights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w:t>
      </w:r>
    </w:p>
    <w:p>
      <w:pPr>
        <w:spacing w:after="0" w:line="229"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Company's 2018 financial results are presented in accordance with a new revenue accounting standard that was adopted in the first quarter of 2018. Prior period results have not been restated to reflect this change in accounting standards. Further information about our adoption of the new standard is provided in Notes 2 and 3 of the notes to the consolidated financial statements included in Item 8 of this Annual Report on Form 10-K.</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2018 financial highlights included:</w:t>
      </w:r>
    </w:p>
    <w:p>
      <w:pPr>
        <w:spacing w:after="0" w:line="239" w:lineRule="exact"/>
        <w:rPr>
          <w:sz w:val="20"/>
          <w:szCs w:val="20"/>
          <w:color w:val="auto"/>
        </w:rPr>
      </w:pPr>
    </w:p>
    <w:p>
      <w:pPr>
        <w:ind w:left="1080" w:right="740" w:hanging="532"/>
        <w:spacing w:after="0" w:line="275"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revenues increased 7% to $7.5 billion and consolidated operating income increased 52% to $2.0 billion, as compared to consolidated net revenues of $7.0 billion and consolidated operating income of $1.3 billion in 2017;</w:t>
      </w:r>
    </w:p>
    <w:p>
      <w:pPr>
        <w:spacing w:after="0" w:line="187" w:lineRule="exact"/>
        <w:rPr>
          <w:rFonts w:ascii="Times New Roman" w:cs="Times New Roman" w:eastAsia="Times New Roman" w:hAnsi="Times New Roman"/>
          <w:sz w:val="18"/>
          <w:szCs w:val="18"/>
          <w:color w:val="auto"/>
        </w:rPr>
      </w:pPr>
    </w:p>
    <w:p>
      <w:pPr>
        <w:ind w:left="1080" w:right="220" w:hanging="532"/>
        <w:spacing w:after="0" w:line="275"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digital online channels increased 6% to $5.8 billion, or 77% of consolidated net revenues, as compared to $5.5 billion, or 78% of consolidated net revenues, in 2017;</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was 26.5%, as compared to 18.7% in 2017;</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operating activities were approximately $1.79 billion, a decrease of 19%, as compared to $2.21 billion in 2017;</w:t>
      </w:r>
    </w:p>
    <w:p>
      <w:pPr>
        <w:spacing w:after="0" w:line="238"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income increased to $1.8 billion, as compared to $273 million in 2017, which included significant discrete tax-related impacts in both 2017 and 2018—refer to Consolidated Results discussion below for details; and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common share increased to $2.35, as compared to $0.36 in 2017.</w:t>
      </w:r>
    </w:p>
    <w:p>
      <w:pPr>
        <w:spacing w:after="0" w:line="225" w:lineRule="exact"/>
        <w:rPr>
          <w:sz w:val="20"/>
          <w:szCs w:val="20"/>
          <w:color w:val="auto"/>
        </w:rPr>
      </w:pPr>
    </w:p>
    <w:p>
      <w:pPr>
        <w:ind w:right="200" w:firstLine="351"/>
        <w:spacing w:after="0" w:line="258" w:lineRule="auto"/>
        <w:rPr>
          <w:sz w:val="20"/>
          <w:szCs w:val="20"/>
          <w:color w:val="auto"/>
        </w:rPr>
      </w:pPr>
      <w:r>
        <w:rPr>
          <w:rFonts w:ascii="Times New Roman" w:cs="Times New Roman" w:eastAsia="Times New Roman" w:hAnsi="Times New Roman"/>
          <w:sz w:val="18"/>
          <w:szCs w:val="18"/>
          <w:color w:val="auto"/>
        </w:rPr>
        <w:t>Since certain of our games are hosted online or include significant online functionality that represents a separate performance obligation, we defer the transaction price allocable to the online functionality from the sale of these games and recognize the attributable revenues over the relevant estimated service periods, which are generally less than a year. Net revenues and operating income for the year ended December 31, 2018, include net effects of $238 million and $100 million, respectively, from the recognition of deferred net revenues and related cost of revenues.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Release and Event Highlights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Games and downloadable content that were released during 2018, include:</w:t>
      </w:r>
    </w:p>
    <w:p>
      <w:pPr>
        <w:spacing w:after="0" w:line="237" w:lineRule="exact"/>
        <w:rPr>
          <w:sz w:val="20"/>
          <w:szCs w:val="20"/>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Activision's four downloadable content packs for </w:t>
      </w:r>
      <w:r>
        <w:rPr>
          <w:rFonts w:ascii="Times New Roman" w:cs="Times New Roman" w:eastAsia="Times New Roman" w:hAnsi="Times New Roman"/>
          <w:sz w:val="18"/>
          <w:szCs w:val="18"/>
          <w:i w:val="1"/>
          <w:iCs w:val="1"/>
          <w:color w:val="auto"/>
        </w:rPr>
        <w:t>Call of Duty: WWII</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Activision's </w:t>
      </w:r>
      <w:r>
        <w:rPr>
          <w:rFonts w:ascii="Times New Roman" w:cs="Times New Roman" w:eastAsia="Times New Roman" w:hAnsi="Times New Roman"/>
          <w:sz w:val="18"/>
          <w:szCs w:val="18"/>
          <w:i w:val="1"/>
          <w:iCs w:val="1"/>
          <w:color w:val="auto"/>
        </w:rPr>
        <w:t>Warmind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Forsaken</w:t>
      </w:r>
      <w:r>
        <w:rPr>
          <w:rFonts w:ascii="Times New Roman" w:cs="Times New Roman" w:eastAsia="Times New Roman" w:hAnsi="Times New Roman"/>
          <w:sz w:val="18"/>
          <w:szCs w:val="18"/>
          <w:color w:val="auto"/>
        </w:rPr>
        <w:t xml:space="preserve">, the second and third expansions to </w:t>
      </w:r>
      <w:r>
        <w:rPr>
          <w:rFonts w:ascii="Times New Roman" w:cs="Times New Roman" w:eastAsia="Times New Roman" w:hAnsi="Times New Roman"/>
          <w:sz w:val="18"/>
          <w:szCs w:val="18"/>
          <w:i w:val="1"/>
          <w:iCs w:val="1"/>
          <w:color w:val="auto"/>
        </w:rPr>
        <w:t>Destiny 2</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Activision's </w:t>
      </w:r>
      <w:r>
        <w:rPr>
          <w:rFonts w:ascii="Times New Roman" w:cs="Times New Roman" w:eastAsia="Times New Roman" w:hAnsi="Times New Roman"/>
          <w:sz w:val="18"/>
          <w:szCs w:val="18"/>
          <w:i w:val="1"/>
          <w:iCs w:val="1"/>
          <w:color w:val="auto"/>
        </w:rPr>
        <w:t>Call of Duty: Black Ops 4</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Activision's </w:t>
      </w:r>
      <w:r>
        <w:rPr>
          <w:rFonts w:ascii="Times New Roman" w:cs="Times New Roman" w:eastAsia="Times New Roman" w:hAnsi="Times New Roman"/>
          <w:sz w:val="18"/>
          <w:szCs w:val="18"/>
          <w:i w:val="1"/>
          <w:iCs w:val="1"/>
          <w:color w:val="auto"/>
        </w:rPr>
        <w:t>Spyro™ Reignited Trilogy</w:t>
      </w:r>
      <w:r>
        <w:rPr>
          <w:rFonts w:ascii="Times New Roman" w:cs="Times New Roman" w:eastAsia="Times New Roman" w:hAnsi="Times New Roman"/>
          <w:sz w:val="18"/>
          <w:szCs w:val="18"/>
          <w:color w:val="auto"/>
        </w:rPr>
        <w:t>, a remastered version of the first three Spyro the Dragon games;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Blizzard's latest expansions to </w:t>
      </w:r>
      <w:r>
        <w:rPr>
          <w:rFonts w:ascii="Times New Roman" w:cs="Times New Roman" w:eastAsia="Times New Roman" w:hAnsi="Times New Roman"/>
          <w:sz w:val="18"/>
          <w:szCs w:val="18"/>
          <w:i w:val="1"/>
          <w:iCs w:val="1"/>
          <w:color w:val="auto"/>
        </w:rPr>
        <w:t>Hearthstone—The Witchwood™</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The Boomsday Project™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Rastakhan's Rumble™</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Blizzard's </w:t>
      </w:r>
      <w:r>
        <w:rPr>
          <w:rFonts w:ascii="Times New Roman" w:cs="Times New Roman" w:eastAsia="Times New Roman" w:hAnsi="Times New Roman"/>
          <w:sz w:val="18"/>
          <w:szCs w:val="18"/>
          <w:i w:val="1"/>
          <w:iCs w:val="1"/>
          <w:color w:val="auto"/>
        </w:rPr>
        <w:t>World of Warcraft: Battle for Azeroth™</w:t>
      </w:r>
      <w:r>
        <w:rPr>
          <w:rFonts w:ascii="Times New Roman" w:cs="Times New Roman" w:eastAsia="Times New Roman" w:hAnsi="Times New Roman"/>
          <w:sz w:val="18"/>
          <w:szCs w:val="18"/>
          <w:color w:val="auto"/>
        </w:rPr>
        <w:t>, the seventh expansion to World of Warcraft;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King's </w:t>
      </w:r>
      <w:r>
        <w:rPr>
          <w:rFonts w:ascii="Times New Roman" w:cs="Times New Roman" w:eastAsia="Times New Roman" w:hAnsi="Times New Roman"/>
          <w:sz w:val="18"/>
          <w:szCs w:val="18"/>
          <w:i w:val="1"/>
          <w:iCs w:val="1"/>
          <w:color w:val="auto"/>
        </w:rPr>
        <w:t>Candy Crush Friends Saga™</w:t>
      </w:r>
      <w:r>
        <w:rPr>
          <w:rFonts w:ascii="Times New Roman" w:cs="Times New Roman" w:eastAsia="Times New Roman" w:hAnsi="Times New Roman"/>
          <w:sz w:val="18"/>
          <w:szCs w:val="18"/>
          <w:color w:val="auto"/>
        </w:rPr>
        <w:t>, the latest title in the Candy Crush franchise.</w:t>
      </w:r>
    </w:p>
    <w:p>
      <w:pPr>
        <w:spacing w:after="0" w:line="227" w:lineRule="exact"/>
        <w:rPr>
          <w:sz w:val="20"/>
          <w:szCs w:val="20"/>
          <w:color w:val="auto"/>
        </w:rPr>
      </w:pPr>
    </w:p>
    <w:p>
      <w:pPr>
        <w:ind w:right="340" w:firstLine="348"/>
        <w:spacing w:after="0" w:line="339" w:lineRule="auto"/>
        <w:rPr>
          <w:sz w:val="20"/>
          <w:szCs w:val="20"/>
          <w:color w:val="auto"/>
        </w:rPr>
      </w:pPr>
      <w:r>
        <w:rPr>
          <w:rFonts w:ascii="Times New Roman" w:cs="Times New Roman" w:eastAsia="Times New Roman" w:hAnsi="Times New Roman"/>
          <w:sz w:val="16"/>
          <w:szCs w:val="16"/>
          <w:color w:val="auto"/>
        </w:rPr>
        <w:t>The Overwatch League, the first major global professional esports league with city-based teams, completed its inaugural season in 2018 with 12 initial teams. During 2018, we also completed the sale of an additional eight teams, which are competing in the league's second season that began in February 2019.</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Sales</w:t>
      </w:r>
    </w:p>
    <w:p>
      <w:pPr>
        <w:spacing w:after="0" w:line="229" w:lineRule="exact"/>
        <w:rPr>
          <w:sz w:val="20"/>
          <w:szCs w:val="20"/>
          <w:color w:val="auto"/>
        </w:rPr>
      </w:pPr>
    </w:p>
    <w:p>
      <w:pPr>
        <w:ind w:right="80" w:firstLine="351"/>
        <w:spacing w:after="0" w:line="254" w:lineRule="auto"/>
        <w:rPr>
          <w:sz w:val="20"/>
          <w:szCs w:val="20"/>
          <w:color w:val="auto"/>
        </w:rPr>
      </w:pPr>
      <w:r>
        <w:rPr>
          <w:rFonts w:ascii="Times New Roman" w:cs="Times New Roman" w:eastAsia="Times New Roman" w:hAnsi="Times New Roman"/>
          <w:sz w:val="18"/>
          <w:szCs w:val="18"/>
          <w:color w:val="auto"/>
        </w:rPr>
        <w:t>International sales are a fundamental part of our business. An important element of our international strategy is to develop content that is specifically directed toward local cultures and customs. Net revenues from international sales accounted for approximately 54%, 55%, and 55% of our total consolidated net revenues for the years ended December 31, 2018, 2017, and 2016, respectively. The majority of our net revenues from foreign countries are generated by consumers in Australia, Canada, China, France, Germany, Italy, Japan, the Netherlands, South Korea, Spain, Sweden, and the United Kingdom. Our international business is subject to risks typical of an international business, including, but not limited to, foreign currency exchange rate volatility and changes in local economies. Accordingly, our future results could be materially and adversely affected by changes in foreign currency exchange rates and changes in local economies.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Metrics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operating metrics are key performance indicators that we use to evaluate our business.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Bookings</w:t>
      </w:r>
    </w:p>
    <w:p>
      <w:pPr>
        <w:spacing w:after="0" w:line="227" w:lineRule="exact"/>
        <w:rPr>
          <w:sz w:val="20"/>
          <w:szCs w:val="20"/>
          <w:color w:val="auto"/>
        </w:rPr>
      </w:pPr>
    </w:p>
    <w:p>
      <w:pPr>
        <w:ind w:right="200" w:firstLine="348"/>
        <w:spacing w:after="0" w:line="262" w:lineRule="auto"/>
        <w:rPr>
          <w:sz w:val="20"/>
          <w:szCs w:val="20"/>
          <w:color w:val="auto"/>
        </w:rPr>
      </w:pPr>
      <w:r>
        <w:rPr>
          <w:rFonts w:ascii="Times New Roman" w:cs="Times New Roman" w:eastAsia="Times New Roman" w:hAnsi="Times New Roman"/>
          <w:sz w:val="18"/>
          <w:szCs w:val="18"/>
          <w:color w:val="auto"/>
        </w:rPr>
        <w:t>We monitor net bookings as a key operating metric in evaluating the performance of our business. Net bookings is the net amount of products and services sold digitally or sold-in physically in the period, and includes license fees, merchandise, and publisher incentives, among others. Net bookings is equal to net revenues excluding the impact from deferrals.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Net bookings was as follows (amounts in millions):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700" w:type="dxa"/>
            <w:vAlign w:val="bottom"/>
            <w:gridSpan w:val="6"/>
          </w:tcPr>
          <w:p>
            <w:pPr>
              <w:jc w:val="center"/>
              <w:ind w:left="412"/>
              <w:spacing w:after="0"/>
              <w:rPr>
                <w:sz w:val="20"/>
                <w:szCs w:val="20"/>
                <w:color w:val="auto"/>
              </w:rPr>
            </w:pPr>
            <w:r>
              <w:rPr>
                <w:rFonts w:ascii="Times New Roman" w:cs="Times New Roman" w:eastAsia="Times New Roman" w:hAnsi="Times New Roman"/>
                <w:sz w:val="14"/>
                <w:szCs w:val="14"/>
                <w:b w:val="1"/>
                <w:bCs w:val="1"/>
                <w:color w:val="auto"/>
                <w:w w:val="96"/>
              </w:rPr>
              <w:t>For the years ended</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restart"/>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w w:val="94"/>
              </w:rPr>
              <w:t>Increase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gridSpan w:val="3"/>
            <w:vMerge w:val="restart"/>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11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vMerge w:val="restart"/>
          </w:tcPr>
          <w:p>
            <w:pPr>
              <w:jc w:val="center"/>
              <w:ind w:right="27"/>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gridSpan w:val="3"/>
            <w:vMerge w:val="restart"/>
          </w:tcPr>
          <w:p>
            <w:pPr>
              <w:jc w:val="center"/>
              <w:ind w:right="14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(Decrease)</w:t>
            </w:r>
          </w:p>
        </w:tc>
        <w:tc>
          <w:tcPr>
            <w:tcW w:w="0" w:type="dxa"/>
            <w:vAlign w:val="bottom"/>
          </w:tcPr>
          <w:p>
            <w:pPr>
              <w:spacing w:after="0"/>
              <w:rPr>
                <w:sz w:val="1"/>
                <w:szCs w:val="1"/>
                <w:color w:val="auto"/>
              </w:rPr>
            </w:pPr>
          </w:p>
        </w:tc>
      </w:tr>
      <w:tr>
        <w:trPr>
          <w:trHeight w:val="58"/>
        </w:trPr>
        <w:tc>
          <w:tcPr>
            <w:tcW w:w="1160" w:type="dxa"/>
            <w:vAlign w:val="bottom"/>
          </w:tcPr>
          <w:p>
            <w:pPr>
              <w:spacing w:after="0"/>
              <w:rPr>
                <w:sz w:val="5"/>
                <w:szCs w:val="5"/>
                <w:color w:val="auto"/>
              </w:rPr>
            </w:pPr>
          </w:p>
        </w:tc>
        <w:tc>
          <w:tcPr>
            <w:tcW w:w="2700" w:type="dxa"/>
            <w:vAlign w:val="bottom"/>
          </w:tcPr>
          <w:p>
            <w:pPr>
              <w:spacing w:after="0"/>
              <w:rPr>
                <w:sz w:val="5"/>
                <w:szCs w:val="5"/>
                <w:color w:val="auto"/>
              </w:rPr>
            </w:pPr>
          </w:p>
        </w:tc>
        <w:tc>
          <w:tcPr>
            <w:tcW w:w="20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w w:val="97"/>
              </w:rPr>
              <w:t>2018 v 2017</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w w:val="94"/>
              </w:rPr>
              <w:t>2017 v 2016</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bookings</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7,262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7,156</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2018 vs. 2017</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increase in net bookings for 2018, as compared to 2017, was primarily due to:</w:t>
      </w:r>
    </w:p>
    <w:p>
      <w:pPr>
        <w:spacing w:after="0" w:line="237" w:lineRule="exact"/>
        <w:rPr>
          <w:sz w:val="20"/>
          <w:szCs w:val="20"/>
          <w:color w:val="auto"/>
        </w:rPr>
      </w:pPr>
    </w:p>
    <w:p>
      <w:pPr>
        <w:ind w:left="1080" w:right="580" w:hanging="532"/>
        <w:spacing w:after="0" w:line="277"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net bookings from </w:t>
      </w:r>
      <w:r>
        <w:rPr>
          <w:rFonts w:ascii="Times New Roman" w:cs="Times New Roman" w:eastAsia="Times New Roman" w:hAnsi="Times New Roman"/>
          <w:sz w:val="18"/>
          <w:szCs w:val="18"/>
          <w:i w:val="1"/>
          <w:iCs w:val="1"/>
          <w:color w:val="auto"/>
        </w:rPr>
        <w:t>World of Warcraft</w:t>
      </w:r>
      <w:r>
        <w:rPr>
          <w:rFonts w:ascii="Times New Roman" w:cs="Times New Roman" w:eastAsia="Times New Roman" w:hAnsi="Times New Roman"/>
          <w:sz w:val="18"/>
          <w:szCs w:val="18"/>
          <w:color w:val="auto"/>
        </w:rPr>
        <w:t xml:space="preserve">, driven by </w:t>
      </w:r>
      <w:r>
        <w:rPr>
          <w:rFonts w:ascii="Times New Roman" w:cs="Times New Roman" w:eastAsia="Times New Roman" w:hAnsi="Times New Roman"/>
          <w:sz w:val="18"/>
          <w:szCs w:val="18"/>
          <w:i w:val="1"/>
          <w:iCs w:val="1"/>
          <w:color w:val="auto"/>
        </w:rPr>
        <w:t>World of Warcraft: Battle for Azeroth</w:t>
      </w:r>
      <w:r>
        <w:rPr>
          <w:rFonts w:ascii="Times New Roman" w:cs="Times New Roman" w:eastAsia="Times New Roman" w:hAnsi="Times New Roman"/>
          <w:sz w:val="18"/>
          <w:szCs w:val="18"/>
          <w:color w:val="auto"/>
        </w:rPr>
        <w:t>, which was released in August 2018, with no comparable release in 2017;</w:t>
      </w:r>
    </w:p>
    <w:p>
      <w:pPr>
        <w:spacing w:after="0" w:line="12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 xml:space="preserve">higher net bookings from </w:t>
      </w:r>
      <w:r>
        <w:rPr>
          <w:rFonts w:ascii="Times New Roman" w:cs="Times New Roman" w:eastAsia="Times New Roman" w:hAnsi="Times New Roman"/>
          <w:sz w:val="17"/>
          <w:szCs w:val="17"/>
          <w:i w:val="1"/>
          <w:iCs w:val="1"/>
          <w:color w:val="auto"/>
        </w:rPr>
        <w:t>Call of Duty: WWII</w:t>
      </w:r>
      <w:r>
        <w:rPr>
          <w:rFonts w:ascii="Times New Roman" w:cs="Times New Roman" w:eastAsia="Times New Roman" w:hAnsi="Times New Roman"/>
          <w:sz w:val="17"/>
          <w:szCs w:val="17"/>
          <w:color w:val="auto"/>
        </w:rPr>
        <w:t xml:space="preserve">, which was released in November 2017, as compared to </w:t>
      </w:r>
      <w:r>
        <w:rPr>
          <w:rFonts w:ascii="Times New Roman" w:cs="Times New Roman" w:eastAsia="Times New Roman" w:hAnsi="Times New Roman"/>
          <w:sz w:val="17"/>
          <w:szCs w:val="17"/>
          <w:i w:val="1"/>
          <w:iCs w:val="1"/>
          <w:color w:val="auto"/>
        </w:rPr>
        <w:t>Call of Duty: Infinite Warfare</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xml:space="preserve"> (which,</w:t>
      </w:r>
    </w:p>
    <w:p>
      <w:pPr>
        <w:ind w:left="1080"/>
        <w:spacing w:after="0" w:line="236" w:lineRule="auto"/>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8"/>
          <w:szCs w:val="18"/>
          <w:color w:val="auto"/>
        </w:rPr>
        <w:t xml:space="preserve">when referred to herein, is inclusive of </w:t>
      </w:r>
      <w:r>
        <w:rPr>
          <w:rFonts w:ascii="Times New Roman" w:cs="Times New Roman" w:eastAsia="Times New Roman" w:hAnsi="Times New Roman"/>
          <w:sz w:val="18"/>
          <w:szCs w:val="18"/>
          <w:i w:val="1"/>
          <w:iCs w:val="1"/>
          <w:color w:val="auto"/>
        </w:rPr>
        <w:t>Call of Duty: Modern Warfare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Remastered</w:t>
      </w:r>
      <w:r>
        <w:rPr>
          <w:rFonts w:ascii="Times New Roman" w:cs="Times New Roman" w:eastAsia="Times New Roman" w:hAnsi="Times New Roman"/>
          <w:sz w:val="18"/>
          <w:szCs w:val="18"/>
          <w:color w:val="auto"/>
        </w:rPr>
        <w:t>), which was released in November 2016;</w:t>
      </w:r>
    </w:p>
    <w:p>
      <w:pPr>
        <w:spacing w:after="0" w:line="95" w:lineRule="exact"/>
        <w:rPr>
          <w:rFonts w:ascii="Times New Roman" w:cs="Times New Roman" w:eastAsia="Times New Roman" w:hAnsi="Times New Roman"/>
          <w:sz w:val="34"/>
          <w:szCs w:val="34"/>
          <w:color w:val="auto"/>
          <w:vertAlign w:val="superscript"/>
        </w:rPr>
      </w:pPr>
    </w:p>
    <w:p>
      <w:pPr>
        <w:ind w:left="1080" w:right="140" w:hanging="532"/>
        <w:spacing w:after="0" w:line="277"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net bookings from the Candy Crush franchise, primarily due to in-game advertisements, increased monetization, and the launch of </w:t>
      </w:r>
      <w:r>
        <w:rPr>
          <w:rFonts w:ascii="Times New Roman" w:cs="Times New Roman" w:eastAsia="Times New Roman" w:hAnsi="Times New Roman"/>
          <w:sz w:val="18"/>
          <w:szCs w:val="18"/>
          <w:i w:val="1"/>
          <w:iCs w:val="1"/>
          <w:color w:val="auto"/>
        </w:rPr>
        <w:t>Candy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Crush Friends Saga</w:t>
      </w:r>
      <w:r>
        <w:rPr>
          <w:rFonts w:ascii="Times New Roman" w:cs="Times New Roman" w:eastAsia="Times New Roman" w:hAnsi="Times New Roman"/>
          <w:sz w:val="18"/>
          <w:szCs w:val="18"/>
          <w:color w:val="auto"/>
        </w:rPr>
        <w:t>, the latest title in the Candy Crush franchise, in October 2018; and</w:t>
      </w:r>
    </w:p>
    <w:p>
      <w:pPr>
        <w:spacing w:after="0" w:line="18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bookings from the </w:t>
      </w:r>
      <w:r>
        <w:rPr>
          <w:rFonts w:ascii="Times New Roman" w:cs="Times New Roman" w:eastAsia="Times New Roman" w:hAnsi="Times New Roman"/>
          <w:sz w:val="18"/>
          <w:szCs w:val="18"/>
          <w:i w:val="1"/>
          <w:iCs w:val="1"/>
          <w:color w:val="auto"/>
        </w:rPr>
        <w:t>Spyro Reignited Trilogy</w:t>
      </w:r>
      <w:r>
        <w:rPr>
          <w:rFonts w:ascii="Times New Roman" w:cs="Times New Roman" w:eastAsia="Times New Roman" w:hAnsi="Times New Roman"/>
          <w:sz w:val="18"/>
          <w:szCs w:val="18"/>
          <w:color w:val="auto"/>
        </w:rPr>
        <w:t>, which was released in November 2018, with no comparable release in 2017.</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increase was partially offset by:</w:t>
      </w:r>
    </w:p>
    <w:p>
      <w:pPr>
        <w:spacing w:after="0" w:line="250" w:lineRule="exact"/>
        <w:rPr>
          <w:sz w:val="20"/>
          <w:szCs w:val="20"/>
          <w:color w:val="auto"/>
        </w:rPr>
      </w:pPr>
    </w:p>
    <w:p>
      <w:pPr>
        <w:ind w:left="1080" w:right="260" w:hanging="532"/>
        <w:spacing w:after="0" w:line="277"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lower net bookings from the Destiny franchise, driven by the release of </w:t>
      </w:r>
      <w:r>
        <w:rPr>
          <w:rFonts w:ascii="Times New Roman" w:cs="Times New Roman" w:eastAsia="Times New Roman" w:hAnsi="Times New Roman"/>
          <w:sz w:val="18"/>
          <w:szCs w:val="18"/>
          <w:i w:val="1"/>
          <w:iCs w:val="1"/>
          <w:color w:val="auto"/>
        </w:rPr>
        <w:t>Destiny 2</w:t>
      </w:r>
      <w:r>
        <w:rPr>
          <w:rFonts w:ascii="Times New Roman" w:cs="Times New Roman" w:eastAsia="Times New Roman" w:hAnsi="Times New Roman"/>
          <w:sz w:val="18"/>
          <w:szCs w:val="18"/>
          <w:color w:val="auto"/>
        </w:rPr>
        <w:t xml:space="preserve"> in September 2017, with no comparable full-game release in 2018;</w:t>
      </w:r>
    </w:p>
    <w:p>
      <w:pPr>
        <w:spacing w:after="0" w:line="18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lower net bookings from </w:t>
      </w:r>
      <w:r>
        <w:rPr>
          <w:rFonts w:ascii="Times New Roman" w:cs="Times New Roman" w:eastAsia="Times New Roman" w:hAnsi="Times New Roman"/>
          <w:sz w:val="18"/>
          <w:szCs w:val="18"/>
          <w:i w:val="1"/>
          <w:iCs w:val="1"/>
          <w:color w:val="auto"/>
        </w:rPr>
        <w:t>Overwatch</w:t>
      </w:r>
      <w:r>
        <w:rPr>
          <w:rFonts w:ascii="Times New Roman" w:cs="Times New Roman" w:eastAsia="Times New Roman" w:hAnsi="Times New Roman"/>
          <w:sz w:val="18"/>
          <w:szCs w:val="18"/>
          <w:color w:val="auto"/>
        </w:rPr>
        <w:t>, which was released in May 2016;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lower net bookings from </w:t>
      </w:r>
      <w:r>
        <w:rPr>
          <w:rFonts w:ascii="Times New Roman" w:cs="Times New Roman" w:eastAsia="Times New Roman" w:hAnsi="Times New Roman"/>
          <w:sz w:val="18"/>
          <w:szCs w:val="18"/>
          <w:i w:val="1"/>
          <w:iCs w:val="1"/>
          <w:color w:val="auto"/>
        </w:rPr>
        <w:t>Call of Duty: Infinite Warfare</w:t>
      </w:r>
      <w:r>
        <w:rPr>
          <w:rFonts w:ascii="Times New Roman" w:cs="Times New Roman" w:eastAsia="Times New Roman" w:hAnsi="Times New Roman"/>
          <w:sz w:val="18"/>
          <w:szCs w:val="18"/>
          <w:color w:val="auto"/>
        </w:rPr>
        <w:t>, as compared to prior catalog releases.</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2017 vs. 2016</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increase in net bookings for 2017, as compared to 2016, was primarily due to:</w:t>
      </w:r>
    </w:p>
    <w:p>
      <w:pPr>
        <w:spacing w:after="0" w:line="252" w:lineRule="exact"/>
        <w:rPr>
          <w:sz w:val="20"/>
          <w:szCs w:val="20"/>
          <w:color w:val="auto"/>
        </w:rPr>
      </w:pPr>
    </w:p>
    <w:p>
      <w:pPr>
        <w:ind w:left="1080" w:right="240" w:hanging="532"/>
        <w:spacing w:after="0" w:line="26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bookings from King titles, as 2017 included King net bookings for the full year, while 2016 only included King net bookings for the partial period following the King Closing Date, as well as higher net bookings from the Candy Crush franchise, due to in-game events and features;</w:t>
      </w:r>
    </w:p>
    <w:p>
      <w:pPr>
        <w:spacing w:after="0" w:line="19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net bookings from the Destiny franchise, driven by the release of </w:t>
      </w:r>
      <w:r>
        <w:rPr>
          <w:rFonts w:ascii="Times New Roman" w:cs="Times New Roman" w:eastAsia="Times New Roman" w:hAnsi="Times New Roman"/>
          <w:sz w:val="18"/>
          <w:szCs w:val="18"/>
          <w:i w:val="1"/>
          <w:iCs w:val="1"/>
          <w:color w:val="auto"/>
        </w:rPr>
        <w:t>Destiny 2</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net bookings from </w:t>
      </w:r>
      <w:r>
        <w:rPr>
          <w:rFonts w:ascii="Times New Roman" w:cs="Times New Roman" w:eastAsia="Times New Roman" w:hAnsi="Times New Roman"/>
          <w:sz w:val="18"/>
          <w:szCs w:val="18"/>
          <w:i w:val="1"/>
          <w:iCs w:val="1"/>
          <w:color w:val="auto"/>
        </w:rPr>
        <w:t>Call of Duty: WWII</w:t>
      </w:r>
      <w:r>
        <w:rPr>
          <w:rFonts w:ascii="Times New Roman" w:cs="Times New Roman" w:eastAsia="Times New Roman" w:hAnsi="Times New Roman"/>
          <w:sz w:val="18"/>
          <w:szCs w:val="18"/>
          <w:color w:val="auto"/>
        </w:rPr>
        <w:t xml:space="preserve">, as compared to </w:t>
      </w:r>
      <w:r>
        <w:rPr>
          <w:rFonts w:ascii="Times New Roman" w:cs="Times New Roman" w:eastAsia="Times New Roman" w:hAnsi="Times New Roman"/>
          <w:sz w:val="18"/>
          <w:szCs w:val="18"/>
          <w:i w:val="1"/>
          <w:iCs w:val="1"/>
          <w:color w:val="auto"/>
        </w:rPr>
        <w:t>Call of Duty: Infinite Warfare</w:t>
      </w:r>
      <w:r>
        <w:rPr>
          <w:rFonts w:ascii="Times New Roman" w:cs="Times New Roman" w:eastAsia="Times New Roman" w:hAnsi="Times New Roman"/>
          <w:sz w:val="18"/>
          <w:szCs w:val="18"/>
          <w:color w:val="auto"/>
        </w:rPr>
        <w:t>, the comparable 2016 title;</w:t>
      </w:r>
    </w:p>
    <w:p>
      <w:pPr>
        <w:spacing w:after="0" w:line="252" w:lineRule="exact"/>
        <w:rPr>
          <w:rFonts w:ascii="Times New Roman" w:cs="Times New Roman" w:eastAsia="Times New Roman" w:hAnsi="Times New Roman"/>
          <w:sz w:val="18"/>
          <w:szCs w:val="18"/>
          <w:color w:val="auto"/>
        </w:rPr>
      </w:pPr>
    </w:p>
    <w:p>
      <w:pPr>
        <w:ind w:left="1080" w:hanging="532"/>
        <w:spacing w:after="0" w:line="277"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net bookings from the continued strength of </w:t>
      </w:r>
      <w:r>
        <w:rPr>
          <w:rFonts w:ascii="Times New Roman" w:cs="Times New Roman" w:eastAsia="Times New Roman" w:hAnsi="Times New Roman"/>
          <w:sz w:val="18"/>
          <w:szCs w:val="18"/>
          <w:i w:val="1"/>
          <w:iCs w:val="1"/>
          <w:color w:val="auto"/>
        </w:rPr>
        <w:t>Call of Duty: Black Ops III</w:t>
      </w:r>
      <w:r>
        <w:rPr>
          <w:rFonts w:ascii="Times New Roman" w:cs="Times New Roman" w:eastAsia="Times New Roman" w:hAnsi="Times New Roman"/>
          <w:sz w:val="18"/>
          <w:szCs w:val="18"/>
          <w:color w:val="auto"/>
        </w:rPr>
        <w:t xml:space="preserve">, as compared to prior catalog releases, driven by the downloadable content pack, </w:t>
      </w:r>
      <w:r>
        <w:rPr>
          <w:rFonts w:ascii="Times New Roman" w:cs="Times New Roman" w:eastAsia="Times New Roman" w:hAnsi="Times New Roman"/>
          <w:sz w:val="18"/>
          <w:szCs w:val="18"/>
          <w:i w:val="1"/>
          <w:iCs w:val="1"/>
          <w:color w:val="auto"/>
        </w:rPr>
        <w:t>Zombies Chronicles</w:t>
      </w:r>
      <w:r>
        <w:rPr>
          <w:rFonts w:ascii="Times New Roman" w:cs="Times New Roman" w:eastAsia="Times New Roman" w:hAnsi="Times New Roman"/>
          <w:sz w:val="18"/>
          <w:szCs w:val="18"/>
          <w:color w:val="auto"/>
        </w:rPr>
        <w:t>, which was released in May 2017, and the continued strength of microtransactions; and</w:t>
      </w:r>
    </w:p>
    <w:p>
      <w:pPr>
        <w:spacing w:after="0" w:line="17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color w:val="auto"/>
        </w:rPr>
        <w:t xml:space="preserve">net bookings from </w:t>
      </w:r>
      <w:r>
        <w:rPr>
          <w:rFonts w:ascii="Times New Roman" w:cs="Times New Roman" w:eastAsia="Times New Roman" w:hAnsi="Times New Roman"/>
          <w:sz w:val="18"/>
          <w:szCs w:val="18"/>
          <w:i w:val="1"/>
          <w:iCs w:val="1"/>
          <w:color w:val="auto"/>
        </w:rPr>
        <w:t>Crash Bandicoot</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 Sane Trilogy</w:t>
      </w:r>
      <w:r>
        <w:rPr>
          <w:rFonts w:ascii="Times New Roman" w:cs="Times New Roman" w:eastAsia="Times New Roman" w:hAnsi="Times New Roman"/>
          <w:sz w:val="18"/>
          <w:szCs w:val="18"/>
          <w:color w:val="auto"/>
        </w:rPr>
        <w:t>, which was released in June 2017.</w:t>
      </w:r>
    </w:p>
    <w:p>
      <w:pPr>
        <w:spacing w:after="0" w:line="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increase was partially offset by:</w:t>
      </w:r>
    </w:p>
    <w:p>
      <w:pPr>
        <w:spacing w:after="0" w:line="237" w:lineRule="exact"/>
        <w:rPr>
          <w:sz w:val="20"/>
          <w:szCs w:val="20"/>
          <w:color w:val="auto"/>
        </w:rPr>
      </w:pPr>
    </w:p>
    <w:p>
      <w:pPr>
        <w:ind w:left="1080" w:hanging="532"/>
        <w:spacing w:after="0"/>
        <w:tabs>
          <w:tab w:leader="none" w:pos="10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lower net bookings from </w:t>
      </w:r>
      <w:r>
        <w:rPr>
          <w:rFonts w:ascii="Times New Roman" w:cs="Times New Roman" w:eastAsia="Times New Roman" w:hAnsi="Times New Roman"/>
          <w:sz w:val="16"/>
          <w:szCs w:val="16"/>
          <w:i w:val="1"/>
          <w:iCs w:val="1"/>
          <w:color w:val="auto"/>
        </w:rPr>
        <w:t>Call of Duty: Infinite Warfare</w:t>
      </w:r>
      <w:r>
        <w:rPr>
          <w:rFonts w:ascii="Times New Roman" w:cs="Times New Roman" w:eastAsia="Times New Roman" w:hAnsi="Times New Roman"/>
          <w:sz w:val="16"/>
          <w:szCs w:val="16"/>
          <w:color w:val="auto"/>
        </w:rPr>
        <w:t xml:space="preserve">, as compared to the performance of </w:t>
      </w:r>
      <w:r>
        <w:rPr>
          <w:rFonts w:ascii="Times New Roman" w:cs="Times New Roman" w:eastAsia="Times New Roman" w:hAnsi="Times New Roman"/>
          <w:sz w:val="16"/>
          <w:szCs w:val="16"/>
          <w:i w:val="1"/>
          <w:iCs w:val="1"/>
          <w:color w:val="auto"/>
        </w:rPr>
        <w:t>Call of Duty: Black Ops III</w:t>
      </w:r>
      <w:r>
        <w:rPr>
          <w:rFonts w:ascii="Times New Roman" w:cs="Times New Roman" w:eastAsia="Times New Roman" w:hAnsi="Times New Roman"/>
          <w:sz w:val="16"/>
          <w:szCs w:val="16"/>
          <w:color w:val="auto"/>
        </w:rPr>
        <w:t>, the comparable 2015 title;</w:t>
      </w:r>
    </w:p>
    <w:p>
      <w:pPr>
        <w:spacing w:after="0" w:line="275"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lower net bookings from </w:t>
      </w:r>
      <w:r>
        <w:rPr>
          <w:rFonts w:ascii="Times New Roman" w:cs="Times New Roman" w:eastAsia="Times New Roman" w:hAnsi="Times New Roman"/>
          <w:sz w:val="18"/>
          <w:szCs w:val="18"/>
          <w:i w:val="1"/>
          <w:iCs w:val="1"/>
          <w:color w:val="auto"/>
        </w:rPr>
        <w:t>Overwatch</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1080" w:right="120" w:hanging="532"/>
        <w:spacing w:after="0" w:line="277"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lower net bookings from </w:t>
      </w:r>
      <w:r>
        <w:rPr>
          <w:rFonts w:ascii="Times New Roman" w:cs="Times New Roman" w:eastAsia="Times New Roman" w:hAnsi="Times New Roman"/>
          <w:sz w:val="18"/>
          <w:szCs w:val="18"/>
          <w:i w:val="1"/>
          <w:iCs w:val="1"/>
          <w:color w:val="auto"/>
        </w:rPr>
        <w:t>World of Warcraft</w:t>
      </w:r>
      <w:r>
        <w:rPr>
          <w:rFonts w:ascii="Times New Roman" w:cs="Times New Roman" w:eastAsia="Times New Roman" w:hAnsi="Times New Roman"/>
          <w:sz w:val="18"/>
          <w:szCs w:val="18"/>
          <w:color w:val="auto"/>
        </w:rPr>
        <w:t xml:space="preserve">, driven by the release of </w:t>
      </w:r>
      <w:r>
        <w:rPr>
          <w:rFonts w:ascii="Times New Roman" w:cs="Times New Roman" w:eastAsia="Times New Roman" w:hAnsi="Times New Roman"/>
          <w:sz w:val="18"/>
          <w:szCs w:val="18"/>
          <w:i w:val="1"/>
          <w:iCs w:val="1"/>
          <w:color w:val="auto"/>
        </w:rPr>
        <w:t>World of Warcraft: Legion™</w:t>
      </w:r>
      <w:r>
        <w:rPr>
          <w:rFonts w:ascii="Times New Roman" w:cs="Times New Roman" w:eastAsia="Times New Roman" w:hAnsi="Times New Roman"/>
          <w:sz w:val="18"/>
          <w:szCs w:val="18"/>
          <w:color w:val="auto"/>
        </w:rPr>
        <w:t xml:space="preserve"> in August 2016, with no comparable release in 2017; and</w:t>
      </w:r>
    </w:p>
    <w:p>
      <w:pPr>
        <w:spacing w:after="0" w:line="202" w:lineRule="exact"/>
        <w:rPr>
          <w:rFonts w:ascii="Times New Roman" w:cs="Times New Roman" w:eastAsia="Times New Roman" w:hAnsi="Times New Roman"/>
          <w:sz w:val="18"/>
          <w:szCs w:val="18"/>
          <w:color w:val="auto"/>
        </w:rPr>
      </w:pPr>
    </w:p>
    <w:p>
      <w:pPr>
        <w:ind w:left="1080" w:right="60" w:hanging="532"/>
        <w:spacing w:after="0" w:line="189" w:lineRule="auto"/>
        <w:tabs>
          <w:tab w:leader="none" w:pos="1080" w:val="left"/>
        </w:tabs>
        <w:numPr>
          <w:ilvl w:val="0"/>
          <w:numId w:val="16"/>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color w:val="auto"/>
        </w:rPr>
        <w:t>lower net bookings from the Skylanders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franchise, due to the release of </w:t>
      </w:r>
      <w:r>
        <w:rPr>
          <w:rFonts w:ascii="Times New Roman" w:cs="Times New Roman" w:eastAsia="Times New Roman" w:hAnsi="Times New Roman"/>
          <w:sz w:val="18"/>
          <w:szCs w:val="18"/>
          <w:i w:val="1"/>
          <w:iCs w:val="1"/>
          <w:color w:val="auto"/>
        </w:rPr>
        <w:t>Skylanders Imaginators</w:t>
      </w:r>
      <w:r>
        <w:rPr>
          <w:rFonts w:ascii="Times New Roman" w:cs="Times New Roman" w:eastAsia="Times New Roman" w:hAnsi="Times New Roman"/>
          <w:sz w:val="18"/>
          <w:szCs w:val="18"/>
          <w:color w:val="auto"/>
        </w:rPr>
        <w:t xml:space="preserve"> in October 2016, with no comparable release in 2017.</w:t>
      </w: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Monthly Active Users</w:t>
      </w:r>
    </w:p>
    <w:p>
      <w:pPr>
        <w:spacing w:after="0" w:line="227" w:lineRule="exact"/>
        <w:rPr>
          <w:sz w:val="20"/>
          <w:szCs w:val="20"/>
          <w:color w:val="auto"/>
        </w:rPr>
      </w:pPr>
    </w:p>
    <w:p>
      <w:pPr>
        <w:ind w:firstLine="348"/>
        <w:spacing w:after="0" w:line="296" w:lineRule="auto"/>
        <w:rPr>
          <w:sz w:val="20"/>
          <w:szCs w:val="20"/>
          <w:color w:val="auto"/>
        </w:rPr>
      </w:pPr>
      <w:r>
        <w:rPr>
          <w:rFonts w:ascii="Times New Roman" w:cs="Times New Roman" w:eastAsia="Times New Roman" w:hAnsi="Times New Roman"/>
          <w:sz w:val="16"/>
          <w:szCs w:val="16"/>
          <w:color w:val="auto"/>
        </w:rPr>
        <w:t>We monitor monthly active users ("MAUs") as a key measure of the overall size of our user base. MAUs are the number of individuals who accessed a particular game in a given month. We calculate average MAUs in a period by adding the total number of MAUs in each of the months in a given period and dividing that total by the number of months in the period. An individual who accesses two of our games would be counted as two users. In addition, due to technical limitations, for Activision and King, an individual who accesses the same game on two platforms or devices in the relevant period would be counted as two users. For Blizzard, an individual who accesses the same game on two platforms or devices in the relevant period would generally be counted as a single user.</w:t>
      </w:r>
    </w:p>
    <w:p>
      <w:pPr>
        <w:spacing w:after="0" w:line="162" w:lineRule="exact"/>
        <w:rPr>
          <w:sz w:val="20"/>
          <w:szCs w:val="20"/>
          <w:color w:val="auto"/>
        </w:rPr>
      </w:pPr>
    </w:p>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The number of MAUs for a given period can be significantly impacted by the timing of new content releases, since new releases may cause a temporary surge in MAUs. Accordingly, although we believe that overall trending in the number of MAUs can be a meaningful performance metric, period-to-period fluctuations may not be indicative of longer-term trends. The following table details our average MAUs on a sequential quarterly basis for each of our reportable segments (amounts in millions):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5"/>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4"/>
                <w:szCs w:val="14"/>
                <w:color w:val="auto"/>
              </w:rPr>
            </w:pPr>
          </w:p>
        </w:tc>
        <w:tc>
          <w:tcPr>
            <w:tcW w:w="96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Activision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Blizzard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King</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41"/>
        <w:spacing w:after="0" w:line="262" w:lineRule="auto"/>
        <w:rPr>
          <w:sz w:val="20"/>
          <w:szCs w:val="20"/>
          <w:color w:val="auto"/>
        </w:rPr>
      </w:pPr>
      <w:r>
        <w:rPr>
          <w:rFonts w:ascii="Times New Roman" w:cs="Times New Roman" w:eastAsia="Times New Roman" w:hAnsi="Times New Roman"/>
          <w:sz w:val="18"/>
          <w:szCs w:val="18"/>
          <w:color w:val="auto"/>
        </w:rPr>
        <w:t xml:space="preserve">Average MAUs increased by 11 million, or 3%, for the three months ended December 31, 2018, as compared to the three months ended September 30, 2018. The increase in Activision's average MAUs is driven by the Call of Duty franchise, due to the launch of </w:t>
      </w:r>
      <w:r>
        <w:rPr>
          <w:rFonts w:ascii="Times New Roman" w:cs="Times New Roman" w:eastAsia="Times New Roman" w:hAnsi="Times New Roman"/>
          <w:sz w:val="18"/>
          <w:szCs w:val="18"/>
          <w:i w:val="1"/>
          <w:iCs w:val="1"/>
          <w:color w:val="auto"/>
        </w:rPr>
        <w:t>Call of Duty: Black Ops 4</w:t>
      </w:r>
      <w:r>
        <w:rPr>
          <w:rFonts w:ascii="Times New Roman" w:cs="Times New Roman" w:eastAsia="Times New Roman" w:hAnsi="Times New Roman"/>
          <w:sz w:val="18"/>
          <w:szCs w:val="18"/>
          <w:color w:val="auto"/>
        </w:rPr>
        <w:t xml:space="preserve"> in October 2018. The increase in King's average MAUs is due to the launch of </w:t>
      </w:r>
      <w:r>
        <w:rPr>
          <w:rFonts w:ascii="Times New Roman" w:cs="Times New Roman" w:eastAsia="Times New Roman" w:hAnsi="Times New Roman"/>
          <w:sz w:val="18"/>
          <w:szCs w:val="18"/>
          <w:i w:val="1"/>
          <w:iCs w:val="1"/>
          <w:color w:val="auto"/>
        </w:rPr>
        <w:t>Candy Crush Friends Saga</w:t>
      </w:r>
      <w:r>
        <w:rPr>
          <w:rFonts w:ascii="Times New Roman" w:cs="Times New Roman" w:eastAsia="Times New Roman" w:hAnsi="Times New Roman"/>
          <w:sz w:val="18"/>
          <w:szCs w:val="18"/>
          <w:color w:val="auto"/>
        </w:rPr>
        <w:t xml:space="preserve"> in October 2018.</w:t>
      </w:r>
    </w:p>
    <w:p>
      <w:pPr>
        <w:spacing w:after="0" w:line="186" w:lineRule="exact"/>
        <w:rPr>
          <w:sz w:val="20"/>
          <w:szCs w:val="20"/>
          <w:color w:val="auto"/>
        </w:rPr>
      </w:pPr>
    </w:p>
    <w:p>
      <w:pPr>
        <w:ind w:right="20" w:firstLine="341"/>
        <w:spacing w:after="0" w:line="256" w:lineRule="auto"/>
        <w:rPr>
          <w:sz w:val="20"/>
          <w:szCs w:val="20"/>
          <w:color w:val="auto"/>
        </w:rPr>
      </w:pPr>
      <w:r>
        <w:rPr>
          <w:rFonts w:ascii="Times New Roman" w:cs="Times New Roman" w:eastAsia="Times New Roman" w:hAnsi="Times New Roman"/>
          <w:sz w:val="18"/>
          <w:szCs w:val="18"/>
          <w:color w:val="auto"/>
        </w:rPr>
        <w:t xml:space="preserve">Average MAUs decreased by 29 million, or 8%, for the three months ended December 31, 2018, as compared to the three months ended December 31, 2017. The year-over-year decrease in King's average MAUs is due to decreases across King's franchises from less engaged users leaving the network. King MAUs were also negatively impacted by a King network outage resulting from changes made in the second quarter of 2018 by a third-party partner which inadvertently impacted some users' ability to play and spend money in King games. The year-over-year decrease in Blizzard's average MAUs is due to lower MAUs for </w:t>
      </w:r>
      <w:r>
        <w:rPr>
          <w:rFonts w:ascii="Times New Roman" w:cs="Times New Roman" w:eastAsia="Times New Roman" w:hAnsi="Times New Roman"/>
          <w:sz w:val="18"/>
          <w:szCs w:val="18"/>
          <w:i w:val="1"/>
          <w:iCs w:val="1"/>
          <w:color w:val="auto"/>
        </w:rPr>
        <w:t xml:space="preserve">Hearthstone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Overwatch</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Overview of Business Trends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Interactive Entertainment Growth, Including Mobile Gaming</w:t>
      </w:r>
    </w:p>
    <w:p>
      <w:pPr>
        <w:spacing w:after="0" w:line="229"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Our business participates in the global interactive entertainment industry. Games have become an increasingly popular form of entertainment, and we estimate the total industry has grown, on average, 18% annually from 2015 to 2018. The industry continues to benefit from additional players entering the market as interactive entertainment becomes more commonplace across age groups and as more developing regions gain access to this form of entertainment.</w:t>
      </w:r>
    </w:p>
    <w:p>
      <w:pPr>
        <w:spacing w:after="0" w:line="186" w:lineRule="exact"/>
        <w:rPr>
          <w:sz w:val="20"/>
          <w:szCs w:val="20"/>
          <w:color w:val="auto"/>
        </w:rPr>
      </w:pPr>
    </w:p>
    <w:p>
      <w:pPr>
        <w:jc w:val="both"/>
        <w:ind w:right="100" w:firstLine="351"/>
        <w:spacing w:after="0" w:line="258" w:lineRule="auto"/>
        <w:rPr>
          <w:sz w:val="20"/>
          <w:szCs w:val="20"/>
          <w:color w:val="auto"/>
        </w:rPr>
      </w:pPr>
      <w:r>
        <w:rPr>
          <w:rFonts w:ascii="Times New Roman" w:cs="Times New Roman" w:eastAsia="Times New Roman" w:hAnsi="Times New Roman"/>
          <w:sz w:val="18"/>
          <w:szCs w:val="18"/>
          <w:color w:val="auto"/>
        </w:rPr>
        <w:t>Further, the wide adoption of smart phones globally and the free-to-play business model on those platforms has increased the total addressable audience for gaming significantly by introducing gaming to new age groups and new regions and allowing gaming to occur more widely outside the home. Mobile gaming is estimated to be larger than console and PC gaming, and continues to grow at a significant rate. King is a leading developer of mobile and free-to-play games and our other business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have mobile efforts underway that present the opportunity for us to expand the reach of, and drive additional player investment from, our franchises.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Opportunities to Expand Franchises Outside of Games</w:t>
      </w:r>
    </w:p>
    <w:p>
      <w:pPr>
        <w:spacing w:after="0" w:line="229"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Our fans spend significant time investing in our franchises through purchases of our game content, whether through purchases of full games or downloadable content or via microtransactions. Given the passion our players have for our franchises, we believe there are emerging opportunities to drive additional engagement and investment in our franchises outside of games. These opportunities include esports, film and television, and consumer products. Our efforts to build these adjacent opportunities are still relatively nascent, but we view them as potentially significant sources of future revenues.</w:t>
      </w:r>
    </w:p>
    <w:p>
      <w:pPr>
        <w:spacing w:after="0" w:line="190" w:lineRule="exact"/>
        <w:rPr>
          <w:sz w:val="20"/>
          <w:szCs w:val="20"/>
          <w:color w:val="auto"/>
        </w:rPr>
      </w:pPr>
    </w:p>
    <w:p>
      <w:pPr>
        <w:jc w:val="both"/>
        <w:ind w:right="140" w:firstLine="351"/>
        <w:spacing w:after="0" w:line="262" w:lineRule="auto"/>
        <w:rPr>
          <w:sz w:val="20"/>
          <w:szCs w:val="20"/>
          <w:color w:val="auto"/>
        </w:rPr>
      </w:pPr>
      <w:r>
        <w:rPr>
          <w:rFonts w:ascii="Times New Roman" w:cs="Times New Roman" w:eastAsia="Times New Roman" w:hAnsi="Times New Roman"/>
          <w:sz w:val="18"/>
          <w:szCs w:val="18"/>
          <w:color w:val="auto"/>
        </w:rPr>
        <w:t>For example, as part of our efforts to take advantage of the esports opportunity, during 2017 we completed the sale of 12 teams for the Overwatch League, the first major global professional esports league with city-based teams, which completed its inaugural season in July 2018. During 2018, we also completed the sale of eight additional teams, which are competing in the league's second season that began in February 2019.</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Sales Among the Most Popular Franchises</w:t>
      </w:r>
    </w:p>
    <w:p>
      <w:pPr>
        <w:spacing w:after="0" w:line="229"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The concentration of retail revenues among key titles has continued as a trend in the overall interactive entertainment industry. According to The NPD Group, the top 10 titles accounted for 38% of the retail sales in the U.S. interactive entertainment industry in 2018. Similarly, a significant portion of our revenues historically has been derived from video games based on a few popular franchises and these video games have been responsible for a disproportionately high percentage of our profits. For example, the Call of Duty, Candy Crush, and World of Warcraft franchises, collectively, accounted for 58% of our consolidated net revenues—and a significantly higher percentage of our operating income—for 2018.</w:t>
      </w:r>
    </w:p>
    <w:p>
      <w:pPr>
        <w:spacing w:after="0" w:line="193" w:lineRule="exact"/>
        <w:rPr>
          <w:sz w:val="20"/>
          <w:szCs w:val="20"/>
          <w:color w:val="auto"/>
        </w:rPr>
      </w:pPr>
    </w:p>
    <w:p>
      <w:pPr>
        <w:ind w:right="60" w:firstLine="348"/>
        <w:spacing w:after="0" w:line="262" w:lineRule="auto"/>
        <w:rPr>
          <w:sz w:val="20"/>
          <w:szCs w:val="20"/>
          <w:color w:val="auto"/>
        </w:rPr>
      </w:pPr>
      <w:r>
        <w:rPr>
          <w:rFonts w:ascii="Times New Roman" w:cs="Times New Roman" w:eastAsia="Times New Roman" w:hAnsi="Times New Roman"/>
          <w:sz w:val="18"/>
          <w:szCs w:val="18"/>
          <w:color w:val="auto"/>
        </w:rPr>
        <w:t>The top titles in the industry are also becoming more consistent as players and revenues concentrate more heavily in established franchises. Of the top 10 console franchises in the U.S. in 2018, all 10 are from established franchises. Similarly, according to U.S rankings for the Apple App Store and Google Play store per App Annie Intelligence as of December 2018, the top 10 mobile games have held such ranking for an average of 28 months.</w:t>
      </w:r>
    </w:p>
    <w:p>
      <w:pPr>
        <w:spacing w:after="0" w:line="186" w:lineRule="exact"/>
        <w:rPr>
          <w:sz w:val="20"/>
          <w:szCs w:val="20"/>
          <w:color w:val="auto"/>
        </w:rPr>
      </w:pPr>
    </w:p>
    <w:p>
      <w:pPr>
        <w:ind w:right="380" w:firstLine="351"/>
        <w:spacing w:after="0" w:line="258" w:lineRule="auto"/>
        <w:rPr>
          <w:sz w:val="20"/>
          <w:szCs w:val="20"/>
          <w:color w:val="auto"/>
        </w:rPr>
      </w:pPr>
      <w:r>
        <w:rPr>
          <w:rFonts w:ascii="Times New Roman" w:cs="Times New Roman" w:eastAsia="Times New Roman" w:hAnsi="Times New Roman"/>
          <w:sz w:val="18"/>
          <w:szCs w:val="18"/>
          <w:color w:val="auto"/>
        </w:rPr>
        <w:t xml:space="preserve">In addition to investing in, and developing sequels and content for, our top franchises, we are continually exploring additional ways to expand those franchises. Further, while there is no guarantee of success, we invest in new properties in an effort to develop future top franchises. For example, in 2014, we released </w:t>
      </w:r>
      <w:r>
        <w:rPr>
          <w:rFonts w:ascii="Times New Roman" w:cs="Times New Roman" w:eastAsia="Times New Roman" w:hAnsi="Times New Roman"/>
          <w:sz w:val="18"/>
          <w:szCs w:val="18"/>
          <w:i w:val="1"/>
          <w:iCs w:val="1"/>
          <w:color w:val="auto"/>
        </w:rPr>
        <w:t>Hearthstone</w:t>
      </w:r>
      <w:r>
        <w:rPr>
          <w:rFonts w:ascii="Times New Roman" w:cs="Times New Roman" w:eastAsia="Times New Roman" w:hAnsi="Times New Roman"/>
          <w:sz w:val="18"/>
          <w:szCs w:val="18"/>
          <w:color w:val="auto"/>
        </w:rPr>
        <w:t xml:space="preserve">, and in 2016, we released </w:t>
      </w:r>
      <w:r>
        <w:rPr>
          <w:rFonts w:ascii="Times New Roman" w:cs="Times New Roman" w:eastAsia="Times New Roman" w:hAnsi="Times New Roman"/>
          <w:sz w:val="18"/>
          <w:szCs w:val="18"/>
          <w:i w:val="1"/>
          <w:iCs w:val="1"/>
          <w:color w:val="auto"/>
        </w:rPr>
        <w:t>Overwatch</w:t>
      </w:r>
      <w:r>
        <w:rPr>
          <w:rFonts w:ascii="Times New Roman" w:cs="Times New Roman" w:eastAsia="Times New Roman" w:hAnsi="Times New Roman"/>
          <w:sz w:val="18"/>
          <w:szCs w:val="18"/>
          <w:color w:val="auto"/>
        </w:rPr>
        <w:t>. Additionally, to diversify our portfolio of key franchises and increase our presence on the mobile platform, in 2016 we acquired King.</w:t>
      </w:r>
    </w:p>
    <w:p>
      <w:pPr>
        <w:spacing w:after="0" w:line="190"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Overall, we do expect that a limited number of popular franchises will continue to produce a disproportionately high percentage of our, and the industry's, revenues and profits in the near future. Accordingly, our ability to maintain our top franchises and our ability to successfully compete against our competitors' top franchises can significantly impact our performance.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Revenue Business Models and Seasonality</w:t>
      </w:r>
    </w:p>
    <w:p>
      <w:pPr>
        <w:spacing w:after="0" w:line="229" w:lineRule="exact"/>
        <w:rPr>
          <w:sz w:val="20"/>
          <w:szCs w:val="20"/>
          <w:color w:val="auto"/>
        </w:rPr>
      </w:pPr>
    </w:p>
    <w:p>
      <w:pPr>
        <w:ind w:right="240" w:firstLine="351"/>
        <w:spacing w:after="0" w:line="301" w:lineRule="auto"/>
        <w:rPr>
          <w:sz w:val="20"/>
          <w:szCs w:val="20"/>
          <w:color w:val="auto"/>
        </w:rPr>
      </w:pPr>
      <w:r>
        <w:rPr>
          <w:rFonts w:ascii="Times New Roman" w:cs="Times New Roman" w:eastAsia="Times New Roman" w:hAnsi="Times New Roman"/>
          <w:sz w:val="16"/>
          <w:szCs w:val="16"/>
          <w:color w:val="auto"/>
        </w:rPr>
        <w:t>Increased consumer online connectivity has allowed us to offer players new investment opportunities and to shift our business further towards a more consistently recurring and year-round model. Offering downloadable content and microtransactions, in addition to full games, allows our players to access and invest in new content throughout the year. This incremental content not only provides additional high-margin revenues, it can also increase player engagement. Also, mobile games, and free-to-play games more broadly, are generally less seasonal than games developed primarily for the console or PC platforms.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While our business is shifting toward a year-round engagement model, the interactive entertainment industry remains somewhat seasonal. We have historically experienced our highest sales volume, particularly for Activision, in the calendar year-end holiday buying season. Following the acquisition of King, which focuses on free-to-play games, which are generally less seasonal, and as we otherwise make the shift to a year-round model, less of our revenues are generated during the fourth quarter. For our reportable segments, the aggregate percentage of our revenue represented by the fourth quarter in 2018 was 39%, as compared to 52% in 2013.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7" w:lineRule="exact"/>
        <w:rPr>
          <w:sz w:val="20"/>
          <w:szCs w:val="20"/>
          <w:color w:val="auto"/>
        </w:rPr>
      </w:pPr>
    </w:p>
    <w:p>
      <w:pPr>
        <w:ind w:right="180" w:firstLine="351"/>
        <w:spacing w:after="0" w:line="258" w:lineRule="auto"/>
        <w:rPr>
          <w:sz w:val="20"/>
          <w:szCs w:val="20"/>
          <w:color w:val="auto"/>
        </w:rPr>
      </w:pPr>
      <w:r>
        <w:rPr>
          <w:rFonts w:ascii="Times New Roman" w:cs="Times New Roman" w:eastAsia="Times New Roman" w:hAnsi="Times New Roman"/>
          <w:sz w:val="18"/>
          <w:szCs w:val="18"/>
          <w:color w:val="auto"/>
        </w:rPr>
        <w:t xml:space="preserve">In 2019, we expect to have a lighter slate of full game releases than in 2018. We plan to release our latest Call of Duty game in the second half of 2019, along with </w:t>
      </w:r>
      <w:r>
        <w:rPr>
          <w:rFonts w:ascii="Times New Roman" w:cs="Times New Roman" w:eastAsia="Times New Roman" w:hAnsi="Times New Roman"/>
          <w:sz w:val="18"/>
          <w:szCs w:val="18"/>
          <w:i w:val="1"/>
          <w:iCs w:val="1"/>
          <w:color w:val="auto"/>
        </w:rPr>
        <w:t>Sekiro: Shadows Die Twice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Crash Team Racing Nitro-Fueled</w:t>
      </w:r>
      <w:r>
        <w:rPr>
          <w:rFonts w:ascii="Times New Roman" w:cs="Times New Roman" w:eastAsia="Times New Roman" w:hAnsi="Times New Roman"/>
          <w:sz w:val="18"/>
          <w:szCs w:val="18"/>
          <w:color w:val="auto"/>
        </w:rPr>
        <w:t xml:space="preserve"> in the first half of 2019. In addition, we expect to deliver ongoing content for our various franchises, including continued in-game content for </w:t>
      </w:r>
      <w:r>
        <w:rPr>
          <w:rFonts w:ascii="Times New Roman" w:cs="Times New Roman" w:eastAsia="Times New Roman" w:hAnsi="Times New Roman"/>
          <w:sz w:val="18"/>
          <w:szCs w:val="18"/>
          <w:i w:val="1"/>
          <w:iCs w:val="1"/>
          <w:color w:val="auto"/>
        </w:rPr>
        <w:t>Call of Duty: Black Ops 4</w:t>
      </w:r>
      <w:r>
        <w:rPr>
          <w:rFonts w:ascii="Times New Roman" w:cs="Times New Roman" w:eastAsia="Times New Roman" w:hAnsi="Times New Roman"/>
          <w:sz w:val="18"/>
          <w:szCs w:val="18"/>
          <w:color w:val="auto"/>
        </w:rPr>
        <w:t xml:space="preserve">, expansion packs for </w:t>
      </w:r>
      <w:r>
        <w:rPr>
          <w:rFonts w:ascii="Times New Roman" w:cs="Times New Roman" w:eastAsia="Times New Roman" w:hAnsi="Times New Roman"/>
          <w:sz w:val="18"/>
          <w:szCs w:val="18"/>
          <w:i w:val="1"/>
          <w:iCs w:val="1"/>
          <w:color w:val="auto"/>
        </w:rPr>
        <w:t>Hearthstone</w:t>
      </w:r>
      <w:r>
        <w:rPr>
          <w:rFonts w:ascii="Times New Roman" w:cs="Times New Roman" w:eastAsia="Times New Roman" w:hAnsi="Times New Roman"/>
          <w:sz w:val="18"/>
          <w:szCs w:val="18"/>
          <w:color w:val="auto"/>
        </w:rPr>
        <w:t xml:space="preserve">, and in-game events for </w:t>
      </w:r>
      <w:r>
        <w:rPr>
          <w:rFonts w:ascii="Times New Roman" w:cs="Times New Roman" w:eastAsia="Times New Roman" w:hAnsi="Times New Roman"/>
          <w:sz w:val="18"/>
          <w:szCs w:val="18"/>
          <w:i w:val="1"/>
          <w:iCs w:val="1"/>
          <w:color w:val="auto"/>
        </w:rPr>
        <w:t>Overwatch</w:t>
      </w:r>
      <w:r>
        <w:rPr>
          <w:rFonts w:ascii="Times New Roman" w:cs="Times New Roman" w:eastAsia="Times New Roman" w:hAnsi="Times New Roman"/>
          <w:sz w:val="18"/>
          <w:szCs w:val="18"/>
          <w:color w:val="auto"/>
        </w:rPr>
        <w:t>. Overall, we expect lower revenues and earnings per share in 2019 as compared to 2018.</w:t>
      </w:r>
    </w:p>
    <w:p>
      <w:pPr>
        <w:spacing w:after="0" w:line="190" w:lineRule="exact"/>
        <w:rPr>
          <w:sz w:val="20"/>
          <w:szCs w:val="20"/>
          <w:color w:val="auto"/>
        </w:rPr>
      </w:pPr>
    </w:p>
    <w:p>
      <w:pPr>
        <w:ind w:right="420" w:firstLine="348"/>
        <w:spacing w:after="0" w:line="275" w:lineRule="auto"/>
        <w:rPr>
          <w:sz w:val="20"/>
          <w:szCs w:val="20"/>
          <w:color w:val="auto"/>
        </w:rPr>
      </w:pPr>
      <w:r>
        <w:rPr>
          <w:rFonts w:ascii="Times New Roman" w:cs="Times New Roman" w:eastAsia="Times New Roman" w:hAnsi="Times New Roman"/>
          <w:sz w:val="18"/>
          <w:szCs w:val="18"/>
          <w:color w:val="auto"/>
        </w:rPr>
        <w:t>We will also continue to invest in new opportunities that we think have the potential to drive our growth over the long-term, including building on our advertising and esports initiatives.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Focusing Development Resources and Restructuring Plan</w:t>
      </w:r>
    </w:p>
    <w:p>
      <w:pPr>
        <w:spacing w:after="0" w:line="227"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In order to better capitalize on long-term growth opportunities, on February 12, 2019, the Company committed to a Board-authorized restructuring plan under which the Company plans to refocus its resources on its largest opportunities and to remove unnecessary levels of complexity and duplication from certain parts of the business. More specifically, we intend to:</w:t>
      </w:r>
    </w:p>
    <w:p>
      <w:pPr>
        <w:spacing w:after="0" w:line="200" w:lineRule="exact"/>
        <w:rPr>
          <w:sz w:val="20"/>
          <w:szCs w:val="20"/>
          <w:color w:val="auto"/>
        </w:rPr>
      </w:pPr>
    </w:p>
    <w:p>
      <w:pPr>
        <w:ind w:left="1080" w:right="480" w:hanging="532"/>
        <w:spacing w:after="0" w:line="275"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investment in development for our largest, internally-owned franchises—across upfront releases, in-game content, mobile and geographic expansion;</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certain non-development and administrative-related costs across our business; and</w:t>
      </w:r>
    </w:p>
    <w:p>
      <w:pPr>
        <w:spacing w:after="0" w:line="238" w:lineRule="exact"/>
        <w:rPr>
          <w:rFonts w:ascii="Times New Roman" w:cs="Times New Roman" w:eastAsia="Times New Roman" w:hAnsi="Times New Roman"/>
          <w:sz w:val="18"/>
          <w:szCs w:val="18"/>
          <w:color w:val="auto"/>
        </w:rPr>
      </w:pPr>
    </w:p>
    <w:p>
      <w:pPr>
        <w:ind w:left="1080" w:right="60" w:hanging="532"/>
        <w:spacing w:after="0" w:line="275"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our global and regional sales and "go-to-market," partnerships, and sponsorships capabilities across the business, which we believe will enable us to provide better opportunities for talent, and greater expertise and scale on behalf of our business units.</w:t>
      </w:r>
    </w:p>
    <w:p>
      <w:pPr>
        <w:spacing w:after="0" w:line="174" w:lineRule="exact"/>
        <w:rPr>
          <w:sz w:val="20"/>
          <w:szCs w:val="20"/>
          <w:color w:val="auto"/>
        </w:rPr>
      </w:pPr>
    </w:p>
    <w:p>
      <w:pPr>
        <w:ind w:right="80" w:firstLine="348"/>
        <w:spacing w:after="0" w:line="256" w:lineRule="auto"/>
        <w:rPr>
          <w:sz w:val="20"/>
          <w:szCs w:val="20"/>
          <w:color w:val="auto"/>
        </w:rPr>
      </w:pPr>
      <w:r>
        <w:rPr>
          <w:rFonts w:ascii="Times New Roman" w:cs="Times New Roman" w:eastAsia="Times New Roman" w:hAnsi="Times New Roman"/>
          <w:sz w:val="18"/>
          <w:szCs w:val="18"/>
          <w:color w:val="auto"/>
        </w:rPr>
        <w:t>We expect to incur aggregate pre-tax restructuring charges of approximately $150 million in 2019, related to severance, including, in many cases, above legally required amounts (approximately 65% of the aggregate charge), facilities costs (approximately 20% of the aggregate charge), and asset write-downs and other costs (approximately 15% of the aggregate charge). We expect the majority of these charges to be incurred in the first quarter of 2019, with most of the balance expected to be incurred in the remainder of 2019. The total pre-tax charge associated with the restructuring will be paid almost entirely in cash and the outlays are expected to be incurred throughout 2019.</w:t>
      </w:r>
    </w:p>
    <w:p>
      <w:pPr>
        <w:spacing w:after="0" w:line="1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p>
      <w:pPr>
        <w:spacing w:after="0" w:line="227" w:lineRule="exact"/>
        <w:rPr>
          <w:sz w:val="20"/>
          <w:szCs w:val="20"/>
          <w:color w:val="auto"/>
        </w:rPr>
      </w:pPr>
    </w:p>
    <w:p>
      <w:pPr>
        <w:ind w:right="360" w:firstLine="348"/>
        <w:spacing w:after="0" w:line="275" w:lineRule="auto"/>
        <w:rPr>
          <w:sz w:val="20"/>
          <w:szCs w:val="20"/>
          <w:color w:val="auto"/>
        </w:rPr>
      </w:pPr>
      <w:r>
        <w:rPr>
          <w:rFonts w:ascii="Times New Roman" w:cs="Times New Roman" w:eastAsia="Times New Roman" w:hAnsi="Times New Roman"/>
          <w:sz w:val="18"/>
          <w:szCs w:val="18"/>
          <w:color w:val="auto"/>
        </w:rPr>
        <w:t>The following table sets forth consolidated statements of operations data for the periods indicated in dollars (amounts in millions) and as a percentage of total net revenues, except for cost of revenues, which are presented as a percentage of associated revenues:</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8"/>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w w:val="96"/>
              </w:rPr>
              <w:t>For the Years Ended December 31,</w:t>
            </w: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Product sales</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6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30%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2,196</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Subscription, licensing, and other revenues</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4,412</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16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6,608</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Cost of revenues—product sales: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 costs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660" w:type="dxa"/>
            <w:vAlign w:val="bottom"/>
            <w:gridSpan w:val="2"/>
          </w:tcPr>
          <w:p>
            <w:pPr>
              <w:ind w:left="340"/>
              <w:spacing w:after="0" w:line="201" w:lineRule="exact"/>
              <w:rPr>
                <w:sz w:val="20"/>
                <w:szCs w:val="20"/>
                <w:color w:val="auto"/>
              </w:rPr>
            </w:pPr>
            <w:r>
              <w:rPr>
                <w:rFonts w:ascii="Times New Roman" w:cs="Times New Roman" w:eastAsia="Times New Roman" w:hAnsi="Times New Roman"/>
                <w:sz w:val="18"/>
                <w:szCs w:val="18"/>
                <w:color w:val="auto"/>
              </w:rPr>
              <w:t>Software royalties, amortization, and intellectual property</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46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licenses</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revenues—subscription, licensing, and other:</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Game operations and distribution costs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660" w:type="dxa"/>
            <w:vAlign w:val="bottom"/>
            <w:gridSpan w:val="2"/>
            <w:shd w:val="clear" w:color="auto" w:fill="CCEEFF"/>
          </w:tcPr>
          <w:p>
            <w:pPr>
              <w:ind w:left="340"/>
              <w:spacing w:after="0" w:line="201" w:lineRule="exact"/>
              <w:rPr>
                <w:sz w:val="20"/>
                <w:szCs w:val="20"/>
                <w:color w:val="auto"/>
              </w:rPr>
            </w:pPr>
            <w:r>
              <w:rPr>
                <w:rFonts w:ascii="Times New Roman" w:cs="Times New Roman" w:eastAsia="Times New Roman" w:hAnsi="Times New Roman"/>
                <w:sz w:val="18"/>
                <w:szCs w:val="18"/>
                <w:color w:val="auto"/>
              </w:rPr>
              <w:t>Software royalties, amortization, and intellectual property</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licenses</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Product development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1,210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6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5,196</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1,412</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(income), net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extinguishment of debt (1)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8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1,106</w:t>
            </w:r>
          </w:p>
        </w:tc>
        <w:tc>
          <w:tcPr>
            <w:tcW w:w="1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6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5" w:lineRule="exact"/>
        <w:rPr>
          <w:sz w:val="20"/>
          <w:szCs w:val="20"/>
          <w:color w:val="auto"/>
        </w:rPr>
      </w:pPr>
    </w:p>
    <w:p>
      <w:pPr>
        <w:ind w:left="1680" w:hanging="531"/>
        <w:spacing w:after="0"/>
        <w:tabs>
          <w:tab w:leader="none" w:pos="16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loss on extinguishment of debt we recognized associated with our debt financing activities as follows:</w:t>
      </w:r>
    </w:p>
    <w:p>
      <w:pPr>
        <w:spacing w:after="0" w:line="252"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2018 loss on extinguishment is comprised of a $25 million premium payment and an $8 million write-off of unamortized discount and deferred financing costs associated with the redemption in August 2018 of our unsecured senior notes due September 2023 that we issued on September 19, 2013 (the "2023 Notes"), along with a $7 million write-off of unamortized discount and deferred financing costs associated with the extinguishment of our outstanding term loans;</w:t>
      </w:r>
    </w:p>
    <w:p>
      <w:pPr>
        <w:spacing w:after="0" w:line="203" w:lineRule="exact"/>
        <w:rPr>
          <w:rFonts w:ascii="Times New Roman" w:cs="Times New Roman" w:eastAsia="Times New Roman" w:hAnsi="Times New Roman"/>
          <w:sz w:val="18"/>
          <w:szCs w:val="18"/>
          <w:color w:val="auto"/>
        </w:rPr>
      </w:pPr>
    </w:p>
    <w:p>
      <w:pPr>
        <w:ind w:left="1080" w:right="380" w:hanging="532"/>
        <w:spacing w:after="0" w:line="275"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2017 loss on extinguishment is comprised of a $12 million write-off of unamortized discount and deferred financing costs associated with refinancing activities on our term loans; and</w:t>
      </w:r>
    </w:p>
    <w:p>
      <w:pPr>
        <w:spacing w:after="0" w:line="187" w:lineRule="exact"/>
        <w:rPr>
          <w:rFonts w:ascii="Times New Roman" w:cs="Times New Roman" w:eastAsia="Times New Roman" w:hAnsi="Times New Roman"/>
          <w:sz w:val="18"/>
          <w:szCs w:val="18"/>
          <w:color w:val="auto"/>
        </w:rPr>
      </w:pPr>
    </w:p>
    <w:p>
      <w:pPr>
        <w:ind w:left="1080" w:right="300" w:hanging="532"/>
        <w:spacing w:after="0" w:line="339" w:lineRule="auto"/>
        <w:tabs>
          <w:tab w:leader="none" w:pos="10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the 2016 loss on extinguishment is comprised of a premium payment of $63 million and a write-off of unamortized discount and financing costs of $29 million associated with the extinguishment of certain term loan and senior note facilities through our refinancing activities.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Net Revenues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our consolidated net revenues and the increase/(decrease) in deferred revenues recognized (amounts in millions):</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8"/>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ind w:right="24"/>
              <w:spacing w:after="0" w:line="125" w:lineRule="exact"/>
              <w:rPr>
                <w:sz w:val="20"/>
                <w:szCs w:val="20"/>
                <w:color w:val="auto"/>
              </w:rPr>
            </w:pPr>
            <w:r>
              <w:rPr>
                <w:rFonts w:ascii="Times New Roman" w:cs="Times New Roman" w:eastAsia="Times New Roman" w:hAnsi="Times New Roman"/>
                <w:sz w:val="14"/>
                <w:szCs w:val="14"/>
                <w:b w:val="1"/>
                <w:bCs w:val="1"/>
                <w:color w:val="auto"/>
                <w:w w:val="95"/>
              </w:rPr>
              <w:t>Increase/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95"/>
              </w:rPr>
              <w:t>Increase/</w:t>
            </w: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(decrease)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 Change</w:t>
            </w: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 Change</w:t>
            </w:r>
          </w:p>
        </w:tc>
      </w:tr>
      <w:tr>
        <w:trPr>
          <w:trHeight w:val="165"/>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7"/>
              </w:rPr>
              <w:t>2018 v 2017</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7"/>
              </w:rPr>
              <w:t>2017 v 2016</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2018 v 2017</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2017 v 2016</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revenues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7,500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7,017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6,608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02"/>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Net effect from recognition (deferral)</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deferred net revenues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net revenues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2018 vs. 2017</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increase in consolidated net revenues for 2018, as compared to 2017, was primarily due to:</w:t>
      </w:r>
    </w:p>
    <w:p>
      <w:pPr>
        <w:spacing w:after="0" w:line="239" w:lineRule="exact"/>
        <w:rPr>
          <w:sz w:val="20"/>
          <w:szCs w:val="20"/>
          <w:color w:val="auto"/>
        </w:rPr>
      </w:pPr>
    </w:p>
    <w:p>
      <w:pPr>
        <w:ind w:left="1080" w:right="40" w:hanging="532"/>
        <w:spacing w:after="0" w:line="254"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of $455 million in revenues recognized from Activision, primarily due to (1) higher revenues recognized from the Destiny franchise, driven by </w:t>
      </w:r>
      <w:r>
        <w:rPr>
          <w:rFonts w:ascii="Times New Roman" w:cs="Times New Roman" w:eastAsia="Times New Roman" w:hAnsi="Times New Roman"/>
          <w:sz w:val="18"/>
          <w:szCs w:val="18"/>
          <w:i w:val="1"/>
          <w:iCs w:val="1"/>
          <w:color w:val="auto"/>
        </w:rPr>
        <w:t>Destiny 2</w:t>
      </w:r>
      <w:r>
        <w:rPr>
          <w:rFonts w:ascii="Times New Roman" w:cs="Times New Roman" w:eastAsia="Times New Roman" w:hAnsi="Times New Roman"/>
          <w:sz w:val="18"/>
          <w:szCs w:val="18"/>
          <w:color w:val="auto"/>
        </w:rPr>
        <w:t xml:space="preserve">, which was released in September 2017, with no comparable release in 2016, and by revenues recognized in connection with the sale of our Destiny publishing rights to Bungie, (2) higher revenues recognized from </w:t>
      </w:r>
      <w:r>
        <w:rPr>
          <w:rFonts w:ascii="Times New Roman" w:cs="Times New Roman" w:eastAsia="Times New Roman" w:hAnsi="Times New Roman"/>
          <w:sz w:val="18"/>
          <w:szCs w:val="18"/>
          <w:i w:val="1"/>
          <w:iCs w:val="1"/>
          <w:color w:val="auto"/>
        </w:rPr>
        <w:t>Call of Duty: WWII</w:t>
      </w:r>
      <w:r>
        <w:rPr>
          <w:rFonts w:ascii="Times New Roman" w:cs="Times New Roman" w:eastAsia="Times New Roman" w:hAnsi="Times New Roman"/>
          <w:sz w:val="18"/>
          <w:szCs w:val="18"/>
          <w:color w:val="auto"/>
        </w:rPr>
        <w:t xml:space="preserve">, which was released in November 2017, as compared to </w:t>
      </w:r>
      <w:r>
        <w:rPr>
          <w:rFonts w:ascii="Times New Roman" w:cs="Times New Roman" w:eastAsia="Times New Roman" w:hAnsi="Times New Roman"/>
          <w:sz w:val="18"/>
          <w:szCs w:val="18"/>
          <w:i w:val="1"/>
          <w:iCs w:val="1"/>
          <w:color w:val="auto"/>
        </w:rPr>
        <w:t>Call of Duty: Infinite Warfare</w:t>
      </w:r>
      <w:r>
        <w:rPr>
          <w:rFonts w:ascii="Times New Roman" w:cs="Times New Roman" w:eastAsia="Times New Roman" w:hAnsi="Times New Roman"/>
          <w:sz w:val="18"/>
          <w:szCs w:val="18"/>
          <w:color w:val="auto"/>
        </w:rPr>
        <w:t xml:space="preserve">, which was released in November 2016, (3) higher revenues recognized from </w:t>
      </w:r>
      <w:r>
        <w:rPr>
          <w:rFonts w:ascii="Times New Roman" w:cs="Times New Roman" w:eastAsia="Times New Roman" w:hAnsi="Times New Roman"/>
          <w:sz w:val="18"/>
          <w:szCs w:val="18"/>
          <w:i w:val="1"/>
          <w:iCs w:val="1"/>
          <w:color w:val="auto"/>
        </w:rPr>
        <w:t>Call of Duty: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Black Ops 4</w:t>
      </w:r>
      <w:r>
        <w:rPr>
          <w:rFonts w:ascii="Times New Roman" w:cs="Times New Roman" w:eastAsia="Times New Roman" w:hAnsi="Times New Roman"/>
          <w:sz w:val="18"/>
          <w:szCs w:val="18"/>
          <w:color w:val="auto"/>
        </w:rPr>
        <w:t>, which was released in October 2018, as compared to</w:t>
      </w:r>
      <w:r>
        <w:rPr>
          <w:rFonts w:ascii="Times New Roman" w:cs="Times New Roman" w:eastAsia="Times New Roman" w:hAnsi="Times New Roman"/>
          <w:sz w:val="18"/>
          <w:szCs w:val="18"/>
          <w:i w:val="1"/>
          <w:iCs w:val="1"/>
          <w:color w:val="auto"/>
        </w:rPr>
        <w:t xml:space="preserve"> Call of Duty: WWII</w:t>
      </w:r>
      <w:r>
        <w:rPr>
          <w:rFonts w:ascii="Times New Roman" w:cs="Times New Roman" w:eastAsia="Times New Roman" w:hAnsi="Times New Roman"/>
          <w:sz w:val="18"/>
          <w:szCs w:val="18"/>
          <w:color w:val="auto"/>
        </w:rPr>
        <w:t>, and (4) revenues from the</w:t>
      </w:r>
      <w:r>
        <w:rPr>
          <w:rFonts w:ascii="Times New Roman" w:cs="Times New Roman" w:eastAsia="Times New Roman" w:hAnsi="Times New Roman"/>
          <w:sz w:val="18"/>
          <w:szCs w:val="18"/>
          <w:i w:val="1"/>
          <w:iCs w:val="1"/>
          <w:color w:val="auto"/>
        </w:rPr>
        <w:t xml:space="preserve"> Spyro Reignited Trilogy</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was released in November 2018, with no comparable release in 2017, partially offset by lower revenues recognized from </w:t>
      </w:r>
      <w:r>
        <w:rPr>
          <w:rFonts w:ascii="Times New Roman" w:cs="Times New Roman" w:eastAsia="Times New Roman" w:hAnsi="Times New Roman"/>
          <w:sz w:val="18"/>
          <w:szCs w:val="18"/>
          <w:i w:val="1"/>
          <w:iCs w:val="1"/>
          <w:color w:val="auto"/>
        </w:rPr>
        <w:t>Call of Duty: Infinite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Warfare</w:t>
      </w:r>
      <w:r>
        <w:rPr>
          <w:rFonts w:ascii="Times New Roman" w:cs="Times New Roman" w:eastAsia="Times New Roman" w:hAnsi="Times New Roman"/>
          <w:sz w:val="18"/>
          <w:szCs w:val="18"/>
          <w:color w:val="auto"/>
        </w:rPr>
        <w:t>, as compared to prior catalog releases; and</w:t>
      </w:r>
    </w:p>
    <w:p>
      <w:pPr>
        <w:spacing w:after="0" w:line="222" w:lineRule="exact"/>
        <w:rPr>
          <w:rFonts w:ascii="Times New Roman" w:cs="Times New Roman" w:eastAsia="Times New Roman" w:hAnsi="Times New Roman"/>
          <w:sz w:val="18"/>
          <w:szCs w:val="18"/>
          <w:color w:val="auto"/>
        </w:rPr>
      </w:pPr>
    </w:p>
    <w:p>
      <w:pPr>
        <w:jc w:val="both"/>
        <w:ind w:left="1080" w:hanging="532"/>
        <w:spacing w:after="0" w:line="26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of $105 million in revenues from King, despite the impact from the network outage in the second quarter of 2018 as discussed above, primarily driven by the Candy Crush franchise's higher revenues due to in-game advertisements, increased monetization, and the launch of </w:t>
      </w:r>
      <w:r>
        <w:rPr>
          <w:rFonts w:ascii="Times New Roman" w:cs="Times New Roman" w:eastAsia="Times New Roman" w:hAnsi="Times New Roman"/>
          <w:sz w:val="18"/>
          <w:szCs w:val="18"/>
          <w:i w:val="1"/>
          <w:iCs w:val="1"/>
          <w:color w:val="auto"/>
        </w:rPr>
        <w:t>Candy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Crush Friends Saga</w:t>
      </w:r>
      <w:r>
        <w:rPr>
          <w:rFonts w:ascii="Times New Roman" w:cs="Times New Roman" w:eastAsia="Times New Roman" w:hAnsi="Times New Roman"/>
          <w:sz w:val="18"/>
          <w:szCs w:val="18"/>
          <w:color w:val="auto"/>
        </w:rPr>
        <w:t>, the latest title in the Candy Crush franchise, in October 2018.</w:t>
      </w:r>
    </w:p>
    <w:p>
      <w:pPr>
        <w:spacing w:after="0" w:line="186" w:lineRule="exact"/>
        <w:rPr>
          <w:sz w:val="20"/>
          <w:szCs w:val="20"/>
          <w:color w:val="auto"/>
        </w:rPr>
      </w:pPr>
    </w:p>
    <w:p>
      <w:pPr>
        <w:ind w:right="340" w:firstLine="348"/>
        <w:spacing w:after="0" w:line="262" w:lineRule="auto"/>
        <w:rPr>
          <w:sz w:val="20"/>
          <w:szCs w:val="20"/>
          <w:color w:val="auto"/>
        </w:rPr>
      </w:pPr>
      <w:r>
        <w:rPr>
          <w:rFonts w:ascii="Times New Roman" w:cs="Times New Roman" w:eastAsia="Times New Roman" w:hAnsi="Times New Roman"/>
          <w:sz w:val="18"/>
          <w:szCs w:val="18"/>
          <w:color w:val="auto"/>
        </w:rPr>
        <w:t xml:space="preserve">The increase was partially offset by a decrease of $74 million in revenues recognized from Blizzard, primarily due to lower revenues recognized from </w:t>
      </w:r>
      <w:r>
        <w:rPr>
          <w:rFonts w:ascii="Times New Roman" w:cs="Times New Roman" w:eastAsia="Times New Roman" w:hAnsi="Times New Roman"/>
          <w:sz w:val="18"/>
          <w:szCs w:val="18"/>
          <w:i w:val="1"/>
          <w:iCs w:val="1"/>
          <w:color w:val="auto"/>
        </w:rPr>
        <w:t>Overwatch</w:t>
      </w:r>
      <w:r>
        <w:rPr>
          <w:rFonts w:ascii="Times New Roman" w:cs="Times New Roman" w:eastAsia="Times New Roman" w:hAnsi="Times New Roman"/>
          <w:sz w:val="18"/>
          <w:szCs w:val="18"/>
          <w:color w:val="auto"/>
        </w:rPr>
        <w:t>, which was released in May 2016, partially offset by higher revenues recognized from</w:t>
      </w:r>
      <w:r>
        <w:rPr>
          <w:rFonts w:ascii="Times New Roman" w:cs="Times New Roman" w:eastAsia="Times New Roman" w:hAnsi="Times New Roman"/>
          <w:sz w:val="18"/>
          <w:szCs w:val="18"/>
          <w:i w:val="1"/>
          <w:iCs w:val="1"/>
          <w:color w:val="auto"/>
        </w:rPr>
        <w:t xml:space="preserve"> World of Warcraft</w:t>
      </w:r>
      <w:r>
        <w:rPr>
          <w:rFonts w:ascii="Times New Roman" w:cs="Times New Roman" w:eastAsia="Times New Roman" w:hAnsi="Times New Roman"/>
          <w:sz w:val="18"/>
          <w:szCs w:val="18"/>
          <w:color w:val="auto"/>
        </w:rPr>
        <w:t>, driven by</w:t>
      </w:r>
      <w:r>
        <w:rPr>
          <w:rFonts w:ascii="Times New Roman" w:cs="Times New Roman" w:eastAsia="Times New Roman" w:hAnsi="Times New Roman"/>
          <w:sz w:val="18"/>
          <w:szCs w:val="18"/>
          <w:i w:val="1"/>
          <w:iCs w:val="1"/>
          <w:color w:val="auto"/>
        </w:rPr>
        <w:t xml:space="preserve"> World of Warcraft: Battle for Azeroth</w:t>
      </w:r>
      <w:r>
        <w:rPr>
          <w:rFonts w:ascii="Times New Roman" w:cs="Times New Roman" w:eastAsia="Times New Roman" w:hAnsi="Times New Roman"/>
          <w:sz w:val="18"/>
          <w:szCs w:val="18"/>
          <w:color w:val="auto"/>
        </w:rPr>
        <w:t>, which was released in August 2018, with no comparable release in 2017.</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2017 vs. 2016</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increase in consolidated net revenues for 2017, as compared to 2016, was primarily due to:</w:t>
      </w:r>
    </w:p>
    <w:p>
      <w:pPr>
        <w:spacing w:after="0" w:line="239" w:lineRule="exact"/>
        <w:rPr>
          <w:sz w:val="20"/>
          <w:szCs w:val="20"/>
          <w:color w:val="auto"/>
        </w:rPr>
      </w:pPr>
    </w:p>
    <w:p>
      <w:pPr>
        <w:ind w:left="1080" w:right="60" w:hanging="532"/>
        <w:spacing w:after="0" w:line="275"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revenues from King titles, as 2017 included King revenues for the full year, while 2016 only included King revenues for the partial period following the King Closing Date, as well as higher revenues from the Candy Crush franchise, due to in-game events and features;</w:t>
      </w:r>
    </w:p>
    <w:p>
      <w:pPr>
        <w:spacing w:after="0" w:line="185" w:lineRule="exact"/>
        <w:rPr>
          <w:rFonts w:ascii="Times New Roman" w:cs="Times New Roman" w:eastAsia="Times New Roman" w:hAnsi="Times New Roman"/>
          <w:sz w:val="18"/>
          <w:szCs w:val="18"/>
          <w:color w:val="auto"/>
        </w:rPr>
      </w:pPr>
    </w:p>
    <w:p>
      <w:pPr>
        <w:ind w:left="1080" w:right="480" w:hanging="532"/>
        <w:spacing w:after="0" w:line="342" w:lineRule="auto"/>
        <w:tabs>
          <w:tab w:leader="none" w:pos="10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higher revenues recognized from the continued strength of </w:t>
      </w:r>
      <w:r>
        <w:rPr>
          <w:rFonts w:ascii="Times New Roman" w:cs="Times New Roman" w:eastAsia="Times New Roman" w:hAnsi="Times New Roman"/>
          <w:sz w:val="16"/>
          <w:szCs w:val="16"/>
          <w:i w:val="1"/>
          <w:iCs w:val="1"/>
          <w:color w:val="auto"/>
        </w:rPr>
        <w:t>Call of Duty: Black Ops III</w:t>
      </w:r>
      <w:r>
        <w:rPr>
          <w:rFonts w:ascii="Times New Roman" w:cs="Times New Roman" w:eastAsia="Times New Roman" w:hAnsi="Times New Roman"/>
          <w:sz w:val="16"/>
          <w:szCs w:val="16"/>
          <w:color w:val="auto"/>
        </w:rPr>
        <w:t xml:space="preserve">, as compared to prior catalog releases, driven by the downloadable content pack, </w:t>
      </w:r>
      <w:r>
        <w:rPr>
          <w:rFonts w:ascii="Times New Roman" w:cs="Times New Roman" w:eastAsia="Times New Roman" w:hAnsi="Times New Roman"/>
          <w:sz w:val="16"/>
          <w:szCs w:val="16"/>
          <w:i w:val="1"/>
          <w:iCs w:val="1"/>
          <w:color w:val="auto"/>
        </w:rPr>
        <w:t>Zombies Chronicles</w:t>
      </w:r>
      <w:r>
        <w:rPr>
          <w:rFonts w:ascii="Times New Roman" w:cs="Times New Roman" w:eastAsia="Times New Roman" w:hAnsi="Times New Roman"/>
          <w:sz w:val="16"/>
          <w:szCs w:val="16"/>
          <w:color w:val="auto"/>
        </w:rPr>
        <w:t>, which was released in May 2017, and the continued strength of microtransactions;</w:t>
      </w:r>
    </w:p>
    <w:p>
      <w:pPr>
        <w:spacing w:after="0" w:line="150"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revenues from </w:t>
      </w:r>
      <w:r>
        <w:rPr>
          <w:rFonts w:ascii="Times New Roman" w:cs="Times New Roman" w:eastAsia="Times New Roman" w:hAnsi="Times New Roman"/>
          <w:sz w:val="18"/>
          <w:szCs w:val="18"/>
          <w:i w:val="1"/>
          <w:iCs w:val="1"/>
          <w:color w:val="auto"/>
        </w:rPr>
        <w:t>Crash Bandicoot N. Sane Trilogy</w:t>
      </w:r>
      <w:r>
        <w:rPr>
          <w:rFonts w:ascii="Times New Roman" w:cs="Times New Roman" w:eastAsia="Times New Roman" w:hAnsi="Times New Roman"/>
          <w:sz w:val="18"/>
          <w:szCs w:val="18"/>
          <w:color w:val="auto"/>
        </w:rPr>
        <w:t>, which was released in June 2017;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revenues recognized from </w:t>
      </w:r>
      <w:r>
        <w:rPr>
          <w:rFonts w:ascii="Times New Roman" w:cs="Times New Roman" w:eastAsia="Times New Roman" w:hAnsi="Times New Roman"/>
          <w:sz w:val="18"/>
          <w:szCs w:val="18"/>
          <w:i w:val="1"/>
          <w:iCs w:val="1"/>
          <w:color w:val="auto"/>
        </w:rPr>
        <w:t>Call of Duty: WWII</w:t>
      </w:r>
      <w:r>
        <w:rPr>
          <w:rFonts w:ascii="Times New Roman" w:cs="Times New Roman" w:eastAsia="Times New Roman" w:hAnsi="Times New Roman"/>
          <w:sz w:val="18"/>
          <w:szCs w:val="18"/>
          <w:color w:val="auto"/>
        </w:rPr>
        <w:t xml:space="preserve">, as compared to </w:t>
      </w:r>
      <w:r>
        <w:rPr>
          <w:rFonts w:ascii="Times New Roman" w:cs="Times New Roman" w:eastAsia="Times New Roman" w:hAnsi="Times New Roman"/>
          <w:sz w:val="18"/>
          <w:szCs w:val="18"/>
          <w:i w:val="1"/>
          <w:iCs w:val="1"/>
          <w:color w:val="auto"/>
        </w:rPr>
        <w:t>Call of Duty: Infinite Warfare</w:t>
      </w:r>
      <w:r>
        <w:rPr>
          <w:rFonts w:ascii="Times New Roman" w:cs="Times New Roman" w:eastAsia="Times New Roman" w:hAnsi="Times New Roman"/>
          <w:sz w:val="18"/>
          <w:szCs w:val="18"/>
          <w:color w:val="auto"/>
        </w:rPr>
        <w:t>, the comparable 2016 title.</w:t>
      </w:r>
    </w:p>
    <w:p>
      <w:pPr>
        <w:spacing w:after="0" w:line="2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increase was partially offset by:</w:t>
      </w:r>
    </w:p>
    <w:p>
      <w:pPr>
        <w:spacing w:after="0" w:line="237" w:lineRule="exact"/>
        <w:rPr>
          <w:sz w:val="20"/>
          <w:szCs w:val="20"/>
          <w:color w:val="auto"/>
        </w:rPr>
      </w:pPr>
    </w:p>
    <w:p>
      <w:pPr>
        <w:ind w:left="1080" w:right="260" w:hanging="532"/>
        <w:spacing w:after="0" w:line="277"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lower revenues recognized from </w:t>
      </w:r>
      <w:r>
        <w:rPr>
          <w:rFonts w:ascii="Times New Roman" w:cs="Times New Roman" w:eastAsia="Times New Roman" w:hAnsi="Times New Roman"/>
          <w:sz w:val="18"/>
          <w:szCs w:val="18"/>
          <w:i w:val="1"/>
          <w:iCs w:val="1"/>
          <w:color w:val="auto"/>
        </w:rPr>
        <w:t>Call of Duty: Infinite Warfare</w:t>
      </w:r>
      <w:r>
        <w:rPr>
          <w:rFonts w:ascii="Times New Roman" w:cs="Times New Roman" w:eastAsia="Times New Roman" w:hAnsi="Times New Roman"/>
          <w:sz w:val="18"/>
          <w:szCs w:val="18"/>
          <w:color w:val="auto"/>
        </w:rPr>
        <w:t xml:space="preserve">, as compared to the performance of </w:t>
      </w:r>
      <w:r>
        <w:rPr>
          <w:rFonts w:ascii="Times New Roman" w:cs="Times New Roman" w:eastAsia="Times New Roman" w:hAnsi="Times New Roman"/>
          <w:sz w:val="18"/>
          <w:szCs w:val="18"/>
          <w:i w:val="1"/>
          <w:iCs w:val="1"/>
          <w:color w:val="auto"/>
        </w:rPr>
        <w:t>Call of Duty: Black Ops III</w:t>
      </w:r>
      <w:r>
        <w:rPr>
          <w:rFonts w:ascii="Times New Roman" w:cs="Times New Roman" w:eastAsia="Times New Roman" w:hAnsi="Times New Roman"/>
          <w:sz w:val="18"/>
          <w:szCs w:val="18"/>
          <w:color w:val="auto"/>
        </w:rPr>
        <w:t>, the comparable 2015 title; and</w:t>
      </w:r>
    </w:p>
    <w:p>
      <w:pPr>
        <w:spacing w:after="0" w:line="19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lower revenues from the Skylanders franchise, due to the release of </w:t>
      </w:r>
      <w:r>
        <w:rPr>
          <w:rFonts w:ascii="Times New Roman" w:cs="Times New Roman" w:eastAsia="Times New Roman" w:hAnsi="Times New Roman"/>
          <w:sz w:val="16"/>
          <w:szCs w:val="16"/>
          <w:i w:val="1"/>
          <w:iCs w:val="1"/>
          <w:color w:val="auto"/>
        </w:rPr>
        <w:t>Skylanders Imaginators</w:t>
      </w:r>
      <w:r>
        <w:rPr>
          <w:rFonts w:ascii="Times New Roman" w:cs="Times New Roman" w:eastAsia="Times New Roman" w:hAnsi="Times New Roman"/>
          <w:sz w:val="16"/>
          <w:szCs w:val="16"/>
          <w:color w:val="auto"/>
        </w:rPr>
        <w:t xml:space="preserve"> in October 2016, with no comparable release in 2017.</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Deferred Revenues Recognized</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2018 vs. 2017</w:t>
      </w:r>
    </w:p>
    <w:p>
      <w:pPr>
        <w:spacing w:after="0" w:line="225" w:lineRule="exact"/>
        <w:rPr>
          <w:sz w:val="20"/>
          <w:szCs w:val="20"/>
          <w:color w:val="auto"/>
        </w:rPr>
      </w:pPr>
    </w:p>
    <w:p>
      <w:pPr>
        <w:ind w:right="180" w:firstLine="348"/>
        <w:spacing w:after="0" w:line="262" w:lineRule="auto"/>
        <w:rPr>
          <w:sz w:val="20"/>
          <w:szCs w:val="20"/>
          <w:color w:val="auto"/>
        </w:rPr>
      </w:pPr>
      <w:r>
        <w:rPr>
          <w:rFonts w:ascii="Times New Roman" w:cs="Times New Roman" w:eastAsia="Times New Roman" w:hAnsi="Times New Roman"/>
          <w:sz w:val="18"/>
          <w:szCs w:val="18"/>
          <w:color w:val="auto"/>
        </w:rPr>
        <w:t xml:space="preserve">The increase in net deferred revenues recognized for 2018, as compared to 2017, was primarily due to an increase of $625 million in net deferred revenues recognized from Activision, primarily due to higher net deferred revenues recognized from the Destiny franchise, driven by </w:t>
      </w:r>
      <w:r>
        <w:rPr>
          <w:rFonts w:ascii="Times New Roman" w:cs="Times New Roman" w:eastAsia="Times New Roman" w:hAnsi="Times New Roman"/>
          <w:sz w:val="18"/>
          <w:szCs w:val="18"/>
          <w:i w:val="1"/>
          <w:iCs w:val="1"/>
          <w:color w:val="auto"/>
        </w:rPr>
        <w:t>Destiny 2</w:t>
      </w:r>
      <w:r>
        <w:rPr>
          <w:rFonts w:ascii="Times New Roman" w:cs="Times New Roman" w:eastAsia="Times New Roman" w:hAnsi="Times New Roman"/>
          <w:sz w:val="18"/>
          <w:szCs w:val="18"/>
          <w:color w:val="auto"/>
        </w:rPr>
        <w:t>, which was released in September 2017, and its associated in-game content, with no comparable release in 2016.</w:t>
      </w:r>
    </w:p>
    <w:p>
      <w:pPr>
        <w:spacing w:after="0" w:line="186" w:lineRule="exact"/>
        <w:rPr>
          <w:sz w:val="20"/>
          <w:szCs w:val="20"/>
          <w:color w:val="auto"/>
        </w:rPr>
      </w:pPr>
    </w:p>
    <w:p>
      <w:pPr>
        <w:ind w:right="20" w:firstLine="348"/>
        <w:spacing w:after="0" w:line="275" w:lineRule="auto"/>
        <w:rPr>
          <w:sz w:val="20"/>
          <w:szCs w:val="20"/>
          <w:color w:val="auto"/>
        </w:rPr>
      </w:pPr>
      <w:r>
        <w:rPr>
          <w:rFonts w:ascii="Times New Roman" w:cs="Times New Roman" w:eastAsia="Times New Roman" w:hAnsi="Times New Roman"/>
          <w:sz w:val="18"/>
          <w:szCs w:val="18"/>
          <w:color w:val="auto"/>
        </w:rPr>
        <w:t xml:space="preserve">The increase was partially offset by a decrease of $226 million in net deferred revenues recognized from Blizzard, primarily due to a net deferral of revenues for </w:t>
      </w:r>
      <w:r>
        <w:rPr>
          <w:rFonts w:ascii="Times New Roman" w:cs="Times New Roman" w:eastAsia="Times New Roman" w:hAnsi="Times New Roman"/>
          <w:sz w:val="18"/>
          <w:szCs w:val="18"/>
          <w:i w:val="1"/>
          <w:iCs w:val="1"/>
          <w:color w:val="auto"/>
        </w:rPr>
        <w:t>World of Warcraft</w:t>
      </w:r>
      <w:r>
        <w:rPr>
          <w:rFonts w:ascii="Times New Roman" w:cs="Times New Roman" w:eastAsia="Times New Roman" w:hAnsi="Times New Roman"/>
          <w:sz w:val="18"/>
          <w:szCs w:val="18"/>
          <w:color w:val="auto"/>
        </w:rPr>
        <w:t xml:space="preserve">, driven by </w:t>
      </w:r>
      <w:r>
        <w:rPr>
          <w:rFonts w:ascii="Times New Roman" w:cs="Times New Roman" w:eastAsia="Times New Roman" w:hAnsi="Times New Roman"/>
          <w:sz w:val="18"/>
          <w:szCs w:val="18"/>
          <w:i w:val="1"/>
          <w:iCs w:val="1"/>
          <w:color w:val="auto"/>
        </w:rPr>
        <w:t>World of Warcraft: Battle for Azeroth</w:t>
      </w:r>
      <w:r>
        <w:rPr>
          <w:rFonts w:ascii="Times New Roman" w:cs="Times New Roman" w:eastAsia="Times New Roman" w:hAnsi="Times New Roman"/>
          <w:sz w:val="18"/>
          <w:szCs w:val="18"/>
          <w:color w:val="auto"/>
        </w:rPr>
        <w:t>, which was released in August 2018, with no comparable release in 2017.</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2017 vs. 2016</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decrease in net deferred revenues recognized for 2017, as compared to 2016, was primarily due to:</w:t>
      </w:r>
    </w:p>
    <w:p>
      <w:pPr>
        <w:spacing w:after="0" w:line="237" w:lineRule="exact"/>
        <w:rPr>
          <w:sz w:val="20"/>
          <w:szCs w:val="20"/>
          <w:color w:val="auto"/>
        </w:rPr>
      </w:pPr>
    </w:p>
    <w:p>
      <w:pPr>
        <w:ind w:left="1080" w:hanging="532"/>
        <w:spacing w:after="0" w:line="277"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net deferral of revenues for the Destiny franchise, primarily due to </w:t>
      </w:r>
      <w:r>
        <w:rPr>
          <w:rFonts w:ascii="Times New Roman" w:cs="Times New Roman" w:eastAsia="Times New Roman" w:hAnsi="Times New Roman"/>
          <w:sz w:val="18"/>
          <w:szCs w:val="18"/>
          <w:i w:val="1"/>
          <w:iCs w:val="1"/>
          <w:color w:val="auto"/>
        </w:rPr>
        <w:t>Destiny 2</w:t>
      </w:r>
      <w:r>
        <w:rPr>
          <w:rFonts w:ascii="Times New Roman" w:cs="Times New Roman" w:eastAsia="Times New Roman" w:hAnsi="Times New Roman"/>
          <w:sz w:val="18"/>
          <w:szCs w:val="18"/>
          <w:color w:val="auto"/>
        </w:rPr>
        <w:t>, as compared to net deferred revenues recognized in the comparable prior period; and</w:t>
      </w:r>
    </w:p>
    <w:p>
      <w:pPr>
        <w:spacing w:after="0" w:line="18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higher net deferral of revenues from the Call of Duty franchise, primarily due to the stronger performance of </w:t>
      </w:r>
      <w:r>
        <w:rPr>
          <w:rFonts w:ascii="Times New Roman" w:cs="Times New Roman" w:eastAsia="Times New Roman" w:hAnsi="Times New Roman"/>
          <w:sz w:val="16"/>
          <w:szCs w:val="16"/>
          <w:i w:val="1"/>
          <w:iCs w:val="1"/>
          <w:color w:val="auto"/>
        </w:rPr>
        <w:t>Call of Duty: WWII</w:t>
      </w:r>
      <w:r>
        <w:rPr>
          <w:rFonts w:ascii="Times New Roman" w:cs="Times New Roman" w:eastAsia="Times New Roman" w:hAnsi="Times New Roman"/>
          <w:sz w:val="16"/>
          <w:szCs w:val="16"/>
          <w:color w:val="auto"/>
        </w:rPr>
        <w:t xml:space="preserve"> in the fourth</w:t>
      </w:r>
    </w:p>
    <w:p>
      <w:pPr>
        <w:spacing w:after="0" w:line="46" w:lineRule="exact"/>
        <w:rPr>
          <w:rFonts w:ascii="Times New Roman" w:cs="Times New Roman" w:eastAsia="Times New Roman" w:hAnsi="Times New Roman"/>
          <w:sz w:val="16"/>
          <w:szCs w:val="16"/>
          <w:color w:val="auto"/>
        </w:rPr>
      </w:pPr>
    </w:p>
    <w:p>
      <w:pPr>
        <w:ind w:left="10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quarter of 2017, as compared to </w:t>
      </w:r>
      <w:r>
        <w:rPr>
          <w:rFonts w:ascii="Times New Roman" w:cs="Times New Roman" w:eastAsia="Times New Roman" w:hAnsi="Times New Roman"/>
          <w:sz w:val="18"/>
          <w:szCs w:val="18"/>
          <w:i w:val="1"/>
          <w:iCs w:val="1"/>
          <w:color w:val="auto"/>
        </w:rPr>
        <w:t>Call of Duty: Infinite Warfare</w:t>
      </w:r>
      <w:r>
        <w:rPr>
          <w:rFonts w:ascii="Times New Roman" w:cs="Times New Roman" w:eastAsia="Times New Roman" w:hAnsi="Times New Roman"/>
          <w:sz w:val="18"/>
          <w:szCs w:val="18"/>
          <w:color w:val="auto"/>
        </w:rPr>
        <w:t xml:space="preserve"> in the fourth quarter of 2016.</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decrease was partially offset by:</w:t>
      </w:r>
    </w:p>
    <w:p>
      <w:pPr>
        <w:spacing w:after="0" w:line="250" w:lineRule="exact"/>
        <w:rPr>
          <w:sz w:val="20"/>
          <w:szCs w:val="20"/>
          <w:color w:val="auto"/>
        </w:rPr>
      </w:pPr>
    </w:p>
    <w:p>
      <w:pPr>
        <w:ind w:left="1080" w:right="200" w:hanging="532"/>
        <w:spacing w:after="0" w:line="277"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deferred revenues recognized from </w:t>
      </w:r>
      <w:r>
        <w:rPr>
          <w:rFonts w:ascii="Times New Roman" w:cs="Times New Roman" w:eastAsia="Times New Roman" w:hAnsi="Times New Roman"/>
          <w:sz w:val="18"/>
          <w:szCs w:val="18"/>
          <w:i w:val="1"/>
          <w:iCs w:val="1"/>
          <w:color w:val="auto"/>
        </w:rPr>
        <w:t>Overwatch</w:t>
      </w:r>
      <w:r>
        <w:rPr>
          <w:rFonts w:ascii="Times New Roman" w:cs="Times New Roman" w:eastAsia="Times New Roman" w:hAnsi="Times New Roman"/>
          <w:sz w:val="18"/>
          <w:szCs w:val="18"/>
          <w:color w:val="auto"/>
        </w:rPr>
        <w:t xml:space="preserve"> in 2017, as compared to a net deferral of revenues in 2016 due to the release of </w:t>
      </w:r>
      <w:r>
        <w:rPr>
          <w:rFonts w:ascii="Times New Roman" w:cs="Times New Roman" w:eastAsia="Times New Roman" w:hAnsi="Times New Roman"/>
          <w:sz w:val="18"/>
          <w:szCs w:val="18"/>
          <w:i w:val="1"/>
          <w:iCs w:val="1"/>
          <w:color w:val="auto"/>
        </w:rPr>
        <w:t>Overwatch</w:t>
      </w:r>
      <w:r>
        <w:rPr>
          <w:rFonts w:ascii="Times New Roman" w:cs="Times New Roman" w:eastAsia="Times New Roman" w:hAnsi="Times New Roman"/>
          <w:sz w:val="18"/>
          <w:szCs w:val="18"/>
          <w:color w:val="auto"/>
        </w:rPr>
        <w:t xml:space="preserve"> in May 2016; and</w:t>
      </w:r>
    </w:p>
    <w:p>
      <w:pPr>
        <w:spacing w:after="0" w:line="183" w:lineRule="exact"/>
        <w:rPr>
          <w:rFonts w:ascii="Times New Roman" w:cs="Times New Roman" w:eastAsia="Times New Roman" w:hAnsi="Times New Roman"/>
          <w:sz w:val="18"/>
          <w:szCs w:val="18"/>
          <w:color w:val="auto"/>
        </w:rPr>
      </w:pPr>
    </w:p>
    <w:p>
      <w:pPr>
        <w:ind w:left="1080" w:right="60" w:hanging="532"/>
        <w:spacing w:after="0" w:line="277"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deferred revenues recognized from </w:t>
      </w:r>
      <w:r>
        <w:rPr>
          <w:rFonts w:ascii="Times New Roman" w:cs="Times New Roman" w:eastAsia="Times New Roman" w:hAnsi="Times New Roman"/>
          <w:sz w:val="18"/>
          <w:szCs w:val="18"/>
          <w:i w:val="1"/>
          <w:iCs w:val="1"/>
          <w:color w:val="auto"/>
        </w:rPr>
        <w:t>World of Warcraft</w:t>
      </w:r>
      <w:r>
        <w:rPr>
          <w:rFonts w:ascii="Times New Roman" w:cs="Times New Roman" w:eastAsia="Times New Roman" w:hAnsi="Times New Roman"/>
          <w:sz w:val="18"/>
          <w:szCs w:val="18"/>
          <w:color w:val="auto"/>
        </w:rPr>
        <w:t xml:space="preserve"> in 2017, as compared to a net deferral of revenues in 2016 due to the release of </w:t>
      </w:r>
      <w:r>
        <w:rPr>
          <w:rFonts w:ascii="Times New Roman" w:cs="Times New Roman" w:eastAsia="Times New Roman" w:hAnsi="Times New Roman"/>
          <w:sz w:val="18"/>
          <w:szCs w:val="18"/>
          <w:i w:val="1"/>
          <w:iCs w:val="1"/>
          <w:color w:val="auto"/>
        </w:rPr>
        <w:t>World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Warcraft: Legion </w:t>
      </w:r>
      <w:r>
        <w:rPr>
          <w:rFonts w:ascii="Times New Roman" w:cs="Times New Roman" w:eastAsia="Times New Roman" w:hAnsi="Times New Roman"/>
          <w:sz w:val="18"/>
          <w:szCs w:val="18"/>
          <w:color w:val="auto"/>
        </w:rPr>
        <w:t>in August 2016.</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Impact</w:t>
      </w:r>
    </w:p>
    <w:p>
      <w:pPr>
        <w:spacing w:after="0" w:line="229" w:lineRule="exact"/>
        <w:rPr>
          <w:sz w:val="20"/>
          <w:szCs w:val="20"/>
          <w:color w:val="auto"/>
        </w:rPr>
      </w:pPr>
    </w:p>
    <w:p>
      <w:pPr>
        <w:ind w:right="360" w:firstLine="351"/>
        <w:spacing w:after="0" w:line="262" w:lineRule="auto"/>
        <w:rPr>
          <w:sz w:val="20"/>
          <w:szCs w:val="20"/>
          <w:color w:val="auto"/>
        </w:rPr>
      </w:pPr>
      <w:r>
        <w:rPr>
          <w:rFonts w:ascii="Times New Roman" w:cs="Times New Roman" w:eastAsia="Times New Roman" w:hAnsi="Times New Roman"/>
          <w:sz w:val="18"/>
          <w:szCs w:val="18"/>
          <w:color w:val="auto"/>
        </w:rPr>
        <w:t>Changes in foreign exchange rates had a positive impact of $102 million, a positive impact of $42 million, and a negative impact of $81 million on Activision Blizzard's consolidated net revenues in 2018, 2017, and 2016, respectively, as compared to the same periods in the previous year. The changes are primarily due to changes in the value of the U.S. dollar relative to the euro and the British pound.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 Results</w:t>
      </w:r>
    </w:p>
    <w:p>
      <w:pPr>
        <w:spacing w:after="0" w:line="227" w:lineRule="exact"/>
        <w:rPr>
          <w:sz w:val="20"/>
          <w:szCs w:val="20"/>
          <w:color w:val="auto"/>
        </w:rPr>
      </w:pPr>
    </w:p>
    <w:p>
      <w:pPr>
        <w:ind w:right="140" w:firstLine="351"/>
        <w:spacing w:after="0" w:line="256" w:lineRule="auto"/>
        <w:rPr>
          <w:sz w:val="20"/>
          <w:szCs w:val="20"/>
          <w:color w:val="auto"/>
        </w:rPr>
      </w:pPr>
      <w:r>
        <w:rPr>
          <w:rFonts w:ascii="Times New Roman" w:cs="Times New Roman" w:eastAsia="Times New Roman" w:hAnsi="Times New Roman"/>
          <w:sz w:val="18"/>
          <w:szCs w:val="18"/>
          <w:color w:val="auto"/>
        </w:rPr>
        <w:t>Currently, we have three reportable segments—Activision, Blizzard, and King.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amortization of intangible assets as a result of purchase price accounting; fees and other expenses (including legal fees, expenses, and accruals) related to acquisitions, associated integration activities,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and financings; certain restructuring costs; and certain other non-cash charges. The CODM does not review any information regarding total assets on an operating segment basis, and accordingly, no disclosure is made with respect thereto.</w:t>
      </w:r>
    </w:p>
    <w:p>
      <w:pPr>
        <w:spacing w:after="0" w:line="174" w:lineRule="exact"/>
        <w:rPr>
          <w:sz w:val="20"/>
          <w:szCs w:val="20"/>
          <w:color w:val="auto"/>
        </w:rPr>
      </w:pPr>
    </w:p>
    <w:p>
      <w:pPr>
        <w:ind w:right="160" w:firstLine="351"/>
        <w:spacing w:after="0" w:line="275" w:lineRule="auto"/>
        <w:rPr>
          <w:sz w:val="20"/>
          <w:szCs w:val="20"/>
          <w:color w:val="auto"/>
        </w:rPr>
      </w:pPr>
      <w:r>
        <w:rPr>
          <w:rFonts w:ascii="Times New Roman" w:cs="Times New Roman" w:eastAsia="Times New Roman" w:hAnsi="Times New Roman"/>
          <w:sz w:val="18"/>
          <w:szCs w:val="18"/>
          <w:color w:val="auto"/>
        </w:rPr>
        <w:t>Our operating segments are also consistent with our internal organizational structure, the way we assess operating performance and allocate resources, and the availability of separate financial information. We do not aggregate operating segments.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Information on the reportable segment net revenues and segment operating income are presented below (amounts in millions):</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8"/>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3"/>
              </w:rPr>
              <w:t>For the Year Ended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8"/>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December 31, 2018</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17"/>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Increase / (decrease) 2018 v 2017</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Activision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Blizzard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King</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Activision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Blizzard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King</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bottom w:val="single" w:sz="8" w:color="auto"/>
            </w:tcBorders>
            <w:gridSpan w:val="2"/>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Net revenues from external customers</w:t>
            </w:r>
          </w:p>
        </w:tc>
        <w:tc>
          <w:tcPr>
            <w:tcW w:w="340" w:type="dxa"/>
            <w:vAlign w:val="bottom"/>
            <w:gridSpan w:val="3"/>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2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6,782</w:t>
            </w:r>
          </w:p>
        </w:tc>
        <w:tc>
          <w:tcPr>
            <w:tcW w:w="380" w:type="dxa"/>
            <w:vAlign w:val="bottom"/>
            <w:gridSpan w:val="3"/>
          </w:tcPr>
          <w:p>
            <w:pPr>
              <w:jc w:val="right"/>
              <w:ind w:right="6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jc w:val="right"/>
              <w:ind w:right="25"/>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Intersegment net revenues (1)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Segment net revenues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340" w:type="dxa"/>
            <w:vAlign w:val="bottom"/>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380" w:type="dxa"/>
            <w:vAlign w:val="bottom"/>
            <w:gridSpan w:val="3"/>
            <w:shd w:val="clear" w:color="auto" w:fill="CCEEFF"/>
          </w:tcPr>
          <w:p>
            <w:pPr>
              <w:jc w:val="right"/>
              <w:ind w:right="6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8"/>
                <w:szCs w:val="18"/>
                <w:color w:val="auto"/>
              </w:rPr>
            </w:pPr>
          </w:p>
        </w:tc>
      </w:tr>
      <w:tr>
        <w:trPr>
          <w:trHeight w:val="780"/>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gridSpan w:val="10"/>
          </w:tcPr>
          <w:p>
            <w:pPr>
              <w:ind w:left="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5"/>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10"/>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17"/>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Increase / (decrease) 2017 v 2016</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4"/>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Activision</w:t>
            </w:r>
          </w:p>
        </w:tc>
        <w:tc>
          <w:tcPr>
            <w:tcW w:w="40" w:type="dxa"/>
            <w:vAlign w:val="bottom"/>
          </w:tcPr>
          <w:p>
            <w:pPr>
              <w:spacing w:after="0"/>
              <w:rPr>
                <w:sz w:val="12"/>
                <w:szCs w:val="12"/>
                <w:color w:val="auto"/>
              </w:rPr>
            </w:pPr>
          </w:p>
        </w:tc>
        <w:tc>
          <w:tcPr>
            <w:tcW w:w="76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Blizzard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King</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4"/>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Activision</w:t>
            </w:r>
          </w:p>
        </w:tc>
        <w:tc>
          <w:tcPr>
            <w:tcW w:w="40" w:type="dxa"/>
            <w:vAlign w:val="bottom"/>
          </w:tcPr>
          <w:p>
            <w:pPr>
              <w:spacing w:after="0"/>
              <w:rPr>
                <w:sz w:val="12"/>
                <w:szCs w:val="12"/>
                <w:color w:val="auto"/>
              </w:rPr>
            </w:pPr>
          </w:p>
        </w:tc>
        <w:tc>
          <w:tcPr>
            <w:tcW w:w="740" w:type="dxa"/>
            <w:vAlign w:val="bottom"/>
            <w:gridSpan w:val="5"/>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Blizzard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4"/>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4"/>
              </w:rPr>
              <w:t>King</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900" w:type="dxa"/>
            <w:vAlign w:val="bottom"/>
            <w:gridSpan w:val="2"/>
          </w:tcPr>
          <w:p>
            <w:pPr>
              <w:ind w:left="160"/>
              <w:spacing w:after="0" w:line="201" w:lineRule="exact"/>
              <w:rPr>
                <w:sz w:val="20"/>
                <w:szCs w:val="20"/>
                <w:color w:val="auto"/>
              </w:rPr>
            </w:pPr>
            <w:r>
              <w:rPr>
                <w:rFonts w:ascii="Times New Roman" w:cs="Times New Roman" w:eastAsia="Times New Roman" w:hAnsi="Times New Roman"/>
                <w:sz w:val="18"/>
                <w:szCs w:val="18"/>
                <w:color w:val="auto"/>
              </w:rPr>
              <w:t>Net revenues from external</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customers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2,120</w:t>
            </w:r>
          </w:p>
        </w:tc>
        <w:tc>
          <w:tcPr>
            <w:tcW w:w="1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1,998</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6,746</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412</w:t>
            </w:r>
          </w:p>
        </w:tc>
        <w:tc>
          <w:tcPr>
            <w:tcW w:w="60" w:type="dxa"/>
            <w:vAlign w:val="bottom"/>
          </w:tcPr>
          <w:p>
            <w:pPr>
              <w:spacing w:after="0"/>
              <w:rPr>
                <w:sz w:val="19"/>
                <w:szCs w:val="19"/>
                <w:color w:val="auto"/>
              </w:rPr>
            </w:pPr>
          </w:p>
        </w:tc>
        <w:tc>
          <w:tcPr>
            <w:tcW w:w="30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2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Intersegment net revenues (1)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Segment net revenues</w:t>
            </w: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2,139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1,998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6,765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2,417</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163</w:t>
            </w:r>
          </w:p>
        </w:tc>
        <w:tc>
          <w:tcPr>
            <w:tcW w:w="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CEEFF"/>
          </w:tcPr>
          <w:p>
            <w:pPr>
              <w:spacing w:after="0"/>
              <w:rPr>
                <w:sz w:val="18"/>
                <w:szCs w:val="18"/>
                <w:color w:val="auto"/>
              </w:rPr>
            </w:pPr>
          </w:p>
        </w:tc>
      </w:tr>
      <w:tr>
        <w:trPr>
          <w:trHeight w:val="780"/>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gridSpan w:val="10"/>
          </w:tcPr>
          <w:p>
            <w:pPr>
              <w:ind w:left="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5"/>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10"/>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4"/>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Activision</w:t>
            </w:r>
          </w:p>
        </w:tc>
        <w:tc>
          <w:tcPr>
            <w:tcW w:w="40" w:type="dxa"/>
            <w:vAlign w:val="bottom"/>
          </w:tcPr>
          <w:p>
            <w:pPr>
              <w:spacing w:after="0"/>
              <w:rPr>
                <w:sz w:val="12"/>
                <w:szCs w:val="12"/>
                <w:color w:val="auto"/>
              </w:rPr>
            </w:pPr>
          </w:p>
        </w:tc>
        <w:tc>
          <w:tcPr>
            <w:tcW w:w="76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Blizzard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King</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900" w:type="dxa"/>
            <w:vAlign w:val="bottom"/>
            <w:gridSpan w:val="2"/>
          </w:tcPr>
          <w:p>
            <w:pPr>
              <w:ind w:left="160"/>
              <w:spacing w:after="0" w:line="201" w:lineRule="exact"/>
              <w:rPr>
                <w:sz w:val="20"/>
                <w:szCs w:val="20"/>
                <w:color w:val="auto"/>
              </w:rPr>
            </w:pPr>
            <w:r>
              <w:rPr>
                <w:rFonts w:ascii="Times New Roman" w:cs="Times New Roman" w:eastAsia="Times New Roman" w:hAnsi="Times New Roman"/>
                <w:sz w:val="18"/>
                <w:szCs w:val="18"/>
                <w:color w:val="auto"/>
              </w:rPr>
              <w:t>Net revenues from external</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customers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2,439</w:t>
            </w:r>
          </w:p>
        </w:tc>
        <w:tc>
          <w:tcPr>
            <w:tcW w:w="1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1,586</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6,245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2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Intersegment net revenues (1)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Segment net revenues</w:t>
            </w: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2,439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1,586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6,245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2,320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15" w:lineRule="exact"/>
        <w:rPr>
          <w:sz w:val="20"/>
          <w:szCs w:val="20"/>
          <w:color w:val="auto"/>
        </w:rPr>
      </w:pPr>
    </w:p>
    <w:p>
      <w:pPr>
        <w:ind w:left="5620" w:right="3800" w:hanging="4471"/>
        <w:spacing w:after="0" w:line="525" w:lineRule="auto"/>
        <w:tabs>
          <w:tab w:leader="none" w:pos="168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Intersegment revenues reflect licensing and service fees charged between segments.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firstLine="351"/>
        <w:spacing w:after="0" w:line="275" w:lineRule="auto"/>
        <w:rPr>
          <w:sz w:val="20"/>
          <w:szCs w:val="20"/>
          <w:color w:val="auto"/>
        </w:rPr>
      </w:pPr>
      <w:r>
        <w:rPr>
          <w:rFonts w:ascii="Times New Roman" w:cs="Times New Roman" w:eastAsia="Times New Roman" w:hAnsi="Times New Roman"/>
          <w:sz w:val="18"/>
          <w:szCs w:val="18"/>
          <w:color w:val="auto"/>
        </w:rPr>
        <w:t>Reconciliations of total segment net revenues and total segment operating income to consolidated net revenues and consolidated income before income tax expense are presented in the table below (amounts in millions):</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10"/>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8"/>
              </w:rPr>
              <w:t>For the Years Ended December 31,</w:t>
            </w: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to consolidated net revenues: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net revenues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other segments (1)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effect from recognition (deferral) of deferred net revenues (2)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intersegment revenues (3)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net revenues</w:t>
            </w: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6,608</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Reconciliation to consolidated income before income tax expense: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 from other segments (1)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5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w w:val="99"/>
              </w:rPr>
              <w:t>Net effect from recognition (deferral) of deferred net revenues and related cost of revenues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8"/>
        </w:trPr>
        <w:tc>
          <w:tcPr>
            <w:tcW w:w="2400" w:type="dxa"/>
            <w:vAlign w:val="bottom"/>
            <w:gridSpan w:val="2"/>
          </w:tcPr>
          <w:p>
            <w:pPr>
              <w:jc w:val="right"/>
              <w:ind w:right="1912"/>
              <w:spacing w:after="0"/>
              <w:rPr>
                <w:sz w:val="20"/>
                <w:szCs w:val="20"/>
                <w:color w:val="auto"/>
              </w:rPr>
            </w:pPr>
            <w:r>
              <w:rPr>
                <w:rFonts w:ascii="Times New Roman" w:cs="Times New Roman" w:eastAsia="Times New Roman" w:hAnsi="Times New Roman"/>
                <w:sz w:val="18"/>
                <w:szCs w:val="18"/>
                <w:color w:val="auto"/>
              </w:rPr>
              <w:t>(2)</w:t>
            </w:r>
          </w:p>
        </w:tc>
        <w:tc>
          <w:tcPr>
            <w:tcW w:w="4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8"/>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and other expenses related to the acquisition of King (4)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 costs (5)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non-cash charges (6)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Discrete tax-related items (7)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and other expense (income),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income before income tax expense</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4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5" w:lineRule="exact"/>
        <w:rPr>
          <w:sz w:val="20"/>
          <w:szCs w:val="20"/>
          <w:color w:val="auto"/>
        </w:rPr>
      </w:pPr>
    </w:p>
    <w:p>
      <w:pPr>
        <w:ind w:left="1680" w:right="540" w:hanging="531"/>
        <w:spacing w:after="0" w:line="275" w:lineRule="auto"/>
        <w:tabs>
          <w:tab w:leader="none" w:pos="1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other income and expenses from operating segments managed outside the reportable segments, including our Studios and Distribution businesses. Also includes unallocated corporate income and expenses.</w:t>
      </w:r>
    </w:p>
    <w:p>
      <w:pPr>
        <w:spacing w:after="0" w:line="200" w:lineRule="exact"/>
        <w:rPr>
          <w:rFonts w:ascii="Times New Roman" w:cs="Times New Roman" w:eastAsia="Times New Roman" w:hAnsi="Times New Roman"/>
          <w:sz w:val="18"/>
          <w:szCs w:val="18"/>
          <w:color w:val="auto"/>
        </w:rPr>
      </w:pPr>
    </w:p>
    <w:p>
      <w:pPr>
        <w:ind w:left="1680" w:hanging="531"/>
        <w:spacing w:after="0" w:line="256" w:lineRule="auto"/>
        <w:tabs>
          <w:tab w:leader="none" w:pos="1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determined that some of our titles' online functionality represents an essential component of gameplay and, as a result, represents a distinct and separate deliverable. As such, we are required to recognize revenues from these titles over the estimated service periods, which are generally less than twelve months. The related cost of revenues are deferred and recognized when the related revenues are recognized. In the operating segment results table, we reflect the net effect from the deferrals of revenues and (recognition) of deferred revenues, along with the related cost of revenues, on certain of our online enabled products.</w:t>
      </w:r>
    </w:p>
    <w:p>
      <w:pPr>
        <w:spacing w:after="0" w:line="206"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Intersegment revenues reflect licensing and service fees charged between segments.</w:t>
      </w:r>
    </w:p>
    <w:p>
      <w:pPr>
        <w:spacing w:after="0" w:line="238" w:lineRule="exact"/>
        <w:rPr>
          <w:rFonts w:ascii="Times New Roman" w:cs="Times New Roman" w:eastAsia="Times New Roman" w:hAnsi="Times New Roman"/>
          <w:sz w:val="18"/>
          <w:szCs w:val="18"/>
          <w:color w:val="auto"/>
        </w:rPr>
      </w:pPr>
    </w:p>
    <w:p>
      <w:pPr>
        <w:ind w:left="1680" w:right="140" w:hanging="531"/>
        <w:spacing w:after="0" w:line="275" w:lineRule="auto"/>
        <w:tabs>
          <w:tab w:leader="none" w:pos="1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fees and other expenses, such as legal, banking, and professional services fees, related to the acquisition of King and associated integration activities, inclusive of related debt financings.</w:t>
      </w:r>
    </w:p>
    <w:p>
      <w:pPr>
        <w:spacing w:after="0" w:line="200"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restructuring charges, primarily severance costs.</w:t>
      </w:r>
    </w:p>
    <w:p>
      <w:pPr>
        <w:spacing w:after="0" w:line="238" w:lineRule="exact"/>
        <w:rPr>
          <w:rFonts w:ascii="Times New Roman" w:cs="Times New Roman" w:eastAsia="Times New Roman" w:hAnsi="Times New Roman"/>
          <w:sz w:val="18"/>
          <w:szCs w:val="18"/>
          <w:color w:val="auto"/>
        </w:rPr>
      </w:pPr>
    </w:p>
    <w:p>
      <w:pPr>
        <w:ind w:left="1680" w:right="500" w:hanging="531"/>
        <w:spacing w:after="0" w:line="275" w:lineRule="auto"/>
        <w:tabs>
          <w:tab w:leader="none" w:pos="1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non-cash accounting charge to reclassify certain cumulative translation gains (losses) into earnings due to the substantial liquidation of certain of our foreign entities.</w:t>
      </w:r>
    </w:p>
    <w:p>
      <w:pPr>
        <w:spacing w:after="0" w:line="187"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impact of other unusual or unique tax-related items and activities.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Net 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Activision</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2018 vs. 2017</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decrease in Activision's net revenues for 2018, as compared to 2017, was primarily due to:</w:t>
      </w:r>
    </w:p>
    <w:p>
      <w:pPr>
        <w:spacing w:after="0" w:line="237" w:lineRule="exact"/>
        <w:rPr>
          <w:sz w:val="20"/>
          <w:szCs w:val="20"/>
          <w:color w:val="auto"/>
        </w:rPr>
      </w:pPr>
    </w:p>
    <w:p>
      <w:pPr>
        <w:ind w:left="1080" w:right="80" w:hanging="532"/>
        <w:spacing w:after="0" w:line="277"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lower revenues from the Destiny franchise, driven by the release of </w:t>
      </w:r>
      <w:r>
        <w:rPr>
          <w:rFonts w:ascii="Times New Roman" w:cs="Times New Roman" w:eastAsia="Times New Roman" w:hAnsi="Times New Roman"/>
          <w:sz w:val="18"/>
          <w:szCs w:val="18"/>
          <w:i w:val="1"/>
          <w:iCs w:val="1"/>
          <w:color w:val="auto"/>
        </w:rPr>
        <w:t>Destiny 2</w:t>
      </w:r>
      <w:r>
        <w:rPr>
          <w:rFonts w:ascii="Times New Roman" w:cs="Times New Roman" w:eastAsia="Times New Roman" w:hAnsi="Times New Roman"/>
          <w:sz w:val="18"/>
          <w:szCs w:val="18"/>
          <w:color w:val="auto"/>
        </w:rPr>
        <w:t xml:space="preserve"> in September 2017, with no comparable full-game release in 2018; and</w:t>
      </w:r>
    </w:p>
    <w:p>
      <w:pPr>
        <w:spacing w:after="0" w:line="19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lower revenues from </w:t>
      </w:r>
      <w:r>
        <w:rPr>
          <w:rFonts w:ascii="Times New Roman" w:cs="Times New Roman" w:eastAsia="Times New Roman" w:hAnsi="Times New Roman"/>
          <w:sz w:val="18"/>
          <w:szCs w:val="18"/>
          <w:i w:val="1"/>
          <w:iCs w:val="1"/>
          <w:color w:val="auto"/>
        </w:rPr>
        <w:t>Call of Duty: Infinite Warfare</w:t>
      </w:r>
      <w:r>
        <w:rPr>
          <w:rFonts w:ascii="Times New Roman" w:cs="Times New Roman" w:eastAsia="Times New Roman" w:hAnsi="Times New Roman"/>
          <w:sz w:val="18"/>
          <w:szCs w:val="18"/>
          <w:color w:val="auto"/>
        </w:rPr>
        <w:t>, which was released in November 2016, as compared to prior catalog releases.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decrease was partially offset by:</w:t>
      </w:r>
    </w:p>
    <w:p>
      <w:pPr>
        <w:spacing w:after="0" w:line="237" w:lineRule="exact"/>
        <w:rPr>
          <w:sz w:val="20"/>
          <w:szCs w:val="20"/>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revenues from </w:t>
      </w:r>
      <w:r>
        <w:rPr>
          <w:rFonts w:ascii="Times New Roman" w:cs="Times New Roman" w:eastAsia="Times New Roman" w:hAnsi="Times New Roman"/>
          <w:sz w:val="18"/>
          <w:szCs w:val="18"/>
          <w:i w:val="1"/>
          <w:iCs w:val="1"/>
          <w:color w:val="auto"/>
        </w:rPr>
        <w:t>Call of Duty: WWII</w:t>
      </w:r>
      <w:r>
        <w:rPr>
          <w:rFonts w:ascii="Times New Roman" w:cs="Times New Roman" w:eastAsia="Times New Roman" w:hAnsi="Times New Roman"/>
          <w:sz w:val="18"/>
          <w:szCs w:val="18"/>
          <w:color w:val="auto"/>
        </w:rPr>
        <w:t xml:space="preserve">, which was released in November 2017, as compared to </w:t>
      </w:r>
      <w:r>
        <w:rPr>
          <w:rFonts w:ascii="Times New Roman" w:cs="Times New Roman" w:eastAsia="Times New Roman" w:hAnsi="Times New Roman"/>
          <w:sz w:val="18"/>
          <w:szCs w:val="18"/>
          <w:i w:val="1"/>
          <w:iCs w:val="1"/>
          <w:color w:val="auto"/>
        </w:rPr>
        <w:t>Call of Duty: Infinite Warfare</w:t>
      </w:r>
      <w:r>
        <w:rPr>
          <w:rFonts w:ascii="Times New Roman" w:cs="Times New Roman" w:eastAsia="Times New Roman" w:hAnsi="Times New Roman"/>
          <w:sz w:val="18"/>
          <w:szCs w:val="18"/>
          <w:color w:val="auto"/>
        </w:rPr>
        <w:t>;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revenues from the </w:t>
      </w:r>
      <w:r>
        <w:rPr>
          <w:rFonts w:ascii="Times New Roman" w:cs="Times New Roman" w:eastAsia="Times New Roman" w:hAnsi="Times New Roman"/>
          <w:sz w:val="18"/>
          <w:szCs w:val="18"/>
          <w:i w:val="1"/>
          <w:iCs w:val="1"/>
          <w:color w:val="auto"/>
        </w:rPr>
        <w:t>Spyro Reignited Trilogy</w:t>
      </w:r>
      <w:r>
        <w:rPr>
          <w:rFonts w:ascii="Times New Roman" w:cs="Times New Roman" w:eastAsia="Times New Roman" w:hAnsi="Times New Roman"/>
          <w:sz w:val="18"/>
          <w:szCs w:val="18"/>
          <w:color w:val="auto"/>
        </w:rPr>
        <w:t>, which was released in November 2018, with no comparable release in 2017.</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2017 vs. 2016</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increase in Activision's net revenues for 2017, as compared to 2016, was primarily due to:</w:t>
      </w:r>
    </w:p>
    <w:p>
      <w:pPr>
        <w:spacing w:after="0" w:line="250" w:lineRule="exact"/>
        <w:rPr>
          <w:sz w:val="20"/>
          <w:szCs w:val="20"/>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revenues from the Destiny franchise, driven by the release of </w:t>
      </w:r>
      <w:r>
        <w:rPr>
          <w:rFonts w:ascii="Times New Roman" w:cs="Times New Roman" w:eastAsia="Times New Roman" w:hAnsi="Times New Roman"/>
          <w:sz w:val="18"/>
          <w:szCs w:val="18"/>
          <w:i w:val="1"/>
          <w:iCs w:val="1"/>
          <w:color w:val="auto"/>
        </w:rPr>
        <w:t>Destiny 2</w:t>
      </w:r>
      <w:r>
        <w:rPr>
          <w:rFonts w:ascii="Times New Roman" w:cs="Times New Roman" w:eastAsia="Times New Roman" w:hAnsi="Times New Roman"/>
          <w:sz w:val="18"/>
          <w:szCs w:val="18"/>
          <w:color w:val="auto"/>
        </w:rPr>
        <w:t>, with no comparable release in 2016;</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revenues from </w:t>
      </w:r>
      <w:r>
        <w:rPr>
          <w:rFonts w:ascii="Times New Roman" w:cs="Times New Roman" w:eastAsia="Times New Roman" w:hAnsi="Times New Roman"/>
          <w:sz w:val="18"/>
          <w:szCs w:val="18"/>
          <w:i w:val="1"/>
          <w:iCs w:val="1"/>
          <w:color w:val="auto"/>
        </w:rPr>
        <w:t>Call of Duty: WWII</w:t>
      </w:r>
      <w:r>
        <w:rPr>
          <w:rFonts w:ascii="Times New Roman" w:cs="Times New Roman" w:eastAsia="Times New Roman" w:hAnsi="Times New Roman"/>
          <w:sz w:val="18"/>
          <w:szCs w:val="18"/>
          <w:color w:val="auto"/>
        </w:rPr>
        <w:t xml:space="preserve">, as compared to </w:t>
      </w:r>
      <w:r>
        <w:rPr>
          <w:rFonts w:ascii="Times New Roman" w:cs="Times New Roman" w:eastAsia="Times New Roman" w:hAnsi="Times New Roman"/>
          <w:sz w:val="18"/>
          <w:szCs w:val="18"/>
          <w:i w:val="1"/>
          <w:iCs w:val="1"/>
          <w:color w:val="auto"/>
        </w:rPr>
        <w:t>Call of Duty: Infinite Warfare</w:t>
      </w:r>
      <w:r>
        <w:rPr>
          <w:rFonts w:ascii="Times New Roman" w:cs="Times New Roman" w:eastAsia="Times New Roman" w:hAnsi="Times New Roman"/>
          <w:sz w:val="18"/>
          <w:szCs w:val="18"/>
          <w:color w:val="auto"/>
        </w:rPr>
        <w:t>, the comparable 2016 title;</w:t>
      </w:r>
    </w:p>
    <w:p>
      <w:pPr>
        <w:spacing w:after="0" w:line="238" w:lineRule="exact"/>
        <w:rPr>
          <w:rFonts w:ascii="Times New Roman" w:cs="Times New Roman" w:eastAsia="Times New Roman" w:hAnsi="Times New Roman"/>
          <w:sz w:val="18"/>
          <w:szCs w:val="18"/>
          <w:color w:val="auto"/>
        </w:rPr>
      </w:pPr>
    </w:p>
    <w:p>
      <w:pPr>
        <w:ind w:left="1080" w:right="680" w:hanging="532"/>
        <w:spacing w:after="0" w:line="342" w:lineRule="auto"/>
        <w:tabs>
          <w:tab w:leader="none" w:pos="10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higher revenues from from the continued strength of </w:t>
      </w:r>
      <w:r>
        <w:rPr>
          <w:rFonts w:ascii="Times New Roman" w:cs="Times New Roman" w:eastAsia="Times New Roman" w:hAnsi="Times New Roman"/>
          <w:sz w:val="16"/>
          <w:szCs w:val="16"/>
          <w:i w:val="1"/>
          <w:iCs w:val="1"/>
          <w:color w:val="auto"/>
        </w:rPr>
        <w:t>Call of Duty: Black Ops III</w:t>
      </w:r>
      <w:r>
        <w:rPr>
          <w:rFonts w:ascii="Times New Roman" w:cs="Times New Roman" w:eastAsia="Times New Roman" w:hAnsi="Times New Roman"/>
          <w:sz w:val="16"/>
          <w:szCs w:val="16"/>
          <w:color w:val="auto"/>
        </w:rPr>
        <w:t xml:space="preserve">, as compared to prior catalog releases, driven by the downloadable content pack, </w:t>
      </w:r>
      <w:r>
        <w:rPr>
          <w:rFonts w:ascii="Times New Roman" w:cs="Times New Roman" w:eastAsia="Times New Roman" w:hAnsi="Times New Roman"/>
          <w:sz w:val="16"/>
          <w:szCs w:val="16"/>
          <w:i w:val="1"/>
          <w:iCs w:val="1"/>
          <w:color w:val="auto"/>
        </w:rPr>
        <w:t>Zombies Chronicles</w:t>
      </w:r>
      <w:r>
        <w:rPr>
          <w:rFonts w:ascii="Times New Roman" w:cs="Times New Roman" w:eastAsia="Times New Roman" w:hAnsi="Times New Roman"/>
          <w:sz w:val="16"/>
          <w:szCs w:val="16"/>
          <w:color w:val="auto"/>
        </w:rPr>
        <w:t>, which was released in May 2017, and the continued strength of microtransactions; and</w:t>
      </w:r>
    </w:p>
    <w:p>
      <w:pPr>
        <w:spacing w:after="0" w:line="150"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revenues from </w:t>
      </w:r>
      <w:r>
        <w:rPr>
          <w:rFonts w:ascii="Times New Roman" w:cs="Times New Roman" w:eastAsia="Times New Roman" w:hAnsi="Times New Roman"/>
          <w:sz w:val="18"/>
          <w:szCs w:val="18"/>
          <w:i w:val="1"/>
          <w:iCs w:val="1"/>
          <w:color w:val="auto"/>
        </w:rPr>
        <w:t>Crash Bandicoot N. Sane Trilogy</w:t>
      </w:r>
      <w:r>
        <w:rPr>
          <w:rFonts w:ascii="Times New Roman" w:cs="Times New Roman" w:eastAsia="Times New Roman" w:hAnsi="Times New Roman"/>
          <w:sz w:val="18"/>
          <w:szCs w:val="18"/>
          <w:color w:val="auto"/>
        </w:rPr>
        <w:t>, which was released in June 2017.</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increase was partially offset by:</w:t>
      </w:r>
    </w:p>
    <w:p>
      <w:pPr>
        <w:spacing w:after="0" w:line="237" w:lineRule="exact"/>
        <w:rPr>
          <w:sz w:val="20"/>
          <w:szCs w:val="20"/>
          <w:color w:val="auto"/>
        </w:rPr>
      </w:pPr>
    </w:p>
    <w:p>
      <w:pPr>
        <w:ind w:left="1080" w:hanging="532"/>
        <w:spacing w:after="0" w:line="277"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lower revenues from </w:t>
      </w:r>
      <w:r>
        <w:rPr>
          <w:rFonts w:ascii="Times New Roman" w:cs="Times New Roman" w:eastAsia="Times New Roman" w:hAnsi="Times New Roman"/>
          <w:sz w:val="18"/>
          <w:szCs w:val="18"/>
          <w:i w:val="1"/>
          <w:iCs w:val="1"/>
          <w:color w:val="auto"/>
        </w:rPr>
        <w:t>Call of Duty: Infinite Warfare</w:t>
      </w:r>
      <w:r>
        <w:rPr>
          <w:rFonts w:ascii="Times New Roman" w:cs="Times New Roman" w:eastAsia="Times New Roman" w:hAnsi="Times New Roman"/>
          <w:sz w:val="18"/>
          <w:szCs w:val="18"/>
          <w:color w:val="auto"/>
        </w:rPr>
        <w:t xml:space="preserve"> including its associated digital content, as compared to the performance of </w:t>
      </w:r>
      <w:r>
        <w:rPr>
          <w:rFonts w:ascii="Times New Roman" w:cs="Times New Roman" w:eastAsia="Times New Roman" w:hAnsi="Times New Roman"/>
          <w:sz w:val="18"/>
          <w:szCs w:val="18"/>
          <w:i w:val="1"/>
          <w:iCs w:val="1"/>
          <w:color w:val="auto"/>
        </w:rPr>
        <w:t>Call of Duty: Black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Ops III</w:t>
      </w:r>
      <w:r>
        <w:rPr>
          <w:rFonts w:ascii="Times New Roman" w:cs="Times New Roman" w:eastAsia="Times New Roman" w:hAnsi="Times New Roman"/>
          <w:sz w:val="18"/>
          <w:szCs w:val="18"/>
          <w:color w:val="auto"/>
        </w:rPr>
        <w:t>, the comparable 2015 title; and</w:t>
      </w:r>
    </w:p>
    <w:p>
      <w:pPr>
        <w:spacing w:after="0" w:line="18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lower revenues from the Skylanders franchise, due to the release of </w:t>
      </w:r>
      <w:r>
        <w:rPr>
          <w:rFonts w:ascii="Times New Roman" w:cs="Times New Roman" w:eastAsia="Times New Roman" w:hAnsi="Times New Roman"/>
          <w:sz w:val="16"/>
          <w:szCs w:val="16"/>
          <w:i w:val="1"/>
          <w:iCs w:val="1"/>
          <w:color w:val="auto"/>
        </w:rPr>
        <w:t>Skylanders Imaginators</w:t>
      </w:r>
      <w:r>
        <w:rPr>
          <w:rFonts w:ascii="Times New Roman" w:cs="Times New Roman" w:eastAsia="Times New Roman" w:hAnsi="Times New Roman"/>
          <w:sz w:val="16"/>
          <w:szCs w:val="16"/>
          <w:color w:val="auto"/>
        </w:rPr>
        <w:t xml:space="preserve"> in October 2016, with no comparable release in 2017.</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Blizzard</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2018 vs. 2017</w:t>
      </w:r>
    </w:p>
    <w:p>
      <w:pPr>
        <w:spacing w:after="0" w:line="223" w:lineRule="exact"/>
        <w:rPr>
          <w:sz w:val="20"/>
          <w:szCs w:val="20"/>
          <w:color w:val="auto"/>
        </w:rPr>
      </w:pPr>
    </w:p>
    <w:p>
      <w:pPr>
        <w:ind w:right="40" w:firstLine="348"/>
        <w:spacing w:after="0" w:line="264" w:lineRule="auto"/>
        <w:rPr>
          <w:sz w:val="20"/>
          <w:szCs w:val="20"/>
          <w:color w:val="auto"/>
        </w:rPr>
      </w:pPr>
      <w:r>
        <w:rPr>
          <w:rFonts w:ascii="Times New Roman" w:cs="Times New Roman" w:eastAsia="Times New Roman" w:hAnsi="Times New Roman"/>
          <w:sz w:val="18"/>
          <w:szCs w:val="18"/>
          <w:color w:val="auto"/>
        </w:rPr>
        <w:t xml:space="preserve">The increase in Blizzard's net revenues for 2018, as compared to 2017, was primarily due to higher revenues from </w:t>
      </w:r>
      <w:r>
        <w:rPr>
          <w:rFonts w:ascii="Times New Roman" w:cs="Times New Roman" w:eastAsia="Times New Roman" w:hAnsi="Times New Roman"/>
          <w:sz w:val="18"/>
          <w:szCs w:val="18"/>
          <w:i w:val="1"/>
          <w:iCs w:val="1"/>
          <w:color w:val="auto"/>
        </w:rPr>
        <w:t>World of Warcraft</w:t>
      </w:r>
      <w:r>
        <w:rPr>
          <w:rFonts w:ascii="Times New Roman" w:cs="Times New Roman" w:eastAsia="Times New Roman" w:hAnsi="Times New Roman"/>
          <w:sz w:val="18"/>
          <w:szCs w:val="18"/>
          <w:color w:val="auto"/>
        </w:rPr>
        <w:t xml:space="preserve">, driven by </w:t>
      </w:r>
      <w:r>
        <w:rPr>
          <w:rFonts w:ascii="Times New Roman" w:cs="Times New Roman" w:eastAsia="Times New Roman" w:hAnsi="Times New Roman"/>
          <w:sz w:val="18"/>
          <w:szCs w:val="18"/>
          <w:i w:val="1"/>
          <w:iCs w:val="1"/>
          <w:color w:val="auto"/>
        </w:rPr>
        <w:t>World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Warcraft: Battle for Azeroth</w:t>
      </w:r>
      <w:r>
        <w:rPr>
          <w:rFonts w:ascii="Times New Roman" w:cs="Times New Roman" w:eastAsia="Times New Roman" w:hAnsi="Times New Roman"/>
          <w:sz w:val="18"/>
          <w:szCs w:val="18"/>
          <w:color w:val="auto"/>
        </w:rPr>
        <w:t>, which was released in August 2018, with no comparable release in 2017, partially offset by lower revenues from</w:t>
      </w:r>
      <w:r>
        <w:rPr>
          <w:rFonts w:ascii="Times New Roman" w:cs="Times New Roman" w:eastAsia="Times New Roman" w:hAnsi="Times New Roman"/>
          <w:sz w:val="18"/>
          <w:szCs w:val="18"/>
          <w:i w:val="1"/>
          <w:iCs w:val="1"/>
          <w:color w:val="auto"/>
        </w:rPr>
        <w:t xml:space="preserve"> Overwatch</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released in May 2016.</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2017 vs. 2016</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decrease in Blizzard's net revenues for 2017, as compared to 2016, was primarily due to:</w:t>
      </w:r>
    </w:p>
    <w:p>
      <w:pPr>
        <w:spacing w:after="0" w:line="250" w:lineRule="exact"/>
        <w:rPr>
          <w:sz w:val="20"/>
          <w:szCs w:val="20"/>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lower revenues from </w:t>
      </w:r>
      <w:r>
        <w:rPr>
          <w:rFonts w:ascii="Times New Roman" w:cs="Times New Roman" w:eastAsia="Times New Roman" w:hAnsi="Times New Roman"/>
          <w:sz w:val="18"/>
          <w:szCs w:val="18"/>
          <w:i w:val="1"/>
          <w:iCs w:val="1"/>
          <w:color w:val="auto"/>
        </w:rPr>
        <w:t>Overwatch</w:t>
      </w:r>
      <w:r>
        <w:rPr>
          <w:rFonts w:ascii="Times New Roman" w:cs="Times New Roman" w:eastAsia="Times New Roman" w:hAnsi="Times New Roman"/>
          <w:sz w:val="18"/>
          <w:szCs w:val="18"/>
          <w:color w:val="auto"/>
        </w:rPr>
        <w:t>; and</w:t>
      </w: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7" w:lineRule="exact"/>
        <w:rPr>
          <w:sz w:val="20"/>
          <w:szCs w:val="20"/>
          <w:color w:val="auto"/>
        </w:rPr>
      </w:pPr>
    </w:p>
    <w:p>
      <w:pPr>
        <w:ind w:left="360" w:right="160" w:firstLine="188"/>
        <w:spacing w:after="0" w:line="502" w:lineRule="auto"/>
        <w:tabs>
          <w:tab w:leader="none" w:pos="109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lower revenues from </w:t>
      </w:r>
      <w:r>
        <w:rPr>
          <w:rFonts w:ascii="Times New Roman" w:cs="Times New Roman" w:eastAsia="Times New Roman" w:hAnsi="Times New Roman"/>
          <w:sz w:val="18"/>
          <w:szCs w:val="18"/>
          <w:i w:val="1"/>
          <w:iCs w:val="1"/>
          <w:color w:val="auto"/>
        </w:rPr>
        <w:t>World of Warcraft</w:t>
      </w:r>
      <w:r>
        <w:rPr>
          <w:rFonts w:ascii="Times New Roman" w:cs="Times New Roman" w:eastAsia="Times New Roman" w:hAnsi="Times New Roman"/>
          <w:sz w:val="18"/>
          <w:szCs w:val="18"/>
          <w:color w:val="auto"/>
        </w:rPr>
        <w:t xml:space="preserve">, driven by the release of </w:t>
      </w:r>
      <w:r>
        <w:rPr>
          <w:rFonts w:ascii="Times New Roman" w:cs="Times New Roman" w:eastAsia="Times New Roman" w:hAnsi="Times New Roman"/>
          <w:sz w:val="18"/>
          <w:szCs w:val="18"/>
          <w:i w:val="1"/>
          <w:iCs w:val="1"/>
          <w:color w:val="auto"/>
        </w:rPr>
        <w:t>World of Warcraft: Legion</w:t>
      </w:r>
      <w:r>
        <w:rPr>
          <w:rFonts w:ascii="Times New Roman" w:cs="Times New Roman" w:eastAsia="Times New Roman" w:hAnsi="Times New Roman"/>
          <w:sz w:val="18"/>
          <w:szCs w:val="18"/>
          <w:color w:val="auto"/>
        </w:rPr>
        <w:t xml:space="preserve"> in August 2016, with no comparable release in 2017. The decrease was partially offset by:</w:t>
      </w:r>
    </w:p>
    <w:p>
      <w:pPr>
        <w:sectPr>
          <w:pgSz w:w="11900" w:h="16838" w:orient="portrait"/>
          <w:cols w:equalWidth="0" w:num="1">
            <w:col w:w="11400"/>
          </w:cols>
          <w:pgMar w:left="240" w:top="125" w:right="259" w:bottom="1440" w:gutter="0" w:footer="0" w:header="0"/>
        </w:sect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King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recognized from franchise sales of city-based teams for the Overwatch League; and</w:t>
      </w:r>
    </w:p>
    <w:p>
      <w:pPr>
        <w:spacing w:after="0" w:line="237"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8"/>
          <w:szCs w:val="18"/>
          <w:color w:val="auto"/>
        </w:rPr>
        <w:t xml:space="preserve">higher revenues from </w:t>
      </w:r>
      <w:r>
        <w:rPr>
          <w:rFonts w:ascii="Times New Roman" w:cs="Times New Roman" w:eastAsia="Times New Roman" w:hAnsi="Times New Roman"/>
          <w:sz w:val="18"/>
          <w:szCs w:val="18"/>
          <w:i w:val="1"/>
          <w:iCs w:val="1"/>
          <w:color w:val="auto"/>
        </w:rPr>
        <w:t>Diablo III</w:t>
      </w:r>
      <w:r>
        <w:rPr>
          <w:rFonts w:ascii="Times New Roman" w:cs="Times New Roman" w:eastAsia="Times New Roman" w:hAnsi="Times New Roman"/>
          <w:sz w:val="18"/>
          <w:szCs w:val="18"/>
          <w:color w:val="auto"/>
        </w:rPr>
        <w:t xml:space="preserve">, primarily due to the release of </w:t>
      </w:r>
      <w:r>
        <w:rPr>
          <w:rFonts w:ascii="Times New Roman" w:cs="Times New Roman" w:eastAsia="Times New Roman" w:hAnsi="Times New Roman"/>
          <w:sz w:val="18"/>
          <w:szCs w:val="18"/>
          <w:i w:val="1"/>
          <w:iCs w:val="1"/>
          <w:color w:val="auto"/>
        </w:rPr>
        <w:t>Rise of the Necromancer</w:t>
      </w:r>
      <w:r>
        <w:rPr>
          <w:rFonts w:ascii="Times New Roman" w:cs="Times New Roman" w:eastAsia="Times New Roman" w:hAnsi="Times New Roman"/>
          <w:sz w:val="18"/>
          <w:szCs w:val="18"/>
          <w:color w:val="auto"/>
        </w:rPr>
        <w:t xml:space="preserve">, a downloadable content pack for </w:t>
      </w:r>
      <w:r>
        <w:rPr>
          <w:rFonts w:ascii="Times New Roman" w:cs="Times New Roman" w:eastAsia="Times New Roman" w:hAnsi="Times New Roman"/>
          <w:sz w:val="18"/>
          <w:szCs w:val="18"/>
          <w:i w:val="1"/>
          <w:iCs w:val="1"/>
          <w:color w:val="auto"/>
        </w:rPr>
        <w:t>Diablo III</w:t>
      </w:r>
      <w:r>
        <w:rPr>
          <w:rFonts w:ascii="Times New Roman" w:cs="Times New Roman" w:eastAsia="Times New Roman" w:hAnsi="Times New Roman"/>
          <w:sz w:val="18"/>
          <w:szCs w:val="18"/>
          <w:color w:val="auto"/>
        </w:rPr>
        <w:t xml:space="preserve"> that was released in June 2017.</w:t>
      </w:r>
    </w:p>
    <w:p>
      <w:pPr>
        <w:spacing w:after="0" w:line="577" w:lineRule="exact"/>
        <w:rPr>
          <w:sz w:val="20"/>
          <w:szCs w:val="20"/>
          <w:color w:val="auto"/>
        </w:rPr>
      </w:pPr>
    </w:p>
    <w:p>
      <w:pPr>
        <w:sectPr>
          <w:pgSz w:w="11900" w:h="16838" w:orient="portrait"/>
          <w:cols w:equalWidth="0" w:num="2">
            <w:col w:w="600" w:space="480"/>
            <w:col w:w="10320"/>
          </w:cols>
          <w:pgMar w:left="240" w:top="125" w:right="259" w:bottom="1440" w:gutter="0" w:footer="0" w:header="0"/>
          <w:type w:val="continuous"/>
        </w:sectPr>
      </w:pP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2018 vs. 2017</w:t>
      </w:r>
    </w:p>
    <w:p>
      <w:pPr>
        <w:spacing w:after="0" w:line="225"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 xml:space="preserve">The increase in King's net revenues for 2018, as compared to 2017, was primarily due to higher revenues from the Candy Crush franchise, driven by in-game advertisements, increased monetization, and the launch of </w:t>
      </w:r>
      <w:r>
        <w:rPr>
          <w:rFonts w:ascii="Times New Roman" w:cs="Times New Roman" w:eastAsia="Times New Roman" w:hAnsi="Times New Roman"/>
          <w:sz w:val="18"/>
          <w:szCs w:val="18"/>
          <w:i w:val="1"/>
          <w:iCs w:val="1"/>
          <w:color w:val="auto"/>
        </w:rPr>
        <w:t>Candy Crush Friends Saga</w:t>
      </w:r>
      <w:r>
        <w:rPr>
          <w:rFonts w:ascii="Times New Roman" w:cs="Times New Roman" w:eastAsia="Times New Roman" w:hAnsi="Times New Roman"/>
          <w:sz w:val="18"/>
          <w:szCs w:val="18"/>
          <w:color w:val="auto"/>
        </w:rPr>
        <w:t>, the latest title in the Candy Crush franchise, in October 2018.</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2017 vs. 2016</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increase in King's net revenues for 2017, as compared to 2016, was primarily due to:</w:t>
      </w:r>
    </w:p>
    <w:p>
      <w:pPr>
        <w:spacing w:after="0" w:line="239" w:lineRule="exact"/>
        <w:rPr>
          <w:sz w:val="20"/>
          <w:szCs w:val="20"/>
          <w:color w:val="auto"/>
        </w:rPr>
      </w:pPr>
    </w:p>
    <w:p>
      <w:pPr>
        <w:ind w:left="1080" w:right="220" w:hanging="532"/>
        <w:spacing w:after="0" w:line="275"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2017 including King revenues for the full year, while 2016 only included King revenues for the partial period following the King Closing Date; and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revenues from the Candy Crush franchise, due to in-game events and features.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Income from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Activision</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2018 vs. 2017</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Activision's operating income for 2018 was comparable to 2017. Decreases in operating income were primarily from:</w:t>
      </w:r>
    </w:p>
    <w:p>
      <w:pPr>
        <w:spacing w:after="0" w:line="239" w:lineRule="exact"/>
        <w:rPr>
          <w:sz w:val="20"/>
          <w:szCs w:val="20"/>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revenues, as discussed above;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developer costs to support existing and upcoming title releases; and</w:t>
      </w:r>
    </w:p>
    <w:p>
      <w:pPr>
        <w:spacing w:after="0" w:line="25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software royalties, amortization, and intellectual property licenses recognized from </w:t>
      </w:r>
      <w:r>
        <w:rPr>
          <w:rFonts w:ascii="Times New Roman" w:cs="Times New Roman" w:eastAsia="Times New Roman" w:hAnsi="Times New Roman"/>
          <w:sz w:val="18"/>
          <w:szCs w:val="18"/>
          <w:i w:val="1"/>
          <w:iCs w:val="1"/>
          <w:color w:val="auto"/>
        </w:rPr>
        <w:t>Call of Duty: Black Ops 4</w:t>
      </w:r>
      <w:r>
        <w:rPr>
          <w:rFonts w:ascii="Times New Roman" w:cs="Times New Roman" w:eastAsia="Times New Roman" w:hAnsi="Times New Roman"/>
          <w:sz w:val="18"/>
          <w:szCs w:val="18"/>
          <w:color w:val="auto"/>
        </w:rPr>
        <w:t>, which was released in</w:t>
      </w:r>
    </w:p>
    <w:p>
      <w:pPr>
        <w:spacing w:after="0" w:line="23"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October 2018, as compared to </w:t>
      </w:r>
      <w:r>
        <w:rPr>
          <w:rFonts w:ascii="Times New Roman" w:cs="Times New Roman" w:eastAsia="Times New Roman" w:hAnsi="Times New Roman"/>
          <w:sz w:val="18"/>
          <w:szCs w:val="18"/>
          <w:i w:val="1"/>
          <w:iCs w:val="1"/>
          <w:color w:val="auto"/>
        </w:rPr>
        <w:t>Call of Duty: WWII</w:t>
      </w:r>
      <w:r>
        <w:rPr>
          <w:rFonts w:ascii="Times New Roman" w:cs="Times New Roman" w:eastAsia="Times New Roman" w:hAnsi="Times New Roman"/>
          <w:sz w:val="18"/>
          <w:szCs w:val="18"/>
          <w:color w:val="auto"/>
        </w:rPr>
        <w:t>, which was released in November 2017.</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These were largely offset by increases to operating income from:</w:t>
      </w:r>
    </w:p>
    <w:p>
      <w:pPr>
        <w:spacing w:after="0" w:line="239" w:lineRule="exact"/>
        <w:rPr>
          <w:sz w:val="20"/>
          <w:szCs w:val="20"/>
          <w:color w:val="auto"/>
        </w:rPr>
      </w:pPr>
    </w:p>
    <w:p>
      <w:pPr>
        <w:ind w:left="1080" w:right="100" w:hanging="532"/>
        <w:spacing w:after="0" w:line="339" w:lineRule="auto"/>
        <w:tabs>
          <w:tab w:leader="none" w:pos="10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lower product costs, lower software royalties, amortization, and intellectual property licenses, and lower sales and marketing costs, all primarily driven by the Destiny franchise, as 2017 included the full game release of </w:t>
      </w:r>
      <w:r>
        <w:rPr>
          <w:rFonts w:ascii="Times New Roman" w:cs="Times New Roman" w:eastAsia="Times New Roman" w:hAnsi="Times New Roman"/>
          <w:sz w:val="16"/>
          <w:szCs w:val="16"/>
          <w:i w:val="1"/>
          <w:iCs w:val="1"/>
          <w:color w:val="auto"/>
        </w:rPr>
        <w:t>Destiny 2</w:t>
      </w:r>
      <w:r>
        <w:rPr>
          <w:rFonts w:ascii="Times New Roman" w:cs="Times New Roman" w:eastAsia="Times New Roman" w:hAnsi="Times New Roman"/>
          <w:sz w:val="16"/>
          <w:szCs w:val="16"/>
          <w:color w:val="auto"/>
        </w:rPr>
        <w:t>, with no comparable full game franchise release in 2018; and</w:t>
      </w:r>
    </w:p>
    <w:p>
      <w:pPr>
        <w:spacing w:after="0" w:line="141"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capitalization of software development costs due to increased costs and the timing of game development cycles.</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2017 vs. 2016</w:t>
      </w:r>
    </w:p>
    <w:p>
      <w:pPr>
        <w:spacing w:after="0" w:line="225" w:lineRule="exact"/>
        <w:rPr>
          <w:sz w:val="20"/>
          <w:szCs w:val="20"/>
          <w:color w:val="auto"/>
        </w:rPr>
      </w:pPr>
    </w:p>
    <w:p>
      <w:pPr>
        <w:ind w:right="340" w:firstLine="348"/>
        <w:spacing w:after="0" w:line="275" w:lineRule="auto"/>
        <w:rPr>
          <w:sz w:val="20"/>
          <w:szCs w:val="20"/>
          <w:color w:val="auto"/>
        </w:rPr>
      </w:pPr>
      <w:r>
        <w:rPr>
          <w:rFonts w:ascii="Times New Roman" w:cs="Times New Roman" w:eastAsia="Times New Roman" w:hAnsi="Times New Roman"/>
          <w:sz w:val="18"/>
          <w:szCs w:val="18"/>
          <w:color w:val="auto"/>
        </w:rPr>
        <w:t>The increase in Activision's operating income for 2017, as compared to 2016, was primarily due to higher revenues, as discussed above, and lower costs associated with the Skylanders franchise, as there was not a new title released in 2017.</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The increase was partially offset by higher sales and marketing spend on the Destiny franchise due to the release of </w:t>
      </w:r>
      <w:r>
        <w:rPr>
          <w:rFonts w:ascii="Times New Roman" w:cs="Times New Roman" w:eastAsia="Times New Roman" w:hAnsi="Times New Roman"/>
          <w:sz w:val="18"/>
          <w:szCs w:val="18"/>
          <w:i w:val="1"/>
          <w:iCs w:val="1"/>
          <w:color w:val="auto"/>
        </w:rPr>
        <w:t>Destiny 2</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Blizzard</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2018 vs. 2017</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decrease in Blizzard's operating income for 2018, as compared to 2017, was primarily due to:</w:t>
      </w:r>
    </w:p>
    <w:p>
      <w:pPr>
        <w:spacing w:after="0" w:line="239" w:lineRule="exact"/>
        <w:rPr>
          <w:sz w:val="20"/>
          <w:szCs w:val="20"/>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to operate and support Blizzard's existing business and adjacent areas of opportunity; and</w:t>
      </w:r>
    </w:p>
    <w:p>
      <w:pPr>
        <w:spacing w:after="0" w:line="250" w:lineRule="exact"/>
        <w:rPr>
          <w:rFonts w:ascii="Times New Roman" w:cs="Times New Roman" w:eastAsia="Times New Roman" w:hAnsi="Times New Roman"/>
          <w:sz w:val="18"/>
          <w:szCs w:val="18"/>
          <w:color w:val="auto"/>
        </w:rPr>
      </w:pPr>
    </w:p>
    <w:p>
      <w:pPr>
        <w:ind w:left="1080" w:right="140" w:hanging="532"/>
        <w:spacing w:after="0" w:line="277"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software royalties, amortization, and intellectual property licenses driven by </w:t>
      </w:r>
      <w:r>
        <w:rPr>
          <w:rFonts w:ascii="Times New Roman" w:cs="Times New Roman" w:eastAsia="Times New Roman" w:hAnsi="Times New Roman"/>
          <w:sz w:val="18"/>
          <w:szCs w:val="18"/>
          <w:i w:val="1"/>
          <w:iCs w:val="1"/>
          <w:color w:val="auto"/>
        </w:rPr>
        <w:t>World of Warcraft: Battle for Azeroth</w:t>
      </w:r>
      <w:r>
        <w:rPr>
          <w:rFonts w:ascii="Times New Roman" w:cs="Times New Roman" w:eastAsia="Times New Roman" w:hAnsi="Times New Roman"/>
          <w:sz w:val="18"/>
          <w:szCs w:val="18"/>
          <w:color w:val="auto"/>
        </w:rPr>
        <w:t>, which was released in August 2018.</w:t>
      </w:r>
    </w:p>
    <w:p>
      <w:pPr>
        <w:spacing w:after="0" w:line="172"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The decrease was partially offset by higher revenues, as discussed above, and higher capitalization of software development costs due to the timing of game development cycles.</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2017 vs. 2016</w:t>
      </w:r>
    </w:p>
    <w:p>
      <w:pPr>
        <w:spacing w:after="0" w:line="225" w:lineRule="exact"/>
        <w:rPr>
          <w:sz w:val="20"/>
          <w:szCs w:val="20"/>
          <w:color w:val="auto"/>
        </w:rPr>
      </w:pPr>
    </w:p>
    <w:p>
      <w:pPr>
        <w:ind w:right="320" w:firstLine="348"/>
        <w:spacing w:after="0" w:line="275" w:lineRule="auto"/>
        <w:rPr>
          <w:sz w:val="20"/>
          <w:szCs w:val="20"/>
          <w:color w:val="auto"/>
        </w:rPr>
      </w:pPr>
      <w:r>
        <w:rPr>
          <w:rFonts w:ascii="Times New Roman" w:cs="Times New Roman" w:eastAsia="Times New Roman" w:hAnsi="Times New Roman"/>
          <w:sz w:val="18"/>
          <w:szCs w:val="18"/>
          <w:color w:val="auto"/>
        </w:rPr>
        <w:t>The decrease in Blizzard's operating income for 2017, as compared to 2016, was primarily due to lower revenues, as discussed above, along with higher product development costs resulting from lower capitalization of software development costs due to the timing of game development cycles.</w:t>
      </w:r>
    </w:p>
    <w:p>
      <w:pPr>
        <w:spacing w:after="0" w:line="172" w:lineRule="exact"/>
        <w:rPr>
          <w:sz w:val="20"/>
          <w:szCs w:val="20"/>
          <w:color w:val="auto"/>
        </w:rPr>
      </w:pPr>
    </w:p>
    <w:p>
      <w:pPr>
        <w:ind w:right="180" w:firstLine="348"/>
        <w:spacing w:after="0" w:line="277" w:lineRule="auto"/>
        <w:rPr>
          <w:sz w:val="20"/>
          <w:szCs w:val="20"/>
          <w:color w:val="auto"/>
        </w:rPr>
      </w:pPr>
      <w:r>
        <w:rPr>
          <w:rFonts w:ascii="Times New Roman" w:cs="Times New Roman" w:eastAsia="Times New Roman" w:hAnsi="Times New Roman"/>
          <w:sz w:val="18"/>
          <w:szCs w:val="18"/>
          <w:color w:val="auto"/>
        </w:rPr>
        <w:t xml:space="preserve">The decrease was partially offset by lower sales and marketing costs and software amortization for </w:t>
      </w:r>
      <w:r>
        <w:rPr>
          <w:rFonts w:ascii="Times New Roman" w:cs="Times New Roman" w:eastAsia="Times New Roman" w:hAnsi="Times New Roman"/>
          <w:sz w:val="18"/>
          <w:szCs w:val="18"/>
          <w:i w:val="1"/>
          <w:iCs w:val="1"/>
          <w:color w:val="auto"/>
        </w:rPr>
        <w:t>Overwatch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World of Warcraft: Legion</w:t>
      </w:r>
      <w:r>
        <w:rPr>
          <w:rFonts w:ascii="Times New Roman" w:cs="Times New Roman" w:eastAsia="Times New Roman" w:hAnsi="Times New Roman"/>
          <w:sz w:val="18"/>
          <w:szCs w:val="18"/>
          <w:color w:val="auto"/>
        </w:rPr>
        <w:t>, due to their respective launches in 2016, with no comparable releases in 2017.</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King</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2018 vs. 2017</w:t>
      </w:r>
    </w:p>
    <w:p>
      <w:pPr>
        <w:spacing w:after="0" w:line="225"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The increase in King's operating income for 2018, as compared to 2017, was primarily due to higher revenues from the Candy Crush franchise, as discussed above.</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2017 vs. 2016</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increase in King's operating income for 2017, as compared to 2016, was primarily due to:</w:t>
      </w:r>
    </w:p>
    <w:p>
      <w:pPr>
        <w:spacing w:after="0" w:line="239" w:lineRule="exact"/>
        <w:rPr>
          <w:sz w:val="20"/>
          <w:szCs w:val="20"/>
          <w:color w:val="auto"/>
        </w:rPr>
      </w:pPr>
    </w:p>
    <w:p>
      <w:pPr>
        <w:ind w:left="1080" w:right="60" w:hanging="532"/>
        <w:spacing w:after="0" w:line="275"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2017 including King's results of operations for the full year, while 2016 only included King's results of operations for the partial period following the King Closing Date;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revenues from the Candy Crush franchise, as discussed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Impact</w:t>
      </w:r>
    </w:p>
    <w:p>
      <w:pPr>
        <w:spacing w:after="0" w:line="229"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Changes in foreign exchange rates had a positive impact of $48 million, a positive impact of $85 million, and a negative impact of $30 million on reportable segment net revenues for 2018, 2017, and 2016, respectively, as compared to the same periods in the previous year. The changes are primarily due to changes in the value of the U.S. dollar relative to the euro and British pound.</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 by Distribution Channel</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details our consolidated net revenues by distribution channel (amounts in millions):</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8"/>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ind w:right="21"/>
              <w:spacing w:after="0" w:line="125" w:lineRule="exact"/>
              <w:rPr>
                <w:sz w:val="20"/>
                <w:szCs w:val="20"/>
                <w:color w:val="auto"/>
              </w:rPr>
            </w:pPr>
            <w:r>
              <w:rPr>
                <w:rFonts w:ascii="Times New Roman" w:cs="Times New Roman" w:eastAsia="Times New Roman" w:hAnsi="Times New Roman"/>
                <w:sz w:val="14"/>
                <w:szCs w:val="14"/>
                <w:b w:val="1"/>
                <w:bCs w:val="1"/>
                <w:color w:val="auto"/>
                <w:w w:val="95"/>
              </w:rPr>
              <w:t>Increase/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95"/>
              </w:rPr>
              <w:t>Increase/</w:t>
            </w: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(decrease)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10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 Change</w:t>
            </w:r>
          </w:p>
        </w:tc>
      </w:tr>
      <w:tr>
        <w:trPr>
          <w:trHeight w:val="165"/>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7"/>
              </w:rPr>
              <w:t>2018 v 2017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2017 v 2016</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2018 v 2017</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2017 v 2016</w:t>
            </w:r>
          </w:p>
        </w:tc>
      </w:tr>
      <w:tr>
        <w:trPr>
          <w:trHeight w:val="210"/>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Net revenues by distribution channel:</w:t>
            </w: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Digital online channels (1)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5,786</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 channels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20" w:type="dxa"/>
            <w:vAlign w:val="bottom"/>
          </w:tcPr>
          <w:p>
            <w:pPr>
              <w:spacing w:after="0"/>
              <w:rPr>
                <w:sz w:val="18"/>
                <w:szCs w:val="18"/>
                <w:color w:val="auto"/>
              </w:rPr>
            </w:pPr>
          </w:p>
        </w:tc>
        <w:tc>
          <w:tcPr>
            <w:tcW w:w="2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consolidated net revenues</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5" w:lineRule="exact"/>
        <w:rPr>
          <w:sz w:val="20"/>
          <w:szCs w:val="20"/>
          <w:color w:val="auto"/>
        </w:rPr>
      </w:pPr>
    </w:p>
    <w:p>
      <w:pPr>
        <w:ind w:left="1680" w:right="800" w:hanging="531"/>
        <w:spacing w:after="0" w:line="275" w:lineRule="auto"/>
        <w:tabs>
          <w:tab w:leader="none" w:pos="1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"Digital online channels" include revenues from digitally-distributed subscriptions, downloadable content, microtransactions, and products, as well as licensing royalties.</w:t>
      </w:r>
    </w:p>
    <w:p>
      <w:pPr>
        <w:spacing w:after="0" w:line="200" w:lineRule="exact"/>
        <w:rPr>
          <w:rFonts w:ascii="Times New Roman" w:cs="Times New Roman" w:eastAsia="Times New Roman" w:hAnsi="Times New Roman"/>
          <w:sz w:val="18"/>
          <w:szCs w:val="18"/>
          <w:color w:val="auto"/>
        </w:rPr>
      </w:pPr>
    </w:p>
    <w:p>
      <w:pPr>
        <w:ind w:left="1680" w:right="480" w:hanging="531"/>
        <w:spacing w:after="0" w:line="275" w:lineRule="auto"/>
        <w:tabs>
          <w:tab w:leader="none" w:pos="1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"Other" include revenues from our Studios and Distribution businesses, as well as revenues from MLG and the Overwatch League.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Online Channel Net Revenues</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2018 vs. 2017</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increase in net revenues from digital online channels for 2018, as compared to 2017, was primarily due to:</w:t>
      </w:r>
    </w:p>
    <w:p>
      <w:pPr>
        <w:spacing w:after="0" w:line="237" w:lineRule="exact"/>
        <w:rPr>
          <w:sz w:val="20"/>
          <w:szCs w:val="20"/>
          <w:color w:val="auto"/>
        </w:rPr>
      </w:pPr>
    </w:p>
    <w:p>
      <w:pPr>
        <w:ind w:left="1080" w:right="80" w:hanging="532"/>
        <w:spacing w:after="0" w:line="277"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revenues recognized from the Destiny franchise, driven by </w:t>
      </w:r>
      <w:r>
        <w:rPr>
          <w:rFonts w:ascii="Times New Roman" w:cs="Times New Roman" w:eastAsia="Times New Roman" w:hAnsi="Times New Roman"/>
          <w:sz w:val="18"/>
          <w:szCs w:val="18"/>
          <w:i w:val="1"/>
          <w:iCs w:val="1"/>
          <w:color w:val="auto"/>
        </w:rPr>
        <w:t>Destiny 2</w:t>
      </w:r>
      <w:r>
        <w:rPr>
          <w:rFonts w:ascii="Times New Roman" w:cs="Times New Roman" w:eastAsia="Times New Roman" w:hAnsi="Times New Roman"/>
          <w:sz w:val="18"/>
          <w:szCs w:val="18"/>
          <w:color w:val="auto"/>
        </w:rPr>
        <w:t>, which was released in September 2017, with no comparable release in 2016, and by revenues recognized in connection with the sale of our Destiny publishing rights to Bungie;</w:t>
      </w:r>
    </w:p>
    <w:p>
      <w:pPr>
        <w:spacing w:after="0" w:line="183" w:lineRule="exact"/>
        <w:rPr>
          <w:rFonts w:ascii="Times New Roman" w:cs="Times New Roman" w:eastAsia="Times New Roman" w:hAnsi="Times New Roman"/>
          <w:sz w:val="18"/>
          <w:szCs w:val="18"/>
          <w:color w:val="auto"/>
        </w:rPr>
      </w:pPr>
    </w:p>
    <w:p>
      <w:pPr>
        <w:ind w:left="1080" w:right="360" w:hanging="532"/>
        <w:spacing w:after="0" w:line="277"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revenues from the Candy Crush franchise, primarily due to in-game advertisements, increased monetization, and the launch of </w:t>
      </w:r>
      <w:r>
        <w:rPr>
          <w:rFonts w:ascii="Times New Roman" w:cs="Times New Roman" w:eastAsia="Times New Roman" w:hAnsi="Times New Roman"/>
          <w:sz w:val="18"/>
          <w:szCs w:val="18"/>
          <w:i w:val="1"/>
          <w:iCs w:val="1"/>
          <w:color w:val="auto"/>
        </w:rPr>
        <w:t>Candy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Crush Friends Saga</w:t>
      </w:r>
      <w:r>
        <w:rPr>
          <w:rFonts w:ascii="Times New Roman" w:cs="Times New Roman" w:eastAsia="Times New Roman" w:hAnsi="Times New Roman"/>
          <w:sz w:val="18"/>
          <w:szCs w:val="18"/>
          <w:color w:val="auto"/>
        </w:rPr>
        <w:t>, the latest title in the Candy Crush franchise, in October 2018;</w:t>
      </w:r>
    </w:p>
    <w:p>
      <w:pPr>
        <w:spacing w:after="0" w:line="197" w:lineRule="exact"/>
        <w:rPr>
          <w:rFonts w:ascii="Times New Roman" w:cs="Times New Roman" w:eastAsia="Times New Roman" w:hAnsi="Times New Roman"/>
          <w:sz w:val="18"/>
          <w:szCs w:val="18"/>
          <w:color w:val="auto"/>
        </w:rPr>
      </w:pPr>
    </w:p>
    <w:p>
      <w:pPr>
        <w:ind w:left="1080" w:hanging="532"/>
        <w:spacing w:after="0" w:line="277"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revenues recognized from </w:t>
      </w:r>
      <w:r>
        <w:rPr>
          <w:rFonts w:ascii="Times New Roman" w:cs="Times New Roman" w:eastAsia="Times New Roman" w:hAnsi="Times New Roman"/>
          <w:sz w:val="18"/>
          <w:szCs w:val="18"/>
          <w:i w:val="1"/>
          <w:iCs w:val="1"/>
          <w:color w:val="auto"/>
        </w:rPr>
        <w:t>Call of Duty: Black Ops 4</w:t>
      </w:r>
      <w:r>
        <w:rPr>
          <w:rFonts w:ascii="Times New Roman" w:cs="Times New Roman" w:eastAsia="Times New Roman" w:hAnsi="Times New Roman"/>
          <w:sz w:val="18"/>
          <w:szCs w:val="18"/>
          <w:color w:val="auto"/>
        </w:rPr>
        <w:t xml:space="preserve">, which was released in October 2018, as compared to </w:t>
      </w:r>
      <w:r>
        <w:rPr>
          <w:rFonts w:ascii="Times New Roman" w:cs="Times New Roman" w:eastAsia="Times New Roman" w:hAnsi="Times New Roman"/>
          <w:sz w:val="18"/>
          <w:szCs w:val="18"/>
          <w:i w:val="1"/>
          <w:iCs w:val="1"/>
          <w:color w:val="auto"/>
        </w:rPr>
        <w:t>Call of Duty: WWII</w:t>
      </w:r>
      <w:r>
        <w:rPr>
          <w:rFonts w:ascii="Times New Roman" w:cs="Times New Roman" w:eastAsia="Times New Roman" w:hAnsi="Times New Roman"/>
          <w:sz w:val="18"/>
          <w:szCs w:val="18"/>
          <w:color w:val="auto"/>
        </w:rPr>
        <w:t>, which was released in November 2017; and</w:t>
      </w:r>
    </w:p>
    <w:p>
      <w:pPr>
        <w:spacing w:after="0" w:line="183" w:lineRule="exact"/>
        <w:rPr>
          <w:rFonts w:ascii="Times New Roman" w:cs="Times New Roman" w:eastAsia="Times New Roman" w:hAnsi="Times New Roman"/>
          <w:sz w:val="18"/>
          <w:szCs w:val="18"/>
          <w:color w:val="auto"/>
        </w:rPr>
      </w:pPr>
    </w:p>
    <w:p>
      <w:pPr>
        <w:ind w:left="360" w:right="360" w:firstLine="188"/>
        <w:spacing w:after="0" w:line="502" w:lineRule="auto"/>
        <w:tabs>
          <w:tab w:leader="none" w:pos="109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revenues recognized from </w:t>
      </w:r>
      <w:r>
        <w:rPr>
          <w:rFonts w:ascii="Times New Roman" w:cs="Times New Roman" w:eastAsia="Times New Roman" w:hAnsi="Times New Roman"/>
          <w:sz w:val="18"/>
          <w:szCs w:val="18"/>
          <w:i w:val="1"/>
          <w:iCs w:val="1"/>
          <w:color w:val="auto"/>
        </w:rPr>
        <w:t>Call of Duty: WWII</w:t>
      </w:r>
      <w:r>
        <w:rPr>
          <w:rFonts w:ascii="Times New Roman" w:cs="Times New Roman" w:eastAsia="Times New Roman" w:hAnsi="Times New Roman"/>
          <w:sz w:val="18"/>
          <w:szCs w:val="18"/>
          <w:color w:val="auto"/>
        </w:rPr>
        <w:t xml:space="preserve">, as compared to </w:t>
      </w:r>
      <w:r>
        <w:rPr>
          <w:rFonts w:ascii="Times New Roman" w:cs="Times New Roman" w:eastAsia="Times New Roman" w:hAnsi="Times New Roman"/>
          <w:sz w:val="18"/>
          <w:szCs w:val="18"/>
          <w:i w:val="1"/>
          <w:iCs w:val="1"/>
          <w:color w:val="auto"/>
        </w:rPr>
        <w:t>Call of Duty: Infinite Warfare</w:t>
      </w:r>
      <w:r>
        <w:rPr>
          <w:rFonts w:ascii="Times New Roman" w:cs="Times New Roman" w:eastAsia="Times New Roman" w:hAnsi="Times New Roman"/>
          <w:sz w:val="18"/>
          <w:szCs w:val="18"/>
          <w:color w:val="auto"/>
        </w:rPr>
        <w:t>, which was released in November 2016. The increase was partially offset by:</w:t>
      </w:r>
    </w:p>
    <w:p>
      <w:pPr>
        <w:spacing w:after="0" w:line="1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lower revenues recognized from </w:t>
      </w:r>
      <w:r>
        <w:rPr>
          <w:rFonts w:ascii="Times New Roman" w:cs="Times New Roman" w:eastAsia="Times New Roman" w:hAnsi="Times New Roman"/>
          <w:sz w:val="18"/>
          <w:szCs w:val="18"/>
          <w:i w:val="1"/>
          <w:iCs w:val="1"/>
          <w:color w:val="auto"/>
        </w:rPr>
        <w:t>Overwatch</w:t>
      </w:r>
      <w:r>
        <w:rPr>
          <w:rFonts w:ascii="Times New Roman" w:cs="Times New Roman" w:eastAsia="Times New Roman" w:hAnsi="Times New Roman"/>
          <w:sz w:val="18"/>
          <w:szCs w:val="18"/>
          <w:color w:val="auto"/>
        </w:rPr>
        <w:t>, which was released in May 2016;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lower revenues recognized from </w:t>
      </w:r>
      <w:r>
        <w:rPr>
          <w:rFonts w:ascii="Times New Roman" w:cs="Times New Roman" w:eastAsia="Times New Roman" w:hAnsi="Times New Roman"/>
          <w:sz w:val="18"/>
          <w:szCs w:val="18"/>
          <w:i w:val="1"/>
          <w:iCs w:val="1"/>
          <w:color w:val="auto"/>
        </w:rPr>
        <w:t>Call of Duty: Infinite Warfare</w:t>
      </w:r>
      <w:r>
        <w:rPr>
          <w:rFonts w:ascii="Times New Roman" w:cs="Times New Roman" w:eastAsia="Times New Roman" w:hAnsi="Times New Roman"/>
          <w:sz w:val="18"/>
          <w:szCs w:val="18"/>
          <w:color w:val="auto"/>
        </w:rPr>
        <w:t>, as compared to prior catalog releases.</w:t>
      </w:r>
    </w:p>
    <w:p>
      <w:pPr>
        <w:spacing w:after="0" w:line="2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2017 vs. 2016</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increase in net revenues from digital online channels for 2017, as compared to 2016, was primarily due to:</w:t>
      </w:r>
    </w:p>
    <w:p>
      <w:pPr>
        <w:spacing w:after="0" w:line="239" w:lineRule="exact"/>
        <w:rPr>
          <w:sz w:val="20"/>
          <w:szCs w:val="20"/>
          <w:color w:val="auto"/>
        </w:rPr>
      </w:pPr>
    </w:p>
    <w:p>
      <w:pPr>
        <w:ind w:left="1080" w:right="60" w:hanging="532"/>
        <w:spacing w:after="0" w:line="275"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revenues from King titles, as 2017 included King revenues for the full year, while 2016 only included King revenues for the partial period following the King Closing Date, as well as higher revenues from the Candy Crush franchise due to in-game events and features; and</w:t>
      </w:r>
    </w:p>
    <w:p>
      <w:pPr>
        <w:spacing w:after="0" w:line="198" w:lineRule="exact"/>
        <w:rPr>
          <w:rFonts w:ascii="Times New Roman" w:cs="Times New Roman" w:eastAsia="Times New Roman" w:hAnsi="Times New Roman"/>
          <w:sz w:val="18"/>
          <w:szCs w:val="18"/>
          <w:color w:val="auto"/>
        </w:rPr>
      </w:pPr>
    </w:p>
    <w:p>
      <w:pPr>
        <w:ind w:left="1080" w:right="480" w:hanging="532"/>
        <w:spacing w:after="0" w:line="342" w:lineRule="auto"/>
        <w:tabs>
          <w:tab w:leader="none" w:pos="10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higher revenues recognized from the continued strength of </w:t>
      </w:r>
      <w:r>
        <w:rPr>
          <w:rFonts w:ascii="Times New Roman" w:cs="Times New Roman" w:eastAsia="Times New Roman" w:hAnsi="Times New Roman"/>
          <w:sz w:val="16"/>
          <w:szCs w:val="16"/>
          <w:i w:val="1"/>
          <w:iCs w:val="1"/>
          <w:color w:val="auto"/>
        </w:rPr>
        <w:t>Call of Duty: Black Ops III</w:t>
      </w:r>
      <w:r>
        <w:rPr>
          <w:rFonts w:ascii="Times New Roman" w:cs="Times New Roman" w:eastAsia="Times New Roman" w:hAnsi="Times New Roman"/>
          <w:sz w:val="16"/>
          <w:szCs w:val="16"/>
          <w:color w:val="auto"/>
        </w:rPr>
        <w:t xml:space="preserve">, as compared to prior catalog releases, driven by the downloadable content pack, </w:t>
      </w:r>
      <w:r>
        <w:rPr>
          <w:rFonts w:ascii="Times New Roman" w:cs="Times New Roman" w:eastAsia="Times New Roman" w:hAnsi="Times New Roman"/>
          <w:sz w:val="16"/>
          <w:szCs w:val="16"/>
          <w:i w:val="1"/>
          <w:iCs w:val="1"/>
          <w:color w:val="auto"/>
        </w:rPr>
        <w:t>Zombies Chronicles</w:t>
      </w:r>
      <w:r>
        <w:rPr>
          <w:rFonts w:ascii="Times New Roman" w:cs="Times New Roman" w:eastAsia="Times New Roman" w:hAnsi="Times New Roman"/>
          <w:sz w:val="16"/>
          <w:szCs w:val="16"/>
          <w:color w:val="auto"/>
        </w:rPr>
        <w:t>, which was released in May 2017, and the continued strength of microtransactions.</w:t>
      </w:r>
    </w:p>
    <w:p>
      <w:pPr>
        <w:spacing w:after="0" w:line="124" w:lineRule="exact"/>
        <w:rPr>
          <w:sz w:val="20"/>
          <w:szCs w:val="20"/>
          <w:color w:val="auto"/>
        </w:rPr>
      </w:pPr>
    </w:p>
    <w:p>
      <w:pPr>
        <w:ind w:right="100" w:firstLine="348"/>
        <w:spacing w:after="0" w:line="277" w:lineRule="auto"/>
        <w:rPr>
          <w:sz w:val="20"/>
          <w:szCs w:val="20"/>
          <w:color w:val="auto"/>
        </w:rPr>
      </w:pPr>
      <w:r>
        <w:rPr>
          <w:rFonts w:ascii="Times New Roman" w:cs="Times New Roman" w:eastAsia="Times New Roman" w:hAnsi="Times New Roman"/>
          <w:sz w:val="18"/>
          <w:szCs w:val="18"/>
          <w:color w:val="auto"/>
        </w:rPr>
        <w:t xml:space="preserve">The increase was partially offset by lower revenues recognized from </w:t>
      </w:r>
      <w:r>
        <w:rPr>
          <w:rFonts w:ascii="Times New Roman" w:cs="Times New Roman" w:eastAsia="Times New Roman" w:hAnsi="Times New Roman"/>
          <w:sz w:val="18"/>
          <w:szCs w:val="18"/>
          <w:i w:val="1"/>
          <w:iCs w:val="1"/>
          <w:color w:val="auto"/>
        </w:rPr>
        <w:t>Call of Duty: Infinite Warfare</w:t>
      </w:r>
      <w:r>
        <w:rPr>
          <w:rFonts w:ascii="Times New Roman" w:cs="Times New Roman" w:eastAsia="Times New Roman" w:hAnsi="Times New Roman"/>
          <w:sz w:val="18"/>
          <w:szCs w:val="18"/>
          <w:color w:val="auto"/>
        </w:rPr>
        <w:t xml:space="preserve">, as compared to the performance of </w:t>
      </w:r>
      <w:r>
        <w:rPr>
          <w:rFonts w:ascii="Times New Roman" w:cs="Times New Roman" w:eastAsia="Times New Roman" w:hAnsi="Times New Roman"/>
          <w:sz w:val="18"/>
          <w:szCs w:val="18"/>
          <w:i w:val="1"/>
          <w:iCs w:val="1"/>
          <w:color w:val="auto"/>
        </w:rPr>
        <w:t>Call of Duty: Black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Ops III</w:t>
      </w:r>
      <w:r>
        <w:rPr>
          <w:rFonts w:ascii="Times New Roman" w:cs="Times New Roman" w:eastAsia="Times New Roman" w:hAnsi="Times New Roman"/>
          <w:sz w:val="18"/>
          <w:szCs w:val="18"/>
          <w:color w:val="auto"/>
        </w:rPr>
        <w:t>, the comparable 2015 title.</w:t>
      </w:r>
    </w:p>
    <w:p>
      <w:pPr>
        <w:spacing w:after="0" w:line="170" w:lineRule="exact"/>
        <w:rPr>
          <w:sz w:val="20"/>
          <w:szCs w:val="20"/>
          <w:color w:val="auto"/>
        </w:rPr>
      </w:pPr>
    </w:p>
    <w:p>
      <w:pPr>
        <w:jc w:val="center"/>
        <w:ind w:right="9280"/>
        <w:spacing w:after="0"/>
        <w:rPr>
          <w:sz w:val="20"/>
          <w:szCs w:val="20"/>
          <w:color w:val="auto"/>
        </w:rPr>
      </w:pPr>
      <w:r>
        <w:rPr>
          <w:rFonts w:ascii="Times New Roman" w:cs="Times New Roman" w:eastAsia="Times New Roman" w:hAnsi="Times New Roman"/>
          <w:sz w:val="16"/>
          <w:szCs w:val="16"/>
          <w:i w:val="1"/>
          <w:iCs w:val="1"/>
          <w:color w:val="auto"/>
        </w:rPr>
        <w:t>Retail Channel Net Revenues</w:t>
      </w:r>
    </w:p>
    <w:p>
      <w:pPr>
        <w:spacing w:after="0" w:line="2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2018 vs. 2017</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increase in net revenues from retail channels for 2018, as compared to 2017, was primarily due to:</w:t>
      </w:r>
    </w:p>
    <w:p>
      <w:pPr>
        <w:spacing w:after="0" w:line="237" w:lineRule="exact"/>
        <w:rPr>
          <w:sz w:val="20"/>
          <w:szCs w:val="20"/>
          <w:color w:val="auto"/>
        </w:rPr>
      </w:pPr>
    </w:p>
    <w:p>
      <w:pPr>
        <w:ind w:left="1080" w:right="380" w:hanging="532"/>
        <w:spacing w:after="0" w:line="277"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revenues recognized from </w:t>
      </w:r>
      <w:r>
        <w:rPr>
          <w:rFonts w:ascii="Times New Roman" w:cs="Times New Roman" w:eastAsia="Times New Roman" w:hAnsi="Times New Roman"/>
          <w:sz w:val="18"/>
          <w:szCs w:val="18"/>
          <w:i w:val="1"/>
          <w:iCs w:val="1"/>
          <w:color w:val="auto"/>
        </w:rPr>
        <w:t>Call of Duty: WWII</w:t>
      </w:r>
      <w:r>
        <w:rPr>
          <w:rFonts w:ascii="Times New Roman" w:cs="Times New Roman" w:eastAsia="Times New Roman" w:hAnsi="Times New Roman"/>
          <w:sz w:val="18"/>
          <w:szCs w:val="18"/>
          <w:color w:val="auto"/>
        </w:rPr>
        <w:t xml:space="preserve">, which was released in November 2017, as compared to </w:t>
      </w:r>
      <w:r>
        <w:rPr>
          <w:rFonts w:ascii="Times New Roman" w:cs="Times New Roman" w:eastAsia="Times New Roman" w:hAnsi="Times New Roman"/>
          <w:sz w:val="18"/>
          <w:szCs w:val="18"/>
          <w:i w:val="1"/>
          <w:iCs w:val="1"/>
          <w:color w:val="auto"/>
        </w:rPr>
        <w:t>Call of Duty: Infinite Warfare</w:t>
      </w:r>
      <w:r>
        <w:rPr>
          <w:rFonts w:ascii="Times New Roman" w:cs="Times New Roman" w:eastAsia="Times New Roman" w:hAnsi="Times New Roman"/>
          <w:sz w:val="18"/>
          <w:szCs w:val="18"/>
          <w:color w:val="auto"/>
        </w:rPr>
        <w:t>, which was released in November 2016; and</w:t>
      </w:r>
    </w:p>
    <w:p>
      <w:pPr>
        <w:spacing w:after="0" w:line="18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revenues from the </w:t>
      </w:r>
      <w:r>
        <w:rPr>
          <w:rFonts w:ascii="Times New Roman" w:cs="Times New Roman" w:eastAsia="Times New Roman" w:hAnsi="Times New Roman"/>
          <w:sz w:val="18"/>
          <w:szCs w:val="18"/>
          <w:i w:val="1"/>
          <w:iCs w:val="1"/>
          <w:color w:val="auto"/>
        </w:rPr>
        <w:t>Spyro Reignited Trilogy</w:t>
      </w:r>
      <w:r>
        <w:rPr>
          <w:rFonts w:ascii="Times New Roman" w:cs="Times New Roman" w:eastAsia="Times New Roman" w:hAnsi="Times New Roman"/>
          <w:sz w:val="18"/>
          <w:szCs w:val="18"/>
          <w:color w:val="auto"/>
        </w:rPr>
        <w:t>, which was released in November 2018, with no comparable release in 2017.</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2017 vs. 2016</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decrease in net revenues from retail channels for 2017, as compared to 2016, was primarily due to:</w:t>
      </w:r>
    </w:p>
    <w:p>
      <w:pPr>
        <w:spacing w:after="0" w:line="250" w:lineRule="exact"/>
        <w:rPr>
          <w:sz w:val="20"/>
          <w:szCs w:val="20"/>
          <w:color w:val="auto"/>
        </w:rPr>
      </w:pPr>
    </w:p>
    <w:p>
      <w:pPr>
        <w:ind w:left="1080" w:right="200" w:hanging="532"/>
        <w:spacing w:after="0" w:line="277"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lower revenues recognized from </w:t>
      </w:r>
      <w:r>
        <w:rPr>
          <w:rFonts w:ascii="Times New Roman" w:cs="Times New Roman" w:eastAsia="Times New Roman" w:hAnsi="Times New Roman"/>
          <w:sz w:val="18"/>
          <w:szCs w:val="18"/>
          <w:i w:val="1"/>
          <w:iCs w:val="1"/>
          <w:color w:val="auto"/>
        </w:rPr>
        <w:t>Call of Duty: Infinite Warfare</w:t>
      </w:r>
      <w:r>
        <w:rPr>
          <w:rFonts w:ascii="Times New Roman" w:cs="Times New Roman" w:eastAsia="Times New Roman" w:hAnsi="Times New Roman"/>
          <w:sz w:val="18"/>
          <w:szCs w:val="18"/>
          <w:color w:val="auto"/>
        </w:rPr>
        <w:t xml:space="preserve">, as compared to the performance of </w:t>
      </w:r>
      <w:r>
        <w:rPr>
          <w:rFonts w:ascii="Times New Roman" w:cs="Times New Roman" w:eastAsia="Times New Roman" w:hAnsi="Times New Roman"/>
          <w:sz w:val="18"/>
          <w:szCs w:val="18"/>
          <w:i w:val="1"/>
          <w:iCs w:val="1"/>
          <w:color w:val="auto"/>
        </w:rPr>
        <w:t>Call of Duty: Black Ops III</w:t>
      </w:r>
      <w:r>
        <w:rPr>
          <w:rFonts w:ascii="Times New Roman" w:cs="Times New Roman" w:eastAsia="Times New Roman" w:hAnsi="Times New Roman"/>
          <w:sz w:val="18"/>
          <w:szCs w:val="18"/>
          <w:color w:val="auto"/>
        </w:rPr>
        <w:t>, the comparable 2015 title; and</w:t>
      </w:r>
    </w:p>
    <w:p>
      <w:pPr>
        <w:spacing w:after="0" w:line="183" w:lineRule="exact"/>
        <w:rPr>
          <w:rFonts w:ascii="Times New Roman" w:cs="Times New Roman" w:eastAsia="Times New Roman" w:hAnsi="Times New Roman"/>
          <w:sz w:val="18"/>
          <w:szCs w:val="18"/>
          <w:color w:val="auto"/>
        </w:rPr>
      </w:pPr>
    </w:p>
    <w:p>
      <w:pPr>
        <w:ind w:left="360" w:firstLine="188"/>
        <w:spacing w:after="0" w:line="502" w:lineRule="auto"/>
        <w:tabs>
          <w:tab w:leader="none" w:pos="109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lower revenues from the Skylanders franchise, due to the release of </w:t>
      </w:r>
      <w:r>
        <w:rPr>
          <w:rFonts w:ascii="Times New Roman" w:cs="Times New Roman" w:eastAsia="Times New Roman" w:hAnsi="Times New Roman"/>
          <w:sz w:val="18"/>
          <w:szCs w:val="18"/>
          <w:i w:val="1"/>
          <w:iCs w:val="1"/>
          <w:color w:val="auto"/>
        </w:rPr>
        <w:t>Skylanders Imaginators</w:t>
      </w:r>
      <w:r>
        <w:rPr>
          <w:rFonts w:ascii="Times New Roman" w:cs="Times New Roman" w:eastAsia="Times New Roman" w:hAnsi="Times New Roman"/>
          <w:sz w:val="18"/>
          <w:szCs w:val="18"/>
          <w:color w:val="auto"/>
        </w:rPr>
        <w:t xml:space="preserve"> in October 2016, with no comparable release in 2017. The decrease was partially offset by:</w:t>
      </w:r>
    </w:p>
    <w:p>
      <w:pPr>
        <w:spacing w:after="0" w:line="1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revenues from </w:t>
      </w:r>
      <w:r>
        <w:rPr>
          <w:rFonts w:ascii="Times New Roman" w:cs="Times New Roman" w:eastAsia="Times New Roman" w:hAnsi="Times New Roman"/>
          <w:sz w:val="18"/>
          <w:szCs w:val="18"/>
          <w:i w:val="1"/>
          <w:iCs w:val="1"/>
          <w:color w:val="auto"/>
        </w:rPr>
        <w:t>Crash Bandicoot N. Sane Trilogy</w:t>
      </w:r>
      <w:r>
        <w:rPr>
          <w:rFonts w:ascii="Times New Roman" w:cs="Times New Roman" w:eastAsia="Times New Roman" w:hAnsi="Times New Roman"/>
          <w:sz w:val="18"/>
          <w:szCs w:val="18"/>
          <w:color w:val="auto"/>
        </w:rPr>
        <w:t>, which was released in June 2017;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revenues recognized from </w:t>
      </w:r>
      <w:r>
        <w:rPr>
          <w:rFonts w:ascii="Times New Roman" w:cs="Times New Roman" w:eastAsia="Times New Roman" w:hAnsi="Times New Roman"/>
          <w:sz w:val="18"/>
          <w:szCs w:val="18"/>
          <w:i w:val="1"/>
          <w:iCs w:val="1"/>
          <w:color w:val="auto"/>
        </w:rPr>
        <w:t>Call of Duty: WWII</w:t>
      </w:r>
      <w:r>
        <w:rPr>
          <w:rFonts w:ascii="Times New Roman" w:cs="Times New Roman" w:eastAsia="Times New Roman" w:hAnsi="Times New Roman"/>
          <w:sz w:val="18"/>
          <w:szCs w:val="18"/>
          <w:color w:val="auto"/>
        </w:rPr>
        <w:t xml:space="preserve">, as compared to </w:t>
      </w:r>
      <w:r>
        <w:rPr>
          <w:rFonts w:ascii="Times New Roman" w:cs="Times New Roman" w:eastAsia="Times New Roman" w:hAnsi="Times New Roman"/>
          <w:sz w:val="18"/>
          <w:szCs w:val="18"/>
          <w:i w:val="1"/>
          <w:iCs w:val="1"/>
          <w:color w:val="auto"/>
        </w:rPr>
        <w:t>Call of Duty: Infinite Warfare</w:t>
      </w:r>
      <w:r>
        <w:rPr>
          <w:rFonts w:ascii="Times New Roman" w:cs="Times New Roman" w:eastAsia="Times New Roman" w:hAnsi="Times New Roman"/>
          <w:sz w:val="18"/>
          <w:szCs w:val="18"/>
          <w:color w:val="auto"/>
        </w:rPr>
        <w:t>, the comparable 2016 title.</w:t>
      </w: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 by Geographic Region</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details our consolidated net revenues by geographic region (amounts in millions):</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8"/>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ind w:right="21"/>
              <w:spacing w:after="0" w:line="125" w:lineRule="exact"/>
              <w:rPr>
                <w:sz w:val="20"/>
                <w:szCs w:val="20"/>
                <w:color w:val="auto"/>
              </w:rPr>
            </w:pPr>
            <w:r>
              <w:rPr>
                <w:rFonts w:ascii="Times New Roman" w:cs="Times New Roman" w:eastAsia="Times New Roman" w:hAnsi="Times New Roman"/>
                <w:sz w:val="14"/>
                <w:szCs w:val="14"/>
                <w:b w:val="1"/>
                <w:bCs w:val="1"/>
                <w:color w:val="auto"/>
                <w:w w:val="95"/>
              </w:rPr>
              <w:t>Increase/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95"/>
              </w:rPr>
              <w:t>Increase/</w:t>
            </w: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(decrease)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10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7"/>
              </w:rPr>
              <w:t>2018 v 2017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2017 v 2016</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2018 v 2017</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2017 v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 by geographic region:</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Pr>
          <w:p>
            <w:pPr>
              <w:spacing w:after="0"/>
              <w:rPr>
                <w:sz w:val="18"/>
                <w:szCs w:val="18"/>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w w:val="99"/>
              </w:rPr>
              <w:t>8%</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EMEA (1)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Asia Pacific</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8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6</w:t>
            </w: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revenues</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7</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680" w:hanging="531"/>
        <w:spacing w:after="0"/>
        <w:tabs>
          <w:tab w:leader="none" w:pos="1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"EMEA" consists of the Europe, Middle East, and Africa geographic regions.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2018 vs. 2017</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increase in net revenues in the Americas region for 2018, as compared to 2017, was primarily due to:</w:t>
      </w:r>
    </w:p>
    <w:p>
      <w:pPr>
        <w:spacing w:after="0" w:line="250" w:lineRule="exact"/>
        <w:rPr>
          <w:sz w:val="20"/>
          <w:szCs w:val="20"/>
          <w:color w:val="auto"/>
        </w:rPr>
      </w:pPr>
    </w:p>
    <w:p>
      <w:pPr>
        <w:ind w:left="1080" w:hanging="532"/>
        <w:spacing w:after="0" w:line="277"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revenues recognized from the Destiny franchise, driven by </w:t>
      </w:r>
      <w:r>
        <w:rPr>
          <w:rFonts w:ascii="Times New Roman" w:cs="Times New Roman" w:eastAsia="Times New Roman" w:hAnsi="Times New Roman"/>
          <w:sz w:val="18"/>
          <w:szCs w:val="18"/>
          <w:i w:val="1"/>
          <w:iCs w:val="1"/>
          <w:color w:val="auto"/>
        </w:rPr>
        <w:t>Destiny 2</w:t>
      </w:r>
      <w:r>
        <w:rPr>
          <w:rFonts w:ascii="Times New Roman" w:cs="Times New Roman" w:eastAsia="Times New Roman" w:hAnsi="Times New Roman"/>
          <w:sz w:val="18"/>
          <w:szCs w:val="18"/>
          <w:color w:val="auto"/>
        </w:rPr>
        <w:t>, which was released in September 2017, with no comparable release in 2016, and by revenues recognized in connection with the sale of our Destiny publishing rights to Bungie;</w:t>
      </w:r>
    </w:p>
    <w:p>
      <w:pPr>
        <w:spacing w:after="0" w:line="183" w:lineRule="exact"/>
        <w:rPr>
          <w:rFonts w:ascii="Times New Roman" w:cs="Times New Roman" w:eastAsia="Times New Roman" w:hAnsi="Times New Roman"/>
          <w:sz w:val="18"/>
          <w:szCs w:val="18"/>
          <w:color w:val="auto"/>
        </w:rPr>
      </w:pPr>
    </w:p>
    <w:p>
      <w:pPr>
        <w:ind w:left="1080" w:right="280" w:hanging="532"/>
        <w:spacing w:after="0" w:line="277"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revenues recognized from </w:t>
      </w:r>
      <w:r>
        <w:rPr>
          <w:rFonts w:ascii="Times New Roman" w:cs="Times New Roman" w:eastAsia="Times New Roman" w:hAnsi="Times New Roman"/>
          <w:sz w:val="18"/>
          <w:szCs w:val="18"/>
          <w:i w:val="1"/>
          <w:iCs w:val="1"/>
          <w:color w:val="auto"/>
        </w:rPr>
        <w:t>Call of Duty: WWII</w:t>
      </w:r>
      <w:r>
        <w:rPr>
          <w:rFonts w:ascii="Times New Roman" w:cs="Times New Roman" w:eastAsia="Times New Roman" w:hAnsi="Times New Roman"/>
          <w:sz w:val="18"/>
          <w:szCs w:val="18"/>
          <w:color w:val="auto"/>
        </w:rPr>
        <w:t xml:space="preserve">, which was released in November 2017, as compared to </w:t>
      </w:r>
      <w:r>
        <w:rPr>
          <w:rFonts w:ascii="Times New Roman" w:cs="Times New Roman" w:eastAsia="Times New Roman" w:hAnsi="Times New Roman"/>
          <w:sz w:val="18"/>
          <w:szCs w:val="18"/>
          <w:i w:val="1"/>
          <w:iCs w:val="1"/>
          <w:color w:val="auto"/>
        </w:rPr>
        <w:t>Call of Duty: Infinite Warfare</w:t>
      </w:r>
      <w:r>
        <w:rPr>
          <w:rFonts w:ascii="Times New Roman" w:cs="Times New Roman" w:eastAsia="Times New Roman" w:hAnsi="Times New Roman"/>
          <w:sz w:val="18"/>
          <w:szCs w:val="18"/>
          <w:color w:val="auto"/>
        </w:rPr>
        <w:t>, which was released in November 2016; and</w:t>
      </w:r>
    </w:p>
    <w:p>
      <w:pPr>
        <w:spacing w:after="0" w:line="183" w:lineRule="exact"/>
        <w:rPr>
          <w:rFonts w:ascii="Times New Roman" w:cs="Times New Roman" w:eastAsia="Times New Roman" w:hAnsi="Times New Roman"/>
          <w:sz w:val="18"/>
          <w:szCs w:val="18"/>
          <w:color w:val="auto"/>
        </w:rPr>
      </w:pPr>
    </w:p>
    <w:p>
      <w:pPr>
        <w:ind w:left="1080" w:right="280" w:hanging="532"/>
        <w:spacing w:after="0" w:line="277"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revenues from the Candy Crush franchise, primarily due to in-game advertisements, increased monetization, and the launch of </w:t>
      </w:r>
      <w:r>
        <w:rPr>
          <w:rFonts w:ascii="Times New Roman" w:cs="Times New Roman" w:eastAsia="Times New Roman" w:hAnsi="Times New Roman"/>
          <w:sz w:val="18"/>
          <w:szCs w:val="18"/>
          <w:i w:val="1"/>
          <w:iCs w:val="1"/>
          <w:color w:val="auto"/>
        </w:rPr>
        <w:t>Candy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Crush Friends Saga</w:t>
      </w:r>
      <w:r>
        <w:rPr>
          <w:rFonts w:ascii="Times New Roman" w:cs="Times New Roman" w:eastAsia="Times New Roman" w:hAnsi="Times New Roman"/>
          <w:sz w:val="18"/>
          <w:szCs w:val="18"/>
          <w:color w:val="auto"/>
        </w:rPr>
        <w:t>, the latest title in the Candy Crush franchise, in October 2018.</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increase was partially offset by:</w:t>
      </w:r>
    </w:p>
    <w:p>
      <w:pPr>
        <w:spacing w:after="0" w:line="250" w:lineRule="exact"/>
        <w:rPr>
          <w:sz w:val="20"/>
          <w:szCs w:val="20"/>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lower revenues recognized from </w:t>
      </w:r>
      <w:r>
        <w:rPr>
          <w:rFonts w:ascii="Times New Roman" w:cs="Times New Roman" w:eastAsia="Times New Roman" w:hAnsi="Times New Roman"/>
          <w:sz w:val="18"/>
          <w:szCs w:val="18"/>
          <w:i w:val="1"/>
          <w:iCs w:val="1"/>
          <w:color w:val="auto"/>
        </w:rPr>
        <w:t>Call of Duty: Infinite Warfare</w:t>
      </w:r>
      <w:r>
        <w:rPr>
          <w:rFonts w:ascii="Times New Roman" w:cs="Times New Roman" w:eastAsia="Times New Roman" w:hAnsi="Times New Roman"/>
          <w:sz w:val="18"/>
          <w:szCs w:val="18"/>
          <w:color w:val="auto"/>
        </w:rPr>
        <w:t>, as compared to prior catalog releases;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lower revenues recognized from </w:t>
      </w:r>
      <w:r>
        <w:rPr>
          <w:rFonts w:ascii="Times New Roman" w:cs="Times New Roman" w:eastAsia="Times New Roman" w:hAnsi="Times New Roman"/>
          <w:sz w:val="18"/>
          <w:szCs w:val="18"/>
          <w:i w:val="1"/>
          <w:iCs w:val="1"/>
          <w:color w:val="auto"/>
        </w:rPr>
        <w:t>Overwatch</w:t>
      </w:r>
      <w:r>
        <w:rPr>
          <w:rFonts w:ascii="Times New Roman" w:cs="Times New Roman" w:eastAsia="Times New Roman" w:hAnsi="Times New Roman"/>
          <w:sz w:val="18"/>
          <w:szCs w:val="18"/>
          <w:color w:val="auto"/>
        </w:rPr>
        <w:t>, which was released in May 2016.</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2017 vs. 2016</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increase in net revenues in the Americas region for 2017, as compared to 2016, was primarily due to:</w:t>
      </w:r>
    </w:p>
    <w:p>
      <w:pPr>
        <w:spacing w:after="0" w:line="239" w:lineRule="exact"/>
        <w:rPr>
          <w:sz w:val="20"/>
          <w:szCs w:val="20"/>
          <w:color w:val="auto"/>
        </w:rPr>
      </w:pPr>
    </w:p>
    <w:p>
      <w:pPr>
        <w:ind w:left="1080" w:right="260" w:hanging="532"/>
        <w:spacing w:after="0" w:line="339" w:lineRule="auto"/>
        <w:tabs>
          <w:tab w:leader="none" w:pos="10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higher revenues from King titles, as 2017 included King's revenues for the full year, while 2016 only included King's revenues for the partial period following the King Closing Date, as well as higher revenues from the Candy Crush franchise due to in-game events and features;</w:t>
      </w:r>
    </w:p>
    <w:p>
      <w:pPr>
        <w:spacing w:after="0" w:line="153" w:lineRule="exact"/>
        <w:rPr>
          <w:rFonts w:ascii="Times New Roman" w:cs="Times New Roman" w:eastAsia="Times New Roman" w:hAnsi="Times New Roman"/>
          <w:sz w:val="16"/>
          <w:szCs w:val="16"/>
          <w:color w:val="auto"/>
        </w:rPr>
      </w:pPr>
    </w:p>
    <w:p>
      <w:pPr>
        <w:ind w:left="1080" w:right="380" w:hanging="532"/>
        <w:spacing w:after="0" w:line="342" w:lineRule="auto"/>
        <w:tabs>
          <w:tab w:leader="none" w:pos="10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higher revenues recognized from the continued strength of </w:t>
      </w:r>
      <w:r>
        <w:rPr>
          <w:rFonts w:ascii="Times New Roman" w:cs="Times New Roman" w:eastAsia="Times New Roman" w:hAnsi="Times New Roman"/>
          <w:sz w:val="16"/>
          <w:szCs w:val="16"/>
          <w:i w:val="1"/>
          <w:iCs w:val="1"/>
          <w:color w:val="auto"/>
        </w:rPr>
        <w:t>Call of Duty: Black Ops III</w:t>
      </w:r>
      <w:r>
        <w:rPr>
          <w:rFonts w:ascii="Times New Roman" w:cs="Times New Roman" w:eastAsia="Times New Roman" w:hAnsi="Times New Roman"/>
          <w:sz w:val="16"/>
          <w:szCs w:val="16"/>
          <w:color w:val="auto"/>
        </w:rPr>
        <w:t xml:space="preserve">, as compared to prior catalog releases, driven by the downloadable content pack, </w:t>
      </w:r>
      <w:r>
        <w:rPr>
          <w:rFonts w:ascii="Times New Roman" w:cs="Times New Roman" w:eastAsia="Times New Roman" w:hAnsi="Times New Roman"/>
          <w:sz w:val="16"/>
          <w:szCs w:val="16"/>
          <w:i w:val="1"/>
          <w:iCs w:val="1"/>
          <w:color w:val="auto"/>
        </w:rPr>
        <w:t>Zombies Chronicles</w:t>
      </w:r>
      <w:r>
        <w:rPr>
          <w:rFonts w:ascii="Times New Roman" w:cs="Times New Roman" w:eastAsia="Times New Roman" w:hAnsi="Times New Roman"/>
          <w:sz w:val="16"/>
          <w:szCs w:val="16"/>
          <w:color w:val="auto"/>
        </w:rPr>
        <w:t>, which was released in May 2017, and the continued strength of microtransactions; and</w:t>
      </w:r>
    </w:p>
    <w:p>
      <w:pPr>
        <w:spacing w:after="0" w:line="137"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revenues from </w:t>
      </w:r>
      <w:r>
        <w:rPr>
          <w:rFonts w:ascii="Times New Roman" w:cs="Times New Roman" w:eastAsia="Times New Roman" w:hAnsi="Times New Roman"/>
          <w:sz w:val="18"/>
          <w:szCs w:val="18"/>
          <w:i w:val="1"/>
          <w:iCs w:val="1"/>
          <w:color w:val="auto"/>
        </w:rPr>
        <w:t>Crash Bandicoot N. Sane Trilogy</w:t>
      </w:r>
      <w:r>
        <w:rPr>
          <w:rFonts w:ascii="Times New Roman" w:cs="Times New Roman" w:eastAsia="Times New Roman" w:hAnsi="Times New Roman"/>
          <w:sz w:val="18"/>
          <w:szCs w:val="18"/>
          <w:color w:val="auto"/>
        </w:rPr>
        <w:t>, which was released in June 2017.</w:t>
      </w:r>
    </w:p>
    <w:p>
      <w:pPr>
        <w:spacing w:after="0" w:line="225" w:lineRule="exact"/>
        <w:rPr>
          <w:sz w:val="20"/>
          <w:szCs w:val="20"/>
          <w:color w:val="auto"/>
        </w:rPr>
      </w:pPr>
    </w:p>
    <w:p>
      <w:pPr>
        <w:ind w:firstLine="348"/>
        <w:spacing w:after="0" w:line="277" w:lineRule="auto"/>
        <w:rPr>
          <w:sz w:val="20"/>
          <w:szCs w:val="20"/>
          <w:color w:val="auto"/>
        </w:rPr>
      </w:pPr>
      <w:r>
        <w:rPr>
          <w:rFonts w:ascii="Times New Roman" w:cs="Times New Roman" w:eastAsia="Times New Roman" w:hAnsi="Times New Roman"/>
          <w:sz w:val="18"/>
          <w:szCs w:val="18"/>
          <w:color w:val="auto"/>
        </w:rPr>
        <w:t xml:space="preserve">The increase was partially offset by lower revenues recognized from </w:t>
      </w:r>
      <w:r>
        <w:rPr>
          <w:rFonts w:ascii="Times New Roman" w:cs="Times New Roman" w:eastAsia="Times New Roman" w:hAnsi="Times New Roman"/>
          <w:sz w:val="18"/>
          <w:szCs w:val="18"/>
          <w:i w:val="1"/>
          <w:iCs w:val="1"/>
          <w:color w:val="auto"/>
        </w:rPr>
        <w:t>Call of Duty: Infinite Warfare</w:t>
      </w:r>
      <w:r>
        <w:rPr>
          <w:rFonts w:ascii="Times New Roman" w:cs="Times New Roman" w:eastAsia="Times New Roman" w:hAnsi="Times New Roman"/>
          <w:sz w:val="18"/>
          <w:szCs w:val="18"/>
          <w:color w:val="auto"/>
        </w:rPr>
        <w:t xml:space="preserve">, as compared to the performance of </w:t>
      </w:r>
      <w:r>
        <w:rPr>
          <w:rFonts w:ascii="Times New Roman" w:cs="Times New Roman" w:eastAsia="Times New Roman" w:hAnsi="Times New Roman"/>
          <w:sz w:val="18"/>
          <w:szCs w:val="18"/>
          <w:i w:val="1"/>
          <w:iCs w:val="1"/>
          <w:color w:val="auto"/>
        </w:rPr>
        <w:t>Call of Duty: Black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Ops III</w:t>
      </w:r>
      <w:r>
        <w:rPr>
          <w:rFonts w:ascii="Times New Roman" w:cs="Times New Roman" w:eastAsia="Times New Roman" w:hAnsi="Times New Roman"/>
          <w:sz w:val="18"/>
          <w:szCs w:val="18"/>
          <w:color w:val="auto"/>
        </w:rPr>
        <w:t>, the comparable 2015 title.</w:t>
      </w:r>
    </w:p>
    <w:p>
      <w:pPr>
        <w:spacing w:after="0" w:line="1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2018 vs. 2017</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The increase in net revenues in the EMEA region for 2018, as compared to 2017, was primarily due to higher revenues recognized from </w:t>
      </w:r>
      <w:r>
        <w:rPr>
          <w:rFonts w:ascii="Times New Roman" w:cs="Times New Roman" w:eastAsia="Times New Roman" w:hAnsi="Times New Roman"/>
          <w:sz w:val="16"/>
          <w:szCs w:val="16"/>
          <w:i w:val="1"/>
          <w:iCs w:val="1"/>
          <w:color w:val="auto"/>
        </w:rPr>
        <w:t>Call of Duty: WWII</w:t>
      </w:r>
      <w:r>
        <w:rPr>
          <w:rFonts w:ascii="Times New Roman" w:cs="Times New Roman" w:eastAsia="Times New Roman" w:hAnsi="Times New Roman"/>
          <w:sz w:val="16"/>
          <w:szCs w:val="16"/>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which was released in November 2017, as compared to </w:t>
      </w:r>
      <w:r>
        <w:rPr>
          <w:rFonts w:ascii="Times New Roman" w:cs="Times New Roman" w:eastAsia="Times New Roman" w:hAnsi="Times New Roman"/>
          <w:sz w:val="18"/>
          <w:szCs w:val="18"/>
          <w:i w:val="1"/>
          <w:iCs w:val="1"/>
          <w:color w:val="auto"/>
        </w:rPr>
        <w:t>Call of Duty: Infinite Warfare</w:t>
      </w:r>
      <w:r>
        <w:rPr>
          <w:rFonts w:ascii="Times New Roman" w:cs="Times New Roman" w:eastAsia="Times New Roman" w:hAnsi="Times New Roman"/>
          <w:sz w:val="18"/>
          <w:szCs w:val="18"/>
          <w:color w:val="auto"/>
        </w:rPr>
        <w:t>, which was released in November 2016.</w:t>
      </w:r>
    </w:p>
    <w:p>
      <w:pPr>
        <w:spacing w:after="0" w:line="2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2017 vs. 2016</w:t>
      </w:r>
    </w:p>
    <w:p>
      <w:pPr>
        <w:spacing w:after="0" w:line="225" w:lineRule="exact"/>
        <w:rPr>
          <w:sz w:val="20"/>
          <w:szCs w:val="20"/>
          <w:color w:val="auto"/>
        </w:rPr>
      </w:pPr>
    </w:p>
    <w:p>
      <w:pPr>
        <w:ind w:firstLine="348"/>
        <w:spacing w:after="0" w:line="339" w:lineRule="auto"/>
        <w:rPr>
          <w:sz w:val="20"/>
          <w:szCs w:val="20"/>
          <w:color w:val="auto"/>
        </w:rPr>
      </w:pPr>
      <w:r>
        <w:rPr>
          <w:rFonts w:ascii="Times New Roman" w:cs="Times New Roman" w:eastAsia="Times New Roman" w:hAnsi="Times New Roman"/>
          <w:sz w:val="16"/>
          <w:szCs w:val="16"/>
          <w:color w:val="auto"/>
        </w:rPr>
        <w:t>The increase in net revenues in the EMEA region for 2017, as compared to 2016, was primarily due to the same drivers and partially offsetting factors as those for the Americas region discussed above, as well as higher revenues from our Distribution business, primarily due to higher sales during the holiday season.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2018 vs. 2017</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increase in net revenues in the Asia Pacific region for 2018, as compared to 2017, was primarily due to:</w:t>
      </w:r>
    </w:p>
    <w:p>
      <w:pPr>
        <w:spacing w:after="0" w:line="237" w:lineRule="exact"/>
        <w:rPr>
          <w:sz w:val="20"/>
          <w:szCs w:val="20"/>
          <w:color w:val="auto"/>
        </w:rPr>
      </w:pPr>
    </w:p>
    <w:p>
      <w:pPr>
        <w:ind w:left="1080" w:right="160" w:hanging="532"/>
        <w:spacing w:after="0" w:line="277"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revenues recognized from </w:t>
      </w:r>
      <w:r>
        <w:rPr>
          <w:rFonts w:ascii="Times New Roman" w:cs="Times New Roman" w:eastAsia="Times New Roman" w:hAnsi="Times New Roman"/>
          <w:sz w:val="18"/>
          <w:szCs w:val="18"/>
          <w:i w:val="1"/>
          <w:iCs w:val="1"/>
          <w:color w:val="auto"/>
        </w:rPr>
        <w:t>Hearthstone</w:t>
      </w:r>
      <w:r>
        <w:rPr>
          <w:rFonts w:ascii="Times New Roman" w:cs="Times New Roman" w:eastAsia="Times New Roman" w:hAnsi="Times New Roman"/>
          <w:sz w:val="18"/>
          <w:szCs w:val="18"/>
          <w:color w:val="auto"/>
        </w:rPr>
        <w:t>, driven by additional digital content delivered in connection with the renewal of our contract with NetEase, Inc. that was entered into in December 2018; and</w:t>
      </w:r>
    </w:p>
    <w:p>
      <w:pPr>
        <w:spacing w:after="0" w:line="197" w:lineRule="exact"/>
        <w:rPr>
          <w:rFonts w:ascii="Times New Roman" w:cs="Times New Roman" w:eastAsia="Times New Roman" w:hAnsi="Times New Roman"/>
          <w:sz w:val="18"/>
          <w:szCs w:val="18"/>
          <w:color w:val="auto"/>
        </w:rPr>
      </w:pPr>
    </w:p>
    <w:p>
      <w:pPr>
        <w:ind w:left="1080" w:hanging="532"/>
        <w:spacing w:after="0" w:line="277"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revenues from the Candy Crush franchise, primarily due to in-game advertisements and the launch of </w:t>
      </w:r>
      <w:r>
        <w:rPr>
          <w:rFonts w:ascii="Times New Roman" w:cs="Times New Roman" w:eastAsia="Times New Roman" w:hAnsi="Times New Roman"/>
          <w:sz w:val="18"/>
          <w:szCs w:val="18"/>
          <w:i w:val="1"/>
          <w:iCs w:val="1"/>
          <w:color w:val="auto"/>
        </w:rPr>
        <w:t>Candy Crush Friends Saga</w:t>
      </w:r>
      <w:r>
        <w:rPr>
          <w:rFonts w:ascii="Times New Roman" w:cs="Times New Roman" w:eastAsia="Times New Roman" w:hAnsi="Times New Roman"/>
          <w:sz w:val="18"/>
          <w:szCs w:val="18"/>
          <w:color w:val="auto"/>
        </w:rPr>
        <w:t>, the latest title in the Candy Crush franchise, in October 2018.</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The increase was partially offset by lower revenues recognized from </w:t>
      </w:r>
      <w:r>
        <w:rPr>
          <w:rFonts w:ascii="Times New Roman" w:cs="Times New Roman" w:eastAsia="Times New Roman" w:hAnsi="Times New Roman"/>
          <w:sz w:val="18"/>
          <w:szCs w:val="18"/>
          <w:i w:val="1"/>
          <w:iCs w:val="1"/>
          <w:color w:val="auto"/>
        </w:rPr>
        <w:t>Overwatch</w:t>
      </w:r>
      <w:r>
        <w:rPr>
          <w:rFonts w:ascii="Times New Roman" w:cs="Times New Roman" w:eastAsia="Times New Roman" w:hAnsi="Times New Roman"/>
          <w:sz w:val="18"/>
          <w:szCs w:val="18"/>
          <w:color w:val="auto"/>
        </w:rPr>
        <w:t>, which was released in May 2016.</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2017 vs. 2016</w:t>
      </w:r>
    </w:p>
    <w:p>
      <w:pPr>
        <w:spacing w:after="0" w:line="225" w:lineRule="exact"/>
        <w:rPr>
          <w:sz w:val="20"/>
          <w:szCs w:val="20"/>
          <w:color w:val="auto"/>
        </w:rPr>
      </w:pPr>
    </w:p>
    <w:p>
      <w:pPr>
        <w:ind w:right="120" w:firstLine="348"/>
        <w:spacing w:after="0" w:line="275" w:lineRule="auto"/>
        <w:rPr>
          <w:sz w:val="20"/>
          <w:szCs w:val="20"/>
          <w:color w:val="auto"/>
        </w:rPr>
      </w:pPr>
      <w:r>
        <w:rPr>
          <w:rFonts w:ascii="Times New Roman" w:cs="Times New Roman" w:eastAsia="Times New Roman" w:hAnsi="Times New Roman"/>
          <w:sz w:val="18"/>
          <w:szCs w:val="18"/>
          <w:color w:val="auto"/>
        </w:rPr>
        <w:t xml:space="preserve">The slight decrease in net revenues in the Asia Pacific region for 2017, as compared to 2016, was primarily due to slightly lower revenues recognized from </w:t>
      </w:r>
      <w:r>
        <w:rPr>
          <w:rFonts w:ascii="Times New Roman" w:cs="Times New Roman" w:eastAsia="Times New Roman" w:hAnsi="Times New Roman"/>
          <w:sz w:val="18"/>
          <w:szCs w:val="18"/>
          <w:i w:val="1"/>
          <w:iCs w:val="1"/>
          <w:color w:val="auto"/>
        </w:rPr>
        <w:t xml:space="preserve">Overwatch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Hearthstone</w:t>
      </w:r>
      <w:r>
        <w:rPr>
          <w:rFonts w:ascii="Times New Roman" w:cs="Times New Roman" w:eastAsia="Times New Roman" w:hAnsi="Times New Roman"/>
          <w:sz w:val="18"/>
          <w:szCs w:val="18"/>
          <w:color w:val="auto"/>
        </w:rPr>
        <w:t>, mostly offset by higher revenues from King titles and</w:t>
      </w:r>
      <w:r>
        <w:rPr>
          <w:rFonts w:ascii="Times New Roman" w:cs="Times New Roman" w:eastAsia="Times New Roman" w:hAnsi="Times New Roman"/>
          <w:sz w:val="18"/>
          <w:szCs w:val="18"/>
          <w:i w:val="1"/>
          <w:iCs w:val="1"/>
          <w:color w:val="auto"/>
        </w:rPr>
        <w:t xml:space="preserve"> Crash Bandicoot N. Sane Trilogy</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 by Platform</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tables detail our net revenues by platform (amounts in millions):</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8"/>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ind w:right="20"/>
              <w:spacing w:after="0" w:line="125" w:lineRule="exact"/>
              <w:rPr>
                <w:sz w:val="20"/>
                <w:szCs w:val="20"/>
                <w:color w:val="auto"/>
              </w:rPr>
            </w:pPr>
            <w:r>
              <w:rPr>
                <w:rFonts w:ascii="Times New Roman" w:cs="Times New Roman" w:eastAsia="Times New Roman" w:hAnsi="Times New Roman"/>
                <w:sz w:val="14"/>
                <w:szCs w:val="14"/>
                <w:b w:val="1"/>
                <w:bCs w:val="1"/>
                <w:color w:val="auto"/>
                <w:w w:val="95"/>
              </w:rPr>
              <w:t>Increase/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5"/>
              </w:rPr>
              <w:t>Increase/</w:t>
            </w: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(decrease)</w:t>
            </w:r>
          </w:p>
        </w:tc>
        <w:tc>
          <w:tcPr>
            <w:tcW w:w="10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1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 Change</w:t>
            </w:r>
          </w:p>
        </w:tc>
      </w:tr>
      <w:tr>
        <w:trPr>
          <w:trHeight w:val="165"/>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2018 v 2017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2017 v 2016</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2018 v 2017</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2017 v 2016</w:t>
            </w:r>
          </w:p>
        </w:tc>
      </w:tr>
      <w:tr>
        <w:trPr>
          <w:trHeight w:val="210"/>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 by platform:</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Console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Pr>
          <w:p>
            <w:pPr>
              <w:spacing w:after="0"/>
              <w:rPr>
                <w:sz w:val="18"/>
                <w:szCs w:val="18"/>
                <w:color w:val="auto"/>
              </w:rPr>
            </w:pPr>
          </w:p>
        </w:tc>
        <w:tc>
          <w:tcPr>
            <w:tcW w:w="2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Mobile and ancillary (1)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(2)</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consolidated net revenues</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6,608</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r>
    </w:tbl>
    <w:p>
      <w:pPr>
        <w:spacing w:after="0" w:line="215" w:lineRule="exact"/>
        <w:rPr>
          <w:sz w:val="20"/>
          <w:szCs w:val="20"/>
          <w:color w:val="auto"/>
        </w:rPr>
      </w:pPr>
    </w:p>
    <w:p>
      <w:pPr>
        <w:ind w:left="1680" w:hanging="531"/>
        <w:spacing w:after="0" w:line="339" w:lineRule="auto"/>
        <w:tabs>
          <w:tab w:leader="none" w:pos="16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revenues from "Mobile and ancillary" include revenues from mobile devices, as well as non-platform-specific game-related revenues, such as standalone sales of toys and accessories from our Skylanders® franchise and other physical merchandise and accessories.</w:t>
      </w:r>
    </w:p>
    <w:p>
      <w:pPr>
        <w:spacing w:after="0" w:line="141" w:lineRule="exact"/>
        <w:rPr>
          <w:rFonts w:ascii="Times New Roman" w:cs="Times New Roman" w:eastAsia="Times New Roman" w:hAnsi="Times New Roman"/>
          <w:sz w:val="16"/>
          <w:szCs w:val="16"/>
          <w:color w:val="auto"/>
        </w:rPr>
      </w:pPr>
    </w:p>
    <w:p>
      <w:pPr>
        <w:ind w:left="1680" w:right="540" w:hanging="531"/>
        <w:spacing w:after="0" w:line="275" w:lineRule="auto"/>
        <w:tabs>
          <w:tab w:leader="none" w:pos="1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"Other" include revenues from our Studios and Distribution businesses, as well as revenues from MLG and the Overwatch League.</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Console</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2018 vs. 2017</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increase in net revenues from console for 2018, as compared to 2017, was primarily due to:</w:t>
      </w:r>
    </w:p>
    <w:p>
      <w:pPr>
        <w:spacing w:after="0" w:line="237" w:lineRule="exact"/>
        <w:rPr>
          <w:sz w:val="20"/>
          <w:szCs w:val="20"/>
          <w:color w:val="auto"/>
        </w:rPr>
      </w:pPr>
    </w:p>
    <w:p>
      <w:pPr>
        <w:ind w:left="1080" w:right="400" w:hanging="532"/>
        <w:spacing w:after="0" w:line="277"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revenues recognized from </w:t>
      </w:r>
      <w:r>
        <w:rPr>
          <w:rFonts w:ascii="Times New Roman" w:cs="Times New Roman" w:eastAsia="Times New Roman" w:hAnsi="Times New Roman"/>
          <w:sz w:val="18"/>
          <w:szCs w:val="18"/>
          <w:i w:val="1"/>
          <w:iCs w:val="1"/>
          <w:color w:val="auto"/>
        </w:rPr>
        <w:t>Call of Duty: WWII</w:t>
      </w:r>
      <w:r>
        <w:rPr>
          <w:rFonts w:ascii="Times New Roman" w:cs="Times New Roman" w:eastAsia="Times New Roman" w:hAnsi="Times New Roman"/>
          <w:sz w:val="18"/>
          <w:szCs w:val="18"/>
          <w:color w:val="auto"/>
        </w:rPr>
        <w:t xml:space="preserve">, which was released in November 2017, as compared to </w:t>
      </w:r>
      <w:r>
        <w:rPr>
          <w:rFonts w:ascii="Times New Roman" w:cs="Times New Roman" w:eastAsia="Times New Roman" w:hAnsi="Times New Roman"/>
          <w:sz w:val="18"/>
          <w:szCs w:val="18"/>
          <w:i w:val="1"/>
          <w:iCs w:val="1"/>
          <w:color w:val="auto"/>
        </w:rPr>
        <w:t>Call of Duty: Infinite Warfare</w:t>
      </w:r>
      <w:r>
        <w:rPr>
          <w:rFonts w:ascii="Times New Roman" w:cs="Times New Roman" w:eastAsia="Times New Roman" w:hAnsi="Times New Roman"/>
          <w:sz w:val="18"/>
          <w:szCs w:val="18"/>
          <w:color w:val="auto"/>
        </w:rPr>
        <w:t>, which was released in November 2016; and</w:t>
      </w:r>
    </w:p>
    <w:p>
      <w:pPr>
        <w:spacing w:after="0" w:line="197" w:lineRule="exact"/>
        <w:rPr>
          <w:rFonts w:ascii="Times New Roman" w:cs="Times New Roman" w:eastAsia="Times New Roman" w:hAnsi="Times New Roman"/>
          <w:sz w:val="18"/>
          <w:szCs w:val="18"/>
          <w:color w:val="auto"/>
        </w:rPr>
      </w:pPr>
    </w:p>
    <w:p>
      <w:pPr>
        <w:ind w:left="1080" w:right="120" w:hanging="532"/>
        <w:spacing w:after="0" w:line="277"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revenues recognized from the Destiny franchise, driven by </w:t>
      </w:r>
      <w:r>
        <w:rPr>
          <w:rFonts w:ascii="Times New Roman" w:cs="Times New Roman" w:eastAsia="Times New Roman" w:hAnsi="Times New Roman"/>
          <w:sz w:val="18"/>
          <w:szCs w:val="18"/>
          <w:i w:val="1"/>
          <w:iCs w:val="1"/>
          <w:color w:val="auto"/>
        </w:rPr>
        <w:t>Destiny 2</w:t>
      </w:r>
      <w:r>
        <w:rPr>
          <w:rFonts w:ascii="Times New Roman" w:cs="Times New Roman" w:eastAsia="Times New Roman" w:hAnsi="Times New Roman"/>
          <w:sz w:val="18"/>
          <w:szCs w:val="18"/>
          <w:color w:val="auto"/>
        </w:rPr>
        <w:t>, which was released in September 2017, with no comparable release in 2016, and by revenues recognized in connection with the sale of our Destiny publishing rights to Bungie.</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increase was partially offset by:</w:t>
      </w:r>
    </w:p>
    <w:p>
      <w:pPr>
        <w:spacing w:after="0" w:line="237" w:lineRule="exact"/>
        <w:rPr>
          <w:sz w:val="20"/>
          <w:szCs w:val="20"/>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lower revenues recognized from </w:t>
      </w:r>
      <w:r>
        <w:rPr>
          <w:rFonts w:ascii="Times New Roman" w:cs="Times New Roman" w:eastAsia="Times New Roman" w:hAnsi="Times New Roman"/>
          <w:sz w:val="18"/>
          <w:szCs w:val="18"/>
          <w:i w:val="1"/>
          <w:iCs w:val="1"/>
          <w:color w:val="auto"/>
        </w:rPr>
        <w:t>Call of Duty: Infinite Warfare</w:t>
      </w:r>
      <w:r>
        <w:rPr>
          <w:rFonts w:ascii="Times New Roman" w:cs="Times New Roman" w:eastAsia="Times New Roman" w:hAnsi="Times New Roman"/>
          <w:sz w:val="18"/>
          <w:szCs w:val="18"/>
          <w:color w:val="auto"/>
        </w:rPr>
        <w:t>, as compared to prior catalog releases;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lower revenues recognized from </w:t>
      </w:r>
      <w:r>
        <w:rPr>
          <w:rFonts w:ascii="Times New Roman" w:cs="Times New Roman" w:eastAsia="Times New Roman" w:hAnsi="Times New Roman"/>
          <w:sz w:val="18"/>
          <w:szCs w:val="18"/>
          <w:i w:val="1"/>
          <w:iCs w:val="1"/>
          <w:color w:val="auto"/>
        </w:rPr>
        <w:t>Overwatch</w:t>
      </w:r>
      <w:r>
        <w:rPr>
          <w:rFonts w:ascii="Times New Roman" w:cs="Times New Roman" w:eastAsia="Times New Roman" w:hAnsi="Times New Roman"/>
          <w:sz w:val="18"/>
          <w:szCs w:val="18"/>
          <w:color w:val="auto"/>
        </w:rPr>
        <w:t>, which was released in May 2016.</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2017 vs. 2016</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The decrease in net revenues from console for 2017, as compared to 2016, was primarily due to lower revenues recognized from </w:t>
      </w:r>
      <w:r>
        <w:rPr>
          <w:rFonts w:ascii="Times New Roman" w:cs="Times New Roman" w:eastAsia="Times New Roman" w:hAnsi="Times New Roman"/>
          <w:sz w:val="18"/>
          <w:szCs w:val="18"/>
          <w:i w:val="1"/>
          <w:iCs w:val="1"/>
          <w:color w:val="auto"/>
        </w:rPr>
        <w:t>Call of Duty: Infinite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Warfare</w:t>
      </w:r>
      <w:r>
        <w:rPr>
          <w:rFonts w:ascii="Times New Roman" w:cs="Times New Roman" w:eastAsia="Times New Roman" w:hAnsi="Times New Roman"/>
          <w:sz w:val="18"/>
          <w:szCs w:val="18"/>
          <w:color w:val="auto"/>
        </w:rPr>
        <w:t>, as compared to the performance of</w:t>
      </w:r>
      <w:r>
        <w:rPr>
          <w:rFonts w:ascii="Times New Roman" w:cs="Times New Roman" w:eastAsia="Times New Roman" w:hAnsi="Times New Roman"/>
          <w:sz w:val="18"/>
          <w:szCs w:val="18"/>
          <w:i w:val="1"/>
          <w:iCs w:val="1"/>
          <w:color w:val="auto"/>
        </w:rPr>
        <w:t xml:space="preserve"> Call of Duty: Black Ops III</w:t>
      </w:r>
      <w:r>
        <w:rPr>
          <w:rFonts w:ascii="Times New Roman" w:cs="Times New Roman" w:eastAsia="Times New Roman" w:hAnsi="Times New Roman"/>
          <w:sz w:val="18"/>
          <w:szCs w:val="18"/>
          <w:color w:val="auto"/>
        </w:rPr>
        <w:t>, the comparable 2015 title. The decrease is partially offset by:</w:t>
      </w:r>
    </w:p>
    <w:p>
      <w:pPr>
        <w:sectPr>
          <w:pgSz w:w="11900" w:h="16838" w:orient="portrait"/>
          <w:cols w:equalWidth="0" w:num="1">
            <w:col w:w="11360"/>
          </w:cols>
          <w:pgMar w:left="240" w:top="125" w:right="299" w:bottom="1440" w:gutter="0" w:footer="0" w:header="0"/>
        </w:sect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PC</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500"/>
        <w:spacing w:after="0" w:line="342" w:lineRule="auto"/>
        <w:rPr>
          <w:sz w:val="20"/>
          <w:szCs w:val="20"/>
          <w:color w:val="auto"/>
        </w:rPr>
      </w:pPr>
      <w:r>
        <w:rPr>
          <w:rFonts w:ascii="Times New Roman" w:cs="Times New Roman" w:eastAsia="Times New Roman" w:hAnsi="Times New Roman"/>
          <w:sz w:val="16"/>
          <w:szCs w:val="16"/>
          <w:color w:val="auto"/>
        </w:rPr>
        <w:t xml:space="preserve">higher revenues recognized from the continued strength of </w:t>
      </w:r>
      <w:r>
        <w:rPr>
          <w:rFonts w:ascii="Times New Roman" w:cs="Times New Roman" w:eastAsia="Times New Roman" w:hAnsi="Times New Roman"/>
          <w:sz w:val="16"/>
          <w:szCs w:val="16"/>
          <w:i w:val="1"/>
          <w:iCs w:val="1"/>
          <w:color w:val="auto"/>
        </w:rPr>
        <w:t>Call of Duty: Black Ops III</w:t>
      </w:r>
      <w:r>
        <w:rPr>
          <w:rFonts w:ascii="Times New Roman" w:cs="Times New Roman" w:eastAsia="Times New Roman" w:hAnsi="Times New Roman"/>
          <w:sz w:val="16"/>
          <w:szCs w:val="16"/>
          <w:color w:val="auto"/>
        </w:rPr>
        <w:t xml:space="preserve">, as compared to prior catalog releases, driven by the downloadable content pack, </w:t>
      </w:r>
      <w:r>
        <w:rPr>
          <w:rFonts w:ascii="Times New Roman" w:cs="Times New Roman" w:eastAsia="Times New Roman" w:hAnsi="Times New Roman"/>
          <w:sz w:val="16"/>
          <w:szCs w:val="16"/>
          <w:i w:val="1"/>
          <w:iCs w:val="1"/>
          <w:color w:val="auto"/>
        </w:rPr>
        <w:t>Zombies Chronicles</w:t>
      </w:r>
      <w:r>
        <w:rPr>
          <w:rFonts w:ascii="Times New Roman" w:cs="Times New Roman" w:eastAsia="Times New Roman" w:hAnsi="Times New Roman"/>
          <w:sz w:val="16"/>
          <w:szCs w:val="16"/>
          <w:color w:val="auto"/>
        </w:rPr>
        <w:t>, which was released in May 2017, and the continued strength of microtransactions;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revenues from </w:t>
      </w:r>
      <w:r>
        <w:rPr>
          <w:rFonts w:ascii="Times New Roman" w:cs="Times New Roman" w:eastAsia="Times New Roman" w:hAnsi="Times New Roman"/>
          <w:sz w:val="18"/>
          <w:szCs w:val="18"/>
          <w:i w:val="1"/>
          <w:iCs w:val="1"/>
          <w:color w:val="auto"/>
        </w:rPr>
        <w:t>Crash Bandicoot N. Sane Trilogy</w:t>
      </w:r>
      <w:r>
        <w:rPr>
          <w:rFonts w:ascii="Times New Roman" w:cs="Times New Roman" w:eastAsia="Times New Roman" w:hAnsi="Times New Roman"/>
          <w:sz w:val="18"/>
          <w:szCs w:val="18"/>
          <w:color w:val="auto"/>
        </w:rPr>
        <w:t>, which was released in June 2017; and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higher revenues recognized from </w:t>
      </w:r>
      <w:r>
        <w:rPr>
          <w:rFonts w:ascii="Times New Roman" w:cs="Times New Roman" w:eastAsia="Times New Roman" w:hAnsi="Times New Roman"/>
          <w:sz w:val="18"/>
          <w:szCs w:val="18"/>
          <w:i w:val="1"/>
          <w:iCs w:val="1"/>
          <w:color w:val="auto"/>
        </w:rPr>
        <w:t>Call of Duty: WWII</w:t>
      </w:r>
      <w:r>
        <w:rPr>
          <w:rFonts w:ascii="Times New Roman" w:cs="Times New Roman" w:eastAsia="Times New Roman" w:hAnsi="Times New Roman"/>
          <w:sz w:val="18"/>
          <w:szCs w:val="18"/>
          <w:color w:val="auto"/>
        </w:rPr>
        <w:t xml:space="preserve">, as compared to </w:t>
      </w:r>
      <w:r>
        <w:rPr>
          <w:rFonts w:ascii="Times New Roman" w:cs="Times New Roman" w:eastAsia="Times New Roman" w:hAnsi="Times New Roman"/>
          <w:sz w:val="18"/>
          <w:szCs w:val="18"/>
          <w:i w:val="1"/>
          <w:iCs w:val="1"/>
          <w:color w:val="auto"/>
        </w:rPr>
        <w:t>Call of Duty: Infinite Warfare</w:t>
      </w:r>
      <w:r>
        <w:rPr>
          <w:rFonts w:ascii="Times New Roman" w:cs="Times New Roman" w:eastAsia="Times New Roman" w:hAnsi="Times New Roman"/>
          <w:sz w:val="18"/>
          <w:szCs w:val="18"/>
          <w:color w:val="auto"/>
        </w:rPr>
        <w:t>, the comparable 2016 title.</w:t>
      </w:r>
    </w:p>
    <w:p>
      <w:pPr>
        <w:spacing w:after="0" w:line="632" w:lineRule="exact"/>
        <w:rPr>
          <w:sz w:val="20"/>
          <w:szCs w:val="20"/>
          <w:color w:val="auto"/>
        </w:rPr>
      </w:pPr>
    </w:p>
    <w:p>
      <w:pPr>
        <w:sectPr>
          <w:pgSz w:w="11900" w:h="16838" w:orient="portrait"/>
          <w:cols w:equalWidth="0" w:num="2">
            <w:col w:w="600" w:space="480"/>
            <w:col w:w="10280"/>
          </w:cols>
          <w:pgMar w:left="240" w:top="125" w:right="299" w:bottom="1440" w:gutter="0" w:footer="0" w:header="0"/>
          <w:type w:val="continuous"/>
        </w:sectPr>
      </w:pP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2018 vs. 2017</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increase in net revenues from PC for 2018, as compared to 2017, was primarily due to:</w:t>
      </w:r>
    </w:p>
    <w:p>
      <w:pPr>
        <w:spacing w:after="0" w:line="250" w:lineRule="exact"/>
        <w:rPr>
          <w:sz w:val="20"/>
          <w:szCs w:val="20"/>
          <w:color w:val="auto"/>
        </w:rPr>
      </w:pPr>
    </w:p>
    <w:p>
      <w:pPr>
        <w:ind w:left="1080" w:right="100" w:hanging="532"/>
        <w:spacing w:after="0" w:line="277"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revenues recognized from </w:t>
      </w:r>
      <w:r>
        <w:rPr>
          <w:rFonts w:ascii="Times New Roman" w:cs="Times New Roman" w:eastAsia="Times New Roman" w:hAnsi="Times New Roman"/>
          <w:sz w:val="18"/>
          <w:szCs w:val="18"/>
          <w:i w:val="1"/>
          <w:iCs w:val="1"/>
          <w:color w:val="auto"/>
        </w:rPr>
        <w:t>Destiny 2</w:t>
      </w:r>
      <w:r>
        <w:rPr>
          <w:rFonts w:ascii="Times New Roman" w:cs="Times New Roman" w:eastAsia="Times New Roman" w:hAnsi="Times New Roman"/>
          <w:sz w:val="18"/>
          <w:szCs w:val="18"/>
          <w:color w:val="auto"/>
        </w:rPr>
        <w:t>, which was released on the PC platform in October 2017, and its associated in-game content, with no comparable release in 2016; and</w:t>
      </w:r>
    </w:p>
    <w:p>
      <w:pPr>
        <w:spacing w:after="0" w:line="183" w:lineRule="exact"/>
        <w:rPr>
          <w:rFonts w:ascii="Times New Roman" w:cs="Times New Roman" w:eastAsia="Times New Roman" w:hAnsi="Times New Roman"/>
          <w:sz w:val="18"/>
          <w:szCs w:val="18"/>
          <w:color w:val="auto"/>
        </w:rPr>
      </w:pPr>
    </w:p>
    <w:p>
      <w:pPr>
        <w:ind w:left="1080" w:hanging="532"/>
        <w:spacing w:after="0" w:line="277"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revenues from </w:t>
      </w:r>
      <w:r>
        <w:rPr>
          <w:rFonts w:ascii="Times New Roman" w:cs="Times New Roman" w:eastAsia="Times New Roman" w:hAnsi="Times New Roman"/>
          <w:sz w:val="18"/>
          <w:szCs w:val="18"/>
          <w:i w:val="1"/>
          <w:iCs w:val="1"/>
          <w:color w:val="auto"/>
        </w:rPr>
        <w:t>World of Warcraft</w:t>
      </w:r>
      <w:r>
        <w:rPr>
          <w:rFonts w:ascii="Times New Roman" w:cs="Times New Roman" w:eastAsia="Times New Roman" w:hAnsi="Times New Roman"/>
          <w:sz w:val="18"/>
          <w:szCs w:val="18"/>
          <w:color w:val="auto"/>
        </w:rPr>
        <w:t xml:space="preserve">, driven by </w:t>
      </w:r>
      <w:r>
        <w:rPr>
          <w:rFonts w:ascii="Times New Roman" w:cs="Times New Roman" w:eastAsia="Times New Roman" w:hAnsi="Times New Roman"/>
          <w:sz w:val="18"/>
          <w:szCs w:val="18"/>
          <w:i w:val="1"/>
          <w:iCs w:val="1"/>
          <w:color w:val="auto"/>
        </w:rPr>
        <w:t>World of Warcraft: Battle for Azeroth</w:t>
      </w:r>
      <w:r>
        <w:rPr>
          <w:rFonts w:ascii="Times New Roman" w:cs="Times New Roman" w:eastAsia="Times New Roman" w:hAnsi="Times New Roman"/>
          <w:sz w:val="18"/>
          <w:szCs w:val="18"/>
          <w:color w:val="auto"/>
        </w:rPr>
        <w:t>, which was released in August 2018, with no comparable release in 2017.</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The increase was partially offset by lower revenues recognized from </w:t>
      </w:r>
      <w:r>
        <w:rPr>
          <w:rFonts w:ascii="Times New Roman" w:cs="Times New Roman" w:eastAsia="Times New Roman" w:hAnsi="Times New Roman"/>
          <w:sz w:val="18"/>
          <w:szCs w:val="18"/>
          <w:i w:val="1"/>
          <w:iCs w:val="1"/>
          <w:color w:val="auto"/>
        </w:rPr>
        <w:t>Overwatch</w:t>
      </w:r>
      <w:r>
        <w:rPr>
          <w:rFonts w:ascii="Times New Roman" w:cs="Times New Roman" w:eastAsia="Times New Roman" w:hAnsi="Times New Roman"/>
          <w:sz w:val="18"/>
          <w:szCs w:val="18"/>
          <w:color w:val="auto"/>
        </w:rPr>
        <w:t>, which was released in May 2016.</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2017 vs. 2016</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decrease in net revenues from PC for 2017, as compared to 2016, was primarily due to:</w:t>
      </w:r>
    </w:p>
    <w:p>
      <w:pPr>
        <w:spacing w:after="0" w:line="239" w:lineRule="exact"/>
        <w:rPr>
          <w:sz w:val="20"/>
          <w:szCs w:val="20"/>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revenues recognized from the World of Warcraft franchise; and</w:t>
      </w:r>
    </w:p>
    <w:p>
      <w:pPr>
        <w:spacing w:after="0" w:line="25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lower revenues recognized from </w:t>
      </w:r>
      <w:r>
        <w:rPr>
          <w:rFonts w:ascii="Times New Roman" w:cs="Times New Roman" w:eastAsia="Times New Roman" w:hAnsi="Times New Roman"/>
          <w:sz w:val="18"/>
          <w:szCs w:val="18"/>
          <w:i w:val="1"/>
          <w:iCs w:val="1"/>
          <w:color w:val="auto"/>
        </w:rPr>
        <w:t>Overwatch</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type w:val="continuous"/>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Mobile and Ancillary</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2018 vs. 2017</w:t>
      </w:r>
    </w:p>
    <w:p>
      <w:pPr>
        <w:spacing w:after="0" w:line="225" w:lineRule="exact"/>
        <w:rPr>
          <w:sz w:val="20"/>
          <w:szCs w:val="20"/>
          <w:color w:val="auto"/>
        </w:rPr>
      </w:pPr>
    </w:p>
    <w:p>
      <w:pPr>
        <w:ind w:right="140" w:firstLine="348"/>
        <w:spacing w:after="0" w:line="262" w:lineRule="auto"/>
        <w:rPr>
          <w:sz w:val="20"/>
          <w:szCs w:val="20"/>
          <w:color w:val="auto"/>
        </w:rPr>
      </w:pPr>
      <w:r>
        <w:rPr>
          <w:rFonts w:ascii="Times New Roman" w:cs="Times New Roman" w:eastAsia="Times New Roman" w:hAnsi="Times New Roman"/>
          <w:sz w:val="18"/>
          <w:szCs w:val="18"/>
          <w:color w:val="auto"/>
        </w:rPr>
        <w:t xml:space="preserve">The increase in net revenues from mobile and ancillary for 2018, as compared to 2017, was primarily due to higher revenues from the Candy Crush franchise, driven by in-game advertisements, increased monetization, and the launch of </w:t>
      </w:r>
      <w:r>
        <w:rPr>
          <w:rFonts w:ascii="Times New Roman" w:cs="Times New Roman" w:eastAsia="Times New Roman" w:hAnsi="Times New Roman"/>
          <w:sz w:val="18"/>
          <w:szCs w:val="18"/>
          <w:i w:val="1"/>
          <w:iCs w:val="1"/>
          <w:color w:val="auto"/>
        </w:rPr>
        <w:t>Candy Crush Friends Saga</w:t>
      </w:r>
      <w:r>
        <w:rPr>
          <w:rFonts w:ascii="Times New Roman" w:cs="Times New Roman" w:eastAsia="Times New Roman" w:hAnsi="Times New Roman"/>
          <w:sz w:val="18"/>
          <w:szCs w:val="18"/>
          <w:color w:val="auto"/>
        </w:rPr>
        <w:t>, the latest title in the Candy Crush franchise, in October 2018.</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2017 vs. 2016</w:t>
      </w:r>
    </w:p>
    <w:p>
      <w:pPr>
        <w:spacing w:after="0" w:line="225" w:lineRule="exact"/>
        <w:rPr>
          <w:sz w:val="20"/>
          <w:szCs w:val="20"/>
          <w:color w:val="auto"/>
        </w:rPr>
      </w:pPr>
    </w:p>
    <w:p>
      <w:pPr>
        <w:ind w:right="340" w:firstLine="348"/>
        <w:spacing w:after="0" w:line="262" w:lineRule="auto"/>
        <w:rPr>
          <w:sz w:val="20"/>
          <w:szCs w:val="20"/>
          <w:color w:val="auto"/>
        </w:rPr>
      </w:pPr>
      <w:r>
        <w:rPr>
          <w:rFonts w:ascii="Times New Roman" w:cs="Times New Roman" w:eastAsia="Times New Roman" w:hAnsi="Times New Roman"/>
          <w:sz w:val="18"/>
          <w:szCs w:val="18"/>
          <w:color w:val="auto"/>
        </w:rPr>
        <w:t>The increase in net revenues from mobile and ancillary for 2017, as compared to 2016, was primarily due to higher revenues from King titles, as 2017 included King's revenues for the full year, while 2016 only included King's revenues for the partial period following the King Closing Date, as well as higher revenues from the Candy Crush franchise due to in-game events and features.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increase was partially offset by lower revenues from sales of standalone toys and accessories from the Skylanders franchise.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tables detail the components of cost of revenues in dollars and as a percentage of associated net revenues (amounts in millions):</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Increase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Increase</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associated</w:t>
            </w:r>
          </w:p>
        </w:tc>
        <w:tc>
          <w:tcPr>
            <w:tcW w:w="18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associated</w:t>
            </w:r>
          </w:p>
        </w:tc>
        <w:tc>
          <w:tcPr>
            <w:tcW w:w="18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associated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(Decrease)</w:t>
            </w:r>
          </w:p>
        </w:tc>
      </w:tr>
      <w:tr>
        <w:trPr>
          <w:trHeight w:val="165"/>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net revenues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net revenues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 revenues</w:t>
            </w:r>
          </w:p>
        </w:tc>
        <w:tc>
          <w:tcPr>
            <w:tcW w:w="16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2018 v 2017</w:t>
            </w:r>
          </w:p>
        </w:tc>
        <w:tc>
          <w:tcPr>
            <w:tcW w:w="4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2017 v 2016</w:t>
            </w:r>
          </w:p>
        </w:tc>
      </w:tr>
      <w:tr>
        <w:trPr>
          <w:trHeight w:val="195"/>
        </w:trPr>
        <w:tc>
          <w:tcPr>
            <w:tcW w:w="20" w:type="dxa"/>
            <w:vAlign w:val="bottom"/>
          </w:tcPr>
          <w:p>
            <w:pPr>
              <w:spacing w:after="0"/>
              <w:rPr>
                <w:sz w:val="16"/>
                <w:szCs w:val="16"/>
                <w:color w:val="auto"/>
              </w:rPr>
            </w:pPr>
          </w:p>
        </w:tc>
        <w:tc>
          <w:tcPr>
            <w:tcW w:w="11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Cost of</w:t>
            </w: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revenues—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product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Product costs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22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w w:val="99"/>
              </w:rPr>
              <w:t>35%$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2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w w:val="95"/>
              </w:rPr>
              <w:t>34%$</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02"/>
        </w:trPr>
        <w:tc>
          <w:tcPr>
            <w:tcW w:w="20" w:type="dxa"/>
            <w:vAlign w:val="bottom"/>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Software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royalties,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intellectual</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licenses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9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14</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9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15</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02"/>
        </w:trPr>
        <w:tc>
          <w:tcPr>
            <w:tcW w:w="20" w:type="dxa"/>
            <w:vAlign w:val="bottom"/>
          </w:tcPr>
          <w:p>
            <w:pPr>
              <w:spacing w:after="0"/>
              <w:rPr>
                <w:sz w:val="17"/>
                <w:szCs w:val="17"/>
                <w:color w:val="auto"/>
              </w:rPr>
            </w:pPr>
          </w:p>
        </w:tc>
        <w:tc>
          <w:tcPr>
            <w:tcW w:w="11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Cost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subscription,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licensing,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other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116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Game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operations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9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20</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9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19</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1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Software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royalties,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intellectual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licenses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9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88"/>
              </w:rPr>
              <w:t>10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9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w w:val="88"/>
              </w:rPr>
              <w:t>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1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cost of</w:t>
            </w: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220" w:type="dxa"/>
            <w:vAlign w:val="bottom"/>
            <w:gridSpan w:val="4"/>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9"/>
              </w:rPr>
              <w:t>36%$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220" w:type="dxa"/>
            <w:vAlign w:val="bottom"/>
            <w:gridSpan w:val="4"/>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5"/>
              </w:rPr>
              <w:t>36%$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Revenues—Product Sales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2018 vs. 2017</w:t>
      </w:r>
    </w:p>
    <w:p>
      <w:pPr>
        <w:spacing w:after="0" w:line="225" w:lineRule="exact"/>
        <w:rPr>
          <w:sz w:val="20"/>
          <w:szCs w:val="20"/>
          <w:color w:val="auto"/>
        </w:rPr>
      </w:pPr>
    </w:p>
    <w:p>
      <w:pPr>
        <w:ind w:firstLine="348"/>
        <w:spacing w:after="0" w:line="225" w:lineRule="auto"/>
        <w:rPr>
          <w:sz w:val="20"/>
          <w:szCs w:val="20"/>
          <w:color w:val="auto"/>
        </w:rPr>
      </w:pPr>
      <w:r>
        <w:rPr>
          <w:rFonts w:ascii="Times New Roman" w:cs="Times New Roman" w:eastAsia="Times New Roman" w:hAnsi="Times New Roman"/>
          <w:sz w:val="18"/>
          <w:szCs w:val="18"/>
          <w:color w:val="auto"/>
        </w:rPr>
        <w:t>The slight decrease in product costs for 2018, as compared to 2017, was primarily due to a decrease of $20 million in product costs from Activision, primarily related to the absence of title releases for the Guitar Hero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Skylanders franchises, which was partially offset by higher product costs from our lower margin Distribution business due to increased product sales.</w:t>
      </w:r>
    </w:p>
    <w:p>
      <w:pPr>
        <w:spacing w:after="0" w:line="204"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 xml:space="preserve">The increase in software royalties, amortization, and intellectual property licenses related to product sales for 2018, as compared to 2017, was primarily due to an increase of $89 million in software amortization and royalties from Activision, primarily due to higher software amortization and royalties for (1) the Destiny franchise and (2) </w:t>
      </w:r>
      <w:r>
        <w:rPr>
          <w:rFonts w:ascii="Times New Roman" w:cs="Times New Roman" w:eastAsia="Times New Roman" w:hAnsi="Times New Roman"/>
          <w:sz w:val="18"/>
          <w:szCs w:val="18"/>
          <w:i w:val="1"/>
          <w:iCs w:val="1"/>
          <w:color w:val="auto"/>
        </w:rPr>
        <w:t>Call of Duty: Black Ops 4</w:t>
      </w:r>
      <w:r>
        <w:rPr>
          <w:rFonts w:ascii="Times New Roman" w:cs="Times New Roman" w:eastAsia="Times New Roman" w:hAnsi="Times New Roman"/>
          <w:sz w:val="18"/>
          <w:szCs w:val="18"/>
          <w:color w:val="auto"/>
        </w:rPr>
        <w:t xml:space="preserve">, which was released in October 2018, as compared to </w:t>
      </w:r>
      <w:r>
        <w:rPr>
          <w:rFonts w:ascii="Times New Roman" w:cs="Times New Roman" w:eastAsia="Times New Roman" w:hAnsi="Times New Roman"/>
          <w:sz w:val="18"/>
          <w:szCs w:val="18"/>
          <w:i w:val="1"/>
          <w:iCs w:val="1"/>
          <w:color w:val="auto"/>
        </w:rPr>
        <w:t>Call of Duty: WWII</w:t>
      </w:r>
      <w:r>
        <w:rPr>
          <w:rFonts w:ascii="Times New Roman" w:cs="Times New Roman" w:eastAsia="Times New Roman" w:hAnsi="Times New Roman"/>
          <w:sz w:val="18"/>
          <w:szCs w:val="18"/>
          <w:color w:val="auto"/>
        </w:rPr>
        <w:t>, which was released in November 2017, partially offset by</w:t>
      </w:r>
    </w:p>
    <w:p>
      <w:pPr>
        <w:sectPr>
          <w:pgSz w:w="11900" w:h="16838" w:orient="portrait"/>
          <w:cols w:equalWidth="0" w:num="1">
            <w:col w:w="11400"/>
          </w:cols>
          <w:pgMar w:left="240" w:top="125" w:right="259" w:bottom="694"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694" w:gutter="0" w:footer="0" w:header="0"/>
          <w:type w:val="continuous"/>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lower software amortization and royalties from </w:t>
      </w:r>
      <w:r>
        <w:rPr>
          <w:rFonts w:ascii="Times New Roman" w:cs="Times New Roman" w:eastAsia="Times New Roman" w:hAnsi="Times New Roman"/>
          <w:sz w:val="18"/>
          <w:szCs w:val="18"/>
          <w:i w:val="1"/>
          <w:iCs w:val="1"/>
          <w:color w:val="auto"/>
        </w:rPr>
        <w:t>Call of Duty: WWII</w:t>
      </w:r>
      <w:r>
        <w:rPr>
          <w:rFonts w:ascii="Times New Roman" w:cs="Times New Roman" w:eastAsia="Times New Roman" w:hAnsi="Times New Roman"/>
          <w:sz w:val="18"/>
          <w:szCs w:val="18"/>
          <w:color w:val="auto"/>
        </w:rPr>
        <w:t xml:space="preserve">, as compared to </w:t>
      </w:r>
      <w:r>
        <w:rPr>
          <w:rFonts w:ascii="Times New Roman" w:cs="Times New Roman" w:eastAsia="Times New Roman" w:hAnsi="Times New Roman"/>
          <w:sz w:val="18"/>
          <w:szCs w:val="18"/>
          <w:i w:val="1"/>
          <w:iCs w:val="1"/>
          <w:color w:val="auto"/>
        </w:rPr>
        <w:t>Call of Duty: Infinite Warfare</w:t>
      </w:r>
      <w:r>
        <w:rPr>
          <w:rFonts w:ascii="Times New Roman" w:cs="Times New Roman" w:eastAsia="Times New Roman" w:hAnsi="Times New Roman"/>
          <w:sz w:val="18"/>
          <w:szCs w:val="18"/>
          <w:color w:val="auto"/>
        </w:rPr>
        <w:t>, which was released in November 2016.</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2017 vs. 2016</w:t>
      </w:r>
    </w:p>
    <w:p>
      <w:pPr>
        <w:spacing w:after="0" w:line="225"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Product costs for 2017, were comparable to 2016, primarily due to lower product costs from the Skylanders franchise as there was no new release in 2017, offset by higher product costs resulting from the increased revenues of our relatively lower-margin Distribution business.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decrease in software royalties, amortization, and intellectual property licenses related to product sales for 2017, as compared to 2016, was primarily due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24" w:lineRule="exact"/>
        <w:rPr>
          <w:sz w:val="20"/>
          <w:szCs w:val="20"/>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lower software amortization associated with </w:t>
      </w:r>
      <w:r>
        <w:rPr>
          <w:rFonts w:ascii="Times New Roman" w:cs="Times New Roman" w:eastAsia="Times New Roman" w:hAnsi="Times New Roman"/>
          <w:sz w:val="18"/>
          <w:szCs w:val="18"/>
          <w:i w:val="1"/>
          <w:iCs w:val="1"/>
          <w:color w:val="auto"/>
        </w:rPr>
        <w:t>Guitar Hero Live</w:t>
      </w:r>
      <w:r>
        <w:rPr>
          <w:rFonts w:ascii="Times New Roman" w:cs="Times New Roman" w:eastAsia="Times New Roman" w:hAnsi="Times New Roman"/>
          <w:sz w:val="18"/>
          <w:szCs w:val="18"/>
          <w:color w:val="auto"/>
        </w:rPr>
        <w:t>, which was released in October 2015;</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lower software amortization from </w:t>
      </w:r>
      <w:r>
        <w:rPr>
          <w:rFonts w:ascii="Times New Roman" w:cs="Times New Roman" w:eastAsia="Times New Roman" w:hAnsi="Times New Roman"/>
          <w:sz w:val="18"/>
          <w:szCs w:val="18"/>
          <w:i w:val="1"/>
          <w:iCs w:val="1"/>
          <w:color w:val="auto"/>
        </w:rPr>
        <w:t>Overwatch</w:t>
      </w:r>
      <w:r>
        <w:rPr>
          <w:rFonts w:ascii="Times New Roman" w:cs="Times New Roman" w:eastAsia="Times New Roman" w:hAnsi="Times New Roman"/>
          <w:sz w:val="18"/>
          <w:szCs w:val="18"/>
          <w:color w:val="auto"/>
        </w:rPr>
        <w:t>, which was released in May 2016; and</w:t>
      </w:r>
    </w:p>
    <w:p>
      <w:pPr>
        <w:spacing w:after="0" w:line="24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software amortization from the Skylanders franchise as there was no new release in 2017.</w:t>
      </w:r>
    </w:p>
    <w:p>
      <w:pPr>
        <w:spacing w:after="0" w:line="223" w:lineRule="exact"/>
        <w:rPr>
          <w:sz w:val="20"/>
          <w:szCs w:val="20"/>
          <w:color w:val="auto"/>
        </w:rPr>
      </w:pPr>
    </w:p>
    <w:p>
      <w:pPr>
        <w:ind w:right="640" w:firstLine="348"/>
        <w:spacing w:after="0" w:line="277" w:lineRule="auto"/>
        <w:rPr>
          <w:sz w:val="20"/>
          <w:szCs w:val="20"/>
          <w:color w:val="auto"/>
        </w:rPr>
      </w:pPr>
      <w:r>
        <w:rPr>
          <w:rFonts w:ascii="Times New Roman" w:cs="Times New Roman" w:eastAsia="Times New Roman" w:hAnsi="Times New Roman"/>
          <w:sz w:val="18"/>
          <w:szCs w:val="18"/>
          <w:color w:val="auto"/>
        </w:rPr>
        <w:t xml:space="preserve">The decrease was partially offset by higher software amortization associated with the Destiny franchise, primarily due to the release of </w:t>
      </w:r>
      <w:r>
        <w:rPr>
          <w:rFonts w:ascii="Times New Roman" w:cs="Times New Roman" w:eastAsia="Times New Roman" w:hAnsi="Times New Roman"/>
          <w:sz w:val="18"/>
          <w:szCs w:val="18"/>
          <w:i w:val="1"/>
          <w:iCs w:val="1"/>
          <w:color w:val="auto"/>
        </w:rPr>
        <w:t>Destiny 2</w:t>
      </w:r>
      <w:r>
        <w:rPr>
          <w:rFonts w:ascii="Times New Roman" w:cs="Times New Roman" w:eastAsia="Times New Roman" w:hAnsi="Times New Roman"/>
          <w:sz w:val="18"/>
          <w:szCs w:val="18"/>
          <w:color w:val="auto"/>
        </w:rPr>
        <w:t xml:space="preserve"> in September 2017.</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Revenues—Subscription, Licensing, and Other Revenues:</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2018 vs. 2017</w:t>
      </w:r>
    </w:p>
    <w:p>
      <w:pPr>
        <w:spacing w:after="0" w:line="225"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increase in game operations and distribution costs for 2018, as compared to 2017, was primarily due to higher personnel, facilities, and equipment costs of $50 million associated with our esports broadcasting operations and online games.</w:t>
      </w:r>
    </w:p>
    <w:p>
      <w:pPr>
        <w:spacing w:after="0" w:line="174" w:lineRule="exact"/>
        <w:rPr>
          <w:sz w:val="20"/>
          <w:szCs w:val="20"/>
          <w:color w:val="auto"/>
        </w:rPr>
      </w:pPr>
    </w:p>
    <w:p>
      <w:pPr>
        <w:ind w:right="140" w:firstLine="348"/>
        <w:spacing w:after="0" w:line="258" w:lineRule="auto"/>
        <w:rPr>
          <w:sz w:val="20"/>
          <w:szCs w:val="20"/>
          <w:color w:val="auto"/>
        </w:rPr>
      </w:pPr>
      <w:r>
        <w:rPr>
          <w:rFonts w:ascii="Times New Roman" w:cs="Times New Roman" w:eastAsia="Times New Roman" w:hAnsi="Times New Roman"/>
          <w:sz w:val="18"/>
          <w:szCs w:val="18"/>
          <w:color w:val="auto"/>
        </w:rPr>
        <w:t xml:space="preserve">The decrease in software royalties, amortization, and intellectual property licenses related to subscription, licensing, and other revenues for 2018, as compared to 2017, was primarily due to a decrease of $121 million in amortization of internally-developed franchise intangible assets acquired as part of our acquisition of King. The decrease was partially offset by an increase of $35 million in software amortization and royalties from Activision, primarily due to the release of expansions for </w:t>
      </w:r>
      <w:r>
        <w:rPr>
          <w:rFonts w:ascii="Times New Roman" w:cs="Times New Roman" w:eastAsia="Times New Roman" w:hAnsi="Times New Roman"/>
          <w:sz w:val="18"/>
          <w:szCs w:val="18"/>
          <w:i w:val="1"/>
          <w:iCs w:val="1"/>
          <w:color w:val="auto"/>
        </w:rPr>
        <w:t>Destiny 2.</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2017 vs. 2016</w:t>
      </w:r>
    </w:p>
    <w:p>
      <w:pPr>
        <w:spacing w:after="0" w:line="225" w:lineRule="exact"/>
        <w:rPr>
          <w:sz w:val="20"/>
          <w:szCs w:val="20"/>
          <w:color w:val="auto"/>
        </w:rPr>
      </w:pPr>
    </w:p>
    <w:p>
      <w:pPr>
        <w:ind w:right="440" w:firstLine="348"/>
        <w:spacing w:after="0" w:line="275" w:lineRule="auto"/>
        <w:rPr>
          <w:sz w:val="20"/>
          <w:szCs w:val="20"/>
          <w:color w:val="auto"/>
        </w:rPr>
      </w:pPr>
      <w:r>
        <w:rPr>
          <w:rFonts w:ascii="Times New Roman" w:cs="Times New Roman" w:eastAsia="Times New Roman" w:hAnsi="Times New Roman"/>
          <w:sz w:val="18"/>
          <w:szCs w:val="18"/>
          <w:color w:val="auto"/>
        </w:rPr>
        <w:t>The increase in game operations and distribution costs for 2017, as compared to 2016, was primarily due to platform provider fees associated with the increase in revenues from King.</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Software royalties, amortization, and intellectual property licenses related to subscription, licensing, and other revenues for 2017 were comparable to 2016.</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(amounts in millions)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2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4"/>
              </w:rPr>
              <w:t>Increase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Increase</w:t>
            </w: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consolidated</w:t>
            </w:r>
          </w:p>
        </w:tc>
        <w:tc>
          <w:tcPr>
            <w:tcW w:w="1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consolidated</w:t>
            </w:r>
          </w:p>
        </w:tc>
        <w:tc>
          <w:tcPr>
            <w:tcW w:w="18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consolidated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(Decrease)</w:t>
            </w:r>
          </w:p>
        </w:tc>
      </w:tr>
      <w:tr>
        <w:trPr>
          <w:trHeight w:val="165"/>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 revenues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 revenues</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 revenues</w:t>
            </w:r>
          </w:p>
        </w:tc>
        <w:tc>
          <w:tcPr>
            <w:tcW w:w="16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2018 v 2017</w:t>
            </w:r>
          </w:p>
        </w:tc>
        <w:tc>
          <w:tcPr>
            <w:tcW w:w="14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2017 v 2016</w:t>
            </w:r>
          </w:p>
        </w:tc>
        <w:tc>
          <w:tcPr>
            <w:tcW w:w="14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13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Product</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development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2018 vs 2017</w:t>
      </w:r>
    </w:p>
    <w:p>
      <w:pPr>
        <w:spacing w:after="0" w:line="225" w:lineRule="exact"/>
        <w:rPr>
          <w:sz w:val="20"/>
          <w:szCs w:val="20"/>
          <w:color w:val="auto"/>
        </w:rPr>
      </w:pPr>
    </w:p>
    <w:p>
      <w:pPr>
        <w:ind w:right="120" w:firstLine="348"/>
        <w:spacing w:after="0" w:line="262" w:lineRule="auto"/>
        <w:rPr>
          <w:sz w:val="20"/>
          <w:szCs w:val="20"/>
          <w:color w:val="auto"/>
        </w:rPr>
      </w:pPr>
      <w:r>
        <w:rPr>
          <w:rFonts w:ascii="Times New Roman" w:cs="Times New Roman" w:eastAsia="Times New Roman" w:hAnsi="Times New Roman"/>
          <w:sz w:val="18"/>
          <w:szCs w:val="18"/>
          <w:color w:val="auto"/>
        </w:rPr>
        <w:t>The increase in product development costs for 2018, as compared to 2017, was primarily due to an increase of $101 million in personnel and external developer costs to support existing and upcoming title releases. The higher costs were partially offset by an increase of $68 million in capitalization of software development costs due to the increased costs previously noted and the timing of game development cycles.</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2017 vs 2016</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increase in product development costs for 2017, as compared to 2016, was primarily due to:</w:t>
      </w:r>
    </w:p>
    <w:p>
      <w:pPr>
        <w:spacing w:after="0" w:line="239" w:lineRule="exact"/>
        <w:rPr>
          <w:sz w:val="20"/>
          <w:szCs w:val="20"/>
          <w:color w:val="auto"/>
        </w:rPr>
      </w:pPr>
    </w:p>
    <w:p>
      <w:pPr>
        <w:ind w:left="1080" w:right="680" w:hanging="532"/>
        <w:spacing w:after="0" w:line="275"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Blizzard product development costs resulting from lower capitalization of software development costs due to the timing of game development cycles; and</w:t>
      </w:r>
    </w:p>
    <w:p>
      <w:pPr>
        <w:spacing w:after="0" w:line="200" w:lineRule="exact"/>
        <w:rPr>
          <w:rFonts w:ascii="Times New Roman" w:cs="Times New Roman" w:eastAsia="Times New Roman" w:hAnsi="Times New Roman"/>
          <w:sz w:val="18"/>
          <w:szCs w:val="18"/>
          <w:color w:val="auto"/>
        </w:rPr>
      </w:pPr>
    </w:p>
    <w:p>
      <w:pPr>
        <w:ind w:left="1080" w:right="40" w:hanging="532"/>
        <w:spacing w:after="0" w:line="275"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 development costs for King, as 2017 included King's costs for a full year, while 2016 only included King's costs for the partial period following the King Closing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(amounts in millions)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Increase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Increase</w:t>
            </w: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consolidated</w:t>
            </w:r>
          </w:p>
        </w:tc>
        <w:tc>
          <w:tcPr>
            <w:tcW w:w="1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consolidated</w:t>
            </w:r>
          </w:p>
        </w:tc>
        <w:tc>
          <w:tcPr>
            <w:tcW w:w="1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consolidated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(Decrease)</w:t>
            </w:r>
          </w:p>
        </w:tc>
      </w:tr>
      <w:tr>
        <w:trPr>
          <w:trHeight w:val="165"/>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1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 revenues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2"/>
              </w:rPr>
              <w:t>2017</w:t>
            </w:r>
          </w:p>
        </w:tc>
        <w:tc>
          <w:tcPr>
            <w:tcW w:w="1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 revenues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2"/>
              </w:rPr>
              <w:t>2016</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 revenues</w:t>
            </w:r>
          </w:p>
        </w:tc>
        <w:tc>
          <w:tcPr>
            <w:tcW w:w="16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2018 v 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2017 v 2016</w:t>
            </w:r>
          </w:p>
        </w:tc>
        <w:tc>
          <w:tcPr>
            <w:tcW w:w="16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112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Sales and</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marketing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2018 vs. 2017</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decrease in sales and marketing expenses for 2018, as compared to 2017, was primarily due to:</w:t>
      </w:r>
    </w:p>
    <w:p>
      <w:pPr>
        <w:spacing w:after="0" w:line="239" w:lineRule="exact"/>
        <w:rPr>
          <w:sz w:val="20"/>
          <w:szCs w:val="20"/>
          <w:color w:val="auto"/>
        </w:rPr>
      </w:pPr>
    </w:p>
    <w:p>
      <w:pPr>
        <w:ind w:left="1080" w:right="20" w:hanging="532"/>
        <w:spacing w:after="0" w:line="275"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$263 million in amortization of the customer base intangible asset acquired as part of our acquisition of King, as the asset was fully amortized during the first quarter of 2018; and</w:t>
      </w:r>
    </w:p>
    <w:p>
      <w:pPr>
        <w:spacing w:after="0" w:line="187" w:lineRule="exact"/>
        <w:rPr>
          <w:rFonts w:ascii="Times New Roman" w:cs="Times New Roman" w:eastAsia="Times New Roman" w:hAnsi="Times New Roman"/>
          <w:sz w:val="18"/>
          <w:szCs w:val="18"/>
          <w:color w:val="auto"/>
        </w:rPr>
      </w:pPr>
    </w:p>
    <w:p>
      <w:pPr>
        <w:ind w:left="1080" w:right="240" w:hanging="532"/>
        <w:spacing w:after="0" w:line="230"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decrease of $49 million in marketing spending and personnel costs, primarily associated with (1) the Destiny franchise, due to the release of </w:t>
      </w:r>
      <w:r>
        <w:rPr>
          <w:rFonts w:ascii="Times New Roman" w:cs="Times New Roman" w:eastAsia="Times New Roman" w:hAnsi="Times New Roman"/>
          <w:sz w:val="18"/>
          <w:szCs w:val="18"/>
          <w:i w:val="1"/>
          <w:iCs w:val="1"/>
          <w:color w:val="auto"/>
        </w:rPr>
        <w:t xml:space="preserve">Destiny 2 </w:t>
      </w:r>
      <w:r>
        <w:rPr>
          <w:rFonts w:ascii="Times New Roman" w:cs="Times New Roman" w:eastAsia="Times New Roman" w:hAnsi="Times New Roman"/>
          <w:sz w:val="18"/>
          <w:szCs w:val="18"/>
          <w:color w:val="auto"/>
        </w:rPr>
        <w:t>in September 2017, with no comparable full-game release in 2018, (2) the Bubble Witch franchise, as</w:t>
      </w:r>
      <w:r>
        <w:rPr>
          <w:rFonts w:ascii="Times New Roman" w:cs="Times New Roman" w:eastAsia="Times New Roman" w:hAnsi="Times New Roman"/>
          <w:sz w:val="18"/>
          <w:szCs w:val="18"/>
          <w:i w:val="1"/>
          <w:iCs w:val="1"/>
          <w:color w:val="auto"/>
        </w:rPr>
        <w:t xml:space="preserve"> Bubble Witch 3 Saga</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released during the first quarter of 2017, and (3) </w:t>
      </w:r>
      <w:r>
        <w:rPr>
          <w:rFonts w:ascii="Times New Roman" w:cs="Times New Roman" w:eastAsia="Times New Roman" w:hAnsi="Times New Roman"/>
          <w:sz w:val="18"/>
          <w:szCs w:val="18"/>
          <w:i w:val="1"/>
          <w:iCs w:val="1"/>
          <w:color w:val="auto"/>
        </w:rPr>
        <w:t>Overwatch</w:t>
      </w:r>
      <w:r>
        <w:rPr>
          <w:rFonts w:ascii="Times New Roman" w:cs="Times New Roman" w:eastAsia="Times New Roman" w:hAnsi="Times New Roman"/>
          <w:sz w:val="18"/>
          <w:szCs w:val="18"/>
          <w:color w:val="auto"/>
        </w:rPr>
        <w:t xml:space="preserve">, partially offset by an increases in marketing spending and personnel costs for the Candy Crush franchise, which had the release of </w:t>
      </w:r>
      <w:r>
        <w:rPr>
          <w:rFonts w:ascii="Times New Roman" w:cs="Times New Roman" w:eastAsia="Times New Roman" w:hAnsi="Times New Roman"/>
          <w:sz w:val="18"/>
          <w:szCs w:val="18"/>
          <w:i w:val="1"/>
          <w:iCs w:val="1"/>
          <w:color w:val="auto"/>
        </w:rPr>
        <w:t>Candy Crush Friends Saga</w:t>
      </w:r>
      <w:r>
        <w:rPr>
          <w:rFonts w:ascii="Times New Roman" w:cs="Times New Roman" w:eastAsia="Times New Roman" w:hAnsi="Times New Roman"/>
          <w:sz w:val="18"/>
          <w:szCs w:val="18"/>
          <w:color w:val="auto"/>
        </w:rPr>
        <w:t xml:space="preserve"> in October 2018.</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2017 vs. 2016</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increase in sales and marketing expenses for 2017, as compared to 2016, was primarily due to:</w:t>
      </w:r>
    </w:p>
    <w:p>
      <w:pPr>
        <w:spacing w:after="0" w:line="250" w:lineRule="exact"/>
        <w:rPr>
          <w:sz w:val="20"/>
          <w:szCs w:val="20"/>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sales and marketing costs for the Destiny franchise, given the release of </w:t>
      </w:r>
      <w:r>
        <w:rPr>
          <w:rFonts w:ascii="Times New Roman" w:cs="Times New Roman" w:eastAsia="Times New Roman" w:hAnsi="Times New Roman"/>
          <w:sz w:val="18"/>
          <w:szCs w:val="18"/>
          <w:i w:val="1"/>
          <w:iCs w:val="1"/>
          <w:color w:val="auto"/>
        </w:rPr>
        <w:t>Destiny 2</w:t>
      </w:r>
      <w:r>
        <w:rPr>
          <w:rFonts w:ascii="Times New Roman" w:cs="Times New Roman" w:eastAsia="Times New Roman" w:hAnsi="Times New Roman"/>
          <w:sz w:val="18"/>
          <w:szCs w:val="18"/>
          <w:color w:val="auto"/>
        </w:rPr>
        <w:t xml:space="preserve"> in September 2017; and</w:t>
      </w:r>
    </w:p>
    <w:p>
      <w:pPr>
        <w:spacing w:after="0" w:line="240" w:lineRule="exact"/>
        <w:rPr>
          <w:rFonts w:ascii="Times New Roman" w:cs="Times New Roman" w:eastAsia="Times New Roman" w:hAnsi="Times New Roman"/>
          <w:sz w:val="18"/>
          <w:szCs w:val="18"/>
          <w:color w:val="auto"/>
        </w:rPr>
      </w:pPr>
    </w:p>
    <w:p>
      <w:pPr>
        <w:ind w:left="1080" w:hanging="532"/>
        <w:spacing w:after="0" w:line="339" w:lineRule="auto"/>
        <w:tabs>
          <w:tab w:leader="none" w:pos="10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amortization of the customer base intangible assets acquired in the King Acquisition and increased sales and marketing costs to support King's titles, as 2017 included a full year of costs, while 2016 only included King's costs for the partial period following the King Closing Date.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(amounts in millions)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1"/>
              </w:rPr>
              <w:t>Year Ended</w:t>
            </w:r>
          </w:p>
        </w:tc>
        <w:tc>
          <w:tcPr>
            <w:tcW w:w="1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4"/>
              </w:rPr>
              <w:t>Increase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Increase</w:t>
            </w: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consolidated</w:t>
            </w:r>
          </w:p>
        </w:tc>
        <w:tc>
          <w:tcPr>
            <w:tcW w:w="1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consolidated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(Decrease)</w:t>
            </w:r>
          </w:p>
        </w:tc>
      </w:tr>
      <w:tr>
        <w:trPr>
          <w:trHeight w:val="165"/>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 revenues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2"/>
              </w:rPr>
              <w:t>2017</w:t>
            </w:r>
          </w:p>
        </w:tc>
        <w:tc>
          <w:tcPr>
            <w:tcW w:w="1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net revenues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2"/>
              </w:rPr>
              <w:t>2016</w:t>
            </w:r>
          </w:p>
        </w:tc>
        <w:tc>
          <w:tcPr>
            <w:tcW w:w="1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 revenues</w:t>
            </w:r>
          </w:p>
        </w:tc>
        <w:tc>
          <w:tcPr>
            <w:tcW w:w="16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2018 v 2017</w:t>
            </w:r>
          </w:p>
        </w:tc>
        <w:tc>
          <w:tcPr>
            <w:tcW w:w="14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2017 v 2016</w:t>
            </w:r>
          </w:p>
        </w:tc>
        <w:tc>
          <w:tcPr>
            <w:tcW w:w="14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138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General and</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administrative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2018 vs. 2017</w:t>
      </w:r>
    </w:p>
    <w:p>
      <w:pPr>
        <w:spacing w:after="0" w:line="225" w:lineRule="exact"/>
        <w:rPr>
          <w:sz w:val="20"/>
          <w:szCs w:val="20"/>
          <w:color w:val="auto"/>
        </w:rPr>
      </w:pPr>
    </w:p>
    <w:p>
      <w:pPr>
        <w:ind w:right="380" w:firstLine="348"/>
        <w:spacing w:after="0" w:line="262" w:lineRule="auto"/>
        <w:rPr>
          <w:sz w:val="20"/>
          <w:szCs w:val="20"/>
          <w:color w:val="auto"/>
        </w:rPr>
      </w:pPr>
      <w:r>
        <w:rPr>
          <w:rFonts w:ascii="Times New Roman" w:cs="Times New Roman" w:eastAsia="Times New Roman" w:hAnsi="Times New Roman"/>
          <w:sz w:val="18"/>
          <w:szCs w:val="18"/>
          <w:color w:val="auto"/>
        </w:rPr>
        <w:t>The increase in general and administrative expenses for 2018, as compared to 2017, was primarily due to an increase of $65 million in personnel costs (including stock-based compensation expense), professional fees, and facilities costs to support the growth of our existing business and adjacent areas of opportunity.</w:t>
      </w:r>
    </w:p>
    <w:p>
      <w:pPr>
        <w:spacing w:after="0" w:line="1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2017 vs. 2016</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increase in general and administrative expenses for 2017, as compared to 2016, was primarily due to:</w:t>
      </w:r>
    </w:p>
    <w:p>
      <w:pPr>
        <w:spacing w:after="0" w:line="239" w:lineRule="exact"/>
        <w:rPr>
          <w:sz w:val="20"/>
          <w:szCs w:val="20"/>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personnel costs, including stock compensation expenses, to support the growth in our business and adjacent areas of opportunity;</w:t>
      </w:r>
    </w:p>
    <w:p>
      <w:pPr>
        <w:spacing w:after="0" w:line="252"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of a non-cash accounting charge to reclassify certain losses included in our cumulative translation adjustments into earnings due to the substantial liquidation of certain of our foreign entities, with no comparable activity in 2016;</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primarily severance costs, incurred in 2017 with no comparable activity in 2016;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foreign currency transaction losses.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increase is partially offset by lower transaction costs as 2016 included the King Acquisition.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Expense (Income), Net (amounts in millions)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Increase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4"/>
              </w:rPr>
              <w:t>Increase</w:t>
            </w: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consolidated</w:t>
            </w:r>
          </w:p>
        </w:tc>
        <w:tc>
          <w:tcPr>
            <w:tcW w:w="1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consolidated</w:t>
            </w:r>
          </w:p>
        </w:tc>
        <w:tc>
          <w:tcPr>
            <w:tcW w:w="1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consolidated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(Decrease)</w:t>
            </w:r>
          </w:p>
        </w:tc>
      </w:tr>
      <w:tr>
        <w:trPr>
          <w:trHeight w:val="165"/>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 revenues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 revenues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 revenues</w:t>
            </w:r>
          </w:p>
        </w:tc>
        <w:tc>
          <w:tcPr>
            <w:tcW w:w="16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2018 v 2017</w:t>
            </w:r>
          </w:p>
        </w:tc>
        <w:tc>
          <w:tcPr>
            <w:tcW w:w="60" w:type="dxa"/>
            <w:vAlign w:val="bottom"/>
          </w:tcPr>
          <w:p>
            <w:pPr>
              <w:spacing w:after="0"/>
              <w:rPr>
                <w:sz w:val="14"/>
                <w:szCs w:val="14"/>
                <w:color w:val="auto"/>
              </w:rPr>
            </w:pPr>
          </w:p>
        </w:tc>
        <w:tc>
          <w:tcPr>
            <w:tcW w:w="9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2017 v 2016</w:t>
            </w:r>
          </w:p>
        </w:tc>
      </w:tr>
      <w:tr>
        <w:trPr>
          <w:trHeight w:val="195"/>
        </w:trPr>
        <w:tc>
          <w:tcPr>
            <w:tcW w:w="20" w:type="dxa"/>
            <w:vAlign w:val="bottom"/>
          </w:tcPr>
          <w:p>
            <w:pPr>
              <w:spacing w:after="0"/>
              <w:rPr>
                <w:sz w:val="16"/>
                <w:szCs w:val="16"/>
                <w:color w:val="auto"/>
              </w:rPr>
            </w:pPr>
          </w:p>
        </w:tc>
        <w:tc>
          <w:tcPr>
            <w:tcW w:w="9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Interest and</w:t>
            </w: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expense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r>
    </w:tbl>
    <w:p>
      <w:pPr>
        <w:spacing w:after="0" w:line="2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2018 vs. 2017</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decrease in interest and other expense (income), net, for 2018, as compared to 2017, was primarily due to:</w:t>
      </w:r>
    </w:p>
    <w:p>
      <w:pPr>
        <w:spacing w:after="0" w:line="252" w:lineRule="exact"/>
        <w:rPr>
          <w:sz w:val="20"/>
          <w:szCs w:val="20"/>
          <w:color w:val="auto"/>
        </w:rPr>
      </w:pPr>
    </w:p>
    <w:p>
      <w:pPr>
        <w:ind w:left="1080" w:right="60" w:hanging="532"/>
        <w:spacing w:after="0" w:line="275"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$41 million in interest income from our cash and cash equivalents, due to higher average cash balances and higher interest rates as compared to the prior-year period; and</w:t>
      </w:r>
    </w:p>
    <w:p>
      <w:pPr>
        <w:spacing w:after="0" w:line="187" w:lineRule="exact"/>
        <w:rPr>
          <w:rFonts w:ascii="Times New Roman" w:cs="Times New Roman" w:eastAsia="Times New Roman" w:hAnsi="Times New Roman"/>
          <w:sz w:val="18"/>
          <w:szCs w:val="18"/>
          <w:color w:val="auto"/>
        </w:rPr>
      </w:pPr>
    </w:p>
    <w:p>
      <w:pPr>
        <w:ind w:left="1080" w:right="180" w:hanging="532"/>
        <w:spacing w:after="0" w:line="275"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$22 million in interest expense and amortization of deferred financing costs associated with our debt obligations due to our lower total debt outstanding as a result of our debt redemptions and repayment activities.</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2017 vs. 2016</w:t>
      </w:r>
    </w:p>
    <w:p>
      <w:pPr>
        <w:spacing w:after="0" w:line="225"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decrease in interest and other expense (income), net, for 2017, as compared to 2016, was primarily due to our lower total outstanding debt and lower interest rates on our current debt instruments as a result of our refinancing activities in 2016 and 2017. See further discussion below under "Liquidity and Capital Resources."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 (amounts in millions)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w w:val="91"/>
              </w:rPr>
              <w:t>Year Ended</w:t>
            </w:r>
          </w:p>
        </w:tc>
        <w:tc>
          <w:tcPr>
            <w:tcW w:w="160" w:type="dxa"/>
            <w:vAlign w:val="bottom"/>
          </w:tcPr>
          <w:p>
            <w:pPr>
              <w:spacing w:after="0"/>
              <w:rPr>
                <w:sz w:val="13"/>
                <w:szCs w:val="13"/>
                <w:color w:val="auto"/>
              </w:rPr>
            </w:pPr>
          </w:p>
        </w:tc>
        <w:tc>
          <w:tcPr>
            <w:tcW w:w="8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88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60" w:type="dxa"/>
            <w:vAlign w:val="bottom"/>
          </w:tcPr>
          <w:p>
            <w:pPr>
              <w:spacing w:after="0"/>
              <w:rPr>
                <w:sz w:val="13"/>
                <w:szCs w:val="13"/>
                <w:color w:val="auto"/>
              </w:rPr>
            </w:pPr>
          </w:p>
        </w:tc>
        <w:tc>
          <w:tcPr>
            <w:tcW w:w="8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880" w:type="dxa"/>
            <w:vAlign w:val="bottom"/>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w w:val="91"/>
              </w:rPr>
              <w:t>Year Ended</w:t>
            </w:r>
          </w:p>
        </w:tc>
        <w:tc>
          <w:tcPr>
            <w:tcW w:w="160" w:type="dxa"/>
            <w:vAlign w:val="bottom"/>
          </w:tcPr>
          <w:p>
            <w:pPr>
              <w:spacing w:after="0"/>
              <w:rPr>
                <w:sz w:val="13"/>
                <w:szCs w:val="13"/>
                <w:color w:val="auto"/>
              </w:rPr>
            </w:pPr>
          </w:p>
        </w:tc>
        <w:tc>
          <w:tcPr>
            <w:tcW w:w="8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Increase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Increase</w:t>
            </w: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27"/>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60" w:type="dxa"/>
            <w:vAlign w:val="bottom"/>
          </w:tcPr>
          <w:p>
            <w:pPr>
              <w:spacing w:after="0"/>
              <w:rPr>
                <w:sz w:val="12"/>
                <w:szCs w:val="12"/>
                <w:color w:val="auto"/>
              </w:rPr>
            </w:pPr>
          </w:p>
        </w:tc>
        <w:tc>
          <w:tcPr>
            <w:tcW w:w="80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Pretax</w:t>
            </w:r>
          </w:p>
        </w:tc>
        <w:tc>
          <w:tcPr>
            <w:tcW w:w="880" w:type="dxa"/>
            <w:vAlign w:val="bottom"/>
          </w:tcPr>
          <w:p>
            <w:pPr>
              <w:jc w:val="center"/>
              <w:ind w:right="7"/>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60" w:type="dxa"/>
            <w:vAlign w:val="bottom"/>
          </w:tcPr>
          <w:p>
            <w:pPr>
              <w:spacing w:after="0"/>
              <w:rPr>
                <w:sz w:val="12"/>
                <w:szCs w:val="12"/>
                <w:color w:val="auto"/>
              </w:rPr>
            </w:pPr>
          </w:p>
        </w:tc>
        <w:tc>
          <w:tcPr>
            <w:tcW w:w="8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Pretax</w:t>
            </w:r>
          </w:p>
        </w:tc>
        <w:tc>
          <w:tcPr>
            <w:tcW w:w="880" w:type="dxa"/>
            <w:vAlign w:val="bottom"/>
          </w:tcPr>
          <w:p>
            <w:pPr>
              <w:jc w:val="center"/>
              <w:ind w:right="27"/>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60" w:type="dxa"/>
            <w:vAlign w:val="bottom"/>
          </w:tcPr>
          <w:p>
            <w:pPr>
              <w:spacing w:after="0"/>
              <w:rPr>
                <w:sz w:val="12"/>
                <w:szCs w:val="12"/>
                <w:color w:val="auto"/>
              </w:rPr>
            </w:pPr>
          </w:p>
        </w:tc>
        <w:tc>
          <w:tcPr>
            <w:tcW w:w="80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Pretax</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(Decrease)</w:t>
            </w:r>
          </w:p>
        </w:tc>
      </w:tr>
      <w:tr>
        <w:trPr>
          <w:trHeight w:val="165"/>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1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income</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income</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w w:val="92"/>
              </w:rPr>
              <w:t>2016</w:t>
            </w:r>
          </w:p>
        </w:tc>
        <w:tc>
          <w:tcPr>
            <w:tcW w:w="1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income</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w w:val="97"/>
              </w:rPr>
              <w:t>2018 v 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w w:val="97"/>
              </w:rPr>
              <w:t>2017 v 2016</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the years ended December 31, 2018, 2017, and 2016, the Company's income before income tax expense was $1.88 billion, $1.15 billion, and</w:t>
      </w:r>
    </w:p>
    <w:p>
      <w:pPr>
        <w:spacing w:after="0" w:line="2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$1.11 billion, respectively, and our income tax expense was $64 million (or a 3% effective tax rate), $878 million (or a 76% effective tax rate), and $140 million (or a 13% effective tax rate), respectively. Our full year 2018 effective tax rate of 3% is lower than the U.S. statutory rate of 21% primarily due to one-time tax benefits related to the U.S. Tax Reform Act (discussed further below), earnings taxed at relatively lower rates in foreign jurisdictions, recognition of excess tax benefits from shared-based payments, and research and development ("R&amp;D") credits, partially offset by changes in the Company's liability for uncertain tax positions.</w:t>
      </w:r>
    </w:p>
    <w:p>
      <w:pPr>
        <w:spacing w:after="0" w:line="193"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In 2018, 2017, and 2016, our U.S. income before income tax expense was $432 million, $185 million, and $228 million, respectively, and comprised 23%, 16%, and 21%, respectively, of our consolidated income before income tax expense. In 2018, 2017 and 2016, our foreign income before income tax expense was $1,445 million, $966 million, and $878 million, respectively, and comprised 77%, 84%, and 79%, respectively, of our consolidated income before income tax expense.</w:t>
      </w:r>
    </w:p>
    <w:p>
      <w:pPr>
        <w:spacing w:after="0" w:line="190"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In 2018, 2017 and 2016, earnings taxed at lower rates in foreign jurisdictions, as compared to domestic earnings taxed at the U.S. federal statutory tax rate, lowered our effective tax rate by 11 percentage points, 24 percentage points, and 22 percentage points, respectively. The decrease in the foreign rate differential is due to the reduction of U.S. corporate tax rate from 35% to 21% beginning in 2018.</w:t>
      </w:r>
    </w:p>
    <w:p>
      <w:pPr>
        <w:spacing w:after="0" w:line="186" w:lineRule="exact"/>
        <w:rPr>
          <w:sz w:val="20"/>
          <w:szCs w:val="20"/>
          <w:color w:val="auto"/>
        </w:rPr>
      </w:pPr>
    </w:p>
    <w:p>
      <w:pPr>
        <w:ind w:right="600" w:firstLine="348"/>
        <w:spacing w:after="0" w:line="262" w:lineRule="auto"/>
        <w:rPr>
          <w:sz w:val="20"/>
          <w:szCs w:val="20"/>
          <w:color w:val="auto"/>
        </w:rPr>
      </w:pPr>
      <w:r>
        <w:rPr>
          <w:rFonts w:ascii="Times New Roman" w:cs="Times New Roman" w:eastAsia="Times New Roman" w:hAnsi="Times New Roman"/>
          <w:sz w:val="18"/>
          <w:szCs w:val="18"/>
          <w:color w:val="auto"/>
        </w:rPr>
        <w:t>The overall effective income tax rate in future periods will depend on a variety of factors, such as changes in pre-tax income or loss by jurisdiction, applicable accounting rules, applicable tax laws and regulations, and rulings and interpretations thereof, developments in tax audits and other matters, and variations in the estimated and actual level of annual pre-tax income or loss.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IRS Closing Agreement</w:t>
      </w:r>
    </w:p>
    <w:p>
      <w:pPr>
        <w:spacing w:after="0" w:line="227" w:lineRule="exact"/>
        <w:rPr>
          <w:sz w:val="20"/>
          <w:szCs w:val="20"/>
          <w:color w:val="auto"/>
        </w:rPr>
      </w:pPr>
    </w:p>
    <w:p>
      <w:pPr>
        <w:ind w:right="320" w:firstLine="351"/>
        <w:spacing w:after="0" w:line="255" w:lineRule="auto"/>
        <w:rPr>
          <w:sz w:val="20"/>
          <w:szCs w:val="20"/>
          <w:color w:val="auto"/>
        </w:rPr>
      </w:pPr>
      <w:r>
        <w:rPr>
          <w:rFonts w:ascii="Times New Roman" w:cs="Times New Roman" w:eastAsia="Times New Roman" w:hAnsi="Times New Roman"/>
          <w:sz w:val="18"/>
          <w:szCs w:val="18"/>
          <w:color w:val="auto"/>
        </w:rPr>
        <w:t>On June 27, 2018, we entered into a closing agreement with the Internal Revenue Service ("IRS") to resolve certain intercompany transfer pricing arrangements for tax periods starting in 2009 (the "Closing Agreement"). The primary adjustments related to the Closing Agreement were recognized in the second quarter of 2018 and consisted of a tax expense of $70 million and a reduction in unrecognized tax benefits of $437 million. In addition, we recognized $185 million of tax benefits related to other tax adjustments resulting from the changes in U.S. tax attributes and taxable income caused by the primary adjustments. The Closing Agreement resulted in federal and state cash tax payments totaling approximately $345 million, of which federal tax payments of $334 million were made in October 2018.</w:t>
      </w:r>
    </w:p>
    <w:p>
      <w:pPr>
        <w:spacing w:after="0" w:line="193" w:lineRule="exact"/>
        <w:rPr>
          <w:sz w:val="20"/>
          <w:szCs w:val="20"/>
          <w:color w:val="auto"/>
        </w:rPr>
      </w:pPr>
    </w:p>
    <w:p>
      <w:pPr>
        <w:ind w:firstLine="348"/>
        <w:spacing w:after="0" w:line="291" w:lineRule="auto"/>
        <w:rPr>
          <w:sz w:val="20"/>
          <w:szCs w:val="20"/>
          <w:color w:val="auto"/>
        </w:rPr>
      </w:pPr>
      <w:r>
        <w:rPr>
          <w:rFonts w:ascii="Times New Roman" w:cs="Times New Roman" w:eastAsia="Times New Roman" w:hAnsi="Times New Roman"/>
          <w:sz w:val="16"/>
          <w:szCs w:val="16"/>
          <w:color w:val="auto"/>
        </w:rPr>
        <w:t>We evaluate deferred tax assets each period for recoverability. We record a valuation allowance for assets that do not meet the threshold of "more likely than not" to be realized in the future. To make that determination, we evaluate the likelihood of realization based on the weight of all positive and negative evidence available. As of December 31, 2017, we had a deferred tax asset for California research and development credit carryforwards ("CA R&amp;D Credits"), which can be carried forward indefinitely. The Closing Agreement impacts historical and prospective filings in certain states, including California, and after considering the impact of the Closing Agreement on its prospective California taxable income, we determined that our remaining CA R&amp;D Credits no longer met the threshold of more likely than not to be realized in the future. As such, for the year ended December 31, 2018, we recorded a full valuation allowance of $61 million. We will reassess this determination quarterly and record a tax benefit if and when future evidence allows for a partial or full release of this valuation allowance.</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Tax Reform Act</w:t>
      </w:r>
    </w:p>
    <w:p>
      <w:pPr>
        <w:spacing w:after="0" w:line="227" w:lineRule="exact"/>
        <w:rPr>
          <w:sz w:val="20"/>
          <w:szCs w:val="20"/>
          <w:color w:val="auto"/>
        </w:rPr>
      </w:pPr>
    </w:p>
    <w:p>
      <w:pPr>
        <w:jc w:val="both"/>
        <w:ind w:right="260" w:firstLine="351"/>
        <w:spacing w:after="0" w:line="262" w:lineRule="auto"/>
        <w:rPr>
          <w:sz w:val="20"/>
          <w:szCs w:val="20"/>
          <w:color w:val="auto"/>
        </w:rPr>
      </w:pPr>
      <w:r>
        <w:rPr>
          <w:rFonts w:ascii="Times New Roman" w:cs="Times New Roman" w:eastAsia="Times New Roman" w:hAnsi="Times New Roman"/>
          <w:sz w:val="18"/>
          <w:szCs w:val="18"/>
          <w:color w:val="auto"/>
        </w:rPr>
        <w:t>On December 22, 2017, the U.S. Tax Reform Act was enacted. The U.S. Tax Reform Act, among other things, reduced the U.S. corporate income tax rate from 35% to 21% beginning in 2018 and implemented a modified territorial tax system that imposed a one-time tax on deemed repatriated earnings of foreign subsidiaries (the "Transition Tax").</w:t>
      </w:r>
    </w:p>
    <w:p>
      <w:pPr>
        <w:spacing w:after="0" w:line="186" w:lineRule="exact"/>
        <w:rPr>
          <w:sz w:val="20"/>
          <w:szCs w:val="20"/>
          <w:color w:val="auto"/>
        </w:rPr>
      </w:pPr>
    </w:p>
    <w:p>
      <w:pPr>
        <w:ind w:right="140" w:firstLine="351"/>
        <w:spacing w:after="0" w:line="255" w:lineRule="auto"/>
        <w:rPr>
          <w:sz w:val="20"/>
          <w:szCs w:val="20"/>
          <w:color w:val="auto"/>
        </w:rPr>
      </w:pPr>
      <w:r>
        <w:rPr>
          <w:rFonts w:ascii="Times New Roman" w:cs="Times New Roman" w:eastAsia="Times New Roman" w:hAnsi="Times New Roman"/>
          <w:sz w:val="18"/>
          <w:szCs w:val="18"/>
          <w:color w:val="auto"/>
        </w:rPr>
        <w:t>On December 22, 2017, the SEC staff issued Staff Accounting Bulletin No. 118 ("SAB 118"), which provides guidance on how to account for the effects of the U.S. Tax Reform Act under Accounting Standards Codification ("ASC") 740. SAB 118 enabled companies to record a provisional amount for the effects of the U.S. Tax Reform Act based on a reasonable estimate, subject to adjustment during a measurement period of up to one year, until accounting is complete. During the fourth quarter of 2017, we recorded provisional amounts of $636 million for the effects of the U.S. Tax Reform Act in accordance with SAB 118. In addition, as of December 31, 2017, we no longer considered the available cash balances related to undistributed earnings held outside of the U.S. by our foreign subsidiaries to be indefinitely reinvested.</w:t>
      </w:r>
    </w:p>
    <w:p>
      <w:pPr>
        <w:spacing w:after="0" w:line="193"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In the fourth quarter of 2018, we completed our analysis of the effect of the U.S. Tax Reform Act. For the year ended December 31, 2018, we recorded an additional tax benefit of $285 million for the effects of the U.S. Tax Reform Act. This is primarily related to the election to record deferred U.S. taxes with respect to earnings of our foreign subsidiaries subject to global intangible low-taxed income ("GILTI") and the adjustment for the remeasurement of certain deferred tax assets and liabilities as a result of the U.S. corporate income tax rate reduction. The aggregate U.S. Tax Reform Act impact for 2017 and 2018 is a net tax expense of $351 million, which consists of a $570 million tax expense related to the Transition Tax, partially offset by a net benefit of $219 million, mainly related to the adoption of GILTI deferred tax accounting and remeasurement of deferred tax assets and liabilities.</w:t>
      </w:r>
    </w:p>
    <w:p>
      <w:pPr>
        <w:spacing w:after="0" w:line="193" w:lineRule="exact"/>
        <w:rPr>
          <w:sz w:val="20"/>
          <w:szCs w:val="20"/>
          <w:color w:val="auto"/>
        </w:rPr>
      </w:pPr>
    </w:p>
    <w:p>
      <w:pPr>
        <w:ind w:right="460" w:firstLine="351"/>
        <w:spacing w:after="0" w:line="275" w:lineRule="auto"/>
        <w:rPr>
          <w:sz w:val="20"/>
          <w:szCs w:val="20"/>
          <w:color w:val="auto"/>
        </w:rPr>
      </w:pPr>
      <w:r>
        <w:rPr>
          <w:rFonts w:ascii="Times New Roman" w:cs="Times New Roman" w:eastAsia="Times New Roman" w:hAnsi="Times New Roman"/>
          <w:sz w:val="18"/>
          <w:szCs w:val="18"/>
          <w:color w:val="auto"/>
        </w:rPr>
        <w:t>Further analysis of the differences between the U.S. federal statutory rate and the consolidated effective tax rate, as well as other information about our income taxes, is provided in Note 18 of the notes to the consolidated financial statements included in Item 8 of this Annual Report on Form 10-K.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Impact</w:t>
      </w:r>
    </w:p>
    <w:p>
      <w:pPr>
        <w:spacing w:after="0" w:line="229" w:lineRule="exact"/>
        <w:rPr>
          <w:sz w:val="20"/>
          <w:szCs w:val="20"/>
          <w:color w:val="auto"/>
        </w:rPr>
      </w:pPr>
    </w:p>
    <w:p>
      <w:pPr>
        <w:jc w:val="both"/>
        <w:ind w:right="80" w:firstLine="351"/>
        <w:spacing w:after="0" w:line="262" w:lineRule="auto"/>
        <w:rPr>
          <w:sz w:val="20"/>
          <w:szCs w:val="20"/>
          <w:color w:val="auto"/>
        </w:rPr>
      </w:pPr>
      <w:r>
        <w:rPr>
          <w:rFonts w:ascii="Times New Roman" w:cs="Times New Roman" w:eastAsia="Times New Roman" w:hAnsi="Times New Roman"/>
          <w:sz w:val="18"/>
          <w:szCs w:val="18"/>
          <w:color w:val="auto"/>
        </w:rPr>
        <w:t>Changes in foreign exchange rates had a positive impact of $68 million, a positive impact of $27 million, and a positive impact of $10 million on Activision Blizzard's consolidated operating income in 2018, 2017, and 2016, respectively. The changes are primarily due to changes in the value of the U.S. dollar relative to the euro and British pound and its impact on our foreign operating income.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believe our ability to generate cash flows from operating activities is one of our fundamental financial strengths. In the near term, we expect our business and financial condition to remain strong and to continue to generate significant operating cash flows, which, we believe, in combination with our existing balance of cash and cash equivalents and short-term investments of $4.4 billion, our access to capital, and the availability of our $1.5 billion revolving credit facility, will be sufficient to finance our operational and financing requirements for the next 12 months. Our primary sources of liquidity, which are available to us to fund cash outflows such as our anticipated dividend payments, share repurchases, and scheduled debt maturities, include our cash and cash equivalents, short-term investments, and cash flows provided by operating activities.</w:t>
      </w:r>
    </w:p>
    <w:p>
      <w:pPr>
        <w:spacing w:after="0" w:line="193" w:lineRule="exact"/>
        <w:rPr>
          <w:sz w:val="20"/>
          <w:szCs w:val="20"/>
          <w:color w:val="auto"/>
        </w:rPr>
      </w:pPr>
    </w:p>
    <w:p>
      <w:pPr>
        <w:ind w:right="400" w:firstLine="341"/>
        <w:spacing w:after="0" w:line="339" w:lineRule="auto"/>
        <w:rPr>
          <w:sz w:val="20"/>
          <w:szCs w:val="20"/>
          <w:color w:val="auto"/>
        </w:rPr>
      </w:pPr>
      <w:r>
        <w:rPr>
          <w:rFonts w:ascii="Times New Roman" w:cs="Times New Roman" w:eastAsia="Times New Roman" w:hAnsi="Times New Roman"/>
          <w:sz w:val="16"/>
          <w:szCs w:val="16"/>
          <w:color w:val="auto"/>
        </w:rPr>
        <w:t>As of December 31, 2018, the amount of cash and cash equivalents held outside of the U.S. by our foreign subsidiaries was $1.4 billion, as compared to $3.0 billion as of December 31, 2017. Following the enactment of the U.S. Tax Reform Act and the current period expense on unrepatriated earnings,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80"/>
        <w:spacing w:after="0" w:line="275" w:lineRule="auto"/>
        <w:rPr>
          <w:sz w:val="20"/>
          <w:szCs w:val="20"/>
          <w:color w:val="auto"/>
        </w:rPr>
      </w:pPr>
      <w:r>
        <w:rPr>
          <w:rFonts w:ascii="Times New Roman" w:cs="Times New Roman" w:eastAsia="Times New Roman" w:hAnsi="Times New Roman"/>
          <w:sz w:val="18"/>
          <w:szCs w:val="18"/>
          <w:color w:val="auto"/>
        </w:rPr>
        <w:t>we no longer consider these available cash balances, which primarily consist of undistributed earnings of our most significant foreign subsidiaries, to be indefinitely reinvested.</w:t>
      </w:r>
    </w:p>
    <w:p>
      <w:pPr>
        <w:spacing w:after="0" w:line="174"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Our cash provided from operating activities is somewhat impacted by seasonality. Working capital needs are impacted by weekly sales, which are generally highest in the fourth quarter due to seasonal and holiday-related sales patterns. We consider, on a continuing basis, various transactions to increase shareholder value and enhance our business results, including acquisitions, divestitures, joint ventures, share repurchases, and other structural changes. These transactions may result in future cash proceeds or payments.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 (amounts in millions)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20" w:type="dxa"/>
            <w:vAlign w:val="bottom"/>
            <w:gridSpan w:val="10"/>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w w:val="97"/>
              </w:rPr>
              <w:t>For the Years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center"/>
              <w:ind w:right="21"/>
              <w:spacing w:after="0" w:line="125"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(Decrease)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4"/>
              </w:rPr>
              <w:t>2018 v 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Percentage of total assets</w:t>
            </w: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8"/>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1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4"/>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center"/>
              <w:ind w:right="21"/>
              <w:spacing w:after="0" w:line="125"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(Decrease)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2"/>
              </w:rPr>
              <w:t>2016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7"/>
              </w:rPr>
              <w:t>2018 v 2017</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4"/>
              </w:rPr>
              <w:t>2017 v 2016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(4,729)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(1,396)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increase (decrease) in cash and cash equivalents and</w:t>
            </w:r>
          </w:p>
        </w:tc>
        <w:tc>
          <w:tcPr>
            <w:tcW w:w="3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(491)</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(2,130)</w:t>
            </w: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(1,949)</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27" w:lineRule="exact"/>
        <w:rPr>
          <w:sz w:val="20"/>
          <w:szCs w:val="20"/>
          <w:color w:val="auto"/>
        </w:rPr>
      </w:pPr>
    </w:p>
    <w:p>
      <w:pPr>
        <w:jc w:val="both"/>
        <w:ind w:firstLine="348"/>
        <w:spacing w:after="0" w:line="258" w:lineRule="auto"/>
        <w:rPr>
          <w:sz w:val="20"/>
          <w:szCs w:val="20"/>
          <w:color w:val="auto"/>
        </w:rPr>
      </w:pPr>
      <w:r>
        <w:rPr>
          <w:rFonts w:ascii="Times New Roman" w:cs="Times New Roman" w:eastAsia="Times New Roman" w:hAnsi="Times New Roman"/>
          <w:sz w:val="18"/>
          <w:szCs w:val="18"/>
          <w:color w:val="auto"/>
        </w:rPr>
        <w:t>The primary driver of net cash flows associated with our operating activities is the collection of customer receivables generated from the sale of our products and services. These collections are typically partially offset by: payments to vendors for the manufacturing, distribution, and marketing of our products; payments for customer service support for our consumers; payments to third-party developers and intellectual property holders; payments for interest on our debt; payments for software development; payments for tax liabilities; and payments to our workforce.</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2018 vs 2017</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 for 2018 was $1.79 billion, as compared to $2.21 billion for 2017. The decrease was primarily due to:</w:t>
      </w:r>
    </w:p>
    <w:p>
      <w:pPr>
        <w:spacing w:after="0" w:line="239" w:lineRule="exact"/>
        <w:rPr>
          <w:sz w:val="20"/>
          <w:szCs w:val="20"/>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tax payments, primarily due to payments in the U.S.; and</w:t>
      </w:r>
    </w:p>
    <w:p>
      <w:pPr>
        <w:spacing w:after="0" w:line="252" w:lineRule="exact"/>
        <w:rPr>
          <w:rFonts w:ascii="Times New Roman" w:cs="Times New Roman" w:eastAsia="Times New Roman" w:hAnsi="Times New Roman"/>
          <w:sz w:val="18"/>
          <w:szCs w:val="18"/>
          <w:color w:val="auto"/>
        </w:rPr>
      </w:pPr>
    </w:p>
    <w:p>
      <w:pPr>
        <w:ind w:left="360" w:right="4840" w:firstLine="188"/>
        <w:spacing w:after="0" w:line="563" w:lineRule="auto"/>
        <w:tabs>
          <w:tab w:leader="none" w:pos="1092"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working capital due to the timing of collections and payments. The decrease was partially offset by higher net income in 2018 as compared to 2017.</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2017 vs 2016</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 for 2017 was $2.21 billion, as compared to $2.16 billion for 2016. The increase was primarily due to:</w:t>
      </w:r>
    </w:p>
    <w:p>
      <w:pPr>
        <w:spacing w:after="0" w:line="239" w:lineRule="exact"/>
        <w:rPr>
          <w:sz w:val="20"/>
          <w:szCs w:val="20"/>
          <w:color w:val="auto"/>
        </w:rPr>
      </w:pPr>
    </w:p>
    <w:p>
      <w:pPr>
        <w:ind w:left="1080" w:right="160" w:hanging="532"/>
        <w:spacing w:after="0" w:line="275"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earnings after excluding the effects of charges due to impacts from the U.S. Tax Reform Act, which did not result in current year cash outflows, and other non-cash charges for depreciation and amortization and share-based compensation expenses;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full year of King operating cash flows;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working capital due to the timing of collections and payments.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Net cash provided by operating activities for 2017 included $145 million of interest paid on our outstanding debt, as compared to $209 million paid in 2016.</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primary drivers of net cash flows associated with investing activities typically include capital expenditures, purchases and sales of investments, changes in restricted cash balances, and cash used for acquisitions.</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2018 vs 2017</w:t>
      </w:r>
    </w:p>
    <w:p>
      <w:pPr>
        <w:spacing w:after="0" w:line="225" w:lineRule="exact"/>
        <w:rPr>
          <w:sz w:val="20"/>
          <w:szCs w:val="20"/>
          <w:color w:val="auto"/>
        </w:rPr>
      </w:pPr>
    </w:p>
    <w:p>
      <w:pPr>
        <w:ind w:right="120" w:firstLine="351"/>
        <w:spacing w:after="0" w:line="339" w:lineRule="auto"/>
        <w:rPr>
          <w:sz w:val="20"/>
          <w:szCs w:val="20"/>
          <w:color w:val="auto"/>
        </w:rPr>
      </w:pPr>
      <w:r>
        <w:rPr>
          <w:rFonts w:ascii="Times New Roman" w:cs="Times New Roman" w:eastAsia="Times New Roman" w:hAnsi="Times New Roman"/>
          <w:sz w:val="16"/>
          <w:szCs w:val="16"/>
          <w:color w:val="auto"/>
        </w:rPr>
        <w:t>Net cash used in investing activities for 2018 was $230 million, as compared to $207 million for 2017. The increase in the cash used in investing activities was primarily due to higher purchases of available-for-sale investments of $209 million for 2018, as compared to $135 million in 2017, partially offset by:</w:t>
      </w:r>
    </w:p>
    <w:p>
      <w:pPr>
        <w:spacing w:after="0" w:line="142" w:lineRule="exact"/>
        <w:rPr>
          <w:sz w:val="20"/>
          <w:szCs w:val="20"/>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proceeds from maturities of available-for-sale investments of $116 million in 2018, as compared to $80 million in 2017;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capital expenditures of $131 million in 2018, as compared to $155 million in 2017.</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2017 vs 2016</w:t>
      </w:r>
    </w:p>
    <w:p>
      <w:pPr>
        <w:spacing w:after="0" w:line="225" w:lineRule="exact"/>
        <w:rPr>
          <w:sz w:val="20"/>
          <w:szCs w:val="20"/>
          <w:color w:val="auto"/>
        </w:rPr>
      </w:pPr>
    </w:p>
    <w:p>
      <w:pPr>
        <w:ind w:right="240" w:firstLine="351"/>
        <w:spacing w:after="0" w:line="262" w:lineRule="auto"/>
        <w:rPr>
          <w:sz w:val="20"/>
          <w:szCs w:val="20"/>
          <w:color w:val="auto"/>
        </w:rPr>
      </w:pPr>
      <w:r>
        <w:rPr>
          <w:rFonts w:ascii="Times New Roman" w:cs="Times New Roman" w:eastAsia="Times New Roman" w:hAnsi="Times New Roman"/>
          <w:sz w:val="18"/>
          <w:szCs w:val="18"/>
          <w:color w:val="auto"/>
        </w:rPr>
        <w:t>Net cash used in investing activities for 2017 was $207 million, as compared to $4.7 billion for 2016. The decrease in the cash used was primarily due to cash used for the King Acquisition in 2016, with no comparable transaction in 2017. The decrease was partially offset by purchases of available-for-sale investments, net of proceeds from maturities, of $55 million in 2017, with no comparable transactions in 2016.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227" w:lineRule="exact"/>
        <w:rPr>
          <w:sz w:val="20"/>
          <w:szCs w:val="20"/>
          <w:color w:val="auto"/>
        </w:rPr>
      </w:pPr>
    </w:p>
    <w:p>
      <w:pPr>
        <w:ind w:right="220" w:firstLine="348"/>
        <w:spacing w:after="0" w:line="262" w:lineRule="auto"/>
        <w:rPr>
          <w:sz w:val="20"/>
          <w:szCs w:val="20"/>
          <w:color w:val="auto"/>
        </w:rPr>
      </w:pPr>
      <w:r>
        <w:rPr>
          <w:rFonts w:ascii="Times New Roman" w:cs="Times New Roman" w:eastAsia="Times New Roman" w:hAnsi="Times New Roman"/>
          <w:sz w:val="18"/>
          <w:szCs w:val="18"/>
          <w:color w:val="auto"/>
        </w:rPr>
        <w:t>The primary drivers of net cash flows associated with financing activities typically include the proceeds from, and repayments of, our long-term debt and transactions involving our common stock, including the issuance of shares of common stock to employees upon the exercise of stock options, as well as the payment of dividends.</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2018 vs 2017</w:t>
      </w:r>
    </w:p>
    <w:p>
      <w:pPr>
        <w:spacing w:after="0" w:line="225" w:lineRule="exact"/>
        <w:rPr>
          <w:sz w:val="20"/>
          <w:szCs w:val="20"/>
          <w:color w:val="auto"/>
        </w:rPr>
      </w:pPr>
    </w:p>
    <w:p>
      <w:pPr>
        <w:ind w:right="360" w:firstLine="351"/>
        <w:spacing w:after="0" w:line="275" w:lineRule="auto"/>
        <w:rPr>
          <w:sz w:val="20"/>
          <w:szCs w:val="20"/>
          <w:color w:val="auto"/>
        </w:rPr>
      </w:pPr>
      <w:r>
        <w:rPr>
          <w:rFonts w:ascii="Times New Roman" w:cs="Times New Roman" w:eastAsia="Times New Roman" w:hAnsi="Times New Roman"/>
          <w:sz w:val="18"/>
          <w:szCs w:val="18"/>
          <w:color w:val="auto"/>
        </w:rPr>
        <w:t>Net cash used in financing activities for 2018 was $2.0 billion, as compared to $624 million for 2017. The increase was primarily attributed to our debt financing activities. For 2018, we had debt</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repayments, inclusive of premium payments, of $1.8 billion, as compared to net debt repayments of $500 million for 2017. The increase in cash used in financing activities was further impacted by:</w:t>
      </w:r>
    </w:p>
    <w:p>
      <w:pPr>
        <w:spacing w:after="0" w:line="187" w:lineRule="exact"/>
        <w:rPr>
          <w:sz w:val="20"/>
          <w:szCs w:val="20"/>
          <w:color w:val="auto"/>
        </w:rPr>
      </w:pPr>
    </w:p>
    <w:p>
      <w:pPr>
        <w:ind w:left="1080" w:hanging="532"/>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proceeds from stock option exercises of $99 million for 2018, as compared to $178 million for 2017;</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tax payments made for net share settlements on restricted stock units of $94 million for 2018, as compared to $56 million for 2017;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dividends paid of $259 million for 2018, as compared to $226 million for 2017.</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2017 vs 2016</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 for 2017 was $624 million, as compared to net cash provided by financing activities of $500 million for 2016.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were primarily attributed to our debt financing activities. For 2017, we had net debt repayments of $500 million, as compared to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 million of net debt proceeds, inclusive of a premium payment, for 2016. The cash flows used in financing activities for 2017, were partially offset by:</w:t>
      </w:r>
    </w:p>
    <w:p>
      <w:pPr>
        <w:spacing w:after="0" w:line="226" w:lineRule="exact"/>
        <w:rPr>
          <w:sz w:val="20"/>
          <w:szCs w:val="20"/>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proceeds from stock option exercises in 2017 of $178 million, as compared to $106 million for 2016;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tax payments made for net share settlements on restricted stock units in 2017 of $56 million, as compared to $115 million in 2016.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of Foreign Exchange Rate Changes</w:t>
      </w:r>
    </w:p>
    <w:p>
      <w:pPr>
        <w:spacing w:after="0" w:line="229" w:lineRule="exact"/>
        <w:rPr>
          <w:sz w:val="20"/>
          <w:szCs w:val="20"/>
          <w:color w:val="auto"/>
        </w:rPr>
      </w:pPr>
    </w:p>
    <w:p>
      <w:pPr>
        <w:jc w:val="both"/>
        <w:ind w:right="80" w:firstLine="351"/>
        <w:spacing w:after="0" w:line="262" w:lineRule="auto"/>
        <w:rPr>
          <w:sz w:val="20"/>
          <w:szCs w:val="20"/>
          <w:color w:val="auto"/>
        </w:rPr>
      </w:pPr>
      <w:r>
        <w:rPr>
          <w:rFonts w:ascii="Times New Roman" w:cs="Times New Roman" w:eastAsia="Times New Roman" w:hAnsi="Times New Roman"/>
          <w:sz w:val="18"/>
          <w:szCs w:val="18"/>
          <w:color w:val="auto"/>
        </w:rPr>
        <w:t>Changes in foreign exchange rates had a negative impact of $31 million, a positive impact of $76 million, and a negative impact of $56 million on our cash and cash equivalents for the years ended December 31, 2018, 2017, and 2016, respectively. The change is primarily due to changes in the value of the U.S. dollar relative to the euro and British pound.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29" w:lineRule="exact"/>
        <w:rPr>
          <w:sz w:val="20"/>
          <w:szCs w:val="20"/>
          <w:color w:val="auto"/>
        </w:rPr>
      </w:pPr>
    </w:p>
    <w:p>
      <w:pPr>
        <w:ind w:right="260" w:firstLine="341"/>
        <w:spacing w:after="0" w:line="262" w:lineRule="auto"/>
        <w:rPr>
          <w:sz w:val="20"/>
          <w:szCs w:val="20"/>
          <w:color w:val="auto"/>
        </w:rPr>
      </w:pPr>
      <w:r>
        <w:rPr>
          <w:rFonts w:ascii="Times New Roman" w:cs="Times New Roman" w:eastAsia="Times New Roman" w:hAnsi="Times New Roman"/>
          <w:sz w:val="18"/>
          <w:szCs w:val="18"/>
          <w:color w:val="auto"/>
        </w:rPr>
        <w:t>As of December 31, 2018 and December 31, 2017, our total outstanding debt was $2.7 billion and $4.4 billion, respectively, bearing interest at a weighted average rate of 3.18% and 3.58%, respectively. During the year ended December 31, 2018, we had the following significant activity associated with our debt instruments:</w:t>
      </w:r>
    </w:p>
    <w:p>
      <w:pPr>
        <w:spacing w:after="0" w:line="200" w:lineRule="exact"/>
        <w:rPr>
          <w:sz w:val="20"/>
          <w:szCs w:val="20"/>
          <w:color w:val="auto"/>
        </w:rPr>
      </w:pPr>
    </w:p>
    <w:p>
      <w:pPr>
        <w:ind w:left="1080" w:hanging="532"/>
        <w:spacing w:after="0"/>
        <w:tabs>
          <w:tab w:leader="none" w:pos="10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16, 2018, using available cash on hand, we redeemed the $750 million of outstanding 2023 Notes in full at a redemption price equal to</w:t>
      </w:r>
    </w:p>
    <w:p>
      <w:pPr>
        <w:spacing w:after="0" w:line="44" w:lineRule="exact"/>
        <w:rPr>
          <w:rFonts w:ascii="Times New Roman" w:cs="Times New Roman" w:eastAsia="Times New Roman" w:hAnsi="Times New Roman"/>
          <w:sz w:val="16"/>
          <w:szCs w:val="16"/>
          <w:color w:val="auto"/>
        </w:rPr>
      </w:pPr>
    </w:p>
    <w:p>
      <w:pPr>
        <w:ind w:left="1080" w:right="120"/>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 100% of the principal amount of the 2023 Notes plus (2) a "make-whole" premium calculated as set forth in the indenture governing the 2023 Notes and (3) accrued and unpaid interest to the redemption date, resulting in a "Loss on extinguishment of debt" recorded in the consolidated statement of operations of $33 million, comprised of premium payments of $25 million and a write-off of unamortized discount and deferred financing costs of $8 million;</w:t>
      </w:r>
    </w:p>
    <w:p>
      <w:pPr>
        <w:spacing w:after="0" w:line="205" w:lineRule="exact"/>
        <w:rPr>
          <w:rFonts w:ascii="Times New Roman" w:cs="Times New Roman" w:eastAsia="Times New Roman" w:hAnsi="Times New Roman"/>
          <w:sz w:val="16"/>
          <w:szCs w:val="16"/>
          <w:color w:val="auto"/>
        </w:rPr>
      </w:pPr>
    </w:p>
    <w:p>
      <w:pPr>
        <w:ind w:left="1080" w:right="80" w:hanging="532"/>
        <w:spacing w:after="0" w:line="26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24, 2018, using available cash on hand, we made a voluntary prepayment of $990 million to fully repay and extinguish our outstanding term loans resulting in a write-off of unamortized discount and deferred financing costs of $7 million, which is included in "Loss on extinguishment of debt" in the consolidated statement of operations; and</w:t>
      </w:r>
    </w:p>
    <w:p>
      <w:pPr>
        <w:spacing w:after="0" w:line="213"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24, 2018, we also entered into the seventh amendment to our Credit Agreement which, among other things, replaced our prior revolving credit facility of $250 million with a new revolving credit facility in an aggregate principal amount of $1.5 billion, which is scheduled to mature on August 24, 2023.</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outstanding debt as of December 31, 2018, is as follows (amounts in millions):</w:t>
      </w:r>
    </w:p>
    <w:p>
      <w:pPr>
        <w:spacing w:after="0" w:line="277" w:lineRule="exact"/>
        <w:rPr>
          <w:sz w:val="20"/>
          <w:szCs w:val="20"/>
          <w:color w:val="auto"/>
        </w:rPr>
      </w:pPr>
    </w:p>
    <w:tbl>
      <w:tblPr>
        <w:tblLayout w:type="fixed"/>
        <w:tblInd w:w="340" w:type="dxa"/>
        <w:tblCellMar>
          <w:top w:w="0" w:type="dxa"/>
          <w:left w:w="0" w:type="dxa"/>
          <w:bottom w:w="0" w:type="dxa"/>
          <w:right w:w="0" w:type="dxa"/>
        </w:tblCellMar>
      </w:tblPr>
      <w:tr>
        <w:trPr>
          <w:trHeight w:val="165"/>
        </w:trPr>
        <w:tc>
          <w:tcPr>
            <w:tcW w:w="8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December 31, 2018</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5"/>
        </w:trPr>
        <w:tc>
          <w:tcPr>
            <w:tcW w:w="82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ind w:right="37"/>
              <w:spacing w:after="0" w:line="12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4"/>
              </w:rPr>
              <w:t>Unamortized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ind w:right="17"/>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60" w:type="dxa"/>
            <w:vAlign w:val="bottom"/>
          </w:tcPr>
          <w:p>
            <w:pPr>
              <w:spacing w:after="0"/>
              <w:rPr>
                <w:sz w:val="10"/>
                <w:szCs w:val="10"/>
                <w:color w:val="auto"/>
              </w:rPr>
            </w:pPr>
          </w:p>
        </w:tc>
      </w:tr>
      <w:tr>
        <w:trPr>
          <w:trHeight w:val="149"/>
        </w:trPr>
        <w:tc>
          <w:tcPr>
            <w:tcW w:w="8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Discount and Deferred</w:t>
            </w:r>
          </w:p>
        </w:tc>
        <w:tc>
          <w:tcPr>
            <w:tcW w:w="60" w:type="dxa"/>
            <w:vAlign w:val="bottom"/>
          </w:tcPr>
          <w:p>
            <w:pPr>
              <w:spacing w:after="0"/>
              <w:rPr>
                <w:sz w:val="12"/>
                <w:szCs w:val="12"/>
                <w:color w:val="auto"/>
              </w:rPr>
            </w:pPr>
          </w:p>
        </w:tc>
        <w:tc>
          <w:tcPr>
            <w:tcW w:w="8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r>
      <w:tr>
        <w:trPr>
          <w:trHeight w:val="165"/>
        </w:trPr>
        <w:tc>
          <w:tcPr>
            <w:tcW w:w="8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Financing Costs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4"/>
                <w:szCs w:val="14"/>
                <w:color w:val="auto"/>
              </w:rPr>
            </w:pPr>
          </w:p>
        </w:tc>
      </w:tr>
      <w:tr>
        <w:trPr>
          <w:trHeight w:val="210"/>
        </w:trPr>
        <w:tc>
          <w:tcPr>
            <w:tcW w:w="8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 Notes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6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2022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6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2027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2047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60" w:type="dxa"/>
            <w:vAlign w:val="bottom"/>
            <w:shd w:val="clear" w:color="auto" w:fill="CCEEFF"/>
          </w:tcPr>
          <w:p>
            <w:pPr>
              <w:spacing w:after="0"/>
              <w:rPr>
                <w:sz w:val="18"/>
                <w:szCs w:val="18"/>
                <w:color w:val="auto"/>
              </w:rPr>
            </w:pPr>
          </w:p>
        </w:tc>
      </w:tr>
      <w:tr>
        <w:trPr>
          <w:trHeight w:val="210"/>
        </w:trPr>
        <w:tc>
          <w:tcPr>
            <w:tcW w:w="8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60" w:type="dxa"/>
            <w:vAlign w:val="bottom"/>
          </w:tcPr>
          <w:p>
            <w:pPr>
              <w:spacing w:after="0"/>
              <w:rPr>
                <w:sz w:val="18"/>
                <w:szCs w:val="18"/>
                <w:color w:val="auto"/>
              </w:rPr>
            </w:pPr>
          </w:p>
        </w:tc>
      </w:tr>
      <w:tr>
        <w:trPr>
          <w:trHeight w:val="20"/>
        </w:trPr>
        <w:tc>
          <w:tcPr>
            <w:tcW w:w="6620" w:type="dxa"/>
            <w:vAlign w:val="bottom"/>
            <w:gridSpan w:val="3"/>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1"/>
        </w:trPr>
        <w:tc>
          <w:tcPr>
            <w:tcW w:w="7280" w:type="dxa"/>
            <w:vAlign w:val="bottom"/>
            <w:gridSpan w:val="5"/>
          </w:tcPr>
          <w:p>
            <w:pPr>
              <w:jc w:val="right"/>
              <w:ind w:right="317"/>
              <w:spacing w:after="0"/>
              <w:rPr>
                <w:sz w:val="20"/>
                <w:szCs w:val="20"/>
                <w:color w:val="auto"/>
              </w:rPr>
            </w:pPr>
            <w:r>
              <w:rPr>
                <w:rFonts w:ascii="Times New Roman" w:cs="Times New Roman" w:eastAsia="Times New Roman" w:hAnsi="Times New Roman"/>
                <w:sz w:val="18"/>
                <w:szCs w:val="18"/>
                <w:color w:val="auto"/>
                <w:w w:val="97"/>
              </w:rPr>
              <w:t>A summary of our outstanding debt as of December 31, 2017, is as follows (amounts in millions):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1"/>
        </w:trPr>
        <w:tc>
          <w:tcPr>
            <w:tcW w:w="8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December 31, 2017</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5"/>
        </w:trPr>
        <w:tc>
          <w:tcPr>
            <w:tcW w:w="82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ind w:right="37"/>
              <w:spacing w:after="0" w:line="12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4"/>
              </w:rPr>
              <w:t>Unamortized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ind w:right="17"/>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60" w:type="dxa"/>
            <w:vAlign w:val="bottom"/>
          </w:tcPr>
          <w:p>
            <w:pPr>
              <w:spacing w:after="0"/>
              <w:rPr>
                <w:sz w:val="10"/>
                <w:szCs w:val="10"/>
                <w:color w:val="auto"/>
              </w:rPr>
            </w:pPr>
          </w:p>
        </w:tc>
      </w:tr>
      <w:tr>
        <w:trPr>
          <w:trHeight w:val="149"/>
        </w:trPr>
        <w:tc>
          <w:tcPr>
            <w:tcW w:w="8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Discount and Deferred</w:t>
            </w:r>
          </w:p>
        </w:tc>
        <w:tc>
          <w:tcPr>
            <w:tcW w:w="60" w:type="dxa"/>
            <w:vAlign w:val="bottom"/>
          </w:tcPr>
          <w:p>
            <w:pPr>
              <w:spacing w:after="0"/>
              <w:rPr>
                <w:sz w:val="12"/>
                <w:szCs w:val="12"/>
                <w:color w:val="auto"/>
              </w:rPr>
            </w:pPr>
          </w:p>
        </w:tc>
        <w:tc>
          <w:tcPr>
            <w:tcW w:w="8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r>
      <w:tr>
        <w:trPr>
          <w:trHeight w:val="165"/>
        </w:trPr>
        <w:tc>
          <w:tcPr>
            <w:tcW w:w="8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Financing Costs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4"/>
                <w:szCs w:val="14"/>
                <w:color w:val="auto"/>
              </w:rPr>
            </w:pPr>
          </w:p>
        </w:tc>
      </w:tr>
      <w:tr>
        <w:trPr>
          <w:trHeight w:val="210"/>
        </w:trPr>
        <w:tc>
          <w:tcPr>
            <w:tcW w:w="8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 TLA</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6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2021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6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2023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6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2027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2047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60" w:type="dxa"/>
            <w:vAlign w:val="bottom"/>
            <w:shd w:val="clear" w:color="auto" w:fill="CCEEFF"/>
          </w:tcPr>
          <w:p>
            <w:pPr>
              <w:spacing w:after="0"/>
              <w:rPr>
                <w:sz w:val="18"/>
                <w:szCs w:val="18"/>
                <w:color w:val="auto"/>
              </w:rPr>
            </w:pPr>
          </w:p>
        </w:tc>
      </w:tr>
      <w:tr>
        <w:trPr>
          <w:trHeight w:val="210"/>
        </w:trPr>
        <w:tc>
          <w:tcPr>
            <w:tcW w:w="8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16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40" w:firstLine="351"/>
        <w:spacing w:after="0" w:line="275" w:lineRule="auto"/>
        <w:rPr>
          <w:sz w:val="20"/>
          <w:szCs w:val="20"/>
          <w:color w:val="auto"/>
        </w:rPr>
      </w:pPr>
      <w:r>
        <w:rPr>
          <w:rFonts w:ascii="Times New Roman" w:cs="Times New Roman" w:eastAsia="Times New Roman" w:hAnsi="Times New Roman"/>
          <w:sz w:val="18"/>
          <w:szCs w:val="18"/>
          <w:color w:val="auto"/>
        </w:rPr>
        <w:t>Refer to Note 13 of the notes to the consolidated financial statements included in Item 8 of this Annual Report on Form 10-K for further disclosures regarding our debt obligations.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On February 12, 2019, our Board of Directors declared a cash dividend of $0.37 per common share, payable on May 9, 2019, to shareholders of record at the close of business on March 28, 2019.</w:t>
      </w:r>
    </w:p>
    <w:p>
      <w:pPr>
        <w:spacing w:after="0" w:line="174" w:lineRule="exact"/>
        <w:rPr>
          <w:sz w:val="20"/>
          <w:szCs w:val="20"/>
          <w:color w:val="auto"/>
        </w:rPr>
      </w:pPr>
    </w:p>
    <w:p>
      <w:pPr>
        <w:ind w:right="240" w:firstLine="351"/>
        <w:spacing w:after="0" w:line="275" w:lineRule="auto"/>
        <w:rPr>
          <w:sz w:val="20"/>
          <w:szCs w:val="20"/>
          <w:color w:val="auto"/>
        </w:rPr>
      </w:pPr>
      <w:r>
        <w:rPr>
          <w:rFonts w:ascii="Times New Roman" w:cs="Times New Roman" w:eastAsia="Times New Roman" w:hAnsi="Times New Roman"/>
          <w:sz w:val="18"/>
          <w:szCs w:val="18"/>
          <w:color w:val="auto"/>
        </w:rPr>
        <w:t>On February 8, 2018, our Board of Directors declared a cash dividend of $0.34 per common share. On May 9, 2018, we made an aggregate cash dividend payment of $259 million to shareholders of record at the close of business on March 30, 2018.</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ind w:right="900" w:firstLine="348"/>
        <w:spacing w:after="0" w:line="275" w:lineRule="auto"/>
        <w:rPr>
          <w:sz w:val="20"/>
          <w:szCs w:val="20"/>
          <w:color w:val="auto"/>
        </w:rPr>
      </w:pPr>
      <w:r>
        <w:rPr>
          <w:rFonts w:ascii="Times New Roman" w:cs="Times New Roman" w:eastAsia="Times New Roman" w:hAnsi="Times New Roman"/>
          <w:sz w:val="18"/>
          <w:szCs w:val="18"/>
          <w:color w:val="auto"/>
        </w:rPr>
        <w:t>We made capital expenditures of $131 million in 2018, as compared to $155 million in 2017. In 2019, we anticipate total capital expenditures of approximately $125 million, primarily for leasehold improvements, computer hardware, and software purchases.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9" w:lineRule="exact"/>
        <w:rPr>
          <w:sz w:val="20"/>
          <w:szCs w:val="20"/>
          <w:color w:val="auto"/>
        </w:rPr>
      </w:pPr>
    </w:p>
    <w:p>
      <w:pPr>
        <w:ind w:right="180" w:firstLine="351"/>
        <w:spacing w:after="0" w:line="275" w:lineRule="auto"/>
        <w:rPr>
          <w:sz w:val="20"/>
          <w:szCs w:val="20"/>
          <w:color w:val="auto"/>
        </w:rPr>
      </w:pPr>
      <w:r>
        <w:rPr>
          <w:rFonts w:ascii="Times New Roman" w:cs="Times New Roman" w:eastAsia="Times New Roman" w:hAnsi="Times New Roman"/>
          <w:sz w:val="18"/>
          <w:szCs w:val="18"/>
          <w:color w:val="auto"/>
        </w:rPr>
        <w:t>Refer to Note 22 of the notes to the consolidated financial statements included in Item 8 of this Annual Report on Form 10-K for disclosures regarding our commitments.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7" w:lineRule="exact"/>
        <w:rPr>
          <w:sz w:val="20"/>
          <w:szCs w:val="20"/>
          <w:color w:val="auto"/>
        </w:rPr>
      </w:pPr>
    </w:p>
    <w:p>
      <w:pPr>
        <w:ind w:right="120" w:firstLine="341"/>
        <w:spacing w:after="0" w:line="258" w:lineRule="auto"/>
        <w:rPr>
          <w:sz w:val="20"/>
          <w:szCs w:val="20"/>
          <w:color w:val="auto"/>
        </w:rPr>
      </w:pPr>
      <w:r>
        <w:rPr>
          <w:rFonts w:ascii="Times New Roman" w:cs="Times New Roman" w:eastAsia="Times New Roman" w:hAnsi="Times New Roman"/>
          <w:sz w:val="18"/>
          <w:szCs w:val="18"/>
          <w:color w:val="auto"/>
        </w:rPr>
        <w:t>At December 31, 2018 and 2017, Activision Blizzard had no significant relationships with unconsolidated entities or financial parties, often referred to as "structured finance" or "special purpose" entities, established for the purpose of facilitating off-balance sheet arrangements or other contractually narrow or limited purposes, that have or are reasonably likely to have a material current or future effect on our financial condition, changes in financial condition, revenues or expenses, results of operations, liquidity, capital expenditures, or capital resources.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Actual results could differ from those estimates and assumptions. The impact and any associated risks related to these policies on our business operations are discussed throughout Management's Discussion and Analysis of Financial Condition and Results of Operations where such policies affect our reported and expected financial results. The policies, estimates, and assumptions discussed below are considered by management to be critical because they are both important to the portrayal of our financial condition and results of operations and because their application places the most significant demands on management's judgment, with financial reporting results relying on estimates and assumptions about the effect of matters that are inherently uncertain. Specific risks for these critical accounting policies, estimates, and assumptions are described in the following paragraphs.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Accounting Standards Codification 606: Revenue from Contracts with Customers</w:t>
      </w:r>
    </w:p>
    <w:p>
      <w:pPr>
        <w:spacing w:after="0" w:line="229" w:lineRule="exact"/>
        <w:rPr>
          <w:sz w:val="20"/>
          <w:szCs w:val="20"/>
          <w:color w:val="auto"/>
        </w:rPr>
      </w:pPr>
    </w:p>
    <w:p>
      <w:pPr>
        <w:ind w:right="80" w:firstLine="351"/>
        <w:spacing w:after="0" w:line="254"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new accounting guidance related to revenue recognition. The new standard replaces all current U.S. GAAP guidance on this topic, eliminating all industry-specific guidance and providing a unified model to determine when and how revenue is recognized. The core principle is that a company should recognize revenue upon the transfer of promised goods or services to customers in an amount that reflects the consideration to which the company expects to be entitled in exchange for those goods or services. On January 1, 2018, we adopted the new accounting standard and related amendments. As a result, we have updated our accounting policy disclosures for revenue recognition herein. Refer to Note 3 of the notes to the consolidated financial statements included in Item 8 of this Annual Report on Form 10-K and see "Recently Issued Accounting Pronouncements" below for further details on the impact of adoption on our consolidated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140" w:firstLine="348"/>
        <w:spacing w:after="0" w:line="262" w:lineRule="auto"/>
        <w:rPr>
          <w:sz w:val="20"/>
          <w:szCs w:val="20"/>
          <w:color w:val="auto"/>
        </w:rPr>
      </w:pPr>
      <w:r>
        <w:rPr>
          <w:rFonts w:ascii="Times New Roman" w:cs="Times New Roman" w:eastAsia="Times New Roman" w:hAnsi="Times New Roman"/>
          <w:sz w:val="18"/>
          <w:szCs w:val="18"/>
          <w:color w:val="auto"/>
        </w:rPr>
        <w:t>We generate revenue primarily through the sale of our interactive entertainment content and services, principally for the console, PC, and mobile platforms, as well as through the licensing of our intellectual property. Our products span various genres, including first-person shooter, action/adventure, role-playing, strategy, and "match three." We primarily offer the following products and services:</w:t>
      </w:r>
    </w:p>
    <w:p>
      <w:pPr>
        <w:spacing w:after="0" w:line="200" w:lineRule="exact"/>
        <w:rPr>
          <w:sz w:val="20"/>
          <w:szCs w:val="20"/>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games, which typically provide access to main game content, primarily for the console or PC platform;</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downloadable content, which provides players with additional in-game content to purchase following the purchase of a full game;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microtransactions, which typically provide relatively small pieces of additional in-game content or enhancements to gameplay;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subscriptions to players in our World of Warcraft franchise, which provide continual access to the game content.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20" w:firstLine="348"/>
        <w:spacing w:after="0" w:line="275" w:lineRule="auto"/>
        <w:rPr>
          <w:sz w:val="20"/>
          <w:szCs w:val="20"/>
          <w:color w:val="auto"/>
        </w:rPr>
      </w:pPr>
      <w:r>
        <w:rPr>
          <w:rFonts w:ascii="Times New Roman" w:cs="Times New Roman" w:eastAsia="Times New Roman" w:hAnsi="Times New Roman"/>
          <w:sz w:val="18"/>
          <w:szCs w:val="18"/>
          <w:color w:val="auto"/>
        </w:rPr>
        <w:t>When control of the promised products and services is transferred to our customers, we recognize revenue in the amount that reflects the consideration we expect to receive in exchange for these products and services.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determine revenue recognition by:</w:t>
      </w:r>
    </w:p>
    <w:p>
      <w:pPr>
        <w:spacing w:after="0" w:line="239" w:lineRule="exact"/>
        <w:rPr>
          <w:sz w:val="20"/>
          <w:szCs w:val="20"/>
          <w:color w:val="auto"/>
        </w:rPr>
      </w:pPr>
    </w:p>
    <w:p>
      <w:pPr>
        <w:ind w:left="1080" w:hanging="532"/>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or contracts, with a customer;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 in each contract;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the performance obligations in each contract;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we satisfy performance obligations by transferring the promised goods or services.</w:t>
      </w:r>
    </w:p>
    <w:p>
      <w:pPr>
        <w:spacing w:after="0" w:line="225"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Certain products are sold to customers with a "street date" (which is the earliest date these products may be sold by retailers). For these products, we recognize revenues on the later of the street date and the date the product is sold to our customer. For digital full-game downloads sold to customers, we recognize revenue when it is available for download or is activated for gameplay. Revenues are recorded net of taxes assessed by governmental authorities that are imposed at the time of the specific revenue-producing transaction between us and our customer, such as sales and value-added taxes.</w:t>
      </w:r>
    </w:p>
    <w:p>
      <w:pPr>
        <w:spacing w:after="0" w:line="190"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Payment terms and conditions vary by contract type, although terms generally include a requirement of payment immediately upon purchase or within 30 to 90 days. In instances where the timing of revenue recognition differs from the timing of invoicing, we do not adjust the promised amount of consideration for the effects of a significant financing component when we expect, at contract inception, that the period between our transfer of a promised product or service to our customer and payment for that product or service will be one year or less.</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Product Sales</w:t>
      </w:r>
    </w:p>
    <w:p>
      <w:pPr>
        <w:spacing w:after="0" w:line="227" w:lineRule="exact"/>
        <w:rPr>
          <w:sz w:val="20"/>
          <w:szCs w:val="20"/>
          <w:color w:val="auto"/>
        </w:rPr>
      </w:pPr>
    </w:p>
    <w:p>
      <w:pPr>
        <w:ind w:right="580" w:firstLine="351"/>
        <w:spacing w:after="0" w:line="339" w:lineRule="auto"/>
        <w:rPr>
          <w:sz w:val="20"/>
          <w:szCs w:val="20"/>
          <w:color w:val="auto"/>
        </w:rPr>
      </w:pPr>
      <w:r>
        <w:rPr>
          <w:rFonts w:ascii="Times New Roman" w:cs="Times New Roman" w:eastAsia="Times New Roman" w:hAnsi="Times New Roman"/>
          <w:sz w:val="16"/>
          <w:szCs w:val="16"/>
          <w:color w:val="auto"/>
        </w:rPr>
        <w:t>Product sales consist of sales of our games, including physical products and digital full-game downloads. We recognize revenues from the sale of our products after both (1) control of the products has been transferred to our customers and (2) the underlying performance obligations have been satisfied.</w:t>
      </w:r>
    </w:p>
    <w:p>
      <w:pPr>
        <w:spacing w:after="0" w:line="128"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Revenues from product sales are recognized after deducting the estimated allowance for returns and price protection, which are accounted for as variable consideration when estimating the amount of revenue to recognize. Returns and price protection are estimated at contract inception and updated at the end of each reporting period as additional information becomes available.</w:t>
      </w:r>
    </w:p>
    <w:p>
      <w:pPr>
        <w:spacing w:after="0" w:line="186" w:lineRule="exact"/>
        <w:rPr>
          <w:sz w:val="20"/>
          <w:szCs w:val="20"/>
          <w:color w:val="auto"/>
        </w:rPr>
      </w:pPr>
    </w:p>
    <w:p>
      <w:pPr>
        <w:ind w:right="320" w:firstLine="351"/>
        <w:spacing w:after="0" w:line="301" w:lineRule="auto"/>
        <w:rPr>
          <w:sz w:val="20"/>
          <w:szCs w:val="20"/>
          <w:color w:val="auto"/>
        </w:rPr>
      </w:pPr>
      <w:r>
        <w:rPr>
          <w:rFonts w:ascii="Times New Roman" w:cs="Times New Roman" w:eastAsia="Times New Roman" w:hAnsi="Times New Roman"/>
          <w:sz w:val="16"/>
          <w:szCs w:val="16"/>
          <w:color w:val="auto"/>
        </w:rPr>
        <w:t>Sales incentives and other consideration given by us to our customers, such as rebates and product placement fees, are considered adjustments of the transaction price of our products and are reflected as reductions to revenues. Sales incentives and other consideration that represent costs incurred by us for distinct goods or services received, such as the appearance of our products in a customer's national circular ad, are recorded as "Sales and marketing" expense when the benefit from the sales incentive is separable from sales to the same customer and we can reasonably estimate the fair value of the good or service.</w:t>
      </w:r>
    </w:p>
    <w:p>
      <w:pPr>
        <w:spacing w:after="0" w:line="1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Products with Online Functionality</w:t>
      </w:r>
    </w:p>
    <w:p>
      <w:pPr>
        <w:spacing w:after="0" w:line="227" w:lineRule="exact"/>
        <w:rPr>
          <w:sz w:val="20"/>
          <w:szCs w:val="20"/>
          <w:color w:val="auto"/>
        </w:rPr>
      </w:pPr>
    </w:p>
    <w:p>
      <w:pPr>
        <w:ind w:right="100" w:firstLine="351"/>
        <w:spacing w:after="0" w:line="262" w:lineRule="auto"/>
        <w:rPr>
          <w:sz w:val="20"/>
          <w:szCs w:val="20"/>
          <w:color w:val="auto"/>
        </w:rPr>
      </w:pPr>
      <w:r>
        <w:rPr>
          <w:rFonts w:ascii="Times New Roman" w:cs="Times New Roman" w:eastAsia="Times New Roman" w:hAnsi="Times New Roman"/>
          <w:sz w:val="18"/>
          <w:szCs w:val="18"/>
          <w:color w:val="auto"/>
        </w:rPr>
        <w:t>For our software products that include both offline functionality (i.e., do not require an Internet connection to access) and significant online functionality, such as for most of our titles from the Call of Duty franchise, we evaluate whether the license of our intellectual property and the online functionality are distinct and separable. This evaluation is performed for each software product or product add-on,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including downloadable content. If we determine that our software products contain a license of intellectual property separate from the online functionality, we consider market conditions and other observable inputs to estimate the transaction price for the license, since we do not generally sell the software license on a standalone basis. These products may be sold in a bundle with other products and services, which often results in the recognition of additional performance obligations.</w:t>
      </w:r>
    </w:p>
    <w:p>
      <w:pPr>
        <w:spacing w:after="0" w:line="190" w:lineRule="exact"/>
        <w:rPr>
          <w:sz w:val="20"/>
          <w:szCs w:val="20"/>
          <w:color w:val="auto"/>
        </w:rPr>
      </w:pPr>
    </w:p>
    <w:p>
      <w:pPr>
        <w:ind w:right="180" w:firstLine="348"/>
        <w:spacing w:after="0" w:line="256" w:lineRule="auto"/>
        <w:rPr>
          <w:sz w:val="20"/>
          <w:szCs w:val="20"/>
          <w:color w:val="auto"/>
        </w:rPr>
      </w:pPr>
      <w:r>
        <w:rPr>
          <w:rFonts w:ascii="Times New Roman" w:cs="Times New Roman" w:eastAsia="Times New Roman" w:hAnsi="Times New Roman"/>
          <w:sz w:val="18"/>
          <w:szCs w:val="18"/>
          <w:color w:val="auto"/>
        </w:rPr>
        <w:t>We recognize revenue for arrangements that include both a license of intellectual property and separate online functionality when control of the license transfers to our customers for the portion of the transaction price allocable to the license and ratably over the estimated service period for the portion of the transaction price allocable to the online functionality. Similarly, we defer a portion of the cost of revenues on these arrangements and recognize the costs as the related revenues are recognized. The cost of revenues that are deferred include product costs, distribution costs, and software royalties, amortization, and intellectual property licenses, and excludes intangible asset amortization.</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Online Hosted Software Arrangements</w:t>
      </w:r>
    </w:p>
    <w:p>
      <w:pPr>
        <w:spacing w:after="0" w:line="227"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For our online hosted software arrangements, such as titles for the Overwatch, World of Warcraft, and Candy Crush franchises, substantially all gameplay and functionality are obtained through our continuous hosting of the game content for the player. Similar to our software products with online functionality, these arrangements may include other products and services, which often results in the recognition of additional performance obligations. Revenues related to online hosted software arrangements are generally recognized ratably over the estimated service period.</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Subscription Arrangements</w:t>
      </w:r>
    </w:p>
    <w:p>
      <w:pPr>
        <w:spacing w:after="0" w:line="225" w:lineRule="exact"/>
        <w:rPr>
          <w:sz w:val="20"/>
          <w:szCs w:val="20"/>
          <w:color w:val="auto"/>
        </w:rPr>
      </w:pPr>
    </w:p>
    <w:p>
      <w:pPr>
        <w:ind w:right="140" w:firstLine="351"/>
        <w:spacing w:after="0" w:line="264" w:lineRule="auto"/>
        <w:rPr>
          <w:sz w:val="20"/>
          <w:szCs w:val="20"/>
          <w:color w:val="auto"/>
        </w:rPr>
      </w:pPr>
      <w:r>
        <w:rPr>
          <w:rFonts w:ascii="Times New Roman" w:cs="Times New Roman" w:eastAsia="Times New Roman" w:hAnsi="Times New Roman"/>
          <w:sz w:val="18"/>
          <w:szCs w:val="18"/>
          <w:color w:val="auto"/>
        </w:rPr>
        <w:t xml:space="preserve">Subscription revenue arrangements are mostly derived from </w:t>
      </w:r>
      <w:r>
        <w:rPr>
          <w:rFonts w:ascii="Times New Roman" w:cs="Times New Roman" w:eastAsia="Times New Roman" w:hAnsi="Times New Roman"/>
          <w:sz w:val="18"/>
          <w:szCs w:val="18"/>
          <w:i w:val="1"/>
          <w:iCs w:val="1"/>
          <w:color w:val="auto"/>
        </w:rPr>
        <w:t>World of Warcraft</w:t>
      </w:r>
      <w:r>
        <w:rPr>
          <w:rFonts w:ascii="Times New Roman" w:cs="Times New Roman" w:eastAsia="Times New Roman" w:hAnsi="Times New Roman"/>
          <w:sz w:val="18"/>
          <w:szCs w:val="18"/>
          <w:color w:val="auto"/>
        </w:rPr>
        <w:t>, which is playable through Blizzard's servers and is generally sold on a subscription-only basis. Revenues associated with the sales of subscriptions are deferred until the subscription service is activated by the consumer and are then recognized ratably over the subscription period as the performance obligations are satisfied.</w:t>
      </w:r>
    </w:p>
    <w:p>
      <w:pPr>
        <w:spacing w:after="0" w:line="181" w:lineRule="exact"/>
        <w:rPr>
          <w:sz w:val="20"/>
          <w:szCs w:val="20"/>
          <w:color w:val="auto"/>
        </w:rPr>
      </w:pPr>
    </w:p>
    <w:p>
      <w:pPr>
        <w:ind w:right="40" w:firstLine="351"/>
        <w:spacing w:after="0" w:line="277" w:lineRule="auto"/>
        <w:rPr>
          <w:sz w:val="20"/>
          <w:szCs w:val="20"/>
          <w:color w:val="auto"/>
        </w:rPr>
      </w:pPr>
      <w:r>
        <w:rPr>
          <w:rFonts w:ascii="Times New Roman" w:cs="Times New Roman" w:eastAsia="Times New Roman" w:hAnsi="Times New Roman"/>
          <w:sz w:val="18"/>
          <w:szCs w:val="18"/>
          <w:color w:val="auto"/>
        </w:rPr>
        <w:t xml:space="preserve">Revenues attributable to the purchase of </w:t>
      </w:r>
      <w:r>
        <w:rPr>
          <w:rFonts w:ascii="Times New Roman" w:cs="Times New Roman" w:eastAsia="Times New Roman" w:hAnsi="Times New Roman"/>
          <w:sz w:val="18"/>
          <w:szCs w:val="18"/>
          <w:i w:val="1"/>
          <w:iCs w:val="1"/>
          <w:color w:val="auto"/>
        </w:rPr>
        <w:t>World of Warcraft</w:t>
      </w:r>
      <w:r>
        <w:rPr>
          <w:rFonts w:ascii="Times New Roman" w:cs="Times New Roman" w:eastAsia="Times New Roman" w:hAnsi="Times New Roman"/>
          <w:sz w:val="18"/>
          <w:szCs w:val="18"/>
          <w:color w:val="auto"/>
        </w:rPr>
        <w:t xml:space="preserve"> software by our customers, including expansion packs, are classified as "Product sales," whereas revenues attributable to subscriptions and other in-game revenues are classified as "Subscription, licensing, and other revenues."</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Licensing Revenues</w:t>
      </w:r>
    </w:p>
    <w:p>
      <w:pPr>
        <w:spacing w:after="0" w:line="227" w:lineRule="exact"/>
        <w:rPr>
          <w:sz w:val="20"/>
          <w:szCs w:val="20"/>
          <w:color w:val="auto"/>
        </w:rPr>
      </w:pPr>
    </w:p>
    <w:p>
      <w:pPr>
        <w:ind w:firstLine="351"/>
        <w:spacing w:after="0" w:line="291" w:lineRule="auto"/>
        <w:rPr>
          <w:sz w:val="20"/>
          <w:szCs w:val="20"/>
          <w:color w:val="auto"/>
        </w:rPr>
      </w:pPr>
      <w:r>
        <w:rPr>
          <w:rFonts w:ascii="Times New Roman" w:cs="Times New Roman" w:eastAsia="Times New Roman" w:hAnsi="Times New Roman"/>
          <w:sz w:val="16"/>
          <w:szCs w:val="16"/>
          <w:color w:val="auto"/>
        </w:rPr>
        <w:t>In certain countries, we utilize third-party licensees to distribute and host our games in accordance with license agreements, for which the licensees typically pay us a fixed minimum guarantee and sales-based royalties. These arrangements typically include multiple performance obligations, such as an upfront license of intellectual property and rights to specified or unspecified future updates. Our estimate of the selling price is comprised of several factors including, but not limited to, prior selling prices, prices charged separately by other third-party vendors for similar service offerings, and a cost-plus-margin approach. Based on the allocated transaction price, we recognize revenue associated with the minimum guarantee (1) when we transfer control of the upfront license of intellectual property, (2) upon transfer of control of future specified updates, and/or (3) ratably over the contractual term in which we provide the customer with unspecified future updates. Royalty payments in excess of the minimum guarantee are generally recognized when the licensed product is sold by the licensee.</w:t>
      </w:r>
    </w:p>
    <w:p>
      <w:pPr>
        <w:spacing w:after="0" w:line="1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Other Revenues</w:t>
      </w:r>
    </w:p>
    <w:p>
      <w:pPr>
        <w:spacing w:after="0" w:line="227" w:lineRule="exact"/>
        <w:rPr>
          <w:sz w:val="20"/>
          <w:szCs w:val="20"/>
          <w:color w:val="auto"/>
        </w:rPr>
      </w:pPr>
    </w:p>
    <w:p>
      <w:pPr>
        <w:ind w:right="340" w:firstLine="351"/>
        <w:spacing w:after="0" w:line="275" w:lineRule="auto"/>
        <w:rPr>
          <w:sz w:val="20"/>
          <w:szCs w:val="20"/>
          <w:color w:val="auto"/>
        </w:rPr>
      </w:pPr>
      <w:r>
        <w:rPr>
          <w:rFonts w:ascii="Times New Roman" w:cs="Times New Roman" w:eastAsia="Times New Roman" w:hAnsi="Times New Roman"/>
          <w:sz w:val="18"/>
          <w:szCs w:val="18"/>
          <w:color w:val="auto"/>
        </w:rPr>
        <w:t>Other revenues primarily include revenues from downloadable content (e.g., multi-player content packs), microtransactions, and licensing of intellectual property other than software to third-parties.</w:t>
      </w:r>
    </w:p>
    <w:p>
      <w:pPr>
        <w:spacing w:after="0" w:line="174" w:lineRule="exact"/>
        <w:rPr>
          <w:sz w:val="20"/>
          <w:szCs w:val="20"/>
          <w:color w:val="auto"/>
        </w:rPr>
      </w:pPr>
    </w:p>
    <w:p>
      <w:pPr>
        <w:ind w:right="80" w:firstLine="351"/>
        <w:spacing w:after="0" w:line="254" w:lineRule="auto"/>
        <w:rPr>
          <w:sz w:val="20"/>
          <w:szCs w:val="20"/>
          <w:color w:val="auto"/>
        </w:rPr>
      </w:pPr>
      <w:r>
        <w:rPr>
          <w:rFonts w:ascii="Times New Roman" w:cs="Times New Roman" w:eastAsia="Times New Roman" w:hAnsi="Times New Roman"/>
          <w:sz w:val="18"/>
          <w:szCs w:val="18"/>
          <w:color w:val="auto"/>
        </w:rPr>
        <w:t>Microtransaction revenues are derived from the sale of virtual currencies and goods to our players to enhance their gameplay experience. Proceeds from these sales of virtual currencies and goods are initially recorded in deferred revenue. Proceeds from the sales of virtual currencies are recognized as revenues when a player uses the virtual goods purchased with a virtual currency. Proceeds from the sales of virtual goods directly are similarly recognized as revenues when a player uses the virtual goods. We categorize our virtual goods as either "consumable" or "durable." Consumable virtual goods represent goods that can be consumed by a specific player action; accordingly, we recognize revenues from the sale of consumable virtual goods as the goods are consumed and our performance obligation is satisfied. Durable virtual goods represent goods that are accessible to the player over an extended period of time; accordingly, we recognize revenues from the sale of durable virtual goods ratably over the period of time the goods are available to the player and our performance obligation is satisfied, which is generally the estimated service period.</w:t>
      </w:r>
    </w:p>
    <w:p>
      <w:pPr>
        <w:spacing w:after="0" w:line="192"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Revenues from the licensing of intellectual property other than software to third parties primarily include the licensing of our (1) brand, logo, or franchise to customers and (2) media content. Fixed fee payments from customers for the license of our brand or franchise are generally recognized over the license term. Fixed fee payments from customers for the license of our media content are generally recognized when control has transferred to the customer, which may be upfront or over time.</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Significant Judgment around Revenue Arrangements with Multiple Deliverables</w:t>
      </w:r>
    </w:p>
    <w:p>
      <w:pPr>
        <w:spacing w:after="0" w:line="227" w:lineRule="exact"/>
        <w:rPr>
          <w:sz w:val="20"/>
          <w:szCs w:val="20"/>
          <w:color w:val="auto"/>
        </w:rPr>
      </w:pPr>
    </w:p>
    <w:p>
      <w:pPr>
        <w:ind w:right="40" w:firstLine="351"/>
        <w:spacing w:after="0" w:line="291" w:lineRule="auto"/>
        <w:rPr>
          <w:sz w:val="20"/>
          <w:szCs w:val="20"/>
          <w:color w:val="auto"/>
        </w:rPr>
      </w:pPr>
      <w:r>
        <w:rPr>
          <w:rFonts w:ascii="Times New Roman" w:cs="Times New Roman" w:eastAsia="Times New Roman" w:hAnsi="Times New Roman"/>
          <w:sz w:val="16"/>
          <w:szCs w:val="16"/>
          <w:color w:val="auto"/>
        </w:rPr>
        <w:t>Our contracts with customers often include promises to transfer multiple products and services. Determining whether products and services are considered distinct performance obligations that should be accounted for separately versus together may require significant judgment. Certain of our games, such as titles in the Call of Duty franchise, may contain a license of our intellectual property to play the game offline, but also depend on a significant level of integration and interdependency with the online functionality. In these cases, significant judgment is required to determine whether this license of our intellectual property should be considered distinct and accounted for separately, or not distinct and accounted for together with the online functionality provided and recognized over time. Generally, for titles in which the software license is functional without the online functionality and a significant component of gameplay is available offline, we believe we have separate performance obligations for the license of the intellectual property and the online functionality.</w:t>
      </w:r>
    </w:p>
    <w:p>
      <w:pPr>
        <w:spacing w:after="0" w:line="167" w:lineRule="exact"/>
        <w:rPr>
          <w:sz w:val="20"/>
          <w:szCs w:val="20"/>
          <w:color w:val="auto"/>
        </w:rPr>
      </w:pPr>
    </w:p>
    <w:p>
      <w:pPr>
        <w:ind w:right="140" w:firstLine="351"/>
        <w:spacing w:after="0" w:line="258" w:lineRule="auto"/>
        <w:rPr>
          <w:sz w:val="20"/>
          <w:szCs w:val="20"/>
          <w:color w:val="auto"/>
        </w:rPr>
      </w:pPr>
      <w:r>
        <w:rPr>
          <w:rFonts w:ascii="Times New Roman" w:cs="Times New Roman" w:eastAsia="Times New Roman" w:hAnsi="Times New Roman"/>
          <w:sz w:val="18"/>
          <w:szCs w:val="18"/>
          <w:color w:val="auto"/>
        </w:rPr>
        <w:t>Significant judgment is also required to determine the standalone selling price for each distinct performance obligation and to determine whether there is a discount that needs to be allocated based on the relative standalone selling price of the various products and services. To estimate the standalone selling price we consider market data, including our pricing strategies for the product being evaluated and other similar products we may offer, competitor pricing to the extent data is available, and costs to determine whether the estimated selling price yields an appropriate profit margin.</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Estimated Service Period</w:t>
      </w:r>
    </w:p>
    <w:p>
      <w:pPr>
        <w:spacing w:after="0" w:line="227"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We consider a variety of data points when determining the estimated service period for players of our games, including the weighted average number of days between players' first and last days played online, the average total hours played, the average number of days in which player activity stabilizes, and the weighted-average number of days between players' first purchase date and last date played online. We also consider known online trends, the service periods of our previously released games, and, to the extent publicly available, the service periods of our competitors' games that are similar in nature to ours. We believe this provides a reasonable depiction of the transfer of services to our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auto"/>
        </w:rPr>
        <w:t>customers, as it is the best representation of the time period during which our customers play our games. Determining the estimated service period is subjective and requires management's judgment. Future usage patterns may differ from historical usage patterns, and therefore the estimated service period may change in the future. The estimated service periods for players of our current games are generally less than 12 months.</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Principal Agent Considerations</w:t>
      </w:r>
    </w:p>
    <w:p>
      <w:pPr>
        <w:spacing w:after="0" w:line="227"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8"/>
          <w:szCs w:val="18"/>
          <w:color w:val="auto"/>
        </w:rPr>
        <w:t>We evaluate sales of our products and content via third-party digital storefronts, such as Microsoft's Xbox Games Store, Sony's PSN, the Apple App Store, and the Google Play Store, to determine whether our revenues should be reported gross or net of fees retained by the storefront. Key indicators that we evaluate in determining whether we are the principal in the sale (gross reporting) or an agent (net reporting) include, but are not limited to:</w:t>
      </w:r>
    </w:p>
    <w:p>
      <w:pPr>
        <w:spacing w:after="0" w:line="200" w:lineRule="exact"/>
        <w:rPr>
          <w:sz w:val="20"/>
          <w:szCs w:val="20"/>
          <w:color w:val="auto"/>
        </w:rPr>
      </w:pPr>
    </w:p>
    <w:p>
      <w:pPr>
        <w:ind w:left="1080" w:hanging="532"/>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party is primarily responsible for fulfilling the promise to provide the specified good or service;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party has discretion in establishing the price for the specified good or service.</w:t>
      </w:r>
    </w:p>
    <w:p>
      <w:pPr>
        <w:spacing w:after="0" w:line="225" w:lineRule="exact"/>
        <w:rPr>
          <w:sz w:val="20"/>
          <w:szCs w:val="20"/>
          <w:color w:val="auto"/>
        </w:rPr>
      </w:pPr>
    </w:p>
    <w:p>
      <w:pPr>
        <w:ind w:right="280" w:firstLine="351"/>
        <w:spacing w:after="0" w:line="262" w:lineRule="auto"/>
        <w:rPr>
          <w:sz w:val="20"/>
          <w:szCs w:val="20"/>
          <w:color w:val="auto"/>
        </w:rPr>
      </w:pPr>
      <w:r>
        <w:rPr>
          <w:rFonts w:ascii="Times New Roman" w:cs="Times New Roman" w:eastAsia="Times New Roman" w:hAnsi="Times New Roman"/>
          <w:sz w:val="18"/>
          <w:szCs w:val="18"/>
          <w:color w:val="auto"/>
        </w:rPr>
        <w:t>Based on our evaluation of the above indicators, we report revenues on a gross basis for sales arrangements via the Apple App Store and the Google Play Store, and we report revenues on a net basis (i.e., net of fees retained by the digital storefront) for sales arrangements via Microsoft's Xbox Games Store and Sony's PSN.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180" w:firstLine="348"/>
        <w:spacing w:after="0" w:line="254" w:lineRule="auto"/>
        <w:rPr>
          <w:sz w:val="20"/>
          <w:szCs w:val="20"/>
          <w:color w:val="auto"/>
        </w:rPr>
      </w:pPr>
      <w:r>
        <w:rPr>
          <w:rFonts w:ascii="Times New Roman" w:cs="Times New Roman" w:eastAsia="Times New Roman" w:hAnsi="Times New Roman"/>
          <w:sz w:val="18"/>
          <w:szCs w:val="18"/>
          <w:color w:val="auto"/>
        </w:rPr>
        <w:t>We record a tax provision for the anticipated tax consequences of the reported results of operations. In accordance with ASC Topic 740, the provision for income taxes is computed using the asset and liability method, under which deferred tax assets and liabilities are recognized for the expected future tax consequences attributable to differences between the financial statement carrying amounts of existing assets and liabilities and their respective tax bases and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due to a change in tax rates is recognized in income in the period that includes the enactment date. We evaluate deferred tax assets each period for recoverability. For those assets that do not meet the threshold of "more likely than not" that they will be realized in the future, a valuation allowance is recorded.</w:t>
      </w:r>
    </w:p>
    <w:p>
      <w:pPr>
        <w:spacing w:after="0" w:line="195"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Management believes it is more likely than not that forecasted income, including income that may be generated as a result of certain tax planning strategies, together with the tax effects of the deferred tax liabilities, will be sufficient to fully recover the remaining deferred tax assets. In the event that all or part of the net deferred tax assets are determined not to be realizable in the future, an adjustment to the valuation allowance would be charged to tax expense in the period such determination is made. The calculation of tax liabilities involves significant judgment in estimating the impact of uncertainties in the application of ASC Topic 740 and complex tax laws. Resolution of these uncertainties in a manner inconsistent with management's expectations could have a material impact on our business and results of operations in an interim period in which the uncertainties are ultimately resolved.</w:t>
      </w:r>
    </w:p>
    <w:p>
      <w:pPr>
        <w:spacing w:after="0" w:line="193" w:lineRule="exact"/>
        <w:rPr>
          <w:sz w:val="20"/>
          <w:szCs w:val="20"/>
          <w:color w:val="auto"/>
        </w:rPr>
      </w:pPr>
    </w:p>
    <w:p>
      <w:pPr>
        <w:jc w:val="both"/>
        <w:ind w:right="80" w:firstLine="351"/>
        <w:spacing w:after="0" w:line="258" w:lineRule="auto"/>
        <w:rPr>
          <w:sz w:val="20"/>
          <w:szCs w:val="20"/>
          <w:color w:val="auto"/>
        </w:rPr>
      </w:pPr>
      <w:r>
        <w:rPr>
          <w:rFonts w:ascii="Times New Roman" w:cs="Times New Roman" w:eastAsia="Times New Roman" w:hAnsi="Times New Roman"/>
          <w:sz w:val="18"/>
          <w:szCs w:val="18"/>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closing of a tax audit or the refinement of an estimate. To the extent that the final tax outcome of these matters is different than the amounts recorded, such differences will</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740"/>
        <w:spacing w:after="0" w:line="275" w:lineRule="auto"/>
        <w:rPr>
          <w:sz w:val="20"/>
          <w:szCs w:val="20"/>
          <w:color w:val="auto"/>
        </w:rPr>
      </w:pPr>
      <w:r>
        <w:rPr>
          <w:rFonts w:ascii="Times New Roman" w:cs="Times New Roman" w:eastAsia="Times New Roman" w:hAnsi="Times New Roman"/>
          <w:sz w:val="18"/>
          <w:szCs w:val="18"/>
          <w:color w:val="auto"/>
        </w:rPr>
        <w:t>impact the provision for income taxes in the period in which such determination is made. The provision for income taxes includes the impact of reserve provisions and changes to reserves that are considered appropriate, as well as the related net interest and penalties.</w:t>
      </w:r>
    </w:p>
    <w:p>
      <w:pPr>
        <w:spacing w:after="0" w:line="174" w:lineRule="exact"/>
        <w:rPr>
          <w:sz w:val="20"/>
          <w:szCs w:val="20"/>
          <w:color w:val="auto"/>
        </w:rPr>
      </w:pPr>
    </w:p>
    <w:p>
      <w:pPr>
        <w:jc w:val="both"/>
        <w:ind w:right="340" w:firstLine="351"/>
        <w:spacing w:after="0" w:line="287" w:lineRule="auto"/>
        <w:rPr>
          <w:sz w:val="20"/>
          <w:szCs w:val="20"/>
          <w:color w:val="auto"/>
        </w:rPr>
      </w:pPr>
      <w:r>
        <w:rPr>
          <w:rFonts w:ascii="Times New Roman" w:cs="Times New Roman" w:eastAsia="Times New Roman" w:hAnsi="Times New Roman"/>
          <w:sz w:val="16"/>
          <w:szCs w:val="16"/>
          <w:color w:val="auto"/>
        </w:rPr>
        <w:t>Our provision for income taxes is subject to volatility and could be adversely impacted by: (1) changes in the mix of earnings in countries with differing statutory tax rates, (2) changes in the valuation of our deferred tax assets and liabilities; (3) tax effects of nondeductible compensation; (4) tax costs related to intercompany realignments; (5) differences between amounts included in our tax filings and the estimate of such amounts included in our tax expenses;</w:t>
      </w:r>
    </w:p>
    <w:p>
      <w:pPr>
        <w:spacing w:after="0" w:line="1" w:lineRule="exact"/>
        <w:rPr>
          <w:sz w:val="20"/>
          <w:szCs w:val="20"/>
          <w:color w:val="auto"/>
        </w:rPr>
      </w:pPr>
    </w:p>
    <w:p>
      <w:pPr>
        <w:ind w:firstLine="8"/>
        <w:spacing w:after="0" w:line="252" w:lineRule="auto"/>
        <w:tabs>
          <w:tab w:leader="none" w:pos="24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or (7) changes in tax laws, regulations, administrative practices, principles or interpretations, including fundamental changes to the tax laws applicable to multinational corporations. Significant judgment is required to determine the recognition and measurement attributes prescribed in the accounting guidance for uncertainty in income taxes. The accounting guidance for uncertainty in income taxes applies to all income tax positions, including the potential recovery of previously paid taxes, which if settled unfavorably could adversely impact our provision for income taxes. In addition, we are subject to the continuous examination of our income tax returns by the IRS and are regularly subject to audit by other tax authorities. We regularly assess the likelihood of adverse outcomes resulting from these examinations to determine the adequacy of our provision for income taxes. There can be no assurance that the outcomes from these continuous examinations will not have an adverse impact on our operating results and financial condition.</w:t>
      </w:r>
    </w:p>
    <w:p>
      <w:pPr>
        <w:spacing w:after="0" w:line="195" w:lineRule="exact"/>
        <w:rPr>
          <w:sz w:val="20"/>
          <w:szCs w:val="20"/>
          <w:color w:val="auto"/>
        </w:rPr>
      </w:pPr>
    </w:p>
    <w:p>
      <w:pPr>
        <w:ind w:firstLine="341"/>
        <w:spacing w:after="0" w:line="262" w:lineRule="auto"/>
        <w:rPr>
          <w:sz w:val="20"/>
          <w:szCs w:val="20"/>
          <w:color w:val="auto"/>
        </w:rPr>
      </w:pPr>
      <w:r>
        <w:rPr>
          <w:rFonts w:ascii="Times New Roman" w:cs="Times New Roman" w:eastAsia="Times New Roman" w:hAnsi="Times New Roman"/>
          <w:sz w:val="18"/>
          <w:szCs w:val="18"/>
          <w:color w:val="auto"/>
        </w:rPr>
        <w:t>As further described in "Consolidated Results" above, on December 22, 2017, the U.S. Tax Reform Act was enacted. The U.S. Tax Reform Act, among other things, reduced the U.S. corporate income tax rate from 35% to 21% beginning in 2018 and implemented a modified territorial tax system that imposed a one-time tax on deemed repatriated earnings of foreign subsidiaries.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On December 22, 2017, the SEC staff issued SAB 118, which provided guidance on how to account for the effects of the U.S. Tax Reform Act under ASC</w:t>
      </w:r>
    </w:p>
    <w:p>
      <w:pPr>
        <w:spacing w:after="0" w:line="44" w:lineRule="exact"/>
        <w:rPr>
          <w:sz w:val="20"/>
          <w:szCs w:val="20"/>
          <w:color w:val="auto"/>
        </w:rPr>
      </w:pPr>
    </w:p>
    <w:p>
      <w:pPr>
        <w:ind w:right="20" w:firstLine="8"/>
        <w:spacing w:after="0" w:line="302" w:lineRule="auto"/>
        <w:tabs>
          <w:tab w:leader="none" w:pos="351"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SAB 118 enabled companies to record a provisional amount for the effects of the U.S. Tax Reform Act based on a reasonable estimate, subject to adjustment during a measurement period of up to one year, until accounting is complete. In the fourth quarter of 2018, we completed our analysis to determine the effects of the U.S. Tax Reform Act. As a result, we made an election to record deferred U.S. taxes with respect to earnings of our foreign subsidiaries subject to GILTI.</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Allowances for Returns and Price Protection</w:t>
      </w:r>
    </w:p>
    <w:p>
      <w:pPr>
        <w:spacing w:after="0" w:line="229"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We closely monitor and analyze the historical performance of our various titles, the performance of products released by other publishers, market conditions, and the anticipated timing of other releases to assess future demand of current and upcoming titles. Initial volumes shipped upon title launch and subsequent reorders are evaluated with the goal of ensuring that quantities are sufficient to meet the demand from the retail markets, but at the same time are controlled to prevent excess inventory in the channel. We benchmark units to be shipped to our customers using historical and industry data.</w:t>
      </w:r>
    </w:p>
    <w:p>
      <w:pPr>
        <w:spacing w:after="0" w:line="190" w:lineRule="exact"/>
        <w:rPr>
          <w:sz w:val="20"/>
          <w:szCs w:val="20"/>
          <w:color w:val="auto"/>
        </w:rPr>
      </w:pPr>
    </w:p>
    <w:p>
      <w:pPr>
        <w:ind w:right="220" w:firstLine="348"/>
        <w:spacing w:after="0" w:line="255" w:lineRule="auto"/>
        <w:rPr>
          <w:sz w:val="20"/>
          <w:szCs w:val="20"/>
          <w:color w:val="auto"/>
        </w:rPr>
      </w:pPr>
      <w:r>
        <w:rPr>
          <w:rFonts w:ascii="Times New Roman" w:cs="Times New Roman" w:eastAsia="Times New Roman" w:hAnsi="Times New Roman"/>
          <w:sz w:val="18"/>
          <w:szCs w:val="18"/>
          <w:color w:val="auto"/>
        </w:rPr>
        <w:t>We may permit product returns from, or grant price protection to, our customers under certain conditions. In general, price protection refers to the circumstances in which we elect to decrease, on a short- or longer-term basis, the wholesale price of a product by a certain amount and, when granted and applicable, allow customers a credit against amounts owed by such customers to us with respect to open and/or future invoices. The conditions our customers must meet to be granted the right to return products or receive price protection credits include, among other things, compliance with applicable trading and payment terms, and consistent return of inventory and delivery of sell-through reports to us. We may also consider other factors, including achievement of sell-through performance targets, the facilitation of slow-moving inventory, and other market factors.</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firstLine="351"/>
        <w:spacing w:after="0" w:line="253" w:lineRule="auto"/>
        <w:rPr>
          <w:sz w:val="20"/>
          <w:szCs w:val="20"/>
          <w:color w:val="auto"/>
        </w:rPr>
      </w:pPr>
      <w:r>
        <w:rPr>
          <w:rFonts w:ascii="Times New Roman" w:cs="Times New Roman" w:eastAsia="Times New Roman" w:hAnsi="Times New Roman"/>
          <w:sz w:val="18"/>
          <w:szCs w:val="18"/>
          <w:color w:val="auto"/>
        </w:rPr>
        <w:t>Significant management judgments and estimates with respect to potential future product returns and price protection related to current period product revenues must be made and used when establishing the allowance for returns and price protection in any accounting period. We estimate the amount of future returns and price protection for current period product revenues utilizing historical experience and information regarding inventory levels and the demand and acceptance of our products by the end consumer. The following factors are used to estimate the amount of future returns and price protection for a particular title: historical performance of titles in similar genres; historical performance of the hardware platform; historical performance of the franchise; console hardware life cycle; sales force and retail customer feedback; industry pricing; future pricing assumptions; weeks of on-hand retail channel inventory; absolute quantity of on-hand retail channel inventory; our warehouse on-hand inventory levels; the title's recent sell-through history (if available); marketing trade programs; and the performance of competing titles. The relative importance of these factors varies among titles depending upon, among other things, genre, platform, seasonality, and sales strategy.</w:t>
      </w:r>
    </w:p>
    <w:p>
      <w:pPr>
        <w:spacing w:after="0" w:line="197" w:lineRule="exact"/>
        <w:rPr>
          <w:sz w:val="20"/>
          <w:szCs w:val="20"/>
          <w:color w:val="auto"/>
        </w:rPr>
      </w:pPr>
    </w:p>
    <w:p>
      <w:pPr>
        <w:ind w:right="140" w:firstLine="351"/>
        <w:spacing w:after="0" w:line="255" w:lineRule="auto"/>
        <w:rPr>
          <w:sz w:val="20"/>
          <w:szCs w:val="20"/>
          <w:color w:val="auto"/>
        </w:rPr>
      </w:pPr>
      <w:r>
        <w:rPr>
          <w:rFonts w:ascii="Times New Roman" w:cs="Times New Roman" w:eastAsia="Times New Roman" w:hAnsi="Times New Roman"/>
          <w:sz w:val="18"/>
          <w:szCs w:val="18"/>
          <w:color w:val="auto"/>
        </w:rPr>
        <w:t>Based upon historical experience, we believe that our estimates are reasonable. However, actual returns and price protection could vary materially from our allowance estimates due to a number of reasons, including, among others: a lack of consumer acceptance of a title; the release in the same period of a similarly themed title by a competitor; or technological obsolescence due to the emergence of new hardware platforms. There may be material differences in the amount and timing of our revenues for any period if factors or market conditions change or if matters resolve in a manner that is inconsistent with management's assumptions utilized in determining the allowances for returns and price protection. For example, a 1% change in our December 31, 2018 allowance for sales returns, price protection, and other allowances would have impacted net revenues by approximately $2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229"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Software development costs include payments made to independent software developers under development agreements, as well as direct costs incurred for internally developed products. Software development costs are capitalized once the technological feasibility of a product is established and such costs are determined to be recoverable. Technological feasibility of a product requires both technical design documentation and game design documentation, or the completed and tested product design and a working model. Significant management judgments and estimates are utilized in the assessment of when technological feasibility is established and the evaluation is performed on a product-by-product basis. For products where proven technology exists, this may occur early in the development cycle. Software development costs related to online hosted revenue arrangements are capitalized after the preliminary project phase is complete and it is probable that the project will be completed and the software will be used to perform the function intended. Prior to a product's release, if and when we believe capitalized costs are not recoverable, we expense the amounts as part of "Cost of revenues—software royalties, amortization, and intellectual property licenses." Capitalized costs for products that are canceled or are expected to be abandoned are charged to "Product development" in the period of cancellation. Amounts related to software development which are not capitalized are charged immediately to "Product development."</w:t>
      </w:r>
    </w:p>
    <w:p>
      <w:pPr>
        <w:spacing w:after="0" w:line="195" w:lineRule="exact"/>
        <w:rPr>
          <w:sz w:val="20"/>
          <w:szCs w:val="20"/>
          <w:color w:val="auto"/>
        </w:rPr>
      </w:pPr>
    </w:p>
    <w:p>
      <w:pPr>
        <w:jc w:val="both"/>
        <w:ind w:right="320" w:firstLine="351"/>
        <w:spacing w:after="0" w:line="262" w:lineRule="auto"/>
        <w:rPr>
          <w:sz w:val="20"/>
          <w:szCs w:val="20"/>
          <w:color w:val="auto"/>
        </w:rPr>
      </w:pPr>
      <w:r>
        <w:rPr>
          <w:rFonts w:ascii="Times New Roman" w:cs="Times New Roman" w:eastAsia="Times New Roman" w:hAnsi="Times New Roman"/>
          <w:sz w:val="18"/>
          <w:szCs w:val="18"/>
          <w:color w:val="auto"/>
        </w:rPr>
        <w:t>Commencing upon a product's release, capitalized software development costs are amortized to "Cost of revenues—software royalties, amortization, and intellectual property licenses" based on the ratio of current revenues to total projected revenues for the specific product, generally resulting in an amortization period of six months to approximately two years.</w:t>
      </w:r>
    </w:p>
    <w:p>
      <w:pPr>
        <w:spacing w:after="0" w:line="186" w:lineRule="exact"/>
        <w:rPr>
          <w:sz w:val="20"/>
          <w:szCs w:val="20"/>
          <w:color w:val="auto"/>
        </w:rPr>
      </w:pPr>
    </w:p>
    <w:p>
      <w:pPr>
        <w:ind w:right="240" w:firstLine="348"/>
        <w:spacing w:after="0" w:line="258" w:lineRule="auto"/>
        <w:rPr>
          <w:sz w:val="20"/>
          <w:szCs w:val="20"/>
          <w:color w:val="auto"/>
        </w:rPr>
      </w:pPr>
      <w:r>
        <w:rPr>
          <w:rFonts w:ascii="Times New Roman" w:cs="Times New Roman" w:eastAsia="Times New Roman" w:hAnsi="Times New Roman"/>
          <w:sz w:val="18"/>
          <w:szCs w:val="18"/>
          <w:color w:val="auto"/>
        </w:rPr>
        <w:t>We evaluate the future recoverability of capitalized software development costs on a quarterly basis. For products that have been released in prior periods, the primary evaluation criterion is the actual performance of the title to which the costs relate. For products that are scheduled to be released in future periods, recoverability is evaluated based on the expected performance of the specific products to which the costs relate. Criteria used to evaluate expected product performance include: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120"/>
        <w:spacing w:after="0" w:line="339" w:lineRule="auto"/>
        <w:rPr>
          <w:sz w:val="20"/>
          <w:szCs w:val="20"/>
          <w:color w:val="auto"/>
        </w:rPr>
      </w:pPr>
      <w:r>
        <w:rPr>
          <w:rFonts w:ascii="Times New Roman" w:cs="Times New Roman" w:eastAsia="Times New Roman" w:hAnsi="Times New Roman"/>
          <w:sz w:val="16"/>
          <w:szCs w:val="16"/>
          <w:color w:val="auto"/>
        </w:rPr>
        <w:t>historical performance of comparable products developed with comparable technology; market performance of comparable titles; orders for the product prior to its release; general market conditions; and, for any sequel product, estimated performance based on the performance of the product on which the sequel is based.</w:t>
      </w:r>
    </w:p>
    <w:p>
      <w:pPr>
        <w:spacing w:after="0" w:line="128" w:lineRule="exact"/>
        <w:rPr>
          <w:sz w:val="20"/>
          <w:szCs w:val="20"/>
          <w:color w:val="auto"/>
        </w:rPr>
      </w:pPr>
    </w:p>
    <w:p>
      <w:pPr>
        <w:ind w:right="320" w:firstLine="351"/>
        <w:spacing w:after="0" w:line="256" w:lineRule="auto"/>
        <w:rPr>
          <w:sz w:val="20"/>
          <w:szCs w:val="20"/>
          <w:color w:val="auto"/>
        </w:rPr>
      </w:pPr>
      <w:r>
        <w:rPr>
          <w:rFonts w:ascii="Times New Roman" w:cs="Times New Roman" w:eastAsia="Times New Roman" w:hAnsi="Times New Roman"/>
          <w:sz w:val="18"/>
          <w:szCs w:val="18"/>
          <w:color w:val="auto"/>
        </w:rPr>
        <w:t>Significant management judgments and estimates are utilized in assessing the recoverability of capitalized costs. In evaluating the recoverability of capitalized costs, the assessment of expected product performance utilizes forecasted sales amounts and estimates of additional costs to be incurred. If revised forecasted or actual product sales are less than the originally forecasted amounts utilized in the initial recoverability analysis, the net realizable value may be lower than originally estimated in any given quarter, which could result in an impairment charge. Material differences may result in the amount and timing of expenses for any period if matters resolve in a manner that is inconsistent with management's expectations.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Estimates</w:t>
      </w:r>
    </w:p>
    <w:p>
      <w:pPr>
        <w:spacing w:after="0" w:line="229" w:lineRule="exact"/>
        <w:rPr>
          <w:sz w:val="20"/>
          <w:szCs w:val="20"/>
          <w:color w:val="auto"/>
        </w:rPr>
      </w:pPr>
    </w:p>
    <w:p>
      <w:pPr>
        <w:ind w:right="520" w:firstLine="348"/>
        <w:spacing w:after="0" w:line="262" w:lineRule="auto"/>
        <w:rPr>
          <w:sz w:val="20"/>
          <w:szCs w:val="20"/>
          <w:color w:val="auto"/>
        </w:rPr>
      </w:pPr>
      <w:r>
        <w:rPr>
          <w:rFonts w:ascii="Times New Roman" w:cs="Times New Roman" w:eastAsia="Times New Roman" w:hAnsi="Times New Roman"/>
          <w:sz w:val="18"/>
          <w:szCs w:val="18"/>
          <w:color w:val="auto"/>
        </w:rPr>
        <w:t>The preparation of financial statements often requires us to determine the fair value of a particular item to fairly present in our consolidated financial statements. Without an independent market or another representative transaction, determining the fair value of a particular item requires us to make several assumptions that are inherently difficult to predict and can have a material impact on the conclusion of the appropriate accounting.</w:t>
      </w:r>
    </w:p>
    <w:p>
      <w:pPr>
        <w:spacing w:after="0" w:line="186" w:lineRule="exact"/>
        <w:rPr>
          <w:sz w:val="20"/>
          <w:szCs w:val="20"/>
          <w:color w:val="auto"/>
        </w:rPr>
      </w:pPr>
    </w:p>
    <w:p>
      <w:pPr>
        <w:ind w:firstLine="348"/>
        <w:spacing w:after="0" w:line="287" w:lineRule="auto"/>
        <w:rPr>
          <w:sz w:val="20"/>
          <w:szCs w:val="20"/>
          <w:color w:val="auto"/>
        </w:rPr>
      </w:pPr>
      <w:r>
        <w:rPr>
          <w:rFonts w:ascii="Times New Roman" w:cs="Times New Roman" w:eastAsia="Times New Roman" w:hAnsi="Times New Roman"/>
          <w:sz w:val="16"/>
          <w:szCs w:val="16"/>
          <w:color w:val="auto"/>
        </w:rPr>
        <w:t>There are various valuation techniques used to estimate fair value. These include: (1) the market approach, where market transactions for identical or comparable assets or liabilities are used to determine the fair value; (2) the income approach, which uses valuation techniques to convert future amounts (for example, future cash flows or future earnings) to a single present amount; and (3) the cost approach, which is based on the amount that would be required to replace an asset. For many of our fair value estimates, including our estimates of the fair value of acquired intangible assets, we use the income approach. Using the income approach requires the use of financial models, which require us to make various estimates including, but not limited to: (1) the potential future cash flows for the asset, liability or equity instrument being measured; (2) the timing of receipt or payment of those future cash flows; (3) the time value of money associated with the delayed receipt or payment of such cash flows; and (4) the inherent risk associated with the cash flows (that is, the risk premium). Determining these cash flow estimates is inherently difficult and subjective, and, if any of the estimates used to determine the fair value using the income approach turns out to be inaccurate, our financial results may be negatively impacted. Furthermore, relatively small changes in many of these estimates can have a significant impact on the estimated fair value resulting from the financial models or the related accounting conclusion reached. For example, a relatively small change in the estimated fair value of an asset may change a conclusion as to whether an asset is impaired. While we are required to make certain fair value assessments associated with the accounting for several types of transactions, the following areas are the most sensitive to the assessments:</w:t>
      </w:r>
    </w:p>
    <w:p>
      <w:pPr>
        <w:spacing w:after="0" w:line="3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ind w:right="20" w:firstLine="341"/>
        <w:spacing w:after="0" w:line="255" w:lineRule="auto"/>
        <w:rPr>
          <w:sz w:val="20"/>
          <w:szCs w:val="20"/>
          <w:color w:val="auto"/>
        </w:rPr>
      </w:pPr>
      <w:r>
        <w:rPr>
          <w:rFonts w:ascii="Times New Roman" w:cs="Times New Roman" w:eastAsia="Times New Roman" w:hAnsi="Times New Roman"/>
          <w:sz w:val="18"/>
          <w:szCs w:val="18"/>
          <w:color w:val="auto"/>
        </w:rPr>
        <w:t>Assets acquired and liabilities assumed in a business combination are recorded based on their estimated fair value. Our assessment of the estimated fair value of each of these can have a material effect on our reported results as intangible assets are amortized over various estimated useful lives. Furthermore, a change in the estimated fair value of an asset or liability often has a direct impact on the amount we recognize as goodwill, which is an asset that is not amortized. Often determining the fair value of these assets and liabilities assumed requires an assessment of the expected use of the asset, the expected cost to extinguish the liability or our expectations related to the timing and the successful completion of development of an acquired in-process technology. Such estimates are inherently difficult and subjective and can have a material impact on our financial statements.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Assessment of Impairment of Definite-lived Intangible and Other Long-lived Assets.</w:t>
      </w:r>
    </w:p>
    <w:p>
      <w:pPr>
        <w:spacing w:after="0" w:line="227"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We evaluate the recoverability of our identifiable amortizable intangible assets and other long-lived assets when events or circumstances (referred to as a "triggering event") indicate a potential impairment exists. We consider certain events and circumstances in determining whether a triggering event has occurred that could indicate the carrying value of identifiable definite-lived intangible assets and other long-lived assets, may not be recoverable, including, but not limited to: (1) significant changes in performance relative to expected operating results; (2) significant changes in the use of the assets; (3) significant negative industry or economic trends; (4) a significant decline in our stock price for a sustained period of time; and (5) changes in our business strategy. If it is determined that a triggering event has occurred, we determine if an impairment exists based on an estimate of the undiscounted cash flows to be generated from the use and ultimate disposition of the asset group. If the undiscounted cash flows are lower than the carrying values of the related asset group, an impairment exists and the impairment loss is measured as the amount by which the carrying amount of the group's assets exceeds the fair value of the asset group. We did not record an impairment charge to any of our definite-lived intangible assets as of December 31, 2018, 2017, or 2016.</w:t>
      </w:r>
    </w:p>
    <w:p>
      <w:pPr>
        <w:spacing w:after="0" w:line="1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Assessment of Impairment of Goodwill and Indefinite-lived Intangible Assets.</w:t>
      </w:r>
    </w:p>
    <w:p>
      <w:pPr>
        <w:spacing w:after="0" w:line="22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are required to test goodwill and other indefinite-lived intangible assets for impairment on an annual basis and, if current events or circumstances require, on an interim basis. ASC Topic 350 provides companies an option to first perform a qualitative assessment to determine whether it is more likely than not that the fair value of a reporting unit is less than its carrying value before performing a quantitative two-step approach to testing goodwill for impairment. We perform our impairment test for each reporting unit as part of our annual impairment test performed as of December 31. The first step of the quantitative test measures for impairment by applying fair value-based tests at the reporting unit level. The second step (if necessary) measures the amount of impairment by applying fair value-based tests to the individual assets and liabilities within each reporting unit.</w:t>
      </w:r>
    </w:p>
    <w:p>
      <w:pPr>
        <w:spacing w:after="0" w:line="193" w:lineRule="exact"/>
        <w:rPr>
          <w:sz w:val="20"/>
          <w:szCs w:val="20"/>
          <w:color w:val="auto"/>
        </w:rPr>
      </w:pPr>
    </w:p>
    <w:p>
      <w:pPr>
        <w:jc w:val="both"/>
        <w:ind w:right="260" w:firstLine="348"/>
        <w:spacing w:after="0" w:line="287" w:lineRule="auto"/>
        <w:rPr>
          <w:sz w:val="20"/>
          <w:szCs w:val="20"/>
          <w:color w:val="auto"/>
        </w:rPr>
      </w:pPr>
      <w:r>
        <w:rPr>
          <w:rFonts w:ascii="Times New Roman" w:cs="Times New Roman" w:eastAsia="Times New Roman" w:hAnsi="Times New Roman"/>
          <w:sz w:val="16"/>
          <w:szCs w:val="16"/>
          <w:color w:val="auto"/>
        </w:rPr>
        <w:t>To determine the fair values of the reporting units used in the first step, we use a discounted cash flow approach. Each step requires us to make judgments and involves the use of significant estimates and assumptions. These estimates and assumptions include long-term growth rates and operating margins used to calculate projected future cash flows, risk-adjusted discount rates based on our weighted average cost of capital, and future economic and market conditions.</w:t>
      </w:r>
    </w:p>
    <w:p>
      <w:pPr>
        <w:spacing w:after="0" w:line="1"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16"/>
          <w:szCs w:val="16"/>
          <w:color w:val="auto"/>
        </w:rPr>
        <w:t>These estimates and assumptions must be made for each reporting unit evaluated for impairment. Our estimates for market growth, our market share and costs are based on historical data, various internal estimates and certain external sources, as well as on assumptions that are consistent with the plans and estimates we are using to manage the underlying business. If future forecasts are revised, they may indicate or require future impairment charges. We base our fair value estimates on assumptions we believe to be reasonable but that are unpredictable and inherently uncertain. Actual future results may differ from those estimates.</w:t>
      </w:r>
    </w:p>
    <w:p>
      <w:pPr>
        <w:spacing w:after="0" w:line="163"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In determining the fair value of our significant reporting units—namely Activision, Blizzard, and King—we assumed discount rates ranging from 9.0% to 9.5% and terminal growth rates of 0.0% to 3.0%, depending on the reporting unit and its specific characteristics and risk profiles. Based on our quantitative evaluation, we determined the estimated fair value of all of the reporting units exceeded their carrying values as of December 31, 2018. Changes in our assumptions underlying our estimates of fair value, which will be a function of our future financial performance and changes in economic conditions, could result in future impairment charges.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180" w:firstLine="348"/>
        <w:spacing w:after="0" w:line="258" w:lineRule="auto"/>
        <w:rPr>
          <w:sz w:val="20"/>
          <w:szCs w:val="20"/>
          <w:color w:val="auto"/>
        </w:rPr>
      </w:pPr>
      <w:r>
        <w:rPr>
          <w:rFonts w:ascii="Times New Roman" w:cs="Times New Roman" w:eastAsia="Times New Roman" w:hAnsi="Times New Roman"/>
          <w:sz w:val="18"/>
          <w:szCs w:val="18"/>
          <w:color w:val="auto"/>
        </w:rPr>
        <w:t>We test our acquired trade names for possible impairment by using a discounted cash flow model to estimate fair value. At December 31, 2018, 2017, and 2016, we concluded that no impairment had occurred and that no impairment was reasonably likely to occur. In determining the fair value of these trade names, we assumed a discount rate of 9.5%, and royalty saving rates of approximately 1.5%. Changes in our assumptions underlying our estimates of fair value, which will be a function of our future financial performance and changes in economic conditions, could result in future impairment charges.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229" w:lineRule="exact"/>
        <w:rPr>
          <w:sz w:val="20"/>
          <w:szCs w:val="20"/>
          <w:color w:val="auto"/>
        </w:rPr>
      </w:pPr>
    </w:p>
    <w:p>
      <w:pPr>
        <w:ind w:right="160" w:firstLine="348"/>
        <w:spacing w:after="0" w:line="258" w:lineRule="auto"/>
        <w:rPr>
          <w:sz w:val="20"/>
          <w:szCs w:val="20"/>
          <w:color w:val="auto"/>
        </w:rPr>
      </w:pPr>
      <w:r>
        <w:rPr>
          <w:rFonts w:ascii="Times New Roman" w:cs="Times New Roman" w:eastAsia="Times New Roman" w:hAnsi="Times New Roman"/>
          <w:sz w:val="18"/>
          <w:szCs w:val="18"/>
          <w:color w:val="auto"/>
        </w:rPr>
        <w:t>We account for share-based payments in accordance with ASC Subtopic 718-10 and ASC Subtopic 505-50. Share-based compensation expense for a given grant is recognized over the requisite service period (that is, the period for which the employee is being compensated) and is based on the value of share-based payment awards after a reduction for estimated forfeitures. Forfeitures are estimated at the time of grant and are revised, if necessary, in subsequent periods if actual forfeitures differ from those estimates.</w:t>
      </w:r>
    </w:p>
    <w:p>
      <w:pPr>
        <w:spacing w:after="0" w:line="190"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8"/>
          <w:szCs w:val="18"/>
          <w:color w:val="auto"/>
        </w:rPr>
        <w:t>We generally estimate the value of stock options using a binomial-lattice model. This estimate is affected by our stock price, as well as assumptions regarding a number of highly complex and subjective variables, including our expected stock price volatility over the term of the awards and actual and projected employee stock option exercise behaviors.</w:t>
      </w:r>
    </w:p>
    <w:p>
      <w:pPr>
        <w:spacing w:after="0" w:line="186" w:lineRule="exact"/>
        <w:rPr>
          <w:sz w:val="20"/>
          <w:szCs w:val="20"/>
          <w:color w:val="auto"/>
        </w:rPr>
      </w:pPr>
    </w:p>
    <w:p>
      <w:pPr>
        <w:ind w:right="140" w:firstLine="348"/>
        <w:spacing w:after="0" w:line="253" w:lineRule="auto"/>
        <w:rPr>
          <w:sz w:val="20"/>
          <w:szCs w:val="20"/>
          <w:color w:val="auto"/>
        </w:rPr>
      </w:pPr>
      <w:r>
        <w:rPr>
          <w:rFonts w:ascii="Times New Roman" w:cs="Times New Roman" w:eastAsia="Times New Roman" w:hAnsi="Times New Roman"/>
          <w:sz w:val="18"/>
          <w:szCs w:val="18"/>
          <w:color w:val="auto"/>
        </w:rPr>
        <w:t>We generally determine the fair value of restricted stock units based on the closing market price of the Company's common stock on the date of grant, reduced by the present value of the estimated future dividends during the vesting period in which the restricted stock units holder will not participate. Certain restricted stock units granted to our employees and senior management vest based on the achievement of pre-established performance or market conditions. For performance-based restricted stock units, each quarter we update our assessment of the probability that the specified performance criteria will be achieved. We amortize the fair values of performance-based restricted stock units over the requisite service period, adjusting for estimated forfeitures for each separately vesting tranche of the award. For market-based restricted stock units, we estimate the fair value at the date of grant using a Monte Carlo valuation methodology and amortize those fair values over the requisite service period, adjusting for estimated forfeitures for each separately vesting tranche of the award. The Monte Carlo methodology that we use to estimate the fair value of market-based restricted stock units at the date of grant incorporates into the valuation the possibility that the market condition may not be satisfied. Provided that the requisite service is rendered, the total fair value of the market-based restricted stock units at the date of grant must be recognized as compensation expense even if the market condition is not achieved. However, the number of shares that ultimately vest can vary significantly with the performance of the specified market criteria.</w:t>
      </w:r>
    </w:p>
    <w:p>
      <w:pPr>
        <w:spacing w:after="0" w:line="193"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For a detailed discussion of the application of these and other accounting policies, see Note 2 of the notes to the consolidated financial statements included in Item 8 of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7" w:lineRule="exact"/>
        <w:rPr>
          <w:sz w:val="20"/>
          <w:szCs w:val="20"/>
          <w:color w:val="auto"/>
        </w:rPr>
      </w:pPr>
    </w:p>
    <w:p>
      <w:pPr>
        <w:jc w:val="both"/>
        <w:ind w:right="480" w:firstLine="351"/>
        <w:spacing w:after="0" w:line="262" w:lineRule="auto"/>
        <w:rPr>
          <w:sz w:val="20"/>
          <w:szCs w:val="20"/>
          <w:color w:val="auto"/>
        </w:rPr>
      </w:pPr>
      <w:r>
        <w:rPr>
          <w:rFonts w:ascii="Times New Roman" w:cs="Times New Roman" w:eastAsia="Times New Roman" w:hAnsi="Times New Roman"/>
          <w:sz w:val="18"/>
          <w:szCs w:val="18"/>
          <w:color w:val="auto"/>
        </w:rPr>
        <w:t>Below are the recently issued accounting pronouncements that were most significant to our accounting policy activities for fiscal 2018. For a detailed discussion of recently issued accounting pronouncements, see Note 3 of the notes to the consolidated financial statements included in Item 8 of this Annual Report on Form 10-K.</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40" w:firstLine="341"/>
        <w:spacing w:after="0" w:line="285" w:lineRule="auto"/>
        <w:rPr>
          <w:sz w:val="20"/>
          <w:szCs w:val="20"/>
          <w:color w:val="auto"/>
        </w:rPr>
      </w:pPr>
      <w:r>
        <w:rPr>
          <w:rFonts w:ascii="Times New Roman" w:cs="Times New Roman" w:eastAsia="Times New Roman" w:hAnsi="Times New Roman"/>
          <w:sz w:val="16"/>
          <w:szCs w:val="16"/>
          <w:color w:val="auto"/>
        </w:rPr>
        <w:t>As discussed in Note 3 of the notes to the consolidated financial statements included in Item 8 of this Annual Report on Form 10-K, in May 2014, the FASB issued new accounting guidance related to revenue recognition and on January 1, 2018, we adopted the new accounting standard and related amendments (collectively, the "new revenue accounting standard"), utilizing the modified retrospective method. Additionally, we elected to apply the new revenue accounting standard only to contracts not completed as of the adoption date. For contracts that were modified before the period of adoption, we elected to reflect the aggregate effect of all modifications when (1) identifying the satisfied and unsatisfied performance obligations, (2) determining the transaction price, and</w:t>
      </w:r>
    </w:p>
    <w:p>
      <w:pPr>
        <w:ind w:right="20" w:firstLine="8"/>
        <w:spacing w:after="0" w:line="254" w:lineRule="auto"/>
        <w:tabs>
          <w:tab w:leader="none" w:pos="24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the satisfied and unsatisfied performance obligations. We recognized the cumulative effect of initially applying the new revenue accounting standard as an adjustment to the opening balance of retained earnings. The comparative information has not been restated and continues to be reported under the accounting standards in effect for those periods. The cumulative effect adjustment recorded to our retained earnings at January 1, 2018, was $88 million.</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most significant impacts of the new revenue accounting standard for us are:</w:t>
      </w:r>
    </w:p>
    <w:p>
      <w:pPr>
        <w:spacing w:after="0" w:line="237" w:lineRule="exact"/>
        <w:rPr>
          <w:sz w:val="20"/>
          <w:szCs w:val="20"/>
          <w:color w:val="auto"/>
        </w:rPr>
      </w:pPr>
    </w:p>
    <w:p>
      <w:pPr>
        <w:ind w:left="1080" w:hanging="532"/>
        <w:spacing w:after="0" w:line="253"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accounting for our sales of our games with significant online functionality for which we do not have vendor-specific objective evidence ("VSOE") for unspecified future updates and ongoing online services provided. </w:t>
      </w:r>
      <w:r>
        <w:rPr>
          <w:rFonts w:ascii="Times New Roman" w:cs="Times New Roman" w:eastAsia="Times New Roman" w:hAnsi="Times New Roman"/>
          <w:sz w:val="18"/>
          <w:szCs w:val="18"/>
          <w:color w:val="auto"/>
        </w:rPr>
        <w:t>Under the prior accounting standards, VSOE for undelivered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elements was required. This requirement was eliminated under the new revenue accounting standard. Accordingly, we are required to recognize as revenue a portion of the sales price upon delivery of this software, as compared to recognizing the entire sales price ratably over an estimated service period, as previously required. This difference in accounting primarily impacts revenues from most of the titles within our Call of Duty franchise, where approximately 20% of the sales price is now recognized as revenue upon delivery of the games to our customers. The amount of revenue recognized upon delivery of games to our customers is analyzed on a title-by-title basis and may change in the future. For example, the entire sales price from our </w:t>
      </w:r>
      <w:r>
        <w:rPr>
          <w:rFonts w:ascii="Times New Roman" w:cs="Times New Roman" w:eastAsia="Times New Roman" w:hAnsi="Times New Roman"/>
          <w:sz w:val="18"/>
          <w:szCs w:val="18"/>
          <w:i w:val="1"/>
          <w:iCs w:val="1"/>
          <w:color w:val="auto"/>
        </w:rPr>
        <w:t>Call of Duty: Black Ops 4</w:t>
      </w:r>
      <w:r>
        <w:rPr>
          <w:rFonts w:ascii="Times New Roman" w:cs="Times New Roman" w:eastAsia="Times New Roman" w:hAnsi="Times New Roman"/>
          <w:sz w:val="18"/>
          <w:szCs w:val="18"/>
          <w:color w:val="auto"/>
        </w:rPr>
        <w:t xml:space="preserve"> release is being recognized ratably over an estimated service period, as the gameplay has an increased focus towards the online competitive and cooperative game modes with no single-player campaign mode. Many of our other franchises, such as Overwatch, World of Warcraft, and Candy Crush, are online hosted arrangements, and the accounting for our sales of these games under the new standard is relatively unchanged; and</w:t>
      </w:r>
    </w:p>
    <w:p>
      <w:pPr>
        <w:spacing w:after="0" w:line="219" w:lineRule="exact"/>
        <w:rPr>
          <w:rFonts w:ascii="Times New Roman" w:cs="Times New Roman" w:eastAsia="Times New Roman" w:hAnsi="Times New Roman"/>
          <w:sz w:val="18"/>
          <w:szCs w:val="18"/>
          <w:color w:val="auto"/>
        </w:rPr>
      </w:pPr>
    </w:p>
    <w:p>
      <w:pPr>
        <w:jc w:val="both"/>
        <w:ind w:left="1080" w:right="280" w:hanging="532"/>
        <w:spacing w:after="0" w:line="264"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accounting for certain of our software licensing arrangements. </w:t>
      </w:r>
      <w:r>
        <w:rPr>
          <w:rFonts w:ascii="Times New Roman" w:cs="Times New Roman" w:eastAsia="Times New Roman" w:hAnsi="Times New Roman"/>
          <w:sz w:val="18"/>
          <w:szCs w:val="18"/>
          <w:color w:val="auto"/>
        </w:rPr>
        <w:t>While the impact of the new revenue accounting standard may differ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contract-by-contract basis (as the actual revenue recognition treatment required under the standard will depend on contract-specific terms), the new revenue accounting standard generally results in earlier revenue recognition for these arrangements.</w:t>
      </w:r>
    </w:p>
    <w:p>
      <w:pPr>
        <w:spacing w:after="0" w:line="183" w:lineRule="exact"/>
        <w:rPr>
          <w:sz w:val="20"/>
          <w:szCs w:val="20"/>
          <w:color w:val="auto"/>
        </w:rPr>
      </w:pPr>
    </w:p>
    <w:p>
      <w:pPr>
        <w:ind w:right="220" w:firstLine="351"/>
        <w:spacing w:after="0" w:line="339" w:lineRule="auto"/>
        <w:rPr>
          <w:sz w:val="20"/>
          <w:szCs w:val="20"/>
          <w:color w:val="auto"/>
        </w:rPr>
      </w:pPr>
      <w:r>
        <w:rPr>
          <w:rFonts w:ascii="Times New Roman" w:cs="Times New Roman" w:eastAsia="Times New Roman" w:hAnsi="Times New Roman"/>
          <w:sz w:val="16"/>
          <w:szCs w:val="16"/>
          <w:color w:val="auto"/>
        </w:rPr>
        <w:t>For additional discussion regarding the impact of our adoption of the new revenue accounting standard, including the impacts to our consolidated balance sheet and statement of operations, see Note 3 of the notes to the consolidated financial statements included in Item 8 of this Annual Report on Form 10-K.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 of Cash Flows-Restricted Cash</w:t>
      </w:r>
    </w:p>
    <w:p>
      <w:pPr>
        <w:spacing w:after="0" w:line="227"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In November 2016, the FASB issued new guidance related to the classification of restricted cash in the statement of cash flows. The new standard requires that a statement of cash flows explain any change during the period in total cash, cash equivalents, and restricted cash. Therefore, restricted cash will be included with "Cash and cash equivalents" when reconciling the beginning-of-period and</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end-of-period total amounts shown on the statement of cash flows. The new standard is effective for fiscal years beginning after December 15, 2017, and should be applied retrospectively.</w:t>
      </w:r>
    </w:p>
    <w:p>
      <w:pPr>
        <w:spacing w:after="0" w:line="174"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We adopted the new standard during the first quarter of 2018 and applied the standard retrospectively for all periods presented. The application of this new standard did not have a material impact on our consolidated statements of cash flows for the years ended December 31, 2018 and 2017. See Note 3 of the notes to the consolidated financial statements included in Item 8 of this Annual Report on Form 10-K for impacts on our consolidated statement of cash flows for the year ended December 31, 2016.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and Hedging</w:t>
      </w:r>
    </w:p>
    <w:p>
      <w:pPr>
        <w:spacing w:after="0" w:line="227"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In August 2017, the FASB issued new guidance related to the accounting for derivatives and hedging. The new guidance expands and refines hedge accounting for both financial and non-financial risk components, aligns the recognition and presentation of the effects of hedging instruments and hedged items in the financial statements, and includes certain targeted improvements to ease the application of current guidance related to the assessment of a hedge's effectiveness. The new standard is effective for fiscal years beginning after December 15, 2018. Early adoption is permitted. We adopted the standard during the first quarter of 2018. The adoption of the standard did not have a material impact to our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ind w:right="60" w:firstLine="351"/>
        <w:spacing w:after="0" w:line="254" w:lineRule="auto"/>
        <w:rPr>
          <w:sz w:val="20"/>
          <w:szCs w:val="20"/>
          <w:color w:val="auto"/>
        </w:rPr>
      </w:pPr>
      <w:r>
        <w:rPr>
          <w:rFonts w:ascii="Times New Roman" w:cs="Times New Roman" w:eastAsia="Times New Roman" w:hAnsi="Times New Roman"/>
          <w:sz w:val="18"/>
          <w:szCs w:val="18"/>
          <w:color w:val="auto"/>
        </w:rPr>
        <w:t>In February 2016, the FASB issued new guidance related to the accounting for leases. The new standard will replace all current U.S. GAAP guidance on this topic. The new standard, among other things, requires a lessee to classify a lease as either an operating or financing lease, and to recognize a lease liability and a right-of-use asset for its leases. Classification will be based on criteria that are largely similar to those applied in current lease accounting. The lease liability will be equal to the present value of lease payments. The asset will be based on the lease liability, subject to adjustment for initial direct costs, lease incentives received, and any prepaid lease payments. Operating leases will result in a straight-line expense pattern, while finance leases will result in a front-loaded expense pattern. The standard is effective for fiscal years, and interim periods within those fiscal years, beginning after December 15, 2018. Adoption guidance provides for an optional adoption method that allows companies to use the effective date of the new lease standard as the initial date of application on transition, and therefore does not require prior periods to be restated.</w:t>
      </w:r>
    </w:p>
    <w:p>
      <w:pPr>
        <w:spacing w:after="0" w:line="192"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This standard is effective for us beginning with the first quarter of 2019, and we will report our adoption in our Form 10-Q for the first quarter of 2019. Upon adoption, we will elect to apply the available transition practical expedients, including the optional adoption method discussed above. We estimate the impact of adoption to result in the establishment of lease liabilities of approximately $275 million to $325 million, with a similar corresponding impact to total assets. Additionally, we expect that the new disclosure requirements will require us to design and implement additional internal controls over financial reporting, and we are in process of adjusting our processes and internal controls in preparation for adopting the new standard.</w:t>
      </w:r>
    </w:p>
    <w:p>
      <w:pPr>
        <w:spacing w:after="0" w:line="19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27" w:lineRule="exact"/>
        <w:rPr>
          <w:sz w:val="20"/>
          <w:szCs w:val="20"/>
          <w:color w:val="auto"/>
        </w:rPr>
      </w:pPr>
    </w:p>
    <w:p>
      <w:pPr>
        <w:ind w:right="420" w:firstLine="351"/>
        <w:spacing w:after="0" w:line="275" w:lineRule="auto"/>
        <w:rPr>
          <w:sz w:val="20"/>
          <w:szCs w:val="20"/>
          <w:color w:val="auto"/>
        </w:rPr>
      </w:pPr>
      <w:r>
        <w:rPr>
          <w:rFonts w:ascii="Times New Roman" w:cs="Times New Roman" w:eastAsia="Times New Roman" w:hAnsi="Times New Roman"/>
          <w:sz w:val="18"/>
          <w:szCs w:val="18"/>
          <w:color w:val="auto"/>
        </w:rPr>
        <w:t>Market risk is the potential loss arising from fluctuations in market rates and prices. Our market risk exposures primarily include fluctuations in foreign currency exchange rates and interest rates.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229"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We transact business in many different foreign currencies and may be exposed to financial market risk resulting from fluctuations in foreign currency exchange rates. Revenues and related expenses generated from our international operations are generally denominated in their respective local currencies. Primary currencies include euros, British pounds, Australian dollars, South Korean won, Chinese yuan, and Swedish krona. To the extent the U.S. dollar strengthens against foreign currencies, the translation of these foreign currency-denominated transactions will result in reduced revenues, operating expenses, net income, and cash flows from our international operations. Similarly, our revenues, operating expenses, net income, and cash flows will increase for our international operations if the U.S. dollar weakens against foreign currencies. Since we have significant international sales, but incur the majority of our costs in the United States, the impact of foreign currency fluctuations, particularly the strengthening of the U.S. dollar, may have an asymmetric and disproportional impact on our business. We monitor currency volatility throughout the year.</w:t>
      </w:r>
    </w:p>
    <w:p>
      <w:pPr>
        <w:spacing w:after="0" w:line="192"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To mitigate our foreign currency risk resulting from our foreign currency-denominated monetary assets, liabilities, and earnings and our foreign currency risk related to functional currency-equivalent cash flows resulting from our intercompany transactions, we periodically enter into currency derivative contracts, principally forward contracts. These forward contracts generally have a maturity of less than one year. The counterparties for our currency derivative contracts are large and reputable commercial or investment banks.</w:t>
      </w:r>
    </w:p>
    <w:p>
      <w:pPr>
        <w:spacing w:after="0" w:line="190" w:lineRule="exact"/>
        <w:rPr>
          <w:sz w:val="20"/>
          <w:szCs w:val="20"/>
          <w:color w:val="auto"/>
        </w:rPr>
      </w:pPr>
    </w:p>
    <w:p>
      <w:pPr>
        <w:ind w:right="220" w:firstLine="348"/>
        <w:spacing w:after="0" w:line="275" w:lineRule="auto"/>
        <w:rPr>
          <w:sz w:val="20"/>
          <w:szCs w:val="20"/>
          <w:color w:val="auto"/>
        </w:rPr>
      </w:pPr>
      <w:r>
        <w:rPr>
          <w:rFonts w:ascii="Times New Roman" w:cs="Times New Roman" w:eastAsia="Times New Roman" w:hAnsi="Times New Roman"/>
          <w:sz w:val="18"/>
          <w:szCs w:val="18"/>
          <w:color w:val="auto"/>
        </w:rPr>
        <w:t>The fair values of our foreign currency contracts are estimated based on the prevailing exchange rates of the various hedged currencies as of the end of the period.</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do not hold or purchase any foreign currency forward contracts for trading or speculative purposes.</w:t>
      </w:r>
    </w:p>
    <w:p>
      <w:pPr>
        <w:spacing w:after="0" w:line="225" w:lineRule="exact"/>
        <w:rPr>
          <w:sz w:val="20"/>
          <w:szCs w:val="20"/>
          <w:color w:val="auto"/>
        </w:rPr>
      </w:pPr>
    </w:p>
    <w:p>
      <w:pPr>
        <w:ind w:right="720" w:firstLine="351"/>
        <w:spacing w:after="0" w:line="275" w:lineRule="auto"/>
        <w:rPr>
          <w:sz w:val="20"/>
          <w:szCs w:val="20"/>
          <w:color w:val="auto"/>
        </w:rPr>
      </w:pPr>
      <w:r>
        <w:rPr>
          <w:rFonts w:ascii="Times New Roman" w:cs="Times New Roman" w:eastAsia="Times New Roman" w:hAnsi="Times New Roman"/>
          <w:sz w:val="18"/>
          <w:szCs w:val="18"/>
          <w:color w:val="auto"/>
        </w:rPr>
        <w:t>For a detailed discussion of our accounting policies for our foreign currency forward contracts, see Note 2 of the notes to the consolidated financial statements included in Item 8 of this Annual Report on Form 10-K.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 Contracts Designated as Hedges ("Cash Flow Hedges")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total gross notional amounts and fair values of our Cash Flow Hedges are as follows (amounts in millions):</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4"/>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6"/>
              </w:rPr>
              <w:t>As of December 31,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As of December 31,</w:t>
            </w:r>
          </w:p>
        </w:tc>
      </w:tr>
      <w:tr>
        <w:trPr>
          <w:trHeight w:val="165"/>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586"/>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586"/>
              <w:spacing w:after="0"/>
              <w:rPr>
                <w:sz w:val="20"/>
                <w:szCs w:val="20"/>
                <w:color w:val="auto"/>
              </w:rPr>
            </w:pPr>
            <w:r>
              <w:rPr>
                <w:rFonts w:ascii="Times New Roman" w:cs="Times New Roman" w:eastAsia="Times New Roman" w:hAnsi="Times New Roman"/>
                <w:sz w:val="14"/>
                <w:szCs w:val="14"/>
                <w:b w:val="1"/>
                <w:bCs w:val="1"/>
                <w:color w:val="auto"/>
                <w:w w:val="92"/>
              </w:rPr>
              <w:t>2017</w:t>
            </w:r>
          </w:p>
        </w:tc>
        <w:tc>
          <w:tcPr>
            <w:tcW w:w="16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4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Notional</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0"/>
                <w:szCs w:val="10"/>
                <w:color w:val="auto"/>
              </w:rPr>
            </w:pPr>
          </w:p>
        </w:tc>
        <w:tc>
          <w:tcPr>
            <w:tcW w:w="6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Notional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5"/>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5"/>
              </w:rPr>
              <w:t>amount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gain (loss)</w:t>
            </w: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Foreign Currency:</w:t>
            </w:r>
          </w:p>
        </w:tc>
        <w:tc>
          <w:tcPr>
            <w:tcW w:w="2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Buy USD, Sell Euro</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bl>
    <w:p>
      <w:pPr>
        <w:spacing w:after="0" w:line="189" w:lineRule="exact"/>
        <w:rPr>
          <w:sz w:val="20"/>
          <w:szCs w:val="20"/>
          <w:color w:val="auto"/>
        </w:rPr>
      </w:pPr>
    </w:p>
    <w:p>
      <w:pPr>
        <w:ind w:right="60" w:firstLine="341"/>
        <w:spacing w:after="0" w:line="310" w:lineRule="auto"/>
        <w:rPr>
          <w:sz w:val="20"/>
          <w:szCs w:val="20"/>
          <w:color w:val="auto"/>
        </w:rPr>
      </w:pPr>
      <w:r>
        <w:rPr>
          <w:rFonts w:ascii="Times New Roman" w:cs="Times New Roman" w:eastAsia="Times New Roman" w:hAnsi="Times New Roman"/>
          <w:sz w:val="16"/>
          <w:szCs w:val="16"/>
          <w:color w:val="auto"/>
        </w:rPr>
        <w:t>At December 31, 2018, our Cash Flow Hedges have remaining maturities of 12 months or less. Additionally, $11 million of net realized but unrecognized gains are recorded within "Accumulated other comprehensive income (loss)" at December 31, 2018, for Cash Flow Hedges that had settled but were deferred and will be amortized into earnings, along with the associated hedged revenues. Such amounts will be reclassified into earnings within the next 12 months.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20" w:firstLine="348"/>
        <w:spacing w:after="0" w:line="275" w:lineRule="auto"/>
        <w:rPr>
          <w:sz w:val="20"/>
          <w:szCs w:val="20"/>
          <w:color w:val="auto"/>
        </w:rPr>
      </w:pPr>
      <w:r>
        <w:rPr>
          <w:rFonts w:ascii="Times New Roman" w:cs="Times New Roman" w:eastAsia="Times New Roman" w:hAnsi="Times New Roman"/>
          <w:sz w:val="18"/>
          <w:szCs w:val="18"/>
          <w:color w:val="auto"/>
        </w:rPr>
        <w:t>The amount of pre-tax net realized gains (losses) associated with our Cash Flow Hedges that were reclassified out of "Accumulated other comprehensive income (loss)" and into earnings was as follows (amounts in millions):</w:t>
      </w:r>
    </w:p>
    <w:p>
      <w:pPr>
        <w:spacing w:after="0" w:line="245"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ind w:left="7880"/>
        <w:spacing w:after="0" w:line="182" w:lineRule="auto"/>
        <w:tabs>
          <w:tab w:leader="none" w:pos="9380" w:val="left"/>
        </w:tabs>
        <w:rPr>
          <w:sz w:val="20"/>
          <w:szCs w:val="20"/>
          <w:color w:val="auto"/>
        </w:rPr>
      </w:pPr>
      <w:r>
        <w:rPr>
          <w:rFonts w:ascii="Times New Roman" w:cs="Times New Roman" w:eastAsia="Times New Roman" w:hAnsi="Times New Roman"/>
          <w:sz w:val="12"/>
          <w:szCs w:val="12"/>
          <w:b w:val="1"/>
          <w:bCs w:val="1"/>
          <w:color w:val="auto"/>
        </w:rPr>
        <w:t>December 31,</w:t>
      </w:r>
      <w:r>
        <w:rPr>
          <w:sz w:val="20"/>
          <w:szCs w:val="20"/>
          <w:color w:val="auto"/>
        </w:rPr>
        <w:tab/>
      </w:r>
      <w:r>
        <w:rPr>
          <w:rFonts w:ascii="Times New Roman" w:cs="Times New Roman" w:eastAsia="Times New Roman" w:hAnsi="Times New Roman"/>
          <w:sz w:val="17"/>
          <w:szCs w:val="17"/>
          <w:b w:val="1"/>
          <w:bCs w:val="1"/>
          <w:color w:val="auto"/>
          <w:vertAlign w:val="superscript"/>
        </w:rPr>
        <w:t>Statement of</w:t>
      </w:r>
    </w:p>
    <w:p>
      <w:pPr>
        <w:ind w:left="9440"/>
        <w:spacing w:after="0" w:line="221" w:lineRule="auto"/>
        <w:rPr>
          <w:sz w:val="20"/>
          <w:szCs w:val="20"/>
          <w:color w:val="auto"/>
        </w:rPr>
      </w:pPr>
      <w:r>
        <w:rPr>
          <w:rFonts w:ascii="Times New Roman" w:cs="Times New Roman" w:eastAsia="Times New Roman" w:hAnsi="Times New Roman"/>
          <w:sz w:val="14"/>
          <w:szCs w:val="14"/>
          <w:b w:val="1"/>
          <w:bCs w:val="1"/>
          <w:color w:val="auto"/>
        </w:rPr>
        <w:t>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-59690</wp:posOffset>
            </wp:positionV>
            <wp:extent cx="10293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ind w:left="7540"/>
        <w:spacing w:after="0"/>
        <w:tabs>
          <w:tab w:leader="none" w:pos="8120" w:val="left"/>
          <w:tab w:leader="none" w:pos="8700" w:val="left"/>
          <w:tab w:leader="none" w:pos="9340" w:val="left"/>
        </w:tabs>
        <w:rPr>
          <w:sz w:val="20"/>
          <w:szCs w:val="20"/>
          <w:color w:val="auto"/>
        </w:rPr>
      </w:pP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2017</w:t>
      </w:r>
      <w:r>
        <w:rPr>
          <w:sz w:val="20"/>
          <w:szCs w:val="20"/>
          <w:color w:val="auto"/>
        </w:rPr>
        <w:tab/>
      </w: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2"/>
          <w:szCs w:val="12"/>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-7620</wp:posOffset>
            </wp:positionV>
            <wp:extent cx="17926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ind w:left="1140"/>
        <w:spacing w:after="0"/>
        <w:tabs>
          <w:tab w:leader="none" w:pos="7440" w:val="left"/>
          <w:tab w:leader="none" w:pos="7780" w:val="left"/>
          <w:tab w:leader="none" w:pos="8040" w:val="left"/>
          <w:tab w:leader="none" w:pos="8320" w:val="left"/>
          <w:tab w:leader="none" w:pos="8960" w:val="left"/>
          <w:tab w:leader="none" w:pos="9280" w:val="left"/>
        </w:tabs>
        <w:rPr>
          <w:sz w:val="20"/>
          <w:szCs w:val="20"/>
          <w:color w:val="auto"/>
        </w:rPr>
      </w:pPr>
      <w:r>
        <w:rPr>
          <w:rFonts w:ascii="Times New Roman" w:cs="Times New Roman" w:eastAsia="Times New Roman" w:hAnsi="Times New Roman"/>
          <w:sz w:val="18"/>
          <w:szCs w:val="18"/>
          <w:color w:val="auto"/>
        </w:rPr>
        <w:t>Cash Flow Hedges</w:t>
      </w:r>
      <w:r>
        <w:rPr>
          <w:sz w:val="20"/>
          <w:szCs w:val="20"/>
          <w:color w:val="auto"/>
        </w:rPr>
        <w:tab/>
      </w:r>
      <w:r>
        <w:rPr>
          <w:rFonts w:ascii="Times New Roman" w:cs="Times New Roman" w:eastAsia="Times New Roman" w:hAnsi="Times New Roman"/>
          <w:sz w:val="18"/>
          <w:szCs w:val="18"/>
          <w:color w:val="auto"/>
        </w:rPr>
        <w:t>$</w:t>
        <w:tab/>
        <w:t>7</w:t>
        <w:tab/>
        <w:t>$</w:t>
        <w:tab/>
        <w:t>(1) $</w:t>
        <w:tab/>
        <w:t>4</w:t>
      </w:r>
      <w:r>
        <w:rPr>
          <w:sz w:val="20"/>
          <w:szCs w:val="20"/>
          <w:color w:val="auto"/>
        </w:rPr>
        <w:tab/>
      </w:r>
      <w:r>
        <w:rPr>
          <w:rFonts w:ascii="Times New Roman" w:cs="Times New Roman" w:eastAsia="Times New Roman" w:hAnsi="Times New Roman"/>
          <w:sz w:val="16"/>
          <w:szCs w:val="16"/>
          <w:color w:val="auto"/>
        </w:rPr>
        <w:t>Net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579755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 Contracts Not Designated as Hedges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total gross notional amounts and fair values of our foreign currency forward contracts not designated as hedges are as follows (amounts in millions):</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As of December 31,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As of December 31,</w:t>
            </w:r>
          </w:p>
        </w:tc>
      </w:tr>
      <w:tr>
        <w:trPr>
          <w:trHeight w:val="165"/>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586"/>
              <w:spacing w:after="0"/>
              <w:rPr>
                <w:sz w:val="20"/>
                <w:szCs w:val="20"/>
                <w:color w:val="auto"/>
              </w:rPr>
            </w:pPr>
            <w:r>
              <w:rPr>
                <w:rFonts w:ascii="Times New Roman" w:cs="Times New Roman" w:eastAsia="Times New Roman" w:hAnsi="Times New Roman"/>
                <w:sz w:val="14"/>
                <w:szCs w:val="14"/>
                <w:b w:val="1"/>
                <w:bCs w:val="1"/>
                <w:color w:val="auto"/>
                <w:w w:val="92"/>
              </w:rPr>
              <w:t>2017</w:t>
            </w:r>
          </w:p>
        </w:tc>
        <w:tc>
          <w:tcPr>
            <w:tcW w:w="16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4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Notional</w:t>
            </w:r>
          </w:p>
        </w:tc>
        <w:tc>
          <w:tcPr>
            <w:tcW w:w="160" w:type="dxa"/>
            <w:vAlign w:val="bottom"/>
          </w:tcPr>
          <w:p>
            <w:pPr>
              <w:spacing w:after="0"/>
              <w:rPr>
                <w:sz w:val="10"/>
                <w:szCs w:val="10"/>
                <w:color w:val="auto"/>
              </w:rPr>
            </w:pPr>
          </w:p>
        </w:tc>
        <w:tc>
          <w:tcPr>
            <w:tcW w:w="680" w:type="dxa"/>
            <w:vAlign w:val="bottom"/>
          </w:tcPr>
          <w:p>
            <w:pPr>
              <w:ind w:left="100"/>
              <w:spacing w:after="0" w:line="125" w:lineRule="exact"/>
              <w:rPr>
                <w:sz w:val="20"/>
                <w:szCs w:val="20"/>
                <w:color w:val="auto"/>
              </w:rPr>
            </w:pPr>
            <w:r>
              <w:rPr>
                <w:rFonts w:ascii="Times New Roman" w:cs="Times New Roman" w:eastAsia="Times New Roman" w:hAnsi="Times New Roman"/>
                <w:sz w:val="14"/>
                <w:szCs w:val="14"/>
                <w:b w:val="1"/>
                <w:bCs w:val="1"/>
                <w:color w:val="auto"/>
                <w:w w:val="91"/>
              </w:rPr>
              <w:t>Fair value</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Notional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5"/>
              </w:rPr>
              <w:t>amount</w:t>
            </w:r>
          </w:p>
        </w:tc>
        <w:tc>
          <w:tcPr>
            <w:tcW w:w="16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w w:val="92"/>
              </w:rPr>
              <w:t>gain (loss)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5"/>
              </w:rPr>
              <w:t>amount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gain (loss)</w:t>
            </w: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Foreign Currency:</w:t>
            </w:r>
          </w:p>
        </w:tc>
        <w:tc>
          <w:tcPr>
            <w:tcW w:w="2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Buy USD, Sell GBP</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40" w:type="dxa"/>
            <w:vAlign w:val="bottom"/>
            <w:gridSpan w:val="2"/>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r>
    </w:tbl>
    <w:p>
      <w:pPr>
        <w:spacing w:after="0" w:line="189" w:lineRule="exact"/>
        <w:rPr>
          <w:sz w:val="20"/>
          <w:szCs w:val="20"/>
          <w:color w:val="auto"/>
        </w:rPr>
      </w:pPr>
    </w:p>
    <w:p>
      <w:pPr>
        <w:ind w:right="740" w:firstLine="351"/>
        <w:spacing w:after="0" w:line="275" w:lineRule="auto"/>
        <w:rPr>
          <w:sz w:val="20"/>
          <w:szCs w:val="20"/>
          <w:color w:val="auto"/>
        </w:rPr>
      </w:pPr>
      <w:r>
        <w:rPr>
          <w:rFonts w:ascii="Times New Roman" w:cs="Times New Roman" w:eastAsia="Times New Roman" w:hAnsi="Times New Roman"/>
          <w:sz w:val="18"/>
          <w:szCs w:val="18"/>
          <w:color w:val="auto"/>
        </w:rPr>
        <w:t>For the years ended December 31, 2018, 2017, and 2016, pre-tax net gains associated with these forward contracts were recorded in "General and administrative expenses" and were not material.</w:t>
      </w:r>
    </w:p>
    <w:p>
      <w:pPr>
        <w:spacing w:after="0" w:line="174"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In the absence of hedging activities for the year ended December 31, 2018, a hypothetical adverse foreign currency exchange rate movement of 10% would have resulted in a theoretical decline of our net income of approximately $140 million. This sensitivity analysis assumes a parallel adverse shift of all foreign currency exchange rates against the U.S. dollar; however, all foreign currency exchange rates do not always move in this manner and actual results may differ materially.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Our exposure to market rate risk for changes in interest rates relates primarily to our investment portfolio, as our outstanding debt is all at fixed rates. Our investment portfolio consists primarily of money market funds and government securities with high credit quality and short average maturities. Because short-term securities mature relatively quickly and must be reinvested at the then-current market rates, interest income on a portfolio consisting of cash, cash equivalents, or short-term securities is more subject to market fluctuations than a portfolio of longer-term securities. Conversely, the fair value of such a portfolio is less sensitive to market fluctuations than a portfolio of longer-term securities. At December 31, 2018, our $4.2 billion of cash and cash equivalents was comprised primarily of money market funds.</w:t>
      </w:r>
    </w:p>
    <w:p>
      <w:pPr>
        <w:spacing w:after="0" w:line="193" w:lineRule="exact"/>
        <w:rPr>
          <w:sz w:val="20"/>
          <w:szCs w:val="20"/>
          <w:color w:val="auto"/>
        </w:rPr>
      </w:pPr>
    </w:p>
    <w:p>
      <w:pPr>
        <w:ind w:right="180" w:firstLine="348"/>
        <w:spacing w:after="0" w:line="275" w:lineRule="auto"/>
        <w:rPr>
          <w:sz w:val="20"/>
          <w:szCs w:val="20"/>
          <w:color w:val="auto"/>
        </w:rPr>
      </w:pPr>
      <w:r>
        <w:rPr>
          <w:rFonts w:ascii="Times New Roman" w:cs="Times New Roman" w:eastAsia="Times New Roman" w:hAnsi="Times New Roman"/>
          <w:sz w:val="18"/>
          <w:szCs w:val="18"/>
          <w:color w:val="auto"/>
        </w:rPr>
        <w:t>The Company has determined that, based on the composition of our investment portfolio as of December 31, 2018, there was no material interest rate risk exposure to the Company's consolidated financial condition, results of operations, or liquidity as of that date.</w:t>
      </w:r>
    </w:p>
    <w:p>
      <w:pPr>
        <w:spacing w:after="0" w:line="1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Table of Contents</w:t>
              </w:r>
            </w:hyperlink>
          </w:p>
        </w:tc>
        <w:tc>
          <w:tcPr>
            <w:tcW w:w="8520" w:type="dxa"/>
            <w:vAlign w:val="bottom"/>
            <w:gridSpan w:val="9"/>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51"/>
        </w:trPr>
        <w:tc>
          <w:tcPr>
            <w:tcW w:w="978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640" w:type="dxa"/>
            <w:vAlign w:val="bottom"/>
            <w:gridSpan w:val="10"/>
          </w:tcPr>
          <w:p>
            <w:pPr>
              <w:spacing w:after="0"/>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Report of Independent Registered Public Accounting Firm</w:t>
              </w:r>
            </w:hyperlink>
          </w:p>
        </w:tc>
        <w:tc>
          <w:tcPr>
            <w:tcW w:w="100" w:type="dxa"/>
            <w:vAlign w:val="bottom"/>
          </w:tcPr>
          <w:p>
            <w:pPr>
              <w:spacing w:after="0"/>
              <w:rPr>
                <w:sz w:val="24"/>
                <w:szCs w:val="24"/>
                <w:color w:val="auto"/>
              </w:rPr>
            </w:pPr>
          </w:p>
        </w:tc>
        <w:tc>
          <w:tcPr>
            <w:tcW w:w="240" w:type="dxa"/>
            <w:vAlign w:val="bottom"/>
          </w:tcPr>
          <w:p>
            <w:pPr>
              <w:jc w:val="right"/>
              <w:spacing w:after="0"/>
              <w:rPr>
                <w:rFonts w:ascii="Times New Roman" w:cs="Times New Roman" w:eastAsia="Times New Roman" w:hAnsi="Times New Roman"/>
                <w:sz w:val="18"/>
                <w:szCs w:val="18"/>
                <w:color w:val="0000EE"/>
                <w:w w:val="87"/>
              </w:rPr>
            </w:pPr>
            <w:hyperlink w:anchor="page86">
              <w:r>
                <w:rPr>
                  <w:rFonts w:ascii="Times New Roman" w:cs="Times New Roman" w:eastAsia="Times New Roman" w:hAnsi="Times New Roman"/>
                  <w:sz w:val="18"/>
                  <w:szCs w:val="18"/>
                  <w:color w:val="0000EE"/>
                  <w:w w:val="87"/>
                </w:rPr>
                <w:t>F-1</w:t>
              </w:r>
            </w:hyperlink>
          </w:p>
        </w:tc>
      </w:tr>
      <w:tr>
        <w:trPr>
          <w:trHeight w:val="20"/>
        </w:trPr>
        <w:tc>
          <w:tcPr>
            <w:tcW w:w="114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3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88">
              <w:r>
                <w:rPr>
                  <w:rFonts w:ascii="Times New Roman" w:cs="Times New Roman" w:eastAsia="Times New Roman" w:hAnsi="Times New Roman"/>
                  <w:sz w:val="18"/>
                  <w:szCs w:val="18"/>
                  <w:color w:val="0000EE"/>
                  <w:w w:val="97"/>
                </w:rPr>
                <w:t>Consolidated Balance Sheets at December 31, 2018 and 2017</w:t>
              </w:r>
            </w:hyperlink>
          </w:p>
        </w:tc>
        <w:tc>
          <w:tcPr>
            <w:tcW w:w="4300" w:type="dxa"/>
            <w:vAlign w:val="bottom"/>
            <w:gridSpan w:val="6"/>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7"/>
              </w:rPr>
            </w:pPr>
            <w:hyperlink w:anchor="page88">
              <w:r>
                <w:rPr>
                  <w:rFonts w:ascii="Times New Roman" w:cs="Times New Roman" w:eastAsia="Times New Roman" w:hAnsi="Times New Roman"/>
                  <w:sz w:val="18"/>
                  <w:szCs w:val="18"/>
                  <w:color w:val="0000EE"/>
                  <w:w w:val="87"/>
                </w:rPr>
                <w:t>F-3</w:t>
              </w:r>
            </w:hyperlink>
          </w:p>
        </w:tc>
      </w:tr>
      <w:tr>
        <w:trPr>
          <w:trHeight w:val="412"/>
        </w:trPr>
        <w:tc>
          <w:tcPr>
            <w:tcW w:w="1140" w:type="dxa"/>
            <w:vAlign w:val="bottom"/>
          </w:tcPr>
          <w:p>
            <w:pPr>
              <w:spacing w:after="0"/>
              <w:rPr>
                <w:sz w:val="24"/>
                <w:szCs w:val="24"/>
                <w:color w:val="auto"/>
              </w:rPr>
            </w:pPr>
          </w:p>
        </w:tc>
        <w:tc>
          <w:tcPr>
            <w:tcW w:w="8640" w:type="dxa"/>
            <w:vAlign w:val="bottom"/>
            <w:gridSpan w:val="10"/>
          </w:tcPr>
          <w:p>
            <w:pPr>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Consolidated Statements of Operations for the Years Ended December 31, 2018, 2017, and 2016</w:t>
              </w:r>
            </w:hyperlink>
          </w:p>
        </w:tc>
        <w:tc>
          <w:tcPr>
            <w:tcW w:w="100" w:type="dxa"/>
            <w:vAlign w:val="bottom"/>
          </w:tcPr>
          <w:p>
            <w:pPr>
              <w:spacing w:after="0"/>
              <w:rPr>
                <w:sz w:val="24"/>
                <w:szCs w:val="24"/>
                <w:color w:val="auto"/>
              </w:rPr>
            </w:pPr>
          </w:p>
        </w:tc>
        <w:tc>
          <w:tcPr>
            <w:tcW w:w="240" w:type="dxa"/>
            <w:vAlign w:val="bottom"/>
          </w:tcPr>
          <w:p>
            <w:pPr>
              <w:jc w:val="right"/>
              <w:spacing w:after="0"/>
              <w:rPr>
                <w:rFonts w:ascii="Times New Roman" w:cs="Times New Roman" w:eastAsia="Times New Roman" w:hAnsi="Times New Roman"/>
                <w:sz w:val="18"/>
                <w:szCs w:val="18"/>
                <w:color w:val="0000EE"/>
                <w:w w:val="87"/>
              </w:rPr>
            </w:pPr>
            <w:hyperlink w:anchor="page89">
              <w:r>
                <w:rPr>
                  <w:rFonts w:ascii="Times New Roman" w:cs="Times New Roman" w:eastAsia="Times New Roman" w:hAnsi="Times New Roman"/>
                  <w:sz w:val="18"/>
                  <w:szCs w:val="18"/>
                  <w:color w:val="0000EE"/>
                  <w:w w:val="87"/>
                </w:rPr>
                <w:t>F-4</w:t>
              </w:r>
            </w:hyperlink>
          </w:p>
        </w:tc>
      </w:tr>
      <w:tr>
        <w:trPr>
          <w:trHeight w:val="20"/>
        </w:trPr>
        <w:tc>
          <w:tcPr>
            <w:tcW w:w="114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77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7"/>
              </w:rPr>
            </w:pPr>
            <w:hyperlink w:anchor="page90">
              <w:r>
                <w:rPr>
                  <w:rFonts w:ascii="Times New Roman" w:cs="Times New Roman" w:eastAsia="Times New Roman" w:hAnsi="Times New Roman"/>
                  <w:sz w:val="18"/>
                  <w:szCs w:val="18"/>
                  <w:color w:val="0000EE"/>
                  <w:w w:val="97"/>
                </w:rPr>
                <w:t>Consolidated Statements of Comprehensive Income for the Years Ended December 31, 2018, 2017, and 2016</w:t>
              </w:r>
            </w:hyperlink>
          </w:p>
        </w:tc>
        <w:tc>
          <w:tcPr>
            <w:tcW w:w="9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7"/>
              </w:rPr>
            </w:pPr>
            <w:hyperlink w:anchor="page90">
              <w:r>
                <w:rPr>
                  <w:rFonts w:ascii="Times New Roman" w:cs="Times New Roman" w:eastAsia="Times New Roman" w:hAnsi="Times New Roman"/>
                  <w:sz w:val="18"/>
                  <w:szCs w:val="18"/>
                  <w:color w:val="0000EE"/>
                  <w:w w:val="87"/>
                </w:rPr>
                <w:t>F-5</w:t>
              </w:r>
            </w:hyperlink>
          </w:p>
        </w:tc>
      </w:tr>
      <w:tr>
        <w:trPr>
          <w:trHeight w:val="412"/>
        </w:trPr>
        <w:tc>
          <w:tcPr>
            <w:tcW w:w="1140" w:type="dxa"/>
            <w:vAlign w:val="bottom"/>
          </w:tcPr>
          <w:p>
            <w:pPr>
              <w:spacing w:after="0"/>
              <w:rPr>
                <w:sz w:val="24"/>
                <w:szCs w:val="24"/>
                <w:color w:val="auto"/>
              </w:rPr>
            </w:pPr>
          </w:p>
        </w:tc>
        <w:tc>
          <w:tcPr>
            <w:tcW w:w="8640" w:type="dxa"/>
            <w:vAlign w:val="bottom"/>
            <w:gridSpan w:val="10"/>
          </w:tcPr>
          <w:p>
            <w:pPr>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Consolidated Statements of Changes in Shareholders' Equity for the Years Ended December 31, 2018, 2017, and 2016</w:t>
              </w:r>
            </w:hyperlink>
          </w:p>
        </w:tc>
        <w:tc>
          <w:tcPr>
            <w:tcW w:w="100" w:type="dxa"/>
            <w:vAlign w:val="bottom"/>
          </w:tcPr>
          <w:p>
            <w:pPr>
              <w:spacing w:after="0"/>
              <w:rPr>
                <w:sz w:val="24"/>
                <w:szCs w:val="24"/>
                <w:color w:val="auto"/>
              </w:rPr>
            </w:pPr>
          </w:p>
        </w:tc>
        <w:tc>
          <w:tcPr>
            <w:tcW w:w="240" w:type="dxa"/>
            <w:vAlign w:val="bottom"/>
          </w:tcPr>
          <w:p>
            <w:pPr>
              <w:jc w:val="right"/>
              <w:spacing w:after="0"/>
              <w:rPr>
                <w:rFonts w:ascii="Times New Roman" w:cs="Times New Roman" w:eastAsia="Times New Roman" w:hAnsi="Times New Roman"/>
                <w:sz w:val="18"/>
                <w:szCs w:val="18"/>
                <w:color w:val="0000EE"/>
                <w:w w:val="87"/>
              </w:rPr>
            </w:pPr>
            <w:hyperlink w:anchor="page91">
              <w:r>
                <w:rPr>
                  <w:rFonts w:ascii="Times New Roman" w:cs="Times New Roman" w:eastAsia="Times New Roman" w:hAnsi="Times New Roman"/>
                  <w:sz w:val="18"/>
                  <w:szCs w:val="18"/>
                  <w:color w:val="0000EE"/>
                  <w:w w:val="87"/>
                </w:rPr>
                <w:t>F-6</w:t>
              </w:r>
            </w:hyperlink>
          </w:p>
        </w:tc>
      </w:tr>
      <w:tr>
        <w:trPr>
          <w:trHeight w:val="412"/>
        </w:trPr>
        <w:tc>
          <w:tcPr>
            <w:tcW w:w="1140" w:type="dxa"/>
            <w:vAlign w:val="bottom"/>
          </w:tcPr>
          <w:p>
            <w:pPr>
              <w:spacing w:after="0"/>
              <w:rPr>
                <w:sz w:val="24"/>
                <w:szCs w:val="24"/>
                <w:color w:val="auto"/>
              </w:rPr>
            </w:pPr>
          </w:p>
        </w:tc>
        <w:tc>
          <w:tcPr>
            <w:tcW w:w="830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Consolidated Statements of Cash Flows for the Years Ended December 31, 2018, 2017, and 2016</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7"/>
              </w:rPr>
            </w:pPr>
            <w:hyperlink w:anchor="page93">
              <w:r>
                <w:rPr>
                  <w:rFonts w:ascii="Times New Roman" w:cs="Times New Roman" w:eastAsia="Times New Roman" w:hAnsi="Times New Roman"/>
                  <w:sz w:val="18"/>
                  <w:szCs w:val="18"/>
                  <w:color w:val="0000EE"/>
                  <w:w w:val="87"/>
                </w:rPr>
                <w:t>F-7</w:t>
              </w:r>
            </w:hyperlink>
          </w:p>
        </w:tc>
      </w:tr>
      <w:tr>
        <w:trPr>
          <w:trHeight w:val="412"/>
        </w:trPr>
        <w:tc>
          <w:tcPr>
            <w:tcW w:w="1140" w:type="dxa"/>
            <w:vAlign w:val="bottom"/>
          </w:tcPr>
          <w:p>
            <w:pPr>
              <w:spacing w:after="0"/>
              <w:rPr>
                <w:sz w:val="24"/>
                <w:szCs w:val="24"/>
                <w:color w:val="auto"/>
              </w:rPr>
            </w:pPr>
          </w:p>
        </w:tc>
        <w:tc>
          <w:tcPr>
            <w:tcW w:w="684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Notes to Consolidated Financial Statements</w:t>
              </w:r>
            </w:hyperlink>
          </w:p>
        </w:tc>
        <w:tc>
          <w:tcPr>
            <w:tcW w:w="180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7"/>
              </w:rPr>
            </w:pPr>
            <w:hyperlink w:anchor="page94">
              <w:r>
                <w:rPr>
                  <w:rFonts w:ascii="Times New Roman" w:cs="Times New Roman" w:eastAsia="Times New Roman" w:hAnsi="Times New Roman"/>
                  <w:sz w:val="18"/>
                  <w:szCs w:val="18"/>
                  <w:color w:val="0000EE"/>
                  <w:w w:val="87"/>
                </w:rPr>
                <w:t>F-8</w:t>
              </w:r>
            </w:hyperlink>
          </w:p>
        </w:tc>
      </w:tr>
      <w:tr>
        <w:trPr>
          <w:trHeight w:val="20"/>
        </w:trPr>
        <w:tc>
          <w:tcPr>
            <w:tcW w:w="114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640" w:type="dxa"/>
            <w:vAlign w:val="bottom"/>
            <w:gridSpan w:val="10"/>
          </w:tcPr>
          <w:p>
            <w:pPr>
              <w:spacing w:after="0"/>
              <w:rPr>
                <w:rFonts w:ascii="Times New Roman" w:cs="Times New Roman" w:eastAsia="Times New Roman" w:hAnsi="Times New Roman"/>
                <w:sz w:val="18"/>
                <w:szCs w:val="18"/>
                <w:color w:val="0000EE"/>
              </w:rPr>
            </w:pPr>
            <w:hyperlink w:anchor="page153">
              <w:r>
                <w:rPr>
                  <w:rFonts w:ascii="Times New Roman" w:cs="Times New Roman" w:eastAsia="Times New Roman" w:hAnsi="Times New Roman"/>
                  <w:sz w:val="18"/>
                  <w:szCs w:val="18"/>
                  <w:color w:val="0000EE"/>
                </w:rPr>
                <w:t>Schedule II—Valuation and Qualifying Accounts at December 31, 2018, 2017, and 2016</w:t>
              </w:r>
            </w:hyperlink>
          </w:p>
        </w:tc>
        <w:tc>
          <w:tcPr>
            <w:tcW w:w="340" w:type="dxa"/>
            <w:vAlign w:val="bottom"/>
            <w:gridSpan w:val="2"/>
          </w:tcPr>
          <w:p>
            <w:pPr>
              <w:jc w:val="right"/>
              <w:spacing w:after="0"/>
              <w:rPr>
                <w:rFonts w:ascii="Times New Roman" w:cs="Times New Roman" w:eastAsia="Times New Roman" w:hAnsi="Times New Roman"/>
                <w:sz w:val="18"/>
                <w:szCs w:val="18"/>
                <w:color w:val="0000EE"/>
                <w:w w:val="93"/>
              </w:rPr>
            </w:pPr>
            <w:hyperlink w:anchor="page153">
              <w:r>
                <w:rPr>
                  <w:rFonts w:ascii="Times New Roman" w:cs="Times New Roman" w:eastAsia="Times New Roman" w:hAnsi="Times New Roman"/>
                  <w:sz w:val="18"/>
                  <w:szCs w:val="18"/>
                  <w:color w:val="0000EE"/>
                  <w:w w:val="93"/>
                </w:rPr>
                <w:t>F-67</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bl>
    <w:p>
      <w:pPr>
        <w:spacing w:after="0" w:line="229" w:lineRule="exact"/>
        <w:rPr>
          <w:sz w:val="20"/>
          <w:szCs w:val="20"/>
          <w:color w:val="auto"/>
        </w:rPr>
      </w:pPr>
    </w:p>
    <w:p>
      <w:pPr>
        <w:ind w:right="660" w:firstLine="351"/>
        <w:spacing w:after="0" w:line="275" w:lineRule="auto"/>
        <w:rPr>
          <w:sz w:val="20"/>
          <w:szCs w:val="20"/>
          <w:color w:val="auto"/>
        </w:rPr>
      </w:pPr>
      <w:r>
        <w:rPr>
          <w:rFonts w:ascii="Times New Roman" w:cs="Times New Roman" w:eastAsia="Times New Roman" w:hAnsi="Times New Roman"/>
          <w:sz w:val="18"/>
          <w:szCs w:val="18"/>
          <w:color w:val="auto"/>
        </w:rPr>
        <w:t>Other financial statement schedules are omitted because the information called for is not applicable or is shown either in the Consolidated Financial Statements or the Notes thereto.</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CHANGES IN AND DISAGREEMENTS WITH ACCOUNTANTS ON ACCOUNTING AND FINANCIAL DISCLOSURE</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Disclosure Controls and Procedures.</w:t>
      </w:r>
    </w:p>
    <w:p>
      <w:pPr>
        <w:spacing w:after="0" w:line="229"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Our disclosure controls and procedures (as such term is defined in Rules 13a-15(e) and 15d-15(e) under the "Exchange Act are designed to reasonably ensure that information required to be disclosed in our reports filed under the Exchange Act is: (1) recorded, processed, summarized, and reported within the time periods specified in the SEC's rules and forms, and (2) accumulated and communicated to our management, including our principal executive officer and principal financial officer, as appropriate, to allow timely decisions regarding required disclosures. A control system, no matter how well designed and operated, can provide only reasonable assurance that it will detect or uncover failures within the Company to disclose material information otherwise required to be set forth in our periodic reports. Inherent limitations to any system of disclosure controls and procedures include, but are not limited to, the possibility of human error and the circumvention or overriding of such controls by one or more persons. In addition, we have designed our system of controls based on certain assumptions, which we believe are reasonable, about the likelihood of future events, and our system of controls may therefore not achieve its desired objectives under all possible future events.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at December 31, 2018, the end of the period covered by this report. Based on this evaluation, the principal executive officer and principal financial officer concluded that, at December 31, 2018, our disclosure controls and procedures were effective to provide reasonable assurance that information required to be disclosed by the Company in the reports that it files or submits under the Exchange Act is (1) recorded, processed, summarized, and reported on a timely basis, and (2) accumulated and communicated to our</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including our principal executive officer and principal financial officer, as appropriate to allow timely decisions regarding required disclosures.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29"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Rules 13a-15(f) and 15d-15(f) under the Exchange Act). Our management, with the participation of our principal executive officer and principal financial officer, conducted an evaluation of the effectiveness, as of December 31, 2018, of our internal control over financial reporting using the criteria set forth by the Committee of Sponsoring Organizations of the Treadway Commission in Internal Control—Integrated Framework (2013). Based on this evaluation, our management concluded that our internal control over financial reporting was effective as of December 31, 2018.</w:t>
      </w:r>
    </w:p>
    <w:p>
      <w:pPr>
        <w:spacing w:after="0" w:line="193" w:lineRule="exact"/>
        <w:rPr>
          <w:sz w:val="20"/>
          <w:szCs w:val="20"/>
          <w:color w:val="auto"/>
        </w:rPr>
      </w:pPr>
    </w:p>
    <w:p>
      <w:pPr>
        <w:ind w:right="160" w:firstLine="351"/>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and procedures may deteriorate.</w:t>
      </w:r>
    </w:p>
    <w:p>
      <w:pPr>
        <w:spacing w:after="0" w:line="186" w:lineRule="exact"/>
        <w:rPr>
          <w:sz w:val="20"/>
          <w:szCs w:val="20"/>
          <w:color w:val="auto"/>
        </w:rPr>
      </w:pPr>
    </w:p>
    <w:p>
      <w:pPr>
        <w:ind w:right="860" w:firstLine="348"/>
        <w:spacing w:after="0" w:line="275"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2018, has been audited by PricewaterhouseCoopers LLP, an independent registered public accounting firm, as stated in their report included in this Annual Report on Form 10-K.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220" w:firstLine="351"/>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any changes in our internal control over financial reporting that occurred during the quarter ended December 31, 2018. Based on this evaluation, the principal executive officer and principal financial officer concluded that, at December 31, 2018, there have not been any changes in our internal control over financial reporting during the most recent fiscal quarter that have materially affected, or are reasonably likely to materially affect, our internal control over financial reporting.</w:t>
      </w:r>
    </w:p>
    <w:p>
      <w:pPr>
        <w:spacing w:after="0" w:line="18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EXECUTIVE OFFICERS, AND CORPORATE GOVERNANCE</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other than the information regarding executive officers, which is included in Item 1 of this report, is incorporated by reference to the sections of our definitive Proxy Statement for our 2019 Annual Meeting of Shareholders entitled "Proposal 1—Election of Directors," "Corporate Governance Matters—Board of Directors and Committees—Board Committees" "Corporate Governance Matters—Code of Conduct," and "Beneficial Ownership Matters—Section 16(a) Beneficial Ownership Reporting Compliance," to be filed with the SEC.</w:t>
      </w:r>
    </w:p>
    <w:p>
      <w:pPr>
        <w:spacing w:after="0" w:line="18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227" w:lineRule="exact"/>
        <w:rPr>
          <w:sz w:val="20"/>
          <w:szCs w:val="20"/>
          <w:color w:val="auto"/>
        </w:rPr>
      </w:pPr>
    </w:p>
    <w:p>
      <w:pPr>
        <w:ind w:right="660" w:firstLine="348"/>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sections of our definitive Proxy Statement for our 2019 Annual Meeting of Shareholders entitled "Executive Compensation" and "Director Compensation" to be filed with the SEC.</w:t>
      </w:r>
    </w:p>
    <w:p>
      <w:pPr>
        <w:spacing w:after="0" w:line="17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6"/>
          <w:szCs w:val="16"/>
          <w:b w:val="1"/>
          <w:bCs w:val="1"/>
          <w:color w:val="auto"/>
        </w:rPr>
        <w:t>SECURITY OWNERSHIP OF CERTAIN BENEFICIAL OWNERS AND MANAGEMENT AND RELATED SHAREHOLDER MATTERS</w:t>
      </w:r>
    </w:p>
    <w:p>
      <w:pPr>
        <w:spacing w:after="0" w:line="227" w:lineRule="exact"/>
        <w:rPr>
          <w:sz w:val="20"/>
          <w:szCs w:val="20"/>
          <w:color w:val="auto"/>
        </w:rPr>
      </w:pPr>
    </w:p>
    <w:p>
      <w:pPr>
        <w:ind w:right="660" w:firstLine="348"/>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sections of our definitive Proxy Statement for our 2019 Annual Meeting of Shareholders entitled "Beneficial Ownership Matters" and "Equity Compensation Plan Information" to be filed with the SEC.</w:t>
      </w:r>
    </w:p>
    <w:p>
      <w:pPr>
        <w:spacing w:after="0" w:line="17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227" w:lineRule="exact"/>
        <w:rPr>
          <w:sz w:val="20"/>
          <w:szCs w:val="20"/>
          <w:color w:val="auto"/>
        </w:rPr>
      </w:pPr>
    </w:p>
    <w:p>
      <w:pPr>
        <w:ind w:right="320" w:firstLine="348"/>
        <w:spacing w:after="0" w:line="26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sections of our definitive Proxy Statement for our 2019 Annual Meeting of Shareholders entitled "Corporate Governance Matters—Board of Directors and Committees" and "Certain Relationships and Related Transactions" to be filed with the SEC.</w:t>
      </w:r>
    </w:p>
    <w:p>
      <w:pPr>
        <w:spacing w:after="0" w:line="18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ACCOUNTING FEES AND SERVICES</w:t>
      </w:r>
    </w:p>
    <w:p>
      <w:pPr>
        <w:spacing w:after="0" w:line="227" w:lineRule="exact"/>
        <w:rPr>
          <w:sz w:val="20"/>
          <w:szCs w:val="20"/>
          <w:color w:val="auto"/>
        </w:rPr>
      </w:pPr>
    </w:p>
    <w:p>
      <w:pPr>
        <w:ind w:right="660" w:firstLine="348"/>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sections of our definitive Proxy Statement for our 2019 Annual Meeting of Shareholders entitled "Audit-Related Matters" to be filed with the SEC.</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EXHIBITS, FINANCIAL STATEMENT SCHEDULE</w:t>
      </w:r>
    </w:p>
    <w:p>
      <w:pPr>
        <w:spacing w:after="0" w:line="225" w:lineRule="exact"/>
        <w:rPr>
          <w:sz w:val="20"/>
          <w:szCs w:val="20"/>
          <w:color w:val="auto"/>
        </w:rPr>
      </w:pPr>
    </w:p>
    <w:p>
      <w:pPr>
        <w:ind w:left="2260" w:right="379" w:hanging="1111"/>
        <w:spacing w:after="0" w:line="277" w:lineRule="auto"/>
        <w:tabs>
          <w:tab w:leader="none" w:pos="174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See Item 8.—Consolidated Financial Statements and Supplementary Data for index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Financial Statements and Financial Statement Schedule on </w:t>
      </w:r>
      <w:hyperlink w:anchor="page82">
        <w:r>
          <w:rPr>
            <w:rFonts w:ascii="Times New Roman" w:cs="Times New Roman" w:eastAsia="Times New Roman" w:hAnsi="Times New Roman"/>
            <w:sz w:val="18"/>
            <w:szCs w:val="18"/>
            <w:u w:val="single" w:color="auto"/>
            <w:color w:val="0000EE"/>
          </w:rPr>
          <w:t>page 80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herein.</w:t>
      </w:r>
    </w:p>
    <w:p>
      <w:pPr>
        <w:spacing w:after="0" w:line="197" w:lineRule="exact"/>
        <w:rPr>
          <w:sz w:val="20"/>
          <w:szCs w:val="20"/>
          <w:color w:val="auto"/>
        </w:rPr>
      </w:pPr>
    </w:p>
    <w:p>
      <w:pPr>
        <w:ind w:left="2260" w:right="259" w:hanging="517"/>
        <w:spacing w:after="0" w:line="264" w:lineRule="auto"/>
        <w:tabs>
          <w:tab w:leader="none" w:pos="22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 Schedule </w:t>
      </w:r>
      <w:r>
        <w:rPr>
          <w:rFonts w:ascii="Times New Roman" w:cs="Times New Roman" w:eastAsia="Times New Roman" w:hAnsi="Times New Roman"/>
          <w:sz w:val="18"/>
          <w:szCs w:val="18"/>
          <w:color w:val="auto"/>
        </w:rPr>
        <w:t>The following financial statement schedule of Activision Blizzard for the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ended December 31, 2018, 2017, and 2016 is filed as part of this report on </w:t>
      </w:r>
      <w:hyperlink w:anchor="page153">
        <w:r>
          <w:rPr>
            <w:rFonts w:ascii="Times New Roman" w:cs="Times New Roman" w:eastAsia="Times New Roman" w:hAnsi="Times New Roman"/>
            <w:sz w:val="18"/>
            <w:szCs w:val="18"/>
            <w:u w:val="single" w:color="auto"/>
            <w:color w:val="0000EE"/>
          </w:rPr>
          <w:t>page F-67</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should be read in conjunction with the consolidated financial statements of Activision Blizzard:</w:t>
      </w:r>
    </w:p>
    <w:p>
      <w:pPr>
        <w:spacing w:after="0" w:line="18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Schedule II—Valuation and Qualifying Accounts</w:t>
      </w:r>
    </w:p>
    <w:p>
      <w:pPr>
        <w:spacing w:after="0" w:line="252" w:lineRule="exact"/>
        <w:rPr>
          <w:sz w:val="20"/>
          <w:szCs w:val="20"/>
          <w:color w:val="auto"/>
        </w:rPr>
      </w:pPr>
    </w:p>
    <w:p>
      <w:pPr>
        <w:ind w:left="2260" w:right="139"/>
        <w:spacing w:after="0" w:line="275" w:lineRule="auto"/>
        <w:rPr>
          <w:sz w:val="20"/>
          <w:szCs w:val="20"/>
          <w:color w:val="auto"/>
        </w:rPr>
      </w:pPr>
      <w:r>
        <w:rPr>
          <w:rFonts w:ascii="Times New Roman" w:cs="Times New Roman" w:eastAsia="Times New Roman" w:hAnsi="Times New Roman"/>
          <w:sz w:val="18"/>
          <w:szCs w:val="18"/>
          <w:color w:val="auto"/>
        </w:rPr>
        <w:t>Other financial statement schedules are omitted because the information called for is not applicable or is shown either in the Consolidated Financial Statements or the Notes thereto.</w:t>
      </w:r>
    </w:p>
    <w:p>
      <w:pPr>
        <w:spacing w:after="0" w:line="201" w:lineRule="exact"/>
        <w:rPr>
          <w:sz w:val="20"/>
          <w:szCs w:val="20"/>
          <w:color w:val="auto"/>
        </w:rPr>
      </w:pPr>
    </w:p>
    <w:p>
      <w:pPr>
        <w:ind w:left="2260" w:right="299" w:hanging="517"/>
        <w:spacing w:after="0" w:line="275" w:lineRule="auto"/>
        <w:tabs>
          <w:tab w:leader="none" w:pos="22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on the accompanying index to exhibits immediately following the financial statements are filed as part of, or hereby incorporated by reference into, this Annual Report on Form 10-K.</w:t>
      </w:r>
    </w:p>
    <w:p>
      <w:pPr>
        <w:spacing w:after="0" w:line="17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FORM 10-K SUMMARY</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 the Board of Directors and Shareholders of Activision Blizzard,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have audited the accompanying consolidated balance sheets of Activision Blizzard, Inc. and its subsidiaries (the "Company") as of December 31, 2018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2017, and the related consolidated statements of operations, of comprehensive income, of changes in shareholders' equity and of cash flows for each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three years in the period ended December 31, 2018, including the related notes and financial statement schedule listed in the index appearing under Item 15(a)(2),</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referred to as the "consolidated financial statements"). We also have audited the Company's internal control over financial reporting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December 31, 2018, based on criteria established in </w:t>
      </w:r>
      <w:r>
        <w:rPr>
          <w:rFonts w:ascii="Times New Roman" w:cs="Times New Roman" w:eastAsia="Times New Roman" w:hAnsi="Times New Roman"/>
          <w:sz w:val="16"/>
          <w:szCs w:val="16"/>
          <w:i w:val="1"/>
          <w:iCs w:val="1"/>
          <w:color w:val="auto"/>
        </w:rPr>
        <w:t>Internal Control—Integrated Framework</w:t>
      </w:r>
      <w:r>
        <w:rPr>
          <w:rFonts w:ascii="Times New Roman" w:cs="Times New Roman" w:eastAsia="Times New Roman" w:hAnsi="Times New Roman"/>
          <w:sz w:val="16"/>
          <w:szCs w:val="16"/>
          <w:color w:val="auto"/>
        </w:rPr>
        <w:t xml:space="preserve"> (2013) issued by the Committee of Sponsoring Organizations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Treadway Commission (COSO).</w:t>
      </w:r>
    </w:p>
    <w:p>
      <w:pPr>
        <w:spacing w:after="0" w:line="213"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issued by the COSO.</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Principles</w:t>
      </w:r>
    </w:p>
    <w:p>
      <w:pPr>
        <w:spacing w:after="0" w:line="227" w:lineRule="exact"/>
        <w:rPr>
          <w:sz w:val="20"/>
          <w:szCs w:val="20"/>
          <w:color w:val="auto"/>
        </w:rPr>
      </w:pPr>
    </w:p>
    <w:p>
      <w:pPr>
        <w:ind w:right="340" w:firstLine="341"/>
        <w:spacing w:after="0" w:line="275" w:lineRule="auto"/>
        <w:rPr>
          <w:sz w:val="20"/>
          <w:szCs w:val="20"/>
          <w:color w:val="auto"/>
        </w:rPr>
      </w:pPr>
      <w:r>
        <w:rPr>
          <w:rFonts w:ascii="Times New Roman" w:cs="Times New Roman" w:eastAsia="Times New Roman" w:hAnsi="Times New Roman"/>
          <w:sz w:val="18"/>
          <w:szCs w:val="18"/>
          <w:color w:val="auto"/>
        </w:rPr>
        <w:t>As discussed in Note 3 to the consolidated financial statements, the Company changed the manner in which it accounts for revenues from contracts with customers and the manner in which it accounts for restricted cash in the statement of cash flows in 2018.</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ind w:right="20" w:firstLine="348"/>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ind w:right="120" w:firstLine="348"/>
        <w:spacing w:after="0" w:line="26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6"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color w:val="auto"/>
        </w:rPr>
        <w:t>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ind w:right="120" w:firstLine="341"/>
        <w:spacing w:after="0" w:line="291"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2019</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2008.</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(Amounts in millions, except share data)</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4"/>
              </w:rPr>
              <w:t>At December 31,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6"/>
              </w:rPr>
              <w:t>At 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ind w:left="340"/>
              <w:spacing w:after="0" w:line="201" w:lineRule="exact"/>
              <w:rPr>
                <w:sz w:val="20"/>
                <w:szCs w:val="20"/>
                <w:color w:val="auto"/>
              </w:rPr>
            </w:pPr>
            <w:r>
              <w:rPr>
                <w:rFonts w:ascii="Times New Roman" w:cs="Times New Roman" w:eastAsia="Times New Roman" w:hAnsi="Times New Roman"/>
                <w:sz w:val="18"/>
                <w:szCs w:val="18"/>
                <w:color w:val="auto"/>
              </w:rPr>
              <w:t>Accounts receivable, net of allowances of $190 and $279, at December 31, 2018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December 31, 2017, respectively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Software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Software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17,835</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Long-term debt,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Commitments and contingencies (Note 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Shareholders' equity:</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ind w:left="340"/>
              <w:spacing w:after="0" w:line="201" w:lineRule="exact"/>
              <w:rPr>
                <w:sz w:val="20"/>
                <w:szCs w:val="20"/>
                <w:color w:val="auto"/>
              </w:rPr>
            </w:pPr>
            <w:r>
              <w:rPr>
                <w:rFonts w:ascii="Times New Roman" w:cs="Times New Roman" w:eastAsia="Times New Roman" w:hAnsi="Times New Roman"/>
                <w:sz w:val="18"/>
                <w:szCs w:val="18"/>
                <w:color w:val="auto"/>
              </w:rPr>
              <w:t>Common stock, $0.000001 par value, 2,400,000,000 shares authorized,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1,192,093,991 and 1,186,181,666 shares issued at December 31, 2018 and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December 31, 2017, respectively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ind w:left="340"/>
              <w:spacing w:after="0" w:line="201" w:lineRule="exact"/>
              <w:rPr>
                <w:sz w:val="20"/>
                <w:szCs w:val="20"/>
                <w:color w:val="auto"/>
              </w:rPr>
            </w:pPr>
            <w:r>
              <w:rPr>
                <w:rFonts w:ascii="Times New Roman" w:cs="Times New Roman" w:eastAsia="Times New Roman" w:hAnsi="Times New Roman"/>
                <w:sz w:val="18"/>
                <w:szCs w:val="18"/>
                <w:color w:val="auto"/>
              </w:rPr>
              <w:t>Less: Treasury stock, at cost, 428,676,471 shares at December 31, 2018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December 31, 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(5,563)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2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(Amounts in millions, except per share data)</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7"/>
          </w:tcPr>
          <w:p>
            <w:pPr>
              <w:jc w:val="center"/>
              <w:ind w:left="254"/>
              <w:spacing w:after="0"/>
              <w:rPr>
                <w:sz w:val="20"/>
                <w:szCs w:val="20"/>
                <w:color w:val="auto"/>
              </w:rPr>
            </w:pPr>
            <w:r>
              <w:rPr>
                <w:rFonts w:ascii="Times New Roman" w:cs="Times New Roman" w:eastAsia="Times New Roman" w:hAnsi="Times New Roman"/>
                <w:sz w:val="14"/>
                <w:szCs w:val="14"/>
                <w:b w:val="1"/>
                <w:bCs w:val="1"/>
                <w:color w:val="auto"/>
                <w:w w:val="96"/>
              </w:rPr>
              <w:t>For the Years Ended</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Product sales</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2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Subscription, licensing, and other revenues</w:t>
            </w:r>
          </w:p>
        </w:tc>
        <w:tc>
          <w:tcPr>
            <w:tcW w:w="9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revenues (Note 2)</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revenues—product sales: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 costs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Software royalties, amortization, and intellectual property licenses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revenues—subscription, licensing, and other revenues: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Game operations and distribution costs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Software royalties, amortization, and intellectual property licenses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Product development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9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(income), net (Note 17)</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90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shares outstanding</w:t>
            </w: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2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(Amounts in millions)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gridSpan w:val="10"/>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Years Ended</w:t>
            </w:r>
          </w:p>
        </w:tc>
      </w:tr>
      <w:tr>
        <w:trPr>
          <w:trHeight w:val="165"/>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2016</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60" w:type="dxa"/>
            <w:vAlign w:val="bottom"/>
            <w:shd w:val="clear" w:color="auto" w:fill="CCEEFF"/>
          </w:tcPr>
          <w:p>
            <w:pPr>
              <w:spacing w:after="0"/>
              <w:rPr>
                <w:sz w:val="18"/>
                <w:szCs w:val="18"/>
                <w:color w:val="auto"/>
              </w:rPr>
            </w:pPr>
          </w:p>
        </w:tc>
      </w:tr>
      <w:tr>
        <w:trPr>
          <w:trHeight w:val="431"/>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 net of tax</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Unrealized gains (losses) on forward contracts designated as hedges, net of tax</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gains (losses) on investments, net of tax</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6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90" w:name="page91"/>
    <w:bookmarkEnd w:id="90"/>
    <w:p>
      <w:pPr>
        <w:spacing w:after="0" w:line="6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2017, and 2016</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(Amounts and shares in millions, except per share data)</w:t>
      </w:r>
    </w:p>
    <w:p>
      <w:pPr>
        <w:spacing w:after="0" w:line="2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6"/>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60" w:type="dxa"/>
            <w:vAlign w:val="bottom"/>
          </w:tcPr>
          <w:p>
            <w:pPr>
              <w:spacing w:after="0"/>
              <w:rPr>
                <w:sz w:val="12"/>
                <w:szCs w:val="12"/>
                <w:color w:val="auto"/>
              </w:rPr>
            </w:pPr>
          </w:p>
        </w:tc>
        <w:tc>
          <w:tcPr>
            <w:tcW w:w="88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87"/>
              </w:rPr>
              <w:t>Total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140" w:type="dxa"/>
            <w:vAlign w:val="bottom"/>
            <w:gridSpan w:val="4"/>
            <w:vMerge w:val="continue"/>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00" w:type="dxa"/>
            <w:vAlign w:val="bottom"/>
            <w:gridSpan w:val="6"/>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restart"/>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6"/>
                <w:szCs w:val="6"/>
                <w:color w:val="auto"/>
              </w:rPr>
            </w:pPr>
          </w:p>
        </w:tc>
        <w:tc>
          <w:tcPr>
            <w:tcW w:w="800" w:type="dxa"/>
            <w:vAlign w:val="bottom"/>
            <w:gridSpan w:val="3"/>
            <w:vMerge w:val="restart"/>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6"/>
                <w:szCs w:val="6"/>
                <w:color w:val="auto"/>
              </w:rPr>
            </w:pPr>
          </w:p>
        </w:tc>
        <w:tc>
          <w:tcPr>
            <w:tcW w:w="1160" w:type="dxa"/>
            <w:vAlign w:val="bottom"/>
            <w:gridSpan w:val="3"/>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Shareholders'</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4"/>
                <w:szCs w:val="14"/>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20" w:type="dxa"/>
            <w:vAlign w:val="bottom"/>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1,163</w:t>
            </w:r>
          </w:p>
        </w:tc>
        <w:tc>
          <w:tcPr>
            <w:tcW w:w="1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(429)</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(5,637)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10,242</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4,096</w:t>
            </w:r>
          </w:p>
        </w:tc>
        <w:tc>
          <w:tcPr>
            <w:tcW w:w="1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(633)</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8,068</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Components of</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comprehensive income:</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Other comprehensive</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(loss)</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0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Issuance of common</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pursuant to</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stock options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Issuance of common</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pursuant to</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units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0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Restricted stock</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surrendered for</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employees' tax liability</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Share-based</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 expense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to employee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options and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units</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0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Share-based</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compensation assumed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 acquisition (see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Note 23)</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Dividends ($0.26 per</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share)</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0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Indemnity on tax</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attributes assumed in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connection with the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Transaction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(see Note 18)</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1,174</w:t>
            </w:r>
          </w:p>
        </w:tc>
        <w:tc>
          <w:tcPr>
            <w:tcW w:w="100" w:type="dxa"/>
            <w:vAlign w:val="bottom"/>
          </w:tcPr>
          <w:p>
            <w:pPr>
              <w:spacing w:after="0"/>
              <w:rPr>
                <w:sz w:val="20"/>
                <w:szCs w:val="20"/>
                <w:color w:val="auto"/>
              </w:rPr>
            </w:pPr>
          </w:p>
        </w:tc>
        <w:tc>
          <w:tcPr>
            <w:tcW w:w="48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(429)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(5,563)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10,442</w:t>
            </w:r>
          </w:p>
        </w:tc>
        <w:tc>
          <w:tcPr>
            <w:tcW w:w="100" w:type="dxa"/>
            <w:vAlign w:val="bottom"/>
          </w:tcPr>
          <w:p>
            <w:pPr>
              <w:spacing w:after="0"/>
              <w:rPr>
                <w:sz w:val="20"/>
                <w:szCs w:val="20"/>
                <w:color w:val="auto"/>
              </w:rPr>
            </w:pPr>
          </w:p>
        </w:tc>
        <w:tc>
          <w:tcPr>
            <w:tcW w:w="2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4,869</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(629)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0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Components of</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comprehensive income:</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Other comprehensive</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Issuance of common</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pursuant to</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stock options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0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Issuance of common</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pursuant to</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stock units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Restricted stock</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surrendered for</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employees' tax liability</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0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Share-based</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compensation expense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related to employee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options and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stock units</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Dividends ($0.30 per</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share)</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20" w:type="dxa"/>
            <w:vAlign w:val="bottom"/>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1,186</w:t>
            </w:r>
          </w:p>
        </w:tc>
        <w:tc>
          <w:tcPr>
            <w:tcW w:w="1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(429)</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(5,563)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10,747</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4,916</w:t>
            </w:r>
          </w:p>
        </w:tc>
        <w:tc>
          <w:tcPr>
            <w:tcW w:w="1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(638)</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9,462</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Cumulative impact from</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adoption of new</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 accounting</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standard (Note 3)</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Components of</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0400"/>
          </w:cols>
          <w:pgMar w:left="240" w:top="125" w:right="1259" w:bottom="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comprehensive income: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020" w:type="dxa"/>
            <w:vAlign w:val="bottom"/>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Other comprehensive</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0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Issuance of common</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pursuant to</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stock options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20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Issuance of common</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pursuant to</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stock units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02"/>
        </w:trPr>
        <w:tc>
          <w:tcPr>
            <w:tcW w:w="20" w:type="dxa"/>
            <w:vAlign w:val="bottom"/>
          </w:tcPr>
          <w:p>
            <w:pPr>
              <w:spacing w:after="0"/>
              <w:rPr>
                <w:sz w:val="17"/>
                <w:szCs w:val="17"/>
                <w:color w:val="auto"/>
              </w:rPr>
            </w:pPr>
          </w:p>
        </w:tc>
        <w:tc>
          <w:tcPr>
            <w:tcW w:w="20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Restricted stock</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surrendered for</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employees' tax liability</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w:t>
            </w:r>
          </w:p>
        </w:tc>
      </w:tr>
      <w:tr>
        <w:trPr>
          <w:trHeight w:val="204"/>
        </w:trPr>
        <w:tc>
          <w:tcPr>
            <w:tcW w:w="20" w:type="dxa"/>
            <w:vAlign w:val="bottom"/>
          </w:tcPr>
          <w:p>
            <w:pPr>
              <w:spacing w:after="0"/>
              <w:rPr>
                <w:sz w:val="17"/>
                <w:szCs w:val="17"/>
                <w:color w:val="auto"/>
              </w:rPr>
            </w:pPr>
          </w:p>
        </w:tc>
        <w:tc>
          <w:tcPr>
            <w:tcW w:w="20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Share-based</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compensation expense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related to employee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options and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stock units</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0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Dividends ($0.34 per</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share)</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w:t>
            </w:r>
          </w:p>
        </w:tc>
      </w:tr>
      <w:tr>
        <w:trPr>
          <w:trHeight w:val="194"/>
        </w:trPr>
        <w:tc>
          <w:tcPr>
            <w:tcW w:w="20" w:type="dxa"/>
            <w:vAlign w:val="bottom"/>
          </w:tcPr>
          <w:p>
            <w:pPr>
              <w:spacing w:after="0"/>
              <w:rPr>
                <w:sz w:val="16"/>
                <w:szCs w:val="16"/>
                <w:color w:val="auto"/>
              </w:rPr>
            </w:pPr>
          </w:p>
        </w:tc>
        <w:tc>
          <w:tcPr>
            <w:tcW w:w="2020" w:type="dxa"/>
            <w:vAlign w:val="bottom"/>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2"/>
        </w:trPr>
        <w:tc>
          <w:tcPr>
            <w:tcW w:w="20" w:type="dxa"/>
            <w:vAlign w:val="bottom"/>
          </w:tcPr>
          <w:p>
            <w:pPr>
              <w:spacing w:after="0"/>
              <w:rPr>
                <w:sz w:val="20"/>
                <w:szCs w:val="20"/>
                <w:color w:val="auto"/>
              </w:rPr>
            </w:pPr>
          </w:p>
        </w:tc>
        <w:tc>
          <w:tcPr>
            <w:tcW w:w="2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1,192</w:t>
            </w:r>
          </w:p>
        </w:tc>
        <w:tc>
          <w:tcPr>
            <w:tcW w:w="10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(429)</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(5,563)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10,963</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6,558</w:t>
            </w:r>
          </w:p>
        </w:tc>
        <w:tc>
          <w:tcPr>
            <w:tcW w:w="1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(601)</w:t>
            </w: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11,357</w:t>
            </w:r>
          </w:p>
        </w:tc>
        <w:tc>
          <w:tcPr>
            <w:tcW w:w="16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260"/>
          </w:cols>
          <w:pgMar w:left="1380" w:top="140" w:right="125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(Amounts in millions)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8"/>
          </w:tcPr>
          <w:p>
            <w:pPr>
              <w:jc w:val="center"/>
              <w:ind w:left="293"/>
              <w:spacing w:after="0"/>
              <w:rPr>
                <w:sz w:val="20"/>
                <w:szCs w:val="20"/>
                <w:color w:val="auto"/>
              </w:rPr>
            </w:pPr>
            <w:r>
              <w:rPr>
                <w:rFonts w:ascii="Times New Roman" w:cs="Times New Roman" w:eastAsia="Times New Roman" w:hAnsi="Times New Roman"/>
                <w:sz w:val="14"/>
                <w:szCs w:val="14"/>
                <w:b w:val="1"/>
                <w:bCs w:val="1"/>
                <w:color w:val="auto"/>
                <w:w w:val="96"/>
              </w:rPr>
              <w:t>For the Years Ended</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7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inventories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560" w:type="dxa"/>
            <w:vAlign w:val="bottom"/>
            <w:gridSpan w:val="2"/>
            <w:shd w:val="clear" w:color="auto" w:fill="CCEEFF"/>
          </w:tcPr>
          <w:p>
            <w:pPr>
              <w:ind w:left="340"/>
              <w:spacing w:after="0" w:line="201" w:lineRule="exact"/>
              <w:rPr>
                <w:sz w:val="20"/>
                <w:szCs w:val="20"/>
                <w:color w:val="auto"/>
              </w:rPr>
            </w:pPr>
            <w:r>
              <w:rPr>
                <w:rFonts w:ascii="Times New Roman" w:cs="Times New Roman" w:eastAsia="Times New Roman" w:hAnsi="Times New Roman"/>
                <w:sz w:val="18"/>
                <w:szCs w:val="18"/>
                <w:color w:val="auto"/>
              </w:rPr>
              <w:t>Amortization of capitalized software development costs and intellectual property</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5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licenses (1)</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 (Note 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debt discount and financing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Share-based compensation expense (2)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 from business acquisitions: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Software development and intellectual property licenses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Proceeds from maturities of available-for-sale investments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available-for-sale investments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Acquisition of business, net of cash acquired (see Note 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(4,586)</w:t>
            </w: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20" w:type="dxa"/>
            <w:vAlign w:val="bottom"/>
          </w:tcPr>
          <w:p>
            <w:pPr>
              <w:spacing w:after="0"/>
              <w:rPr>
                <w:sz w:val="18"/>
                <w:szCs w:val="18"/>
                <w:color w:val="auto"/>
              </w:rPr>
            </w:pPr>
          </w:p>
        </w:tc>
        <w:tc>
          <w:tcPr>
            <w:tcW w:w="6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(4,729)</w:t>
            </w:r>
          </w:p>
        </w:tc>
      </w:tr>
      <w:tr>
        <w:trPr>
          <w:trHeight w:val="210"/>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issuance of common stock to employees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Tax payment related to net share settlements on restricted stock units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Dividends paid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20" w:type="dxa"/>
            <w:vAlign w:val="bottom"/>
          </w:tcPr>
          <w:p>
            <w:pPr>
              <w:spacing w:after="0"/>
              <w:rPr>
                <w:sz w:val="18"/>
                <w:szCs w:val="18"/>
                <w:color w:val="auto"/>
              </w:rPr>
            </w:pPr>
          </w:p>
        </w:tc>
        <w:tc>
          <w:tcPr>
            <w:tcW w:w="6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Proceeds from debt issuances, net of discounts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(4,251)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(6,104)</w:t>
            </w:r>
          </w:p>
        </w:tc>
      </w:tr>
      <w:tr>
        <w:trPr>
          <w:trHeight w:val="216"/>
        </w:trPr>
        <w:tc>
          <w:tcPr>
            <w:tcW w:w="20" w:type="dxa"/>
            <w:vAlign w:val="bottom"/>
          </w:tcPr>
          <w:p>
            <w:pPr>
              <w:spacing w:after="0"/>
              <w:rPr>
                <w:sz w:val="18"/>
                <w:szCs w:val="18"/>
                <w:color w:val="auto"/>
              </w:rPr>
            </w:pPr>
          </w:p>
        </w:tc>
        <w:tc>
          <w:tcPr>
            <w:tcW w:w="6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Premium payment for early redemption of note (Note 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20" w:type="dxa"/>
            <w:vAlign w:val="bottom"/>
          </w:tcPr>
          <w:p>
            <w:pPr>
              <w:spacing w:after="0"/>
              <w:rPr>
                <w:sz w:val="18"/>
                <w:szCs w:val="18"/>
                <w:color w:val="auto"/>
              </w:rPr>
            </w:pPr>
          </w:p>
        </w:tc>
        <w:tc>
          <w:tcPr>
            <w:tcW w:w="6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(2,020)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r>
      <w:tr>
        <w:trPr>
          <w:trHeight w:val="210"/>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(2,130)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at beginning of period</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at end of period</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4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5" w:lineRule="exact"/>
        <w:rPr>
          <w:sz w:val="20"/>
          <w:szCs w:val="20"/>
          <w:color w:val="auto"/>
        </w:rPr>
      </w:pPr>
    </w:p>
    <w:p>
      <w:pPr>
        <w:ind w:left="1680" w:hanging="531"/>
        <w:spacing w:after="0"/>
        <w:tabs>
          <w:tab w:leader="none" w:pos="1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deferral and amortization of share-based compensation expense.</w:t>
      </w:r>
    </w:p>
    <w:p>
      <w:pPr>
        <w:spacing w:after="0" w:line="252"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net effects of capitalization, deferral, and amortization of share-based compensation expense.</w:t>
      </w:r>
    </w:p>
    <w:p>
      <w:pPr>
        <w:spacing w:after="0" w:line="200" w:lineRule="exact"/>
        <w:rPr>
          <w:sz w:val="20"/>
          <w:szCs w:val="20"/>
          <w:color w:val="auto"/>
        </w:rPr>
      </w:pPr>
    </w:p>
    <w:p>
      <w:pPr>
        <w:spacing w:after="0" w:line="309"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27" w:lineRule="exact"/>
        <w:rPr>
          <w:sz w:val="20"/>
          <w:szCs w:val="20"/>
          <w:color w:val="auto"/>
        </w:rPr>
      </w:pPr>
    </w:p>
    <w:p>
      <w:pPr>
        <w:ind w:firstLine="341"/>
        <w:spacing w:after="0" w:line="258" w:lineRule="auto"/>
        <w:rPr>
          <w:sz w:val="20"/>
          <w:szCs w:val="20"/>
          <w:color w:val="auto"/>
        </w:rPr>
      </w:pPr>
      <w:r>
        <w:rPr>
          <w:rFonts w:ascii="Times New Roman" w:cs="Times New Roman" w:eastAsia="Times New Roman" w:hAnsi="Times New Roman"/>
          <w:sz w:val="18"/>
          <w:szCs w:val="18"/>
          <w:color w:val="auto"/>
        </w:rPr>
        <w:t>Activision Blizzard, Inc. is a leading global developer and publisher of interactive entertainment content and services. We develop and distribute content and services on video game consoles, personal computers ("PC"s), and mobile devices. We also operate esports leagues and events and create film and television content based on our intellectual property. The terms "Activision Blizzard," the "Company," "we," "us," and "our" are used to refer collectively to Activision Blizzard, Inc. and its subsidiaries.</w:t>
      </w:r>
    </w:p>
    <w:p>
      <w:pPr>
        <w:spacing w:after="0" w:line="190"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8"/>
          <w:szCs w:val="18"/>
          <w:color w:val="auto"/>
        </w:rPr>
        <w:t>The Company was originally incorporated in California in 1979 and was reincorporated in Delaware in December 1992. In connection with the 2008 business combination by and among the Company (then known as Activision, Inc.), Vivendi S.A. ("Vivendi"), and Vivendi Games, Inc., then an indirect wholly-owned subsidiary of Vivendi, we were renamed Activision Blizzard, Inc.</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common stock of Activision Blizzard is traded on The Nasdaq Stock Market under the ticker symbol "ATVI."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King Acquisition</w:t>
      </w:r>
    </w:p>
    <w:p>
      <w:pPr>
        <w:spacing w:after="0" w:line="229" w:lineRule="exact"/>
        <w:rPr>
          <w:sz w:val="20"/>
          <w:szCs w:val="20"/>
          <w:color w:val="auto"/>
        </w:rPr>
      </w:pPr>
    </w:p>
    <w:p>
      <w:pPr>
        <w:jc w:val="both"/>
        <w:ind w:firstLine="351"/>
        <w:spacing w:after="0" w:line="262" w:lineRule="auto"/>
        <w:rPr>
          <w:sz w:val="20"/>
          <w:szCs w:val="20"/>
          <w:color w:val="auto"/>
        </w:rPr>
      </w:pPr>
      <w:r>
        <w:rPr>
          <w:rFonts w:ascii="Times New Roman" w:cs="Times New Roman" w:eastAsia="Times New Roman" w:hAnsi="Times New Roman"/>
          <w:sz w:val="18"/>
          <w:szCs w:val="18"/>
          <w:color w:val="auto"/>
        </w:rPr>
        <w:t>On February 23, 2016 (the "King Closing Date"), we acquired King Digital Entertainment, a leading interactive mobile entertainment company ("King"), by purchasing all of its outstanding shares (the "King Acquisition"), as further described in Note 23. Our consolidated financial statements include the operations of King commencing on the King Closing Date.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Segments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Based upon our organizational structure, we conduct our business through three reportable segments,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 Activision Publishing, Inc.</w:t>
      </w:r>
    </w:p>
    <w:p>
      <w:pPr>
        <w:spacing w:after="0" w:line="227" w:lineRule="exact"/>
        <w:rPr>
          <w:sz w:val="20"/>
          <w:szCs w:val="20"/>
          <w:color w:val="auto"/>
        </w:rPr>
      </w:pPr>
    </w:p>
    <w:p>
      <w:pPr>
        <w:ind w:firstLine="341"/>
        <w:spacing w:after="0" w:line="258" w:lineRule="auto"/>
        <w:rPr>
          <w:sz w:val="20"/>
          <w:szCs w:val="20"/>
          <w:color w:val="auto"/>
        </w:rPr>
      </w:pPr>
      <w:r>
        <w:rPr>
          <w:rFonts w:ascii="Times New Roman" w:cs="Times New Roman" w:eastAsia="Times New Roman" w:hAnsi="Times New Roman"/>
          <w:sz w:val="18"/>
          <w:szCs w:val="18"/>
          <w:color w:val="auto"/>
        </w:rPr>
        <w:t>Activision Publishing, Inc. ("Activision") is a leading global developer and publisher of interactive software products and entertainment content, particularly for the console platforms. Activision primarily delivers content through retail and digital channels, including full-game and in-game sales, as well as by licensing software to third-party or related-party companies that distribute Activision products. Activision develops, markets, and sells products primarily based on our internally developed intellectual properties, as well as some licensed properties.</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Activision's key product franchise is Call of Duty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 first-person shooter for the console and PC platforms.</w:t>
      </w:r>
    </w:p>
    <w:p>
      <w:pPr>
        <w:spacing w:after="0" w:line="136" w:lineRule="exact"/>
        <w:rPr>
          <w:sz w:val="20"/>
          <w:szCs w:val="20"/>
          <w:color w:val="auto"/>
        </w:rPr>
      </w:pPr>
    </w:p>
    <w:p>
      <w:pPr>
        <w:ind w:right="120" w:firstLine="351"/>
        <w:spacing w:after="0" w:line="296" w:lineRule="auto"/>
        <w:rPr>
          <w:sz w:val="20"/>
          <w:szCs w:val="20"/>
          <w:color w:val="auto"/>
        </w:rPr>
      </w:pPr>
      <w:r>
        <w:rPr>
          <w:rFonts w:ascii="Times New Roman" w:cs="Times New Roman" w:eastAsia="Times New Roman" w:hAnsi="Times New Roman"/>
          <w:sz w:val="16"/>
          <w:szCs w:val="16"/>
          <w:color w:val="auto"/>
        </w:rPr>
        <w:t>In 2010, Activision entered into an exclusive relationship with Bungie, Inc. ("Bungie") to publish games in the Destiny franchise. Effective December 31, 2018, Activision and Bungie mutually agreed to terminate their publishing relationship related to the Destiny franchise. As part of this termination, Activision agreed to transfer its publishing rights for the Destiny franchise to Bungie in exchange for cash and Bungie's assumption of on-going customer obligations of Activision. Going forward, Activision no longer has any material rights or obligations related to the Destiny franchise. As a result of the agreement to terminate the relationship, the Company recognized revenues of $164 million and GAAP operating income of $91 million for the year ended December 31, 2018.</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 Blizzard Entertainment, Inc.</w:t>
      </w:r>
    </w:p>
    <w:p>
      <w:pPr>
        <w:spacing w:after="0" w:line="227" w:lineRule="exact"/>
        <w:rPr>
          <w:sz w:val="20"/>
          <w:szCs w:val="20"/>
          <w:color w:val="auto"/>
        </w:rPr>
      </w:pPr>
    </w:p>
    <w:p>
      <w:pPr>
        <w:ind w:firstLine="351"/>
        <w:spacing w:after="0" w:line="244" w:lineRule="auto"/>
        <w:rPr>
          <w:sz w:val="20"/>
          <w:szCs w:val="20"/>
          <w:color w:val="auto"/>
        </w:rPr>
      </w:pPr>
      <w:r>
        <w:rPr>
          <w:rFonts w:ascii="Times New Roman" w:cs="Times New Roman" w:eastAsia="Times New Roman" w:hAnsi="Times New Roman"/>
          <w:sz w:val="17"/>
          <w:szCs w:val="17"/>
          <w:color w:val="auto"/>
        </w:rPr>
        <w:t>Blizzard Entertainment, Inc. ("Blizzard") is a leading global developer and publisher of interactive software products and entertainment content, particularly for the PC platform. Blizzard primarily delivers content through retail and digital channels, including subscriptions, full-game, and in-game sales, as well as by licensing software to third-party or related-party companies that distribute Blizzard products. Blizzard also maintains a proprietary online gaming service, Blizzard Battle.net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which facilitates digital distribution of Blizzard content and selected Activision content, online social connectivity, and the creation of user-</w:t>
      </w:r>
    </w:p>
    <w:p>
      <w:pPr>
        <w:ind w:right="40"/>
        <w:spacing w:after="0" w:line="218" w:lineRule="auto"/>
        <w:rPr>
          <w:sz w:val="20"/>
          <w:szCs w:val="20"/>
          <w:color w:val="auto"/>
        </w:rPr>
      </w:pPr>
      <w:r>
        <w:rPr>
          <w:rFonts w:ascii="Times New Roman" w:cs="Times New Roman" w:eastAsia="Times New Roman" w:hAnsi="Times New Roman"/>
          <w:sz w:val="18"/>
          <w:szCs w:val="18"/>
          <w:color w:val="auto"/>
        </w:rPr>
        <w:t>generated content. Blizzard also includes the activities of the Overwatch League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the first major global professional esports league with city-based teams, and our Major League Gaming ("MLG") business, which is responsible for various esports events and serves as a multi-platform network for Activision Blizzard esports content.</w:t>
      </w:r>
    </w:p>
    <w:p>
      <w:pPr>
        <w:spacing w:after="0" w:line="210" w:lineRule="exact"/>
        <w:rPr>
          <w:sz w:val="20"/>
          <w:szCs w:val="20"/>
          <w:color w:val="auto"/>
        </w:rPr>
      </w:pPr>
    </w:p>
    <w:p>
      <w:pPr>
        <w:jc w:val="both"/>
        <w:ind w:right="300" w:firstLine="351"/>
        <w:spacing w:after="0" w:line="223" w:lineRule="auto"/>
        <w:rPr>
          <w:sz w:val="20"/>
          <w:szCs w:val="20"/>
          <w:color w:val="auto"/>
        </w:rPr>
      </w:pPr>
      <w:r>
        <w:rPr>
          <w:rFonts w:ascii="Times New Roman" w:cs="Times New Roman" w:eastAsia="Times New Roman" w:hAnsi="Times New Roman"/>
          <w:sz w:val="17"/>
          <w:szCs w:val="17"/>
          <w:color w:val="auto"/>
        </w:rPr>
        <w:t>Blizzard's key product franchises include: World of Warcraft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a subscription-based massive multi-player online role-playing game for the PC platform; StarCraft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a real-time strategy franchise for the PC platform; Diablo</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an action role-playing franchise for the PC and console platforms; Hearthstone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an online collectible card franchise for the PC and mobile platforms; and Overwatch</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a team-based first-person shooter for the PC and console platforms.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(iii) King Digital Entertainment</w:t>
      </w:r>
    </w:p>
    <w:p>
      <w:pPr>
        <w:spacing w:after="0" w:line="227"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King Digital Entertainment ("King") is a leading global developer and publisher of interactive entertainment content and services, primarily on mobile platforms, such as Google Inc.'s ("Google") Android and Apple Inc.'s ("Apple") iOS. King also distributes its content and services on the PC platform, primarily via Facebook. King's games are free to play; however, players can acquire in-game items, either with virtual currency or real currency, and we continue to focus on in-game advertising as a growing source of additional revenue.</w:t>
      </w:r>
    </w:p>
    <w:p>
      <w:pPr>
        <w:spacing w:after="0" w:line="190" w:lineRule="exact"/>
        <w:rPr>
          <w:sz w:val="20"/>
          <w:szCs w:val="20"/>
          <w:color w:val="auto"/>
        </w:rPr>
      </w:pPr>
    </w:p>
    <w:p>
      <w:pPr>
        <w:ind w:right="520" w:firstLine="351"/>
        <w:spacing w:after="0" w:line="275" w:lineRule="auto"/>
        <w:rPr>
          <w:sz w:val="20"/>
          <w:szCs w:val="20"/>
          <w:color w:val="auto"/>
        </w:rPr>
      </w:pPr>
      <w:r>
        <w:rPr>
          <w:rFonts w:ascii="Times New Roman" w:cs="Times New Roman" w:eastAsia="Times New Roman" w:hAnsi="Times New Roman"/>
          <w:sz w:val="18"/>
          <w:szCs w:val="18"/>
          <w:color w:val="auto"/>
        </w:rPr>
        <w:t>King's key product franchises, all of which are for the mobile and PC platforms, include: Candy Crush™, which features "match three" games; Farm Heroes™, which also features "match three" games; and Bubble Witch™, which features "bubble shooter" games.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also engage in other businesses that do not represent reportable segments, including:</w:t>
      </w:r>
    </w:p>
    <w:p>
      <w:pPr>
        <w:spacing w:after="0" w:line="239" w:lineRule="exact"/>
        <w:rPr>
          <w:sz w:val="20"/>
          <w:szCs w:val="20"/>
          <w:color w:val="auto"/>
        </w:rPr>
      </w:pPr>
    </w:p>
    <w:p>
      <w:pPr>
        <w:jc w:val="both"/>
        <w:ind w:left="1080" w:right="360" w:hanging="532"/>
        <w:spacing w:after="0" w:line="26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Activision Blizzard Studios ("Studios") business, which is devoted to creating original film and television content based on our library of globally recognized intellectual properties, and which, in September 2018, released the third season of the animated TV series </w:t>
      </w:r>
      <w:r>
        <w:rPr>
          <w:rFonts w:ascii="Times New Roman" w:cs="Times New Roman" w:eastAsia="Times New Roman" w:hAnsi="Times New Roman"/>
          <w:sz w:val="18"/>
          <w:szCs w:val="18"/>
          <w:i w:val="1"/>
          <w:iCs w:val="1"/>
          <w:color w:val="auto"/>
        </w:rPr>
        <w:t>Skylanders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Academy </w:t>
      </w:r>
      <w:r>
        <w:rPr>
          <w:rFonts w:ascii="Times New Roman" w:cs="Times New Roman" w:eastAsia="Times New Roman" w:hAnsi="Times New Roman"/>
          <w:sz w:val="18"/>
          <w:szCs w:val="18"/>
          <w:color w:val="auto"/>
        </w:rPr>
        <w:t>on Netflix; and</w:t>
      </w:r>
    </w:p>
    <w:p>
      <w:pPr>
        <w:spacing w:after="0" w:line="213" w:lineRule="exact"/>
        <w:rPr>
          <w:rFonts w:ascii="Times New Roman" w:cs="Times New Roman" w:eastAsia="Times New Roman" w:hAnsi="Times New Roman"/>
          <w:sz w:val="18"/>
          <w:szCs w:val="18"/>
          <w:color w:val="auto"/>
        </w:rPr>
      </w:pPr>
    </w:p>
    <w:p>
      <w:pPr>
        <w:jc w:val="both"/>
        <w:ind w:left="1080" w:right="260" w:hanging="532"/>
        <w:spacing w:after="0" w:line="26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 and Presentation</w:t>
      </w:r>
    </w:p>
    <w:p>
      <w:pPr>
        <w:spacing w:after="0" w:line="229" w:lineRule="exact"/>
        <w:rPr>
          <w:sz w:val="20"/>
          <w:szCs w:val="20"/>
          <w:color w:val="auto"/>
        </w:rPr>
      </w:pPr>
    </w:p>
    <w:p>
      <w:pPr>
        <w:ind w:right="100" w:firstLine="348"/>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and operations of the Company. All intercompany accounts and transactions have been eliminated. The consolidated financial statements have been prepared in conformity with accounting principles generally accepted in the United States of America ("U.S. GAAP"). The preparation of the consolidated financial statements in conformity with U.S. GAAP requires management to make estimates and assumptions that affect the amounts reported in the consolidated financial statements and accompanying notes. Actual results could differ from these estimates and assumptions.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Certain reclassifications have been made to prior-year amounts to conform to the current period presentation.</w:t>
      </w:r>
    </w:p>
    <w:p>
      <w:pPr>
        <w:spacing w:after="0" w:line="225" w:lineRule="exact"/>
        <w:rPr>
          <w:sz w:val="20"/>
          <w:szCs w:val="20"/>
          <w:color w:val="auto"/>
        </w:rPr>
      </w:pPr>
    </w:p>
    <w:p>
      <w:pPr>
        <w:ind w:right="160" w:firstLine="348"/>
        <w:spacing w:after="0" w:line="275"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before the financial statements are issued, for additional evidence relative to certain estimates or to identify matters that require additional disclosures.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220" w:firstLine="348"/>
        <w:spacing w:after="0" w:line="275" w:lineRule="auto"/>
        <w:rPr>
          <w:sz w:val="20"/>
          <w:szCs w:val="20"/>
          <w:color w:val="auto"/>
        </w:rPr>
      </w:pPr>
      <w:r>
        <w:rPr>
          <w:rFonts w:ascii="Times New Roman" w:cs="Times New Roman" w:eastAsia="Times New Roman" w:hAnsi="Times New Roman"/>
          <w:sz w:val="18"/>
          <w:szCs w:val="18"/>
          <w:color w:val="auto"/>
        </w:rPr>
        <w:t>We consider all money market funds and highly liquid investments with original maturities of three months or less at the time of purchase to be "Cash and cash equivalents."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29" w:lineRule="exact"/>
        <w:rPr>
          <w:sz w:val="20"/>
          <w:szCs w:val="20"/>
          <w:color w:val="auto"/>
        </w:rPr>
      </w:pPr>
    </w:p>
    <w:p>
      <w:pPr>
        <w:ind w:right="140" w:firstLine="351"/>
        <w:spacing w:after="0" w:line="262" w:lineRule="auto"/>
        <w:rPr>
          <w:sz w:val="20"/>
          <w:szCs w:val="20"/>
          <w:color w:val="auto"/>
        </w:rPr>
      </w:pPr>
      <w:r>
        <w:rPr>
          <w:rFonts w:ascii="Times New Roman" w:cs="Times New Roman" w:eastAsia="Times New Roman" w:hAnsi="Times New Roman"/>
          <w:sz w:val="18"/>
          <w:szCs w:val="18"/>
          <w:color w:val="auto"/>
        </w:rPr>
        <w:t>Investments in debt securities designated as available-for-sale are carried at fair value, which is based on quoted market prices for such securities, if available, or is estimated on the basis of quoted market prices of financial instruments with similar characteristics. Unrealized gains and losses of the Company's available-for-sale debt securities are excluded from earnings and are reported as a component of "Other comprehensive income (loss)."</w:t>
      </w:r>
    </w:p>
    <w:p>
      <w:pPr>
        <w:spacing w:after="0" w:line="186"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Investments with original maturities greater than 90 days and remaining maturities of less than one year are normally classified within "Other current assets." In addition, investments with maturities beyond one year may be classified within "Other current assets" if they are highly liquid in nature and represent the investment of cash that is available for current operations.</w:t>
      </w:r>
    </w:p>
    <w:p>
      <w:pPr>
        <w:spacing w:after="0" w:line="186" w:lineRule="exact"/>
        <w:rPr>
          <w:sz w:val="20"/>
          <w:szCs w:val="20"/>
          <w:color w:val="auto"/>
        </w:rPr>
      </w:pPr>
    </w:p>
    <w:p>
      <w:pPr>
        <w:ind w:right="500" w:firstLine="348"/>
        <w:spacing w:after="0" w:line="275" w:lineRule="auto"/>
        <w:rPr>
          <w:sz w:val="20"/>
          <w:szCs w:val="20"/>
          <w:color w:val="auto"/>
        </w:rPr>
      </w:pPr>
      <w:r>
        <w:rPr>
          <w:rFonts w:ascii="Times New Roman" w:cs="Times New Roman" w:eastAsia="Times New Roman" w:hAnsi="Times New Roman"/>
          <w:sz w:val="18"/>
          <w:szCs w:val="18"/>
          <w:color w:val="auto"/>
        </w:rPr>
        <w:t>The specific identification method is used to determine the cost of securities disposed of, with realized gains and losses reflected in "Interest and other expense (income), net" in our consolidated statements of operations.</w:t>
      </w:r>
    </w:p>
    <w:p>
      <w:pPr>
        <w:spacing w:after="0" w:line="174" w:lineRule="exact"/>
        <w:rPr>
          <w:sz w:val="20"/>
          <w:szCs w:val="20"/>
          <w:color w:val="auto"/>
        </w:rPr>
      </w:pPr>
    </w:p>
    <w:p>
      <w:pPr>
        <w:jc w:val="both"/>
        <w:ind w:right="120" w:firstLine="351"/>
        <w:spacing w:after="0" w:line="262" w:lineRule="auto"/>
        <w:rPr>
          <w:sz w:val="20"/>
          <w:szCs w:val="20"/>
          <w:color w:val="auto"/>
        </w:rPr>
      </w:pPr>
      <w:r>
        <w:rPr>
          <w:rFonts w:ascii="Times New Roman" w:cs="Times New Roman" w:eastAsia="Times New Roman" w:hAnsi="Times New Roman"/>
          <w:sz w:val="18"/>
          <w:szCs w:val="18"/>
          <w:color w:val="auto"/>
        </w:rPr>
        <w:t>Investments in equity securities which are not accounted for under the equity method and for which there is not a readily determinable fair value are carried at cost, less impairment, and adjusted for changes resulting from observable price changes in orderly transactions for identical or similar investment of the same issuer.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9" w:lineRule="exact"/>
        <w:rPr>
          <w:sz w:val="20"/>
          <w:szCs w:val="20"/>
          <w:color w:val="auto"/>
        </w:rPr>
      </w:pPr>
    </w:p>
    <w:p>
      <w:pPr>
        <w:ind w:right="80" w:firstLine="348"/>
        <w:spacing w:after="0" w:line="26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net of allowances," "Accounts payable," and "Accrued expenses and other liabilities" approximate fair value due to the short-term nature of these accounts. Our investments in U.S. treasuries, government agency securities, and corporate bonds, if any, are carried at fair value, which is based on quoted market prices for such</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if available, or is estimated on the basis of quoted market prices of financial instruments with similar characteristics.</w:t>
      </w:r>
    </w:p>
    <w:p>
      <w:pPr>
        <w:spacing w:after="0" w:line="225" w:lineRule="exact"/>
        <w:rPr>
          <w:sz w:val="20"/>
          <w:szCs w:val="20"/>
          <w:color w:val="auto"/>
        </w:rPr>
      </w:pPr>
    </w:p>
    <w:p>
      <w:pPr>
        <w:ind w:right="180" w:firstLine="348"/>
        <w:spacing w:after="0" w:line="256" w:lineRule="auto"/>
        <w:rPr>
          <w:sz w:val="20"/>
          <w:szCs w:val="20"/>
          <w:color w:val="auto"/>
        </w:rPr>
      </w:pPr>
      <w:r>
        <w:rPr>
          <w:rFonts w:ascii="Times New Roman" w:cs="Times New Roman" w:eastAsia="Times New Roman" w:hAnsi="Times New Roman"/>
          <w:sz w:val="18"/>
          <w:szCs w:val="18"/>
          <w:color w:val="auto"/>
        </w:rPr>
        <w:t>The Company transacts business in various foreign currencies and has significant international sales and expenses denominated in foreign currencies, subjecting us to foreign currency risk. To mitigate our foreign currency risk resulting from our foreign currency-denominated monetary assets, liabilities and earnings and our foreign currency risk related to functional currency-equivalent cash flows resulting from our intercompany transactions, we periodically enter into currency derivative contracts, principally forward contracts. These forward contracts generally have a maturity of less than one year. The counterparties for our currency derivative contracts are large and reputable commercial or investment banks.</w:t>
      </w:r>
    </w:p>
    <w:p>
      <w:pPr>
        <w:spacing w:after="0" w:line="193" w:lineRule="exact"/>
        <w:rPr>
          <w:sz w:val="20"/>
          <w:szCs w:val="20"/>
          <w:color w:val="auto"/>
        </w:rPr>
      </w:pPr>
    </w:p>
    <w:p>
      <w:pPr>
        <w:ind w:right="180" w:firstLine="348"/>
        <w:spacing w:after="0" w:line="258" w:lineRule="auto"/>
        <w:rPr>
          <w:sz w:val="20"/>
          <w:szCs w:val="20"/>
          <w:color w:val="auto"/>
        </w:rPr>
      </w:pPr>
      <w:r>
        <w:rPr>
          <w:rFonts w:ascii="Times New Roman" w:cs="Times New Roman" w:eastAsia="Times New Roman" w:hAnsi="Times New Roman"/>
          <w:sz w:val="18"/>
          <w:szCs w:val="18"/>
          <w:color w:val="auto"/>
        </w:rPr>
        <w:t>We assess the nature of these derivatives under Financial Accounting Standards Board ("FASB") Accounting Standards Codification ("ASC") Topic 815 to determine whether such derivatives should be designated as hedging instruments. The fair value of foreign currency contracts are estimated based on the prevailing exchange rates of the various hedged currencies as of the end of the period. We report the fair value of these contracts within "Other current assets," "Accrued expense and other liabilities," "Other assets," or "Other liabilities," as applicable, in our consolidated balance sheets.</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do not hold or purchase any foreign currency forward contracts for trading or speculative purposes.</w:t>
      </w:r>
    </w:p>
    <w:p>
      <w:pPr>
        <w:spacing w:after="0" w:line="225" w:lineRule="exact"/>
        <w:rPr>
          <w:sz w:val="20"/>
          <w:szCs w:val="20"/>
          <w:color w:val="auto"/>
        </w:rPr>
      </w:pPr>
    </w:p>
    <w:p>
      <w:pPr>
        <w:jc w:val="both"/>
        <w:ind w:right="620" w:firstLine="351"/>
        <w:spacing w:after="0" w:line="262" w:lineRule="auto"/>
        <w:rPr>
          <w:sz w:val="20"/>
          <w:szCs w:val="20"/>
          <w:color w:val="auto"/>
        </w:rPr>
      </w:pPr>
      <w:r>
        <w:rPr>
          <w:rFonts w:ascii="Times New Roman" w:cs="Times New Roman" w:eastAsia="Times New Roman" w:hAnsi="Times New Roman"/>
          <w:sz w:val="18"/>
          <w:szCs w:val="18"/>
          <w:color w:val="auto"/>
        </w:rPr>
        <w:t>For foreign currency forward contracts which are not designated as hedging instruments under ASC 815, changes in the estimated fair value of these derivatives are recorded within "General and administrative expenses" and "Interest and other expense, net" in our consolidated statements of operations, consistent with the nature of the underlying transactions.</w:t>
      </w:r>
    </w:p>
    <w:p>
      <w:pPr>
        <w:spacing w:after="0" w:line="186" w:lineRule="exact"/>
        <w:rPr>
          <w:sz w:val="20"/>
          <w:szCs w:val="20"/>
          <w:color w:val="auto"/>
        </w:rPr>
      </w:pPr>
    </w:p>
    <w:p>
      <w:pPr>
        <w:ind w:firstLine="351"/>
        <w:spacing w:after="0" w:line="291" w:lineRule="auto"/>
        <w:rPr>
          <w:sz w:val="20"/>
          <w:szCs w:val="20"/>
          <w:color w:val="auto"/>
        </w:rPr>
      </w:pPr>
      <w:r>
        <w:rPr>
          <w:rFonts w:ascii="Times New Roman" w:cs="Times New Roman" w:eastAsia="Times New Roman" w:hAnsi="Times New Roman"/>
          <w:sz w:val="16"/>
          <w:szCs w:val="16"/>
          <w:color w:val="auto"/>
        </w:rPr>
        <w:t>For foreign currency forward contracts which have been designated as cash flow hedges in accordance with ASC 815, we assess the effectiveness of these cash flow hedges at inception and on an ongoing basis and determine if the hedges are effective at providing offsetting changes in cash flows of the hedged items. The Company records the changes in the estimated fair value of these derivatives in "Accumulated other comprehensive loss" and subsequently reclassifies the related amount of accumulated other comprehensive income (loss) to earnings within "General and administrative" or "Net revenues" when the hedged item impacts earnings, consistent with the nature and timing of the underlying transactions. Cash flows from these foreign currency forward contracts are classified in the same category as the cash flows associated with the hedged item in the consolidated statements of cash flows. We measure hedge ineffectiveness, if any, and if it is determined that a derivative has ceased to be a highly effective hedge, the Company will discontinue hedge accounting for the derivative.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right="260" w:firstLine="351"/>
        <w:spacing w:after="0" w:line="275" w:lineRule="auto"/>
        <w:rPr>
          <w:sz w:val="20"/>
          <w:szCs w:val="20"/>
          <w:color w:val="auto"/>
        </w:rPr>
      </w:pPr>
      <w:r>
        <w:rPr>
          <w:rFonts w:ascii="Times New Roman" w:cs="Times New Roman" w:eastAsia="Times New Roman" w:hAnsi="Times New Roman"/>
          <w:sz w:val="18"/>
          <w:szCs w:val="18"/>
          <w:color w:val="auto"/>
        </w:rPr>
        <w:t>Our concentration of credit risk relates to depositors holding the Company's cash and cash equivalents and customers with significant accounts receivable balances.</w:t>
      </w:r>
    </w:p>
    <w:p>
      <w:pPr>
        <w:spacing w:after="0" w:line="174" w:lineRule="exact"/>
        <w:rPr>
          <w:sz w:val="20"/>
          <w:szCs w:val="20"/>
          <w:color w:val="auto"/>
        </w:rPr>
      </w:pPr>
    </w:p>
    <w:p>
      <w:pPr>
        <w:ind w:right="160" w:firstLine="351"/>
        <w:spacing w:after="0" w:line="275" w:lineRule="auto"/>
        <w:rPr>
          <w:sz w:val="20"/>
          <w:szCs w:val="20"/>
          <w:color w:val="auto"/>
        </w:rPr>
      </w:pPr>
      <w:r>
        <w:rPr>
          <w:rFonts w:ascii="Times New Roman" w:cs="Times New Roman" w:eastAsia="Times New Roman" w:hAnsi="Times New Roman"/>
          <w:sz w:val="18"/>
          <w:szCs w:val="18"/>
          <w:color w:val="auto"/>
        </w:rPr>
        <w:t>Our cash and cash equivalents are invested primarily in money market funds consisting of short-term, high-quality debt instruments issued by governments and governmental organizations, financial institutions and industrial companies.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7" w:lineRule="exact"/>
        <w:rPr>
          <w:sz w:val="20"/>
          <w:szCs w:val="20"/>
          <w:color w:val="auto"/>
        </w:rPr>
      </w:pPr>
    </w:p>
    <w:p>
      <w:pPr>
        <w:ind w:right="280" w:firstLine="351"/>
        <w:spacing w:after="0" w:line="262" w:lineRule="auto"/>
        <w:rPr>
          <w:sz w:val="20"/>
          <w:szCs w:val="20"/>
          <w:color w:val="auto"/>
        </w:rPr>
      </w:pPr>
      <w:r>
        <w:rPr>
          <w:rFonts w:ascii="Times New Roman" w:cs="Times New Roman" w:eastAsia="Times New Roman" w:hAnsi="Times New Roman"/>
          <w:sz w:val="18"/>
          <w:szCs w:val="18"/>
          <w:color w:val="auto"/>
        </w:rPr>
        <w:t>Our customer base includes retailers and distributors, including mass-market retailers, first party digital storefronts, consumer electronics stores, discount warehouses, and game specialty stores in the U.S. and other countries worldwide. We perform ongoing credit evaluations of our customers and maintain allowances for potential credit losses. We generally do not require collateral or other security from our customers.</w:t>
      </w:r>
    </w:p>
    <w:p>
      <w:pPr>
        <w:spacing w:after="0" w:line="186"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2018, we had three customers—Apple, Sony Interactive Entertainment, Inc. ("Sony"), and Google—who accounted for 15%, 13%, and 11%, respectively, of net revenues. For the year ended December 31, 2017, we had three customers—Apple, Sony, and Google—who accounted for 16%, 14%, and 10%, respectively, of net revenues. For the year ended December 31, 2016, we had two customers—Sony and Apple—who each accounted for 13% of net revenues. No other customer accounted for 10% or more of our net revenues in the respective periods discussed above.</w:t>
      </w:r>
    </w:p>
    <w:p>
      <w:pPr>
        <w:spacing w:after="0" w:line="190" w:lineRule="exact"/>
        <w:rPr>
          <w:sz w:val="20"/>
          <w:szCs w:val="20"/>
          <w:color w:val="auto"/>
        </w:rPr>
      </w:pPr>
    </w:p>
    <w:p>
      <w:pPr>
        <w:ind w:right="40" w:firstLine="348"/>
        <w:spacing w:after="0" w:line="310" w:lineRule="auto"/>
        <w:rPr>
          <w:sz w:val="20"/>
          <w:szCs w:val="20"/>
          <w:color w:val="auto"/>
        </w:rPr>
      </w:pPr>
      <w:r>
        <w:rPr>
          <w:rFonts w:ascii="Times New Roman" w:cs="Times New Roman" w:eastAsia="Times New Roman" w:hAnsi="Times New Roman"/>
          <w:sz w:val="16"/>
          <w:szCs w:val="16"/>
          <w:color w:val="auto"/>
        </w:rPr>
        <w:t>We had two customers—Sony and NetEase, Inc.—who accounted for 15% and 12%, respectively, of consolidated gross receivables at December 31, 2018. We had three customers—Sony, Microsoft Corporation's ("Microsoft"), and Apple—who accounted for 17%, 14%, and 10%, respectively, of consolidated gross receivables at December 31, 2017. No other customer accounted for 10% or more of our consolidated gross receivables in the respective periods discussed above.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and Allowances for Obsolescence</w:t>
      </w:r>
    </w:p>
    <w:p>
      <w:pPr>
        <w:spacing w:after="0" w:line="229" w:lineRule="exact"/>
        <w:rPr>
          <w:sz w:val="20"/>
          <w:szCs w:val="20"/>
          <w:color w:val="auto"/>
        </w:rPr>
      </w:pPr>
    </w:p>
    <w:p>
      <w:pPr>
        <w:ind w:right="220" w:firstLine="351"/>
        <w:spacing w:after="0" w:line="275" w:lineRule="auto"/>
        <w:rPr>
          <w:sz w:val="20"/>
          <w:szCs w:val="20"/>
          <w:color w:val="auto"/>
        </w:rPr>
      </w:pPr>
      <w:r>
        <w:rPr>
          <w:rFonts w:ascii="Times New Roman" w:cs="Times New Roman" w:eastAsia="Times New Roman" w:hAnsi="Times New Roman"/>
          <w:sz w:val="18"/>
          <w:szCs w:val="18"/>
          <w:color w:val="auto"/>
        </w:rPr>
        <w:t>Inventories consist of materials (including manufacturing royalties paid to console manufacturers), labor, and freight-in costs and are stated at the lower of cost (weighted-average method) or net realizable value. Inventories are relieved on a weighted-average cost method.</w:t>
      </w:r>
    </w:p>
    <w:p>
      <w:pPr>
        <w:spacing w:after="0" w:line="174" w:lineRule="exact"/>
        <w:rPr>
          <w:sz w:val="20"/>
          <w:szCs w:val="20"/>
          <w:color w:val="auto"/>
        </w:rPr>
      </w:pPr>
    </w:p>
    <w:p>
      <w:pPr>
        <w:ind w:right="100" w:firstLine="348"/>
        <w:spacing w:after="0" w:line="256" w:lineRule="auto"/>
        <w:rPr>
          <w:sz w:val="20"/>
          <w:szCs w:val="20"/>
          <w:color w:val="auto"/>
        </w:rPr>
      </w:pPr>
      <w:r>
        <w:rPr>
          <w:rFonts w:ascii="Times New Roman" w:cs="Times New Roman" w:eastAsia="Times New Roman" w:hAnsi="Times New Roman"/>
          <w:sz w:val="18"/>
          <w:szCs w:val="18"/>
          <w:color w:val="auto"/>
        </w:rPr>
        <w:t>We regularly review inventory quantities on-hand and in the retail channels and will write down inventory on-hand based on excess or obsolete inventories, determined primarily by future anticipated demand for our products. Inventory write-downs are measured as the difference between the cost of the inventory and net realizable value, based upon assumptions about future demand, which are inherently difficult to assess and dependent on market conditions. At the point of a loss recognition, a new, lower cost basis for that inventory is established, and subsequent changes in facts and circumstances do not result in the restoration or increase in that newly established basis.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 and Intellectual Property Licenses</w:t>
      </w:r>
    </w:p>
    <w:p>
      <w:pPr>
        <w:spacing w:after="0" w:line="229" w:lineRule="exact"/>
        <w:rPr>
          <w:sz w:val="20"/>
          <w:szCs w:val="20"/>
          <w:color w:val="auto"/>
        </w:rPr>
      </w:pPr>
    </w:p>
    <w:p>
      <w:pPr>
        <w:ind w:right="60" w:firstLine="351"/>
        <w:spacing w:after="0" w:line="254" w:lineRule="auto"/>
        <w:rPr>
          <w:sz w:val="20"/>
          <w:szCs w:val="20"/>
          <w:color w:val="auto"/>
        </w:rPr>
      </w:pPr>
      <w:r>
        <w:rPr>
          <w:rFonts w:ascii="Times New Roman" w:cs="Times New Roman" w:eastAsia="Times New Roman" w:hAnsi="Times New Roman"/>
          <w:sz w:val="18"/>
          <w:szCs w:val="18"/>
          <w:color w:val="auto"/>
        </w:rPr>
        <w:t>Software development costs include payments made to independent software developers under development agreements, as well as direct costs incurred for internally developed products. Software development costs are capitalized once technological feasibility of a product is established and such costs are determined to be recoverable. Technological feasibility of a product requires both technical design documentation and game design documentation, or the completed and tested product design and a working model. Significant management judgments and estimates are utilized in the assessment of when technological feasibility is established and the evaluation is performed on a product-by-product basis. For products where proven technology exists, this may occur early in the development cycle. Software development costs related to online hosted revenue arrangements are capitalized after the preliminary project phase is complete and it is probable that the project will be completed and the software will be used to perform the function intended. Prior to a product's release, if and when we believe capitalized costs are not recoverable, we expense the amounts as part of "Cost of</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7"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revenues—software royalties, amortization, and intellectual property licenses." Capitalized costs for products that are canceled or are expected to be abandoned are charged to "Product development" in the period of cancellation. Amounts related to software development which are not capitalized are charged immediately to "Product development."</w:t>
      </w:r>
    </w:p>
    <w:p>
      <w:pPr>
        <w:spacing w:after="0" w:line="186" w:lineRule="exact"/>
        <w:rPr>
          <w:sz w:val="20"/>
          <w:szCs w:val="20"/>
          <w:color w:val="auto"/>
        </w:rPr>
      </w:pPr>
    </w:p>
    <w:p>
      <w:pPr>
        <w:jc w:val="both"/>
        <w:ind w:right="300" w:firstLine="351"/>
        <w:spacing w:after="0" w:line="262" w:lineRule="auto"/>
        <w:rPr>
          <w:sz w:val="20"/>
          <w:szCs w:val="20"/>
          <w:color w:val="auto"/>
        </w:rPr>
      </w:pPr>
      <w:r>
        <w:rPr>
          <w:rFonts w:ascii="Times New Roman" w:cs="Times New Roman" w:eastAsia="Times New Roman" w:hAnsi="Times New Roman"/>
          <w:sz w:val="18"/>
          <w:szCs w:val="18"/>
          <w:color w:val="auto"/>
        </w:rPr>
        <w:t>Commencing upon a product's release, capitalized software development costs are amortized to "Cost of revenues—software royalties, amortization, and intellectual property licenses" based on the ratio of current revenues to total projected revenues for the specific product, generally resulting in an amortization period of six months to approximately two years.</w:t>
      </w:r>
    </w:p>
    <w:p>
      <w:pPr>
        <w:spacing w:after="0" w:line="186"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Intellectual property license costs represent license fees paid to intellectual property rights holders for use of their trademarks, copyrights, software, technology, music or other intellectual property or proprietary rights in the development of our products. Depending upon the agreement with the rights holder, we may obtain the right to use the intellectual property in multiple products over a number of years, or alternatively, for a single product. Prior to a product's release, if and when we believe capitalized costs are not recoverable, we expense the amounts as part of "Cost of revenues—software royalties, amortization, and intellectual property licenses." Capitalized intellectual property costs for products that are canceled or are expected to be abandoned are charged to "Product development" in the period of cancellation.</w:t>
      </w:r>
    </w:p>
    <w:p>
      <w:pPr>
        <w:spacing w:after="0" w:line="193" w:lineRule="exact"/>
        <w:rPr>
          <w:sz w:val="20"/>
          <w:szCs w:val="20"/>
          <w:color w:val="auto"/>
        </w:rPr>
      </w:pPr>
    </w:p>
    <w:p>
      <w:pPr>
        <w:ind w:firstLine="351"/>
        <w:spacing w:after="0" w:line="301" w:lineRule="auto"/>
        <w:rPr>
          <w:sz w:val="20"/>
          <w:szCs w:val="20"/>
          <w:color w:val="auto"/>
        </w:rPr>
      </w:pPr>
      <w:r>
        <w:rPr>
          <w:rFonts w:ascii="Times New Roman" w:cs="Times New Roman" w:eastAsia="Times New Roman" w:hAnsi="Times New Roman"/>
          <w:sz w:val="16"/>
          <w:szCs w:val="16"/>
          <w:color w:val="auto"/>
        </w:rPr>
        <w:t>Commencing upon a product's release, capitalized intellectual property license costs are amortized to "Cost of revenues—software royalties, amortization, and intellectual property licenses" based on the ratio of current revenues for the specific product to total projected revenues for all products in which the licensed property will be utilized. As intellectual property license contracts may extend for multiple years and can be used in multiple products to be released over a period beyond one year, the amortization of capitalized intellectual property license costs relating to such contracts may extend beyond one year.</w:t>
      </w:r>
    </w:p>
    <w:p>
      <w:pPr>
        <w:spacing w:after="0" w:line="157" w:lineRule="exact"/>
        <w:rPr>
          <w:sz w:val="20"/>
          <w:szCs w:val="20"/>
          <w:color w:val="auto"/>
        </w:rPr>
      </w:pPr>
    </w:p>
    <w:p>
      <w:pPr>
        <w:ind w:firstLine="348"/>
        <w:spacing w:after="0" w:line="289" w:lineRule="auto"/>
        <w:rPr>
          <w:sz w:val="20"/>
          <w:szCs w:val="20"/>
          <w:color w:val="auto"/>
        </w:rPr>
      </w:pPr>
      <w:r>
        <w:rPr>
          <w:rFonts w:ascii="Times New Roman" w:cs="Times New Roman" w:eastAsia="Times New Roman" w:hAnsi="Times New Roman"/>
          <w:sz w:val="16"/>
          <w:szCs w:val="16"/>
          <w:color w:val="auto"/>
        </w:rPr>
        <w:t>We evaluate the future recoverability of capitalized software development costs and intellectual property licenses on a quarterly basis. For products that have been released in prior periods, the primary evaluation criterion is the actual performance of the title to which the costs relate. For products that are scheduled to be released in future periods, recoverability is evaluated based on the expected performance of the specific products to which the costs relate or in which the licensed trademark or copyright is to be used. Criteria used to evaluate expected product performance include: historical performance of comparable products developed with comparable technology; market performance of comparable titles; orders for the product prior to its release; general market conditions; and, for any sequel product, estimated performance based on the performance of the product on which the sequel is based. Further, as many of our capitalized intellectual property licenses extend for multiple products over multiple years, we also assess the recoverability of capitalized intellectual property license costs based on certain qualitative factors, such as the success of other products and/or entertainment vehicles utilizing the intellectual property, whether there are any future planned theatrical releases or television series based on the intellectual property, and the rights holder's continued promotion and exploitation of the intellectual property.</w:t>
      </w:r>
    </w:p>
    <w:p>
      <w:pPr>
        <w:spacing w:after="0" w:line="167" w:lineRule="exact"/>
        <w:rPr>
          <w:sz w:val="20"/>
          <w:szCs w:val="20"/>
          <w:color w:val="auto"/>
        </w:rPr>
      </w:pPr>
    </w:p>
    <w:p>
      <w:pPr>
        <w:ind w:right="300" w:firstLine="351"/>
        <w:spacing w:after="0" w:line="262" w:lineRule="auto"/>
        <w:rPr>
          <w:sz w:val="20"/>
          <w:szCs w:val="20"/>
          <w:color w:val="auto"/>
        </w:rPr>
      </w:pPr>
      <w:r>
        <w:rPr>
          <w:rFonts w:ascii="Times New Roman" w:cs="Times New Roman" w:eastAsia="Times New Roman" w:hAnsi="Times New Roman"/>
          <w:sz w:val="18"/>
          <w:szCs w:val="18"/>
          <w:color w:val="auto"/>
        </w:rPr>
        <w:t>Significant management judgments and estimates are utilized in assessing the recoverability of capitalized costs. In evaluating the recoverability of capitalized costs, the assessment of expected product performance utilizes forecasted sales amounts and estimates of additional costs to be incurred. If revised forecasted or actual product sales are less than the originally forecasted amounts utilized in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the initial recoverability analysis, the net realizable value may be lower than originally estimated in any given quarter, which could result in an impairment charge. Material differences may result in the amount and timing of expenses for any period if matters resolve in a manner that is inconsistent with management's expectations.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Recognized from Costs to Obtain a Contract with a Customer</w:t>
      </w:r>
    </w:p>
    <w:p>
      <w:pPr>
        <w:spacing w:after="0" w:line="229" w:lineRule="exact"/>
        <w:rPr>
          <w:sz w:val="20"/>
          <w:szCs w:val="20"/>
          <w:color w:val="auto"/>
        </w:rPr>
      </w:pPr>
    </w:p>
    <w:p>
      <w:pPr>
        <w:ind w:right="140" w:firstLine="348"/>
        <w:spacing w:after="0" w:line="310" w:lineRule="auto"/>
        <w:rPr>
          <w:sz w:val="20"/>
          <w:szCs w:val="20"/>
          <w:color w:val="auto"/>
        </w:rPr>
      </w:pPr>
      <w:r>
        <w:rPr>
          <w:rFonts w:ascii="Times New Roman" w:cs="Times New Roman" w:eastAsia="Times New Roman" w:hAnsi="Times New Roman"/>
          <w:sz w:val="16"/>
          <w:szCs w:val="16"/>
          <w:color w:val="auto"/>
        </w:rPr>
        <w:t>We apply the practical expedient to expense, as incurred, costs to obtain a contract with a customer when the amortization period would have been one year or less for certain similar contracts in which commissions are paid to internal personnel or third parties. We believe application of the practical expedient has a limited effect on the amount and timing of cost recognition. Total capitalized costs to obtain a contract were immaterial as of December 31, 2018.</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ind w:right="180" w:firstLine="351"/>
        <w:spacing w:after="0" w:line="256" w:lineRule="auto"/>
        <w:rPr>
          <w:sz w:val="20"/>
          <w:szCs w:val="20"/>
          <w:color w:val="auto"/>
        </w:rPr>
      </w:pPr>
      <w:r>
        <w:rPr>
          <w:rFonts w:ascii="Times New Roman" w:cs="Times New Roman" w:eastAsia="Times New Roman" w:hAnsi="Times New Roman"/>
          <w:sz w:val="18"/>
          <w:szCs w:val="18"/>
          <w:color w:val="auto"/>
        </w:rPr>
        <w:t>Property and equipment are recorded at cost and depreciated on a straight-line basis over the estimated useful life of the asset (i.e., 25 to 33 years for buildings, and 2 to 5 years for computer equipment, office furniture and other equipment). When assets are retired or disposed of, the cost and accumulated depreciation thereon are removed and any resulting gains or losses are included in the consolidated statements of operations. Leasehold improvements are amortized using the straight-line method over the estimated life of the asset, not to exceed the length of the lease. Repair and maintenance costs are expensed as incurred.</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Goodwill and Other Indefinite-Lived Assets.</w:t>
      </w:r>
    </w:p>
    <w:p>
      <w:pPr>
        <w:spacing w:after="0" w:line="227" w:lineRule="exact"/>
        <w:rPr>
          <w:sz w:val="20"/>
          <w:szCs w:val="20"/>
          <w:color w:val="auto"/>
        </w:rPr>
      </w:pPr>
    </w:p>
    <w:p>
      <w:pPr>
        <w:ind w:right="140" w:firstLine="351"/>
        <w:spacing w:after="0" w:line="258" w:lineRule="auto"/>
        <w:rPr>
          <w:sz w:val="20"/>
          <w:szCs w:val="20"/>
          <w:color w:val="auto"/>
        </w:rPr>
      </w:pPr>
      <w:r>
        <w:rPr>
          <w:rFonts w:ascii="Times New Roman" w:cs="Times New Roman" w:eastAsia="Times New Roman" w:hAnsi="Times New Roman"/>
          <w:sz w:val="18"/>
          <w:szCs w:val="18"/>
          <w:color w:val="auto"/>
        </w:rPr>
        <w:t>Goodwill is considered to have an indefinite life and is carried at cost. Acquired trade names are assessed as indefinite lived assets if there is no foreseeable limits on the periods of time over which they are expected to contribute cash flows. Goodwill and indefinite-lived assets are not amortized, but are subject to an annual impairment test, as well as between annual tests when events or circumstances indicate that the carrying value may not be recoverable. We perform our annual impairment testing at December 31.</w:t>
      </w:r>
    </w:p>
    <w:p>
      <w:pPr>
        <w:spacing w:after="0" w:line="190" w:lineRule="exact"/>
        <w:rPr>
          <w:sz w:val="20"/>
          <w:szCs w:val="20"/>
          <w:color w:val="auto"/>
        </w:rPr>
      </w:pPr>
    </w:p>
    <w:p>
      <w:pPr>
        <w:ind w:firstLine="351"/>
        <w:spacing w:after="0" w:line="291" w:lineRule="auto"/>
        <w:rPr>
          <w:sz w:val="20"/>
          <w:szCs w:val="20"/>
          <w:color w:val="auto"/>
        </w:rPr>
      </w:pPr>
      <w:r>
        <w:rPr>
          <w:rFonts w:ascii="Times New Roman" w:cs="Times New Roman" w:eastAsia="Times New Roman" w:hAnsi="Times New Roman"/>
          <w:sz w:val="16"/>
          <w:szCs w:val="16"/>
          <w:color w:val="auto"/>
        </w:rPr>
        <w:t>Our annual goodwill impairment test is performed at the reporting unit level. As of December 31, 2018 and 2017, our reporting units are the same as our operating segments. We test goodwill for possible impairment by first determining the fair value of the related reporting unit and comparing this value to the recorded net assets of the reporting unit, including goodwill. The fair value of our reporting units is determined using an income approach based on discounted cash flow models. In the event the recorded net assets of the reporting unit exceed the estimated fair value of such assets, we perform a second step to measure the amount of the impairment, which is equal to the amount by which the recorded goodwill exceeds the implied fair value of the goodwill after assessing the fair value of each of the assets and liabilities within the reporting unit. We have determined that no impairment has occurred at December 31, 2018, 2017, and 2016 based upon a set of assumptions regarding discounted future cash flows, which represent our best estimate of future performance at this time.</w:t>
      </w:r>
    </w:p>
    <w:p>
      <w:pPr>
        <w:spacing w:after="0" w:line="167"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We test indefinite-lived acquired trade names for possible impairment by using a discounted cash flow model to estimate fair value. We have determined that no impairment has occurred at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7" w:lineRule="exact"/>
        <w:rPr>
          <w:sz w:val="20"/>
          <w:szCs w:val="20"/>
          <w:color w:val="auto"/>
        </w:rPr>
      </w:pPr>
    </w:p>
    <w:p>
      <w:pPr>
        <w:ind w:right="660"/>
        <w:spacing w:after="0" w:line="275" w:lineRule="auto"/>
        <w:rPr>
          <w:sz w:val="20"/>
          <w:szCs w:val="20"/>
          <w:color w:val="auto"/>
        </w:rPr>
      </w:pPr>
      <w:r>
        <w:rPr>
          <w:rFonts w:ascii="Times New Roman" w:cs="Times New Roman" w:eastAsia="Times New Roman" w:hAnsi="Times New Roman"/>
          <w:sz w:val="18"/>
          <w:szCs w:val="18"/>
          <w:color w:val="auto"/>
        </w:rPr>
        <w:t>December 31, 2018, 2017, and 2016 based upon a set of assumptions regarding discounted future cash flows, which represent our best estimate of future performance at this time.</w:t>
      </w:r>
    </w:p>
    <w:p>
      <w:pPr>
        <w:spacing w:after="0" w:line="174" w:lineRule="exact"/>
        <w:rPr>
          <w:sz w:val="20"/>
          <w:szCs w:val="20"/>
          <w:color w:val="auto"/>
        </w:rPr>
      </w:pPr>
    </w:p>
    <w:p>
      <w:pPr>
        <w:ind w:right="260" w:firstLine="351"/>
        <w:spacing w:after="0" w:line="275" w:lineRule="auto"/>
        <w:rPr>
          <w:sz w:val="20"/>
          <w:szCs w:val="20"/>
          <w:color w:val="auto"/>
        </w:rPr>
      </w:pPr>
      <w:r>
        <w:rPr>
          <w:rFonts w:ascii="Times New Roman" w:cs="Times New Roman" w:eastAsia="Times New Roman" w:hAnsi="Times New Roman"/>
          <w:sz w:val="18"/>
          <w:szCs w:val="18"/>
          <w:color w:val="auto"/>
        </w:rPr>
        <w:t>Changes in our assumptions underlying our estimates of fair value, which will be a function of our future financial performance and changes in economic conditions, could result in future impairment charges.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Amortizable Intangible and Other Long-lived Assets.</w:t>
      </w:r>
    </w:p>
    <w:p>
      <w:pPr>
        <w:spacing w:after="0" w:line="227" w:lineRule="exact"/>
        <w:rPr>
          <w:sz w:val="20"/>
          <w:szCs w:val="20"/>
          <w:color w:val="auto"/>
        </w:rPr>
      </w:pPr>
    </w:p>
    <w:p>
      <w:pPr>
        <w:ind w:right="200" w:firstLine="351"/>
        <w:spacing w:after="0" w:line="275" w:lineRule="auto"/>
        <w:rPr>
          <w:sz w:val="20"/>
          <w:szCs w:val="20"/>
          <w:color w:val="auto"/>
        </w:rPr>
      </w:pPr>
      <w:r>
        <w:rPr>
          <w:rFonts w:ascii="Times New Roman" w:cs="Times New Roman" w:eastAsia="Times New Roman" w:hAnsi="Times New Roman"/>
          <w:sz w:val="18"/>
          <w:szCs w:val="18"/>
          <w:color w:val="auto"/>
        </w:rPr>
        <w:t>Intangible assets subject to amortization are carried at cost less accumulated amortization, and amortized over the estimated useful life in proportion to the economic benefits received.</w:t>
      </w:r>
    </w:p>
    <w:p>
      <w:pPr>
        <w:spacing w:after="0" w:line="174" w:lineRule="exact"/>
        <w:rPr>
          <w:sz w:val="20"/>
          <w:szCs w:val="20"/>
          <w:color w:val="auto"/>
        </w:rPr>
      </w:pPr>
    </w:p>
    <w:p>
      <w:pPr>
        <w:ind w:firstLine="348"/>
        <w:spacing w:after="0" w:line="290" w:lineRule="auto"/>
        <w:rPr>
          <w:sz w:val="20"/>
          <w:szCs w:val="20"/>
          <w:color w:val="auto"/>
        </w:rPr>
      </w:pPr>
      <w:r>
        <w:rPr>
          <w:rFonts w:ascii="Times New Roman" w:cs="Times New Roman" w:eastAsia="Times New Roman" w:hAnsi="Times New Roman"/>
          <w:sz w:val="16"/>
          <w:szCs w:val="16"/>
          <w:color w:val="auto"/>
        </w:rPr>
        <w:t>We evaluate the recoverability of our definite-lived intangible assets and other long-lived assets when events or circumstances indicate a potential impairment exists. We consider certain events and circumstances in determining whether the carrying value of identifiable intangible assets and other long-lived assets, other than indefinite-lived intangible assets, may not be recoverable including, but not limited to: significant changes in performance relative to expected operating results; significant changes in the use of the assets; significant negative industry or economic trends; a significant decline in our stock price for a sustained period of time; and changes in our business strategy. If we determine that the carrying value may not be recoverable, we estimate the undiscounted cash flows to be generated from the use and ultimate disposition of the asset group to determine whether an impairment exists. If an impairment is indicated based on a comparison of the asset groups' carrying values and the undiscounted cash flows, the impairment loss is measured as the amount by which the carrying amount of the asset group exceeds its fair value. We did not record an impairment charge to our definite-lived intangible assets as of December 31, 2018, 2017, and 2016.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120" w:firstLine="351"/>
        <w:spacing w:after="0" w:line="255" w:lineRule="auto"/>
        <w:rPr>
          <w:sz w:val="20"/>
          <w:szCs w:val="20"/>
          <w:color w:val="auto"/>
        </w:rPr>
      </w:pPr>
      <w:r>
        <w:rPr>
          <w:rFonts w:ascii="Times New Roman" w:cs="Times New Roman" w:eastAsia="Times New Roman" w:hAnsi="Times New Roman"/>
          <w:sz w:val="18"/>
          <w:szCs w:val="18"/>
          <w:color w:val="auto"/>
        </w:rPr>
        <w:t>In May 2014, the FASB issued new accounting guidance related to revenue recognition. The new standard replaces all current U.S. GAAP guidance on this topic, eliminating all industry-specific guidance and providing a unified model to determine when and how revenue is recognized. The core principle is that a company should recognize revenue upon the transfer of promised goods or services to customers in an amount that reflects the consideration to which the company expects to be entitled in exchange for those goods or services. On January 1, 2018, we adopted the new accounting standard and related amendments (collectively, the "new revenue accounting standard"). This is reflected in our significant accounting policy disclosure for revenue recognition below. Refer to Note 3 for the impact of adoption on our consolidated financial statements.</w:t>
      </w:r>
    </w:p>
    <w:p>
      <w:pPr>
        <w:spacing w:after="0" w:line="193" w:lineRule="exact"/>
        <w:rPr>
          <w:sz w:val="20"/>
          <w:szCs w:val="20"/>
          <w:color w:val="auto"/>
        </w:rPr>
      </w:pPr>
    </w:p>
    <w:p>
      <w:pPr>
        <w:ind w:right="120" w:firstLine="348"/>
        <w:spacing w:after="0" w:line="262" w:lineRule="auto"/>
        <w:rPr>
          <w:sz w:val="20"/>
          <w:szCs w:val="20"/>
          <w:color w:val="auto"/>
        </w:rPr>
      </w:pPr>
      <w:r>
        <w:rPr>
          <w:rFonts w:ascii="Times New Roman" w:cs="Times New Roman" w:eastAsia="Times New Roman" w:hAnsi="Times New Roman"/>
          <w:sz w:val="18"/>
          <w:szCs w:val="18"/>
          <w:color w:val="auto"/>
        </w:rPr>
        <w:t>We generate revenue primarily through the sale of our interactive entertainment content and services, principally for the console, PC, and mobile platforms, as well as through the licensing of our intellectual property. Our products span various genres, including first-person shooter, action/adventure, role-playing, strategy, and "match three." We primarily offer the following products and services:</w:t>
      </w:r>
    </w:p>
    <w:p>
      <w:pPr>
        <w:spacing w:after="0" w:line="200" w:lineRule="exact"/>
        <w:rPr>
          <w:sz w:val="20"/>
          <w:szCs w:val="20"/>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games, which typically provide access to main game content, primarily for the console or PC platform;</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downloadable content, which provides players with additional in-game content to purchase following the purchase of a full game;</w:t>
      </w:r>
    </w:p>
    <w:p>
      <w:pPr>
        <w:spacing w:after="0" w:line="22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180" w:hanging="172"/>
        <w:spacing w:after="0"/>
        <w:tabs>
          <w:tab w:leader="none" w:pos="18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4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microtransactions, which typically provide relatively small pieces of additional in-game content or enhancements to gameplay;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subscriptions to players in our World of Warcraft franchise, which provide continual access to the game content.</w:t>
      </w:r>
    </w:p>
    <w:p>
      <w:pPr>
        <w:spacing w:after="0" w:line="225" w:lineRule="exact"/>
        <w:rPr>
          <w:sz w:val="20"/>
          <w:szCs w:val="20"/>
          <w:color w:val="auto"/>
        </w:rPr>
      </w:pPr>
    </w:p>
    <w:p>
      <w:pPr>
        <w:ind w:right="220" w:firstLine="348"/>
        <w:spacing w:after="0" w:line="275" w:lineRule="auto"/>
        <w:rPr>
          <w:sz w:val="20"/>
          <w:szCs w:val="20"/>
          <w:color w:val="auto"/>
        </w:rPr>
      </w:pPr>
      <w:r>
        <w:rPr>
          <w:rFonts w:ascii="Times New Roman" w:cs="Times New Roman" w:eastAsia="Times New Roman" w:hAnsi="Times New Roman"/>
          <w:sz w:val="18"/>
          <w:szCs w:val="18"/>
          <w:color w:val="auto"/>
        </w:rPr>
        <w:t>When control of the promised products and services is transferred to our customers, we recognize revenue in the amount that reflects the consideration we expect to receive in exchange for these products and services.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determine revenue recognition by:</w:t>
      </w:r>
    </w:p>
    <w:p>
      <w:pPr>
        <w:spacing w:after="0" w:line="239" w:lineRule="exact"/>
        <w:rPr>
          <w:sz w:val="20"/>
          <w:szCs w:val="20"/>
          <w:color w:val="auto"/>
        </w:rPr>
      </w:pPr>
    </w:p>
    <w:p>
      <w:pPr>
        <w:ind w:left="1080" w:hanging="532"/>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or contracts, with a customer;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 in each contract;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the performance obligations in each contract;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we satisfy performance obligations by transferring the promised goods or services.</w:t>
      </w:r>
    </w:p>
    <w:p>
      <w:pPr>
        <w:spacing w:after="0" w:line="225"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Certain products are sold to customers with a "street date" (which is the earliest date these products may be sold by retailers). For these products, we recognize revenues on the later of the street date and the date the product is sold to our customer. For digital full-game downloads sold to customers, we recognize revenue when it is available for download or is activated for gameplay. Revenues are recorded net of taxes assessed by governmental authorities that are imposed at the time of the specific revenue-producing transaction between us and our customer, such as sales and value-added taxes.</w:t>
      </w:r>
    </w:p>
    <w:p>
      <w:pPr>
        <w:spacing w:after="0" w:line="190"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Payment terms and conditions vary by contract type, although terms generally include a requirement of payment immediately upon purchase or within 30 to 90 days. In instances where the timing of revenue recognition differs from the timing of invoicing, we do not adjust the promised amount of consideration for the effects of a significant financing component when we expect, at contract inception, that the period between our transfer of a promised product or service to our customer and payment for that product or service will be one year or less.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w:t>
      </w:r>
    </w:p>
    <w:p>
      <w:pPr>
        <w:spacing w:after="0" w:line="227" w:lineRule="exact"/>
        <w:rPr>
          <w:sz w:val="20"/>
          <w:szCs w:val="20"/>
          <w:color w:val="auto"/>
        </w:rPr>
      </w:pPr>
    </w:p>
    <w:p>
      <w:pPr>
        <w:ind w:right="580" w:firstLine="351"/>
        <w:spacing w:after="0" w:line="339" w:lineRule="auto"/>
        <w:rPr>
          <w:sz w:val="20"/>
          <w:szCs w:val="20"/>
          <w:color w:val="auto"/>
        </w:rPr>
      </w:pPr>
      <w:r>
        <w:rPr>
          <w:rFonts w:ascii="Times New Roman" w:cs="Times New Roman" w:eastAsia="Times New Roman" w:hAnsi="Times New Roman"/>
          <w:sz w:val="16"/>
          <w:szCs w:val="16"/>
          <w:color w:val="auto"/>
        </w:rPr>
        <w:t>Product sales consist of sales of our games, including physical products and digital full-game downloads. We recognize revenues from the sale of our products after both (1) control of the products has been transferred to our customers and (2) the underlying performance obligations have been satisfied.</w:t>
      </w:r>
    </w:p>
    <w:p>
      <w:pPr>
        <w:spacing w:after="0" w:line="128"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Revenues from product sales are recognized after deducting the estimated allowance for returns and price protection, which are accounted for as variable consideration when estimating the amount of revenue to recognize. Returns and price protection are estimated at contract inception and updated at the end of each reporting period as additional information becomes available.</w:t>
      </w:r>
    </w:p>
    <w:p>
      <w:pPr>
        <w:spacing w:after="0" w:line="186" w:lineRule="exact"/>
        <w:rPr>
          <w:sz w:val="20"/>
          <w:szCs w:val="20"/>
          <w:color w:val="auto"/>
        </w:rPr>
      </w:pPr>
    </w:p>
    <w:p>
      <w:pPr>
        <w:ind w:right="620" w:firstLine="351"/>
        <w:spacing w:after="0" w:line="275" w:lineRule="auto"/>
        <w:rPr>
          <w:sz w:val="20"/>
          <w:szCs w:val="20"/>
          <w:color w:val="auto"/>
        </w:rPr>
      </w:pPr>
      <w:r>
        <w:rPr>
          <w:rFonts w:ascii="Times New Roman" w:cs="Times New Roman" w:eastAsia="Times New Roman" w:hAnsi="Times New Roman"/>
          <w:sz w:val="18"/>
          <w:szCs w:val="18"/>
          <w:color w:val="auto"/>
        </w:rPr>
        <w:t>Sales incentives and other consideration given by us to our customers, such as rebates and product placement fees, are considered adjustments of the transaction price of our products and are reflected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7" w:lineRule="exact"/>
        <w:rPr>
          <w:sz w:val="20"/>
          <w:szCs w:val="20"/>
          <w:color w:val="auto"/>
        </w:rPr>
      </w:pPr>
    </w:p>
    <w:p>
      <w:pPr>
        <w:ind w:right="480"/>
        <w:spacing w:after="0" w:line="262" w:lineRule="auto"/>
        <w:rPr>
          <w:sz w:val="20"/>
          <w:szCs w:val="20"/>
          <w:color w:val="auto"/>
        </w:rPr>
      </w:pPr>
      <w:r>
        <w:rPr>
          <w:rFonts w:ascii="Times New Roman" w:cs="Times New Roman" w:eastAsia="Times New Roman" w:hAnsi="Times New Roman"/>
          <w:sz w:val="18"/>
          <w:szCs w:val="18"/>
          <w:color w:val="auto"/>
        </w:rPr>
        <w:t>as reductions to revenues. Sales incentives and other consideration that represent costs incurred by us for distinct goods or services received, such as the appearance of our products in a customer's national circular ad, are recorded as "Sales and marketing" expense when the benefit from the sales incentive is separable from sales to the same customer and we can reasonably estimate the fair value of the good or service.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Products with Online Functionality</w:t>
      </w:r>
    </w:p>
    <w:p>
      <w:pPr>
        <w:spacing w:after="0" w:line="227"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For our software products that include both offline functionality (i.e., do not require an Internet connection to access) and significant online functionality, such as for most of our titles from the Call of Duty franchise, we evaluate whether the license of our intellectual property and the online functionality are distinct and separable. This evaluation is performed for each software product or product add-on, including downloadable content. If we determine that our software products contain a license of intellectual property separate from the online functionality, we consider market conditions and other observable inputs to estimate the transaction price for the license, since we do not generally sell the software license on a standalone basis. These products may be sold in a bundle with other products and services, which often results in the recognition of additional performance obligations.</w:t>
      </w:r>
    </w:p>
    <w:p>
      <w:pPr>
        <w:spacing w:after="0" w:line="193" w:lineRule="exact"/>
        <w:rPr>
          <w:sz w:val="20"/>
          <w:szCs w:val="20"/>
          <w:color w:val="auto"/>
        </w:rPr>
      </w:pPr>
    </w:p>
    <w:p>
      <w:pPr>
        <w:ind w:right="160" w:firstLine="348"/>
        <w:spacing w:after="0" w:line="256" w:lineRule="auto"/>
        <w:rPr>
          <w:sz w:val="20"/>
          <w:szCs w:val="20"/>
          <w:color w:val="auto"/>
        </w:rPr>
      </w:pPr>
      <w:r>
        <w:rPr>
          <w:rFonts w:ascii="Times New Roman" w:cs="Times New Roman" w:eastAsia="Times New Roman" w:hAnsi="Times New Roman"/>
          <w:sz w:val="18"/>
          <w:szCs w:val="18"/>
          <w:color w:val="auto"/>
        </w:rPr>
        <w:t>We recognize revenue for arrangements that include both a license of intellectual property and separate online functionality when control of the license transfers to our customers for the portion of the transaction price allocable to the license and ratably over the estimated service period for the portion of the transaction price allocable to the online functionality. Similarly, we defer a portion of the cost of revenues on these arrangements and recognize the costs as the related revenues are recognized. The cost of revenues that are deferred include product costs, distribution costs, and software royalties, amortization, and intellectual property licenses, and excludes intangible asset amortization.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Online Hosted Software Arrangements</w:t>
      </w:r>
    </w:p>
    <w:p>
      <w:pPr>
        <w:spacing w:after="0" w:line="22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For our online hosted software arrangements, such as titles for the Overwatch, World of Warcraft, and Candy Crush franchises, substantially all gameplay and functionality are obtained through our continuous hosting of the game content for the player. Similar to our software products with online functionality, these arrangements may include other products and services, which often results in the recognition of additional performance obligations. Revenues related to online hosted software arrangements are generally recognized ratably over the estimated service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Arrangements</w:t>
      </w:r>
    </w:p>
    <w:p>
      <w:pPr>
        <w:spacing w:after="0" w:line="225" w:lineRule="exact"/>
        <w:rPr>
          <w:sz w:val="20"/>
          <w:szCs w:val="20"/>
          <w:color w:val="auto"/>
        </w:rPr>
      </w:pPr>
    </w:p>
    <w:p>
      <w:pPr>
        <w:ind w:right="120" w:firstLine="351"/>
        <w:spacing w:after="0" w:line="264" w:lineRule="auto"/>
        <w:rPr>
          <w:sz w:val="20"/>
          <w:szCs w:val="20"/>
          <w:color w:val="auto"/>
        </w:rPr>
      </w:pPr>
      <w:r>
        <w:rPr>
          <w:rFonts w:ascii="Times New Roman" w:cs="Times New Roman" w:eastAsia="Times New Roman" w:hAnsi="Times New Roman"/>
          <w:sz w:val="18"/>
          <w:szCs w:val="18"/>
          <w:color w:val="auto"/>
        </w:rPr>
        <w:t xml:space="preserve">Subscription revenue arrangements are mostly derived from </w:t>
      </w:r>
      <w:r>
        <w:rPr>
          <w:rFonts w:ascii="Times New Roman" w:cs="Times New Roman" w:eastAsia="Times New Roman" w:hAnsi="Times New Roman"/>
          <w:sz w:val="18"/>
          <w:szCs w:val="18"/>
          <w:i w:val="1"/>
          <w:iCs w:val="1"/>
          <w:color w:val="auto"/>
        </w:rPr>
        <w:t>World of Warcraft</w:t>
      </w:r>
      <w:r>
        <w:rPr>
          <w:rFonts w:ascii="Times New Roman" w:cs="Times New Roman" w:eastAsia="Times New Roman" w:hAnsi="Times New Roman"/>
          <w:sz w:val="18"/>
          <w:szCs w:val="18"/>
          <w:color w:val="auto"/>
        </w:rPr>
        <w:t>, which is playable through Blizzard's servers and is generally sold on a subscription-only basis. Revenues associated with the sales of subscriptions are deferred until the subscription service is activated by the consumer and are then recognized ratably over the subscription period as the performance obligations are satisfied.</w:t>
      </w:r>
    </w:p>
    <w:p>
      <w:pPr>
        <w:spacing w:after="0" w:line="181" w:lineRule="exact"/>
        <w:rPr>
          <w:sz w:val="20"/>
          <w:szCs w:val="20"/>
          <w:color w:val="auto"/>
        </w:rPr>
      </w:pPr>
    </w:p>
    <w:p>
      <w:pPr>
        <w:ind w:right="20" w:firstLine="351"/>
        <w:spacing w:after="0" w:line="277" w:lineRule="auto"/>
        <w:rPr>
          <w:sz w:val="20"/>
          <w:szCs w:val="20"/>
          <w:color w:val="auto"/>
        </w:rPr>
      </w:pPr>
      <w:r>
        <w:rPr>
          <w:rFonts w:ascii="Times New Roman" w:cs="Times New Roman" w:eastAsia="Times New Roman" w:hAnsi="Times New Roman"/>
          <w:sz w:val="18"/>
          <w:szCs w:val="18"/>
          <w:color w:val="auto"/>
        </w:rPr>
        <w:t xml:space="preserve">Revenues attributable to the purchase of </w:t>
      </w:r>
      <w:r>
        <w:rPr>
          <w:rFonts w:ascii="Times New Roman" w:cs="Times New Roman" w:eastAsia="Times New Roman" w:hAnsi="Times New Roman"/>
          <w:sz w:val="18"/>
          <w:szCs w:val="18"/>
          <w:i w:val="1"/>
          <w:iCs w:val="1"/>
          <w:color w:val="auto"/>
        </w:rPr>
        <w:t>World of Warcraft</w:t>
      </w:r>
      <w:r>
        <w:rPr>
          <w:rFonts w:ascii="Times New Roman" w:cs="Times New Roman" w:eastAsia="Times New Roman" w:hAnsi="Times New Roman"/>
          <w:sz w:val="18"/>
          <w:szCs w:val="18"/>
          <w:color w:val="auto"/>
        </w:rPr>
        <w:t xml:space="preserve"> software by our customers, including expansion packs, are classified as "Product sales," whereas revenues attributable to subscriptions and other in-game revenues are classified as "Subscription, licensing, and other revenues."</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Licensing Revenues</w:t>
      </w:r>
    </w:p>
    <w:p>
      <w:pPr>
        <w:spacing w:after="0" w:line="227" w:lineRule="exact"/>
        <w:rPr>
          <w:sz w:val="20"/>
          <w:szCs w:val="20"/>
          <w:color w:val="auto"/>
        </w:rPr>
      </w:pPr>
    </w:p>
    <w:p>
      <w:pPr>
        <w:ind w:right="20" w:firstLine="351"/>
        <w:spacing w:after="0" w:line="291" w:lineRule="auto"/>
        <w:rPr>
          <w:sz w:val="20"/>
          <w:szCs w:val="20"/>
          <w:color w:val="auto"/>
        </w:rPr>
      </w:pPr>
      <w:r>
        <w:rPr>
          <w:rFonts w:ascii="Times New Roman" w:cs="Times New Roman" w:eastAsia="Times New Roman" w:hAnsi="Times New Roman"/>
          <w:sz w:val="16"/>
          <w:szCs w:val="16"/>
          <w:color w:val="auto"/>
        </w:rPr>
        <w:t>In certain countries, we utilize third-party licensees to distribute and host our games in accordance with license agreements, for which the licensees typically pay us a fixed minimum guarantee and sales-based royalties. These arrangements typically include multiple performance obligations, such as an upfront license of intellectual property and rights to specified or unspecified future updates. Our estimate of the selling price is comprised of several factors including, but not limited to, prior selling prices, prices charged separately by other third-party vendors for similar service offerings, and a cost-plus-margin approach. Based on the allocated transaction price, we recognize revenue associated with the minimum guarantee (1) when we transfer control of the upfront license of intellectual property, (2) upon transfer of control of future specified updates, and/or (3) ratably over the contractual term in which we provide the customer with unspecified future updates. Royalty payments in excess of the minimum guarantee are generally recognized when the licensed product is sold by the licensee.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Revenues</w:t>
      </w:r>
    </w:p>
    <w:p>
      <w:pPr>
        <w:spacing w:after="0" w:line="227" w:lineRule="exact"/>
        <w:rPr>
          <w:sz w:val="20"/>
          <w:szCs w:val="20"/>
          <w:color w:val="auto"/>
        </w:rPr>
      </w:pPr>
    </w:p>
    <w:p>
      <w:pPr>
        <w:ind w:right="300" w:firstLine="351"/>
        <w:spacing w:after="0" w:line="275" w:lineRule="auto"/>
        <w:rPr>
          <w:sz w:val="20"/>
          <w:szCs w:val="20"/>
          <w:color w:val="auto"/>
        </w:rPr>
      </w:pPr>
      <w:r>
        <w:rPr>
          <w:rFonts w:ascii="Times New Roman" w:cs="Times New Roman" w:eastAsia="Times New Roman" w:hAnsi="Times New Roman"/>
          <w:sz w:val="18"/>
          <w:szCs w:val="18"/>
          <w:color w:val="auto"/>
        </w:rPr>
        <w:t>Other revenues primarily include revenues from downloadable content (e.g., multi-player content packs), microtransactions, and licensing of intellectual property other than software to third-parties.</w:t>
      </w:r>
    </w:p>
    <w:p>
      <w:pPr>
        <w:spacing w:after="0" w:line="174"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Microtransaction revenues are derived from the sale of virtual currencies and goods to our players to enhance their gameplay experience. Proceeds from these sales of virtual currencies and goods are initially recorded in deferred revenue. Proceeds from the sales of virtual currencies are recognized as revenues when a player uses the virtual goods purchased with a virtual currency. Proceeds from the sales of virtual goods directly are similarly recognized as revenues when a player uses the virtual goods. We categorize our virtual goods as either "consumable" or "durable." Consumable virtual goods represent goods that can be consumed by a specific player action; accordingly, we recognize revenues from the sale of consumable virtual goods as the goods are consumed and our performance obligation is satisfied. Durable virtual goods represent goods that are accessible to the player over an extended period of time; accordingly, we recognize revenues from the sale of durable virtual goods ratably over the period of time the goods are available to the player and our performance obligation is satisfied, which is generally the estimated service period.</w:t>
      </w:r>
    </w:p>
    <w:p>
      <w:pPr>
        <w:spacing w:after="0" w:line="192"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Revenues from the licensing of intellectual property other than software to third parties primarily include the licensing of our (1) brand, logo, or franchise to customers and (2) media content. Fixed fee payments from customers for the license of our brand or franchise are generally recognized over the license term. Fixed fee payments from customers for the license of our media content are generally recognized when control has transferred to the customer, which may be upfront or over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Judgment around Revenue Arrangements with Multiple Deliverables</w:t>
      </w:r>
    </w:p>
    <w:p>
      <w:pPr>
        <w:spacing w:after="0" w:line="227"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Our contracts with customers often include promises to transfer multiple products and services. Determining whether products and services are considered distinct performance obligations that should be accounted for separately versus together may require significant judgment. Certain of our games, such as titles in the Call of Duty franchise, may contain a license of our intellectual property to play the game offline, but also depend on a significant level of integration and interdependency with the online functionality. In these cases, significant judgment is required to determine whether this license of our intellectual property should be considered distinct and accounted for separately, or not distinct and</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accounted for together with the online functionality provided and recognized over time. Generally, for titles in which the software license is functional without the online functionality and a significant component of gameplay is available offline, we believe we have separate performance obligations for the license of the intellectual property and the online functionality.</w:t>
      </w:r>
    </w:p>
    <w:p>
      <w:pPr>
        <w:spacing w:after="0" w:line="186" w:lineRule="exact"/>
        <w:rPr>
          <w:sz w:val="20"/>
          <w:szCs w:val="20"/>
          <w:color w:val="auto"/>
        </w:rPr>
      </w:pPr>
    </w:p>
    <w:p>
      <w:pPr>
        <w:ind w:right="140" w:firstLine="351"/>
        <w:spacing w:after="0" w:line="258" w:lineRule="auto"/>
        <w:rPr>
          <w:sz w:val="20"/>
          <w:szCs w:val="20"/>
          <w:color w:val="auto"/>
        </w:rPr>
      </w:pPr>
      <w:r>
        <w:rPr>
          <w:rFonts w:ascii="Times New Roman" w:cs="Times New Roman" w:eastAsia="Times New Roman" w:hAnsi="Times New Roman"/>
          <w:sz w:val="18"/>
          <w:szCs w:val="18"/>
          <w:color w:val="auto"/>
        </w:rPr>
        <w:t>Significant judgment is also required to determine the standalone selling price for each distinct performance obligation and to determine whether there is a discount that needs to be allocated based on the relative standalone selling price of the various products and services. To estimate the standalone selling price we consider market data, including our pricing strategies for the product being evaluated and other similar products we may offer, competitor pricing to the extent data is available, and costs to determine whether the estimated selling price yields an appropriate profit margin.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Estimated Service Period</w:t>
      </w:r>
    </w:p>
    <w:p>
      <w:pPr>
        <w:spacing w:after="0" w:line="227"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We consider a variety of data points when determining the estimated service period for players of our games, including the weighted average number of days between players' first and last days played online, the average total hours played, the average number of days in which player activity stabilizes, and the weighted-average number of days between players' first purchase date and last date played online. We also consider known online trends, the service periods of our previously released games, and, to the extent publicly available, the service periods of our competitors' games that are similar in nature to ours. We believe this provides a reasonable depiction of the transfer of services to our customers, as it is the best representation of the time period during which our customers play our games. Determining the estimated service period is subjective and requires management's judgment. Future usage patterns may differ from historical usage patterns, and therefore the estimated service period may change in the future. The estimated service periods for players of our current games are generally less than 12 months.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Agent Considerations</w:t>
      </w:r>
    </w:p>
    <w:p>
      <w:pPr>
        <w:spacing w:after="0" w:line="227" w:lineRule="exact"/>
        <w:rPr>
          <w:sz w:val="20"/>
          <w:szCs w:val="20"/>
          <w:color w:val="auto"/>
        </w:rPr>
      </w:pPr>
    </w:p>
    <w:p>
      <w:pPr>
        <w:ind w:right="200" w:firstLine="348"/>
        <w:spacing w:after="0" w:line="262" w:lineRule="auto"/>
        <w:rPr>
          <w:sz w:val="20"/>
          <w:szCs w:val="20"/>
          <w:color w:val="auto"/>
        </w:rPr>
      </w:pPr>
      <w:r>
        <w:rPr>
          <w:rFonts w:ascii="Times New Roman" w:cs="Times New Roman" w:eastAsia="Times New Roman" w:hAnsi="Times New Roman"/>
          <w:sz w:val="18"/>
          <w:szCs w:val="18"/>
          <w:color w:val="auto"/>
        </w:rPr>
        <w:t>We evaluate sales of our products and content via third-party digital storefronts, such as Microsoft's Xbox Games Store, Sony's PSN, the Apple App Store, and the Google Play Store, to determine whether revenues should be reported gross or net of fees retained by the storefront. Key indicators that we evaluate in determining whether we are the principal in the sale (gross reporting) or an agent (net reporting) include, but are not limited to:</w:t>
      </w:r>
    </w:p>
    <w:p>
      <w:pPr>
        <w:spacing w:after="0" w:line="200" w:lineRule="exact"/>
        <w:rPr>
          <w:sz w:val="20"/>
          <w:szCs w:val="20"/>
          <w:color w:val="auto"/>
        </w:rPr>
      </w:pPr>
    </w:p>
    <w:p>
      <w:pPr>
        <w:ind w:left="1080" w:hanging="532"/>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party is primarily responsible for fulfilling the promise to provide the specified good or service;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party has discretion in establishing the price for the specified good or service.</w:t>
      </w:r>
    </w:p>
    <w:p>
      <w:pPr>
        <w:spacing w:after="0" w:line="225" w:lineRule="exact"/>
        <w:rPr>
          <w:sz w:val="20"/>
          <w:szCs w:val="20"/>
          <w:color w:val="auto"/>
        </w:rPr>
      </w:pPr>
    </w:p>
    <w:p>
      <w:pPr>
        <w:ind w:right="280" w:firstLine="351"/>
        <w:spacing w:after="0" w:line="262" w:lineRule="auto"/>
        <w:rPr>
          <w:sz w:val="20"/>
          <w:szCs w:val="20"/>
          <w:color w:val="auto"/>
        </w:rPr>
      </w:pPr>
      <w:r>
        <w:rPr>
          <w:rFonts w:ascii="Times New Roman" w:cs="Times New Roman" w:eastAsia="Times New Roman" w:hAnsi="Times New Roman"/>
          <w:sz w:val="18"/>
          <w:szCs w:val="18"/>
          <w:color w:val="auto"/>
        </w:rPr>
        <w:t>Based on our evaluation of the above indicators, we report revenues on a gross basis for sales arrangements via the Apple App Store and the Google Play Store, and we report revenues on a net basis (i.e., net of fees retained by the digital storefront) for sales arrangements via Microsoft's Xbox Games Store and Sony's PSN.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Allowances for Returns and Price Protection</w:t>
      </w:r>
    </w:p>
    <w:p>
      <w:pPr>
        <w:spacing w:after="0" w:line="229"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 closely monitor and analyze the historical performance of our various titles, the performance of products released by other publishers, market conditions, and the anticipated timing of other releases to assess future demand of current and upcoming titles. Initial volumes shipped upon title launch and subsequent reorders are evaluated with the goal of ensuring that quantities are sufficient to meet the demand from the retail markets, but at the same time are controlled to prevent excess inventory in the channel. We benchmark units to be shipped to our customers using historical and industry data.</w:t>
      </w:r>
    </w:p>
    <w:p>
      <w:pPr>
        <w:spacing w:after="0" w:line="190" w:lineRule="exact"/>
        <w:rPr>
          <w:sz w:val="20"/>
          <w:szCs w:val="20"/>
          <w:color w:val="auto"/>
        </w:rPr>
      </w:pPr>
    </w:p>
    <w:p>
      <w:pPr>
        <w:ind w:right="240" w:firstLine="348"/>
        <w:spacing w:after="0" w:line="255" w:lineRule="auto"/>
        <w:rPr>
          <w:sz w:val="20"/>
          <w:szCs w:val="20"/>
          <w:color w:val="auto"/>
        </w:rPr>
      </w:pPr>
      <w:r>
        <w:rPr>
          <w:rFonts w:ascii="Times New Roman" w:cs="Times New Roman" w:eastAsia="Times New Roman" w:hAnsi="Times New Roman"/>
          <w:sz w:val="18"/>
          <w:szCs w:val="18"/>
          <w:color w:val="auto"/>
        </w:rPr>
        <w:t>We may permit product returns from, or grant price protection to, our customers under certain conditions. In general, price protection refers to the circumstances in which we elect to decrease, on a short- or longer-term basis, the wholesale price of a product by a certain amount and, when granted and applicable, allow customers a credit against amounts owed by such customers to us with respect to open and/or future invoices. The conditions our customers must meet to be granted the right to return products or receive price protection credits include, among other things, compliance with applicable trading and payment terms and consistent return of inventory and delivery of sell-through reports to us. We may also consider other factors, including achievement of sell-through performance targets, the facilitation of slow-moving inventory, and other market factors.</w:t>
      </w:r>
    </w:p>
    <w:p>
      <w:pPr>
        <w:spacing w:after="0" w:line="193" w:lineRule="exact"/>
        <w:rPr>
          <w:sz w:val="20"/>
          <w:szCs w:val="20"/>
          <w:color w:val="auto"/>
        </w:rPr>
      </w:pPr>
    </w:p>
    <w:p>
      <w:pPr>
        <w:ind w:firstLine="351"/>
        <w:spacing w:after="0" w:line="289" w:lineRule="auto"/>
        <w:rPr>
          <w:sz w:val="20"/>
          <w:szCs w:val="20"/>
          <w:color w:val="auto"/>
        </w:rPr>
      </w:pPr>
      <w:r>
        <w:rPr>
          <w:rFonts w:ascii="Times New Roman" w:cs="Times New Roman" w:eastAsia="Times New Roman" w:hAnsi="Times New Roman"/>
          <w:sz w:val="16"/>
          <w:szCs w:val="16"/>
          <w:color w:val="auto"/>
        </w:rPr>
        <w:t>Significant management judgments and estimates with respect to potential future product returns and price protection related to current period product revenues must be made and used when establishing the allowance for returns and price protection in any accounting period. We estimate the amount of future returns and price protection for current period product revenues utilizing historical experience and information regarding inventory levels and the demand and acceptance of our products by the end consumer, and record revenue for the transferred products in the amount of consideration to which we expect to be entitled. The following factors are used to estimate the amount of future returns and price protection for a particular title: historical performance of titles in similar genres; historical performance of the hardware platform; historical performance of the franchise; console hardware life cycle; sales force and retail customer feedback; industry pricing; future pricing assumptions; weeks of on-hand retail channel inventory; absolute quantity of on-hand retail channel inventory; our warehouse on-hand inventory levels; the title's recent sell-through history (if available); marketing trade programs; and the performance of competing titles. The relative importance of these factors varies among titles depending upon, among other things, genre, platform, seasonality, and sales strategy.</w:t>
      </w:r>
    </w:p>
    <w:p>
      <w:pPr>
        <w:spacing w:after="0" w:line="167" w:lineRule="exact"/>
        <w:rPr>
          <w:sz w:val="20"/>
          <w:szCs w:val="20"/>
          <w:color w:val="auto"/>
        </w:rPr>
      </w:pPr>
    </w:p>
    <w:p>
      <w:pPr>
        <w:ind w:right="100" w:firstLine="351"/>
        <w:spacing w:after="0" w:line="256" w:lineRule="auto"/>
        <w:rPr>
          <w:sz w:val="20"/>
          <w:szCs w:val="20"/>
          <w:color w:val="auto"/>
        </w:rPr>
      </w:pPr>
      <w:r>
        <w:rPr>
          <w:rFonts w:ascii="Times New Roman" w:cs="Times New Roman" w:eastAsia="Times New Roman" w:hAnsi="Times New Roman"/>
          <w:sz w:val="18"/>
          <w:szCs w:val="18"/>
          <w:color w:val="auto"/>
        </w:rPr>
        <w:t>Based upon historical experience, we believe that our estimates are reasonable. However, actual returns and price protection could vary materially from our allowance estimates due to a number of reasons, including, among others: a lack of consumer acceptance of a title, the release in the same period of a similarly themed title by a competitor, or technological obsolescence due to the emergence of new hardware platforms. There may be material differences in the amount and timing of our revenues for any period if factors or market conditions change or if matters resolve in a manner that is inconsistent with management's assumptions utilized in determining the allowances for returns and price protection.</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We generally record a receivable related to revenue when we have an unconditional right to invoice and receive payment, and record deferred revenue when cash payments are received or due in advance of our performance, even if amounts are refundable.</w:t>
      </w:r>
    </w:p>
    <w:p>
      <w:pPr>
        <w:spacing w:after="0" w:line="174" w:lineRule="exact"/>
        <w:rPr>
          <w:sz w:val="20"/>
          <w:szCs w:val="20"/>
          <w:color w:val="auto"/>
        </w:rPr>
      </w:pPr>
    </w:p>
    <w:p>
      <w:pPr>
        <w:ind w:firstLine="348"/>
        <w:spacing w:after="0" w:line="301" w:lineRule="auto"/>
        <w:rPr>
          <w:sz w:val="20"/>
          <w:szCs w:val="20"/>
          <w:color w:val="auto"/>
        </w:rPr>
      </w:pPr>
      <w:r>
        <w:rPr>
          <w:rFonts w:ascii="Times New Roman" w:cs="Times New Roman" w:eastAsia="Times New Roman" w:hAnsi="Times New Roman"/>
          <w:sz w:val="16"/>
          <w:szCs w:val="16"/>
          <w:color w:val="auto"/>
        </w:rPr>
        <w:t>The allowance for doubtful accounts reflects our best estimate of probable losses inherent in our accounts receivable balance. In estimating the allowance for doubtful accounts, we analyze the age of current outstanding account balances, historical bad debts, customer concentrations, customer creditworthiness, current economic trends, and changes in our customers' payment terms and their economic condition, as well as whether we can obtain sufficient credit insurance. Any significant changes in any of these criteria would affect management's estimates in establishing our allowance for doubtful accounts.</w:t>
      </w:r>
    </w:p>
    <w:p>
      <w:pPr>
        <w:spacing w:after="0" w:line="157" w:lineRule="exact"/>
        <w:rPr>
          <w:sz w:val="20"/>
          <w:szCs w:val="20"/>
          <w:color w:val="auto"/>
        </w:rPr>
      </w:pPr>
    </w:p>
    <w:p>
      <w:pPr>
        <w:ind w:right="300" w:firstLine="351"/>
        <w:spacing w:after="0" w:line="301" w:lineRule="auto"/>
        <w:rPr>
          <w:sz w:val="20"/>
          <w:szCs w:val="20"/>
          <w:color w:val="auto"/>
        </w:rPr>
      </w:pPr>
      <w:r>
        <w:rPr>
          <w:rFonts w:ascii="Times New Roman" w:cs="Times New Roman" w:eastAsia="Times New Roman" w:hAnsi="Times New Roman"/>
          <w:sz w:val="16"/>
          <w:szCs w:val="16"/>
          <w:color w:val="auto"/>
        </w:rPr>
        <w:t>Deferred revenue is comprised primarily of unearned revenue related to the sale of products with online functionality or online hosted arrangements. We typically invoice, and collect payment for, these sales at the beginning of the contract period and recognize revenue ratably over the estimated service period. Deferred revenue also includes payments for: product sales pending delivery or activation; subscription revenues; licensing revenues with fixed minimum guarantees; and other revenues for which we have been paid in advance and earn the revenue when we transfer control of the product or service.</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Refer to Note 12 for further information, including changes in deferred revenue during the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w:t>
      </w:r>
    </w:p>
    <w:p>
      <w:pPr>
        <w:spacing w:after="0" w:line="229"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Shipping and handling costs consist primarily of packaging and transportation charges incurred to move finished goods to customers. We recognize all shipping and handling costs as an expense in "Cost of revenues-product costs," including those incurred when control of the product has already transferred to the customer.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cost of revenues consist of the following:</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Cost of revenues—product sales:</w:t>
      </w:r>
    </w:p>
    <w:p>
      <w:pPr>
        <w:spacing w:after="0" w:line="241" w:lineRule="exact"/>
        <w:rPr>
          <w:sz w:val="20"/>
          <w:szCs w:val="20"/>
          <w:color w:val="auto"/>
        </w:rPr>
      </w:pPr>
    </w:p>
    <w:p>
      <w:pPr>
        <w:ind w:left="1080" w:right="160" w:hanging="532"/>
        <w:spacing w:after="0" w:line="26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costs"—includes the manufacturing costs of goods produced and sold. These generally include product costs, manufacturing royalties (net of volume discounts), personnel-related costs, warehousing, and distribution costs. We generally recognize volume discounts when they are earned (typically in connection with the achievement of unit-based milestones).</w:t>
      </w:r>
    </w:p>
    <w:p>
      <w:pPr>
        <w:spacing w:after="0" w:line="213" w:lineRule="exact"/>
        <w:rPr>
          <w:rFonts w:ascii="Times New Roman" w:cs="Times New Roman" w:eastAsia="Times New Roman" w:hAnsi="Times New Roman"/>
          <w:sz w:val="18"/>
          <w:szCs w:val="18"/>
          <w:color w:val="auto"/>
        </w:rPr>
      </w:pPr>
    </w:p>
    <w:p>
      <w:pPr>
        <w:ind w:left="1080" w:right="120" w:hanging="532"/>
        <w:spacing w:after="0" w:line="258"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royalties, amortization, and intellectual property licenses"—includes the amortization of capitalized software costs and royalties attributable to product sales revenues. These are costs capitalized on the balance sheet until the respective games are released, at which time the capitalized costs are amortized. Also included is amortization of intangible assets recognized in purchase accounting attributable to product sales revenues.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60" w:right="6620" w:hanging="352"/>
        <w:spacing w:after="0" w:line="565" w:lineRule="auto"/>
        <w:tabs>
          <w:tab w:leader="none" w:pos="184" w:val="left"/>
        </w:tabs>
        <w:numPr>
          <w:ilvl w:val="0"/>
          <w:numId w:val="8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Summary of Significant Accounting Policies (Continued) </w:t>
      </w:r>
      <w:r>
        <w:rPr>
          <w:rFonts w:ascii="Times New Roman" w:cs="Times New Roman" w:eastAsia="Times New Roman" w:hAnsi="Times New Roman"/>
          <w:sz w:val="16"/>
          <w:szCs w:val="16"/>
          <w:i w:val="1"/>
          <w:iCs w:val="1"/>
          <w:color w:val="auto"/>
        </w:rPr>
        <w:t>Cost of revenues—subscription, licensing, and other revenues:</w:t>
      </w:r>
    </w:p>
    <w:p>
      <w:pPr>
        <w:spacing w:after="0" w:line="13" w:lineRule="exact"/>
        <w:rPr>
          <w:rFonts w:ascii="Times New Roman" w:cs="Times New Roman" w:eastAsia="Times New Roman" w:hAnsi="Times New Roman"/>
          <w:sz w:val="16"/>
          <w:szCs w:val="16"/>
          <w:b w:val="1"/>
          <w:bCs w:val="1"/>
          <w:color w:val="auto"/>
        </w:rPr>
      </w:pPr>
    </w:p>
    <w:p>
      <w:pPr>
        <w:ind w:left="1080" w:right="280" w:hanging="532"/>
        <w:spacing w:after="0" w:line="275" w:lineRule="auto"/>
        <w:tabs>
          <w:tab w:leader="none" w:pos="10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"Game operations and distribution costs"—includes costs to operate our games, such as customer service, Internet bandwidth and server costs, platform provider fee, and payment provider fees, along with costs to associated with our esports activities.</w:t>
      </w:r>
    </w:p>
    <w:p>
      <w:pPr>
        <w:spacing w:after="0" w:line="200"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royalties, amortization, and intellectual property licenses"—includes the amortization of capitalized software costs and royalties attributable to subscription, licensing and other revenues. These are costs capitalized on the balance sheet until the respective games are released, at which time the capitalized costs are amortized. Also included is amortization of intangible assets recognized in purchase accounting attributable to subscription, licensing and other revenues.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229"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We expense advertising as incurred, except for production costs associated with media advertising, which are deferred and charged to expense when the related advertisement is run for the first time. Advertising expenses for the years ended December 31, 2018, 2017, and 2016 were $631 million, $708 million, and $641 million, respectively, and are included in "Sales and marketing" in the consolidated statements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140" w:firstLine="348"/>
        <w:spacing w:after="0" w:line="254" w:lineRule="auto"/>
        <w:rPr>
          <w:sz w:val="20"/>
          <w:szCs w:val="20"/>
          <w:color w:val="auto"/>
        </w:rPr>
      </w:pPr>
      <w:r>
        <w:rPr>
          <w:rFonts w:ascii="Times New Roman" w:cs="Times New Roman" w:eastAsia="Times New Roman" w:hAnsi="Times New Roman"/>
          <w:sz w:val="18"/>
          <w:szCs w:val="18"/>
          <w:color w:val="auto"/>
        </w:rPr>
        <w:t>We record a tax provision for the anticipated tax consequences of the reported results of operations. In accordance with ASC Topic 740, the provision for income taxes is computed using the asset and liability method, under which deferred tax assets and liabilities are recognized for the expected future tax consequences attributable to differences between the financial statement carrying amounts of existing assets and liabilities and their respective tax bases and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due to a change in tax rates is recognized in income in the period that includes the enactment date. We evaluate deferred tax assets each period for recoverability. For those assets that do not meet the threshold of "more likely than not" that they will be realized in the future, a valuation allowance is recorded.</w:t>
      </w:r>
    </w:p>
    <w:p>
      <w:pPr>
        <w:spacing w:after="0" w:line="195" w:lineRule="exact"/>
        <w:rPr>
          <w:sz w:val="20"/>
          <w:szCs w:val="20"/>
          <w:color w:val="auto"/>
        </w:rPr>
      </w:pPr>
    </w:p>
    <w:p>
      <w:pPr>
        <w:ind w:right="120" w:firstLine="348"/>
        <w:spacing w:after="0" w:line="275" w:lineRule="auto"/>
        <w:rPr>
          <w:sz w:val="20"/>
          <w:szCs w:val="20"/>
          <w:color w:val="auto"/>
        </w:rPr>
      </w:pPr>
      <w:r>
        <w:rPr>
          <w:rFonts w:ascii="Times New Roman" w:cs="Times New Roman" w:eastAsia="Times New Roman" w:hAnsi="Times New Roman"/>
          <w:sz w:val="18"/>
          <w:szCs w:val="18"/>
          <w:color w:val="auto"/>
        </w:rPr>
        <w:t>We report a liability for unrecognized tax benefits resulting from uncertain tax positions taken or expected to be taken in a tax return. We recognize interest and penalties, if any, related to unrecognized tax benefits in "Income tax expense."</w:t>
      </w:r>
    </w:p>
    <w:p>
      <w:pPr>
        <w:spacing w:after="0" w:line="174" w:lineRule="exact"/>
        <w:rPr>
          <w:sz w:val="20"/>
          <w:szCs w:val="20"/>
          <w:color w:val="auto"/>
        </w:rPr>
      </w:pPr>
    </w:p>
    <w:p>
      <w:pPr>
        <w:jc w:val="both"/>
        <w:ind w:right="60" w:firstLine="351"/>
        <w:spacing w:after="0" w:line="262" w:lineRule="auto"/>
        <w:rPr>
          <w:sz w:val="20"/>
          <w:szCs w:val="20"/>
          <w:color w:val="auto"/>
        </w:rPr>
      </w:pPr>
      <w:r>
        <w:rPr>
          <w:rFonts w:ascii="Times New Roman" w:cs="Times New Roman" w:eastAsia="Times New Roman" w:hAnsi="Times New Roman"/>
          <w:sz w:val="18"/>
          <w:szCs w:val="18"/>
          <w:color w:val="auto"/>
        </w:rPr>
        <w:t>On December 22, 2017, tax reform legislation known as the Tax Cuts and Jobs Act (the "U.S. Tax Reform Act") was enacted in the United States. The U.S. Tax Reform Act, among other things, reduced the U.S. corporate income tax rate from 35% to 21% beginning in 2018 and implemented a modified territorial tax system that imposed a one-time tax on deemed repatriated earnings of foreign subsidiaries ("Transition Tax").</w:t>
      </w:r>
    </w:p>
    <w:p>
      <w:pPr>
        <w:spacing w:after="0" w:line="186" w:lineRule="exact"/>
        <w:rPr>
          <w:sz w:val="20"/>
          <w:szCs w:val="20"/>
          <w:color w:val="auto"/>
        </w:rPr>
      </w:pPr>
    </w:p>
    <w:p>
      <w:pPr>
        <w:ind w:right="100" w:firstLine="351"/>
        <w:spacing w:after="0" w:line="262" w:lineRule="auto"/>
        <w:rPr>
          <w:sz w:val="20"/>
          <w:szCs w:val="20"/>
          <w:color w:val="auto"/>
        </w:rPr>
      </w:pPr>
      <w:r>
        <w:rPr>
          <w:rFonts w:ascii="Times New Roman" w:cs="Times New Roman" w:eastAsia="Times New Roman" w:hAnsi="Times New Roman"/>
          <w:sz w:val="18"/>
          <w:szCs w:val="18"/>
          <w:color w:val="auto"/>
        </w:rPr>
        <w:t>On December 22, 2017, the SEC staff issued Staff Accounting Bulletin No. 118 ("SAB 118"), which provides guidance on how to account for the effects of the U.S. Tax Reform Act under ASC 740. SAB 118 enabled companies to record a provisional amount for the effects of the U.S. Tax Reform Act based on a reasonable estimate, subject to adjustment during a measurement period of up to one year,</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8" w:name="page109"/>
    <w:bookmarkEnd w:id="10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until accounting is complete. In the fourth quarter of 2018, we completed our analysis to determine the effects of the U.S. Tax Reform Act. As a result, we made an election to record deferred U.S. taxes with respect to earnings of our foreign subsidiaries subject to global intangible low-taxed income ("GILTI"). Refer to Note 18 for further details regarding this policy election.</w:t>
      </w:r>
    </w:p>
    <w:p>
      <w:pPr>
        <w:spacing w:after="0" w:line="186" w:lineRule="exact"/>
        <w:rPr>
          <w:sz w:val="20"/>
          <w:szCs w:val="20"/>
          <w:color w:val="auto"/>
        </w:rPr>
      </w:pPr>
    </w:p>
    <w:p>
      <w:pPr>
        <w:ind w:right="200" w:firstLine="351"/>
        <w:spacing w:after="0" w:line="275" w:lineRule="auto"/>
        <w:rPr>
          <w:sz w:val="20"/>
          <w:szCs w:val="20"/>
          <w:color w:val="auto"/>
        </w:rPr>
      </w:pPr>
      <w:r>
        <w:rPr>
          <w:rFonts w:ascii="Times New Roman" w:cs="Times New Roman" w:eastAsia="Times New Roman" w:hAnsi="Times New Roman"/>
          <w:sz w:val="18"/>
          <w:szCs w:val="18"/>
          <w:color w:val="auto"/>
        </w:rPr>
        <w:t>Excess tax benefits and tax deficiencies are recorded as an income tax expense or benefit in the consolidated statement of operations and the tax effects of exercised or vested awards are treated as discrete items in the reporting period in which they occur.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ind w:right="60" w:firstLine="341"/>
        <w:spacing w:after="0" w:line="262" w:lineRule="auto"/>
        <w:rPr>
          <w:sz w:val="20"/>
          <w:szCs w:val="20"/>
          <w:color w:val="auto"/>
        </w:rPr>
      </w:pPr>
      <w:r>
        <w:rPr>
          <w:rFonts w:ascii="Times New Roman" w:cs="Times New Roman" w:eastAsia="Times New Roman" w:hAnsi="Times New Roman"/>
          <w:sz w:val="18"/>
          <w:szCs w:val="18"/>
          <w:color w:val="auto"/>
        </w:rPr>
        <w:t>All assets and liabilities of our foreign subsidiaries who have a functional currency other than U.S. dollars are translated into U.S. dollars at the exchange rate in effect at the balance sheet date, and revenue and expenses are translated at average exchange rates during the period. The resulting translation adjustments are reflected as a component of "Accumulated other comprehensive loss" in shareholders' equity.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Common Share</w:t>
      </w:r>
    </w:p>
    <w:p>
      <w:pPr>
        <w:spacing w:after="0" w:line="229"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"Basic (loss) earnings per common share" is computed by dividing income (loss) available to common shareholders by the weighted-average number of common shares outstanding for the periods presented. "Diluted earnings (loss) per common share" is computed by dividing income (loss) available to common shareholders by the weighted-average number of common shares outstanding, increased by the weighted-average number of common stock equivalents. Common stock equivalents are calculated using the treasury stock method and represent incremental shares issuable upon exercise of our outstanding options. However, potential common shares are not included in the denominator of the diluted earnings (loss) per common share calculation when inclusion of such shares would be anti-dilutive, such as in a period in which a net loss is recorded.</w:t>
      </w:r>
    </w:p>
    <w:p>
      <w:pPr>
        <w:spacing w:after="0" w:line="193" w:lineRule="exact"/>
        <w:rPr>
          <w:sz w:val="20"/>
          <w:szCs w:val="20"/>
          <w:color w:val="auto"/>
        </w:rPr>
      </w:pPr>
    </w:p>
    <w:p>
      <w:pPr>
        <w:ind w:right="300" w:firstLine="348"/>
        <w:spacing w:after="0" w:line="256" w:lineRule="auto"/>
        <w:rPr>
          <w:sz w:val="20"/>
          <w:szCs w:val="20"/>
          <w:color w:val="auto"/>
        </w:rPr>
      </w:pPr>
      <w:r>
        <w:rPr>
          <w:rFonts w:ascii="Times New Roman" w:cs="Times New Roman" w:eastAsia="Times New Roman" w:hAnsi="Times New Roman"/>
          <w:sz w:val="18"/>
          <w:szCs w:val="18"/>
          <w:color w:val="auto"/>
        </w:rPr>
        <w:t>When we determine whether instruments granted in share-based payment transactions are participating securities, unvested share-based awards which include the right to receive non-forfeitable dividends or dividend equivalents are considered to participate with common stock in undistributed earnings. With participating securities, we are required to calculate basic and diluted earnings (loss) per common share amounts under the two-class method. The two-class method excludes from the earnings (loss) per common share calculation any dividends paid or owed to participating securities and any undistributed earnings considered to be attributable to participating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229" w:lineRule="exact"/>
        <w:rPr>
          <w:sz w:val="20"/>
          <w:szCs w:val="20"/>
          <w:color w:val="auto"/>
        </w:rPr>
      </w:pPr>
    </w:p>
    <w:p>
      <w:pPr>
        <w:ind w:right="140" w:firstLine="348"/>
        <w:spacing w:after="0" w:line="258" w:lineRule="auto"/>
        <w:rPr>
          <w:sz w:val="20"/>
          <w:szCs w:val="20"/>
          <w:color w:val="auto"/>
        </w:rPr>
      </w:pPr>
      <w:r>
        <w:rPr>
          <w:rFonts w:ascii="Times New Roman" w:cs="Times New Roman" w:eastAsia="Times New Roman" w:hAnsi="Times New Roman"/>
          <w:sz w:val="18"/>
          <w:szCs w:val="18"/>
          <w:color w:val="auto"/>
        </w:rPr>
        <w:t>We account for share-based payments in accordance with ASC Subtopic 718-10 and ASC Subtopic 505-50. Share-based compensation expense for a given grant is recognized over the requisite service period (that is, the period for which the employee is being compensated) and is based on the value of share-based payment awards after a reduction for estimated forfeitures. Forfeitures are estimated at the time of grant and are revised, if necessary, in subsequent periods if actual forfeitures differ from those estimates.</w:t>
      </w:r>
    </w:p>
    <w:p>
      <w:pPr>
        <w:spacing w:after="0" w:line="190" w:lineRule="exact"/>
        <w:rPr>
          <w:sz w:val="20"/>
          <w:szCs w:val="20"/>
          <w:color w:val="auto"/>
        </w:rPr>
      </w:pPr>
    </w:p>
    <w:p>
      <w:pPr>
        <w:ind w:right="660" w:firstLine="348"/>
        <w:spacing w:after="0" w:line="275" w:lineRule="auto"/>
        <w:rPr>
          <w:sz w:val="20"/>
          <w:szCs w:val="20"/>
          <w:color w:val="auto"/>
        </w:rPr>
      </w:pPr>
      <w:r>
        <w:rPr>
          <w:rFonts w:ascii="Times New Roman" w:cs="Times New Roman" w:eastAsia="Times New Roman" w:hAnsi="Times New Roman"/>
          <w:sz w:val="18"/>
          <w:szCs w:val="18"/>
          <w:color w:val="auto"/>
        </w:rPr>
        <w:t>We generally estimate the value of stock options using a binomial-lattice model. This estimate is affected by our stock price, as well as assumptions regarding a number of highly complex and subjective</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9" w:name="page110"/>
    <w:bookmarkEnd w:id="10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variables, including our expected stock price volatility over the term of the awards, and actual and projected employee stock option exercise behaviors.</w:t>
      </w:r>
    </w:p>
    <w:p>
      <w:pPr>
        <w:spacing w:after="0" w:line="225" w:lineRule="exact"/>
        <w:rPr>
          <w:sz w:val="20"/>
          <w:szCs w:val="20"/>
          <w:color w:val="auto"/>
        </w:rPr>
      </w:pPr>
    </w:p>
    <w:p>
      <w:pPr>
        <w:ind w:right="140" w:firstLine="348"/>
        <w:spacing w:after="0" w:line="253" w:lineRule="auto"/>
        <w:rPr>
          <w:sz w:val="20"/>
          <w:szCs w:val="20"/>
          <w:color w:val="auto"/>
        </w:rPr>
      </w:pPr>
      <w:r>
        <w:rPr>
          <w:rFonts w:ascii="Times New Roman" w:cs="Times New Roman" w:eastAsia="Times New Roman" w:hAnsi="Times New Roman"/>
          <w:sz w:val="18"/>
          <w:szCs w:val="18"/>
          <w:color w:val="auto"/>
        </w:rPr>
        <w:t>We generally determine the fair value of restricted stock units based on the closing market price of the Company's common stock on the date of grant, reduced by the present value of the estimated future dividends during the vesting period in which the restricted stock units holder will not participate. Certain restricted stock units granted to our employees and senior management vest based on the achievement of pre-established performance or market conditions. For performance-based restricted stock units, each quarter we update our assessment of the probability that the specified performance criteria will be achieved. We amortize the fair values of performance-based restricted stock units over the requisite service period, adjusting for estimated forfeitures for each separately vesting tranche of the award. For market-based restricted stock units, we estimate the fair value at the date of grant using a Monte Carlo valuation methodology and amortize those fair values over the requisite service period, adjusting for estimated forfeitures for each separately vesting tranche of the award. The Monte Carlo methodology that we use to estimate the fair value of market-based restricted stock units at the date of grant incorporates into the valuation the possibility that the market condition may not be satisfied. Provided that the requisite service is rendered, the total fair value of the market-based restricted stock units at the date of grant must be recognized as compensation expense even if the market condition is not achieved. However, the number of shares that ultimately vest can vary significantly with the performance of the specified market criteria.</w:t>
      </w:r>
    </w:p>
    <w:p>
      <w:pPr>
        <w:spacing w:after="0" w:line="193" w:lineRule="exact"/>
        <w:rPr>
          <w:sz w:val="20"/>
          <w:szCs w:val="20"/>
          <w:color w:val="auto"/>
        </w:rPr>
      </w:pPr>
    </w:p>
    <w:p>
      <w:pPr>
        <w:ind w:right="360" w:firstLine="351"/>
        <w:spacing w:after="0" w:line="275" w:lineRule="auto"/>
        <w:rPr>
          <w:sz w:val="20"/>
          <w:szCs w:val="20"/>
          <w:color w:val="auto"/>
        </w:rPr>
      </w:pPr>
      <w:r>
        <w:rPr>
          <w:rFonts w:ascii="Times New Roman" w:cs="Times New Roman" w:eastAsia="Times New Roman" w:hAnsi="Times New Roman"/>
          <w:sz w:val="18"/>
          <w:szCs w:val="18"/>
          <w:color w:val="auto"/>
        </w:rPr>
        <w:t>For share-based compensation grants that are liability classified, we update our grant date valuation at each reporting period and recognize a cumulative catch-up adjustment for changes in the value related to the requisite service already rendered.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w:t>
      </w:r>
    </w:p>
    <w:p>
      <w:pPr>
        <w:spacing w:after="0" w:line="229" w:lineRule="exact"/>
        <w:rPr>
          <w:sz w:val="20"/>
          <w:szCs w:val="20"/>
          <w:color w:val="auto"/>
        </w:rPr>
      </w:pPr>
    </w:p>
    <w:p>
      <w:pPr>
        <w:ind w:firstLine="341"/>
        <w:spacing w:after="0" w:line="296" w:lineRule="auto"/>
        <w:rPr>
          <w:sz w:val="20"/>
          <w:szCs w:val="20"/>
          <w:color w:val="auto"/>
        </w:rPr>
      </w:pPr>
      <w:r>
        <w:rPr>
          <w:rFonts w:ascii="Times New Roman" w:cs="Times New Roman" w:eastAsia="Times New Roman" w:hAnsi="Times New Roman"/>
          <w:sz w:val="16"/>
          <w:szCs w:val="16"/>
          <w:color w:val="auto"/>
        </w:rPr>
        <w:t>ASC Topic 450 governs the disclosure of loss contingencies and accrual of loss contingencies in respect of litigation and other claims. We record an accrual for a potential loss when it is probable that a loss will occur and the amount of the loss can be reasonably estimated. When the reasonable estimate of the potential loss is within a range of amounts, the minimum of the range of potential loss is accrued, unless a higher amount within the range is a better estimate than any other amount within the range. Moreover, even if an accrual is not required, we provide additional disclosure related to litigation and other claims when it is reasonably possible (i.e., more than remote) that the outcomes of such litigation and other claims include potential material adverse impacts on 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Recently Issued Accounting Pronouncements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firstLine="341"/>
        <w:spacing w:after="0" w:line="258" w:lineRule="auto"/>
        <w:rPr>
          <w:sz w:val="20"/>
          <w:szCs w:val="20"/>
          <w:color w:val="auto"/>
        </w:rPr>
      </w:pPr>
      <w:r>
        <w:rPr>
          <w:rFonts w:ascii="Times New Roman" w:cs="Times New Roman" w:eastAsia="Times New Roman" w:hAnsi="Times New Roman"/>
          <w:sz w:val="18"/>
          <w:szCs w:val="18"/>
          <w:color w:val="auto"/>
        </w:rPr>
        <w:t>As noted in Note 2 above, we adopted the new revenue accounting standard effective January 1, 2018. We utilized the modified retrospective method upon adoption and as a result, the comparative information has not been restated and continues to be reported under the accounting standards in effect for those periods. Additionally, we elected to apply the new revenue accounting standard only to contracts not completed as of the adoption date. For contracts that were modified before the period of adoption, we elected to reflect the aggregate effect of all modifications when (1) identifying the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0" w:name="page111"/>
    <w:bookmarkEnd w:id="1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Recently Issued Accounting Pronouncements (Continued)</w:t>
      </w:r>
    </w:p>
    <w:p>
      <w:pPr>
        <w:spacing w:after="0" w:line="227"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6"/>
          <w:szCs w:val="16"/>
          <w:color w:val="auto"/>
        </w:rPr>
        <w:t>satisfied and unsatisfied performance obligations, (2) determining the transaction price, and (3) allocating the transaction price to the satisfied and unsatisfied performance obligations. We recognized the cumulative effect of initially applying the new revenue accounting standard as an adjustment to the opening balance of retained earnings. The cumulative effect adjustment recorded to our retained earnings was $88 million (see our consolidated statements of changes in shareholders' equity) and included the impact from the following adjustments to our consolidated balance sheet at January 1, 2018 (amounts in millions):</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Adjustments due to</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adoption of new</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right"/>
              <w:ind w:right="256"/>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revenue accounting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Balance at</w:t>
            </w:r>
          </w:p>
        </w:tc>
      </w:tr>
      <w:tr>
        <w:trPr>
          <w:trHeight w:val="165"/>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5"/>
              </w:rPr>
              <w:t>December 31, 2017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standard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January 1, 2018</w:t>
            </w: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Software development</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6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6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Shareholders' equity</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9,553</w:t>
            </w:r>
          </w:p>
        </w:tc>
        <w:tc>
          <w:tcPr>
            <w:tcW w:w="160" w:type="dxa"/>
            <w:vAlign w:val="bottom"/>
          </w:tcPr>
          <w:p>
            <w:pPr>
              <w:spacing w:after="0"/>
              <w:rPr>
                <w:sz w:val="19"/>
                <w:szCs w:val="19"/>
                <w:color w:val="auto"/>
              </w:rPr>
            </w:pPr>
          </w:p>
        </w:tc>
      </w:tr>
    </w:tbl>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most significant impacts of the new revenue accounting standard for us are:</w:t>
      </w:r>
    </w:p>
    <w:p>
      <w:pPr>
        <w:spacing w:after="0" w:line="237" w:lineRule="exact"/>
        <w:rPr>
          <w:sz w:val="20"/>
          <w:szCs w:val="20"/>
          <w:color w:val="auto"/>
        </w:rPr>
      </w:pPr>
    </w:p>
    <w:p>
      <w:pPr>
        <w:ind w:left="1080" w:hanging="532"/>
        <w:spacing w:after="0" w:line="253"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accounting for our sales of our games with significant online functionality for which we do not have vendor-specific objective evidence ("VSOE") for unspecified future updates and ongoing online services provided. </w:t>
      </w:r>
      <w:r>
        <w:rPr>
          <w:rFonts w:ascii="Times New Roman" w:cs="Times New Roman" w:eastAsia="Times New Roman" w:hAnsi="Times New Roman"/>
          <w:sz w:val="18"/>
          <w:szCs w:val="18"/>
          <w:color w:val="auto"/>
        </w:rPr>
        <w:t>Under the prior accounting standards, VSOE for undelivered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elements was required. This requirement was eliminated under the new revenue accounting standard. Accordingly, we are required to recognize as revenue a portion of the sales price upon delivery of this software, as compared to recognizing the entire sales price ratably over an estimated service period as previously required. This difference in accounting primarily impacts revenues from many of the titles within our Call of Duty franchise, where approximately 20% of the sales price is now recognized as revenue upon delivery of the games to our customers. The amount of revenue recognized upon delivery of games to our customers is analyzed on a title-by-title basis and may change in the future. For example, the entire sales price from our </w:t>
      </w:r>
      <w:r>
        <w:rPr>
          <w:rFonts w:ascii="Times New Roman" w:cs="Times New Roman" w:eastAsia="Times New Roman" w:hAnsi="Times New Roman"/>
          <w:sz w:val="18"/>
          <w:szCs w:val="18"/>
          <w:i w:val="1"/>
          <w:iCs w:val="1"/>
          <w:color w:val="auto"/>
        </w:rPr>
        <w:t>Call of Duty: Black Ops 4</w:t>
      </w:r>
      <w:r>
        <w:rPr>
          <w:rFonts w:ascii="Times New Roman" w:cs="Times New Roman" w:eastAsia="Times New Roman" w:hAnsi="Times New Roman"/>
          <w:sz w:val="18"/>
          <w:szCs w:val="18"/>
          <w:color w:val="auto"/>
        </w:rPr>
        <w:t xml:space="preserve"> release is being recognized ratably over an estimated service period, as the gameplay has an increased focus towards the online competitive and cooperative game modes with no single-player campaign mode. Many of our other franchises, such as Overwatch, World of Warcraft, and Candy Crush, are online hosted arrangements, and the accounting for our sales of these games under the new standard is relatively unchanged; and</w:t>
      </w:r>
    </w:p>
    <w:p>
      <w:pPr>
        <w:spacing w:after="0" w:line="219" w:lineRule="exact"/>
        <w:rPr>
          <w:rFonts w:ascii="Times New Roman" w:cs="Times New Roman" w:eastAsia="Times New Roman" w:hAnsi="Times New Roman"/>
          <w:sz w:val="18"/>
          <w:szCs w:val="18"/>
          <w:color w:val="auto"/>
        </w:rPr>
      </w:pPr>
    </w:p>
    <w:p>
      <w:pPr>
        <w:jc w:val="both"/>
        <w:ind w:left="1080" w:right="280" w:hanging="532"/>
        <w:spacing w:after="0" w:line="264"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accounting for certain of our software licensing arrangements. </w:t>
      </w:r>
      <w:r>
        <w:rPr>
          <w:rFonts w:ascii="Times New Roman" w:cs="Times New Roman" w:eastAsia="Times New Roman" w:hAnsi="Times New Roman"/>
          <w:sz w:val="18"/>
          <w:szCs w:val="18"/>
          <w:color w:val="auto"/>
        </w:rPr>
        <w:t>While the impact of the new revenue accounting standard may differ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contract-by-contract basis (as the actual revenue recognition treatment required under the standard will depend on contract-specific terms), the new revenue accounting standard generally results in earlier revenue recognition for these arrangements.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1" w:name="page112"/>
    <w:bookmarkEnd w:id="1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Recently Issued Accounting Pronouncements (Continued)</w:t>
      </w:r>
    </w:p>
    <w:p>
      <w:pPr>
        <w:spacing w:after="0" w:line="227" w:lineRule="exact"/>
        <w:rPr>
          <w:sz w:val="20"/>
          <w:szCs w:val="20"/>
          <w:color w:val="auto"/>
        </w:rPr>
      </w:pPr>
    </w:p>
    <w:p>
      <w:pPr>
        <w:ind w:right="640" w:firstLine="341"/>
        <w:spacing w:after="0" w:line="275" w:lineRule="auto"/>
        <w:rPr>
          <w:sz w:val="20"/>
          <w:szCs w:val="20"/>
          <w:color w:val="auto"/>
        </w:rPr>
      </w:pPr>
      <w:r>
        <w:rPr>
          <w:rFonts w:ascii="Times New Roman" w:cs="Times New Roman" w:eastAsia="Times New Roman" w:hAnsi="Times New Roman"/>
          <w:sz w:val="18"/>
          <w:szCs w:val="18"/>
          <w:color w:val="auto"/>
        </w:rPr>
        <w:t>Adoption of the new revenue accounting standard impacted our consolidated statement of operations for the year ended December 31, 2018, and our consolidated balance sheet as of December 31, 2018, as follows (in millions, except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80" w:type="dxa"/>
            <w:vAlign w:val="bottom"/>
            <w:gridSpan w:val="9"/>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Year Ended December 31, 2018</w:t>
            </w: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17"/>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1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gridSpan w:val="3"/>
          </w:tcPr>
          <w:p>
            <w:pPr>
              <w:jc w:val="center"/>
              <w:ind w:right="14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(decrease) due to</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Under new</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Under old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gridSpan w:val="3"/>
          </w:tcPr>
          <w:p>
            <w:pPr>
              <w:jc w:val="center"/>
              <w:ind w:right="14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adoption of new</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revenue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revenue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gridSpan w:val="3"/>
          </w:tcPr>
          <w:p>
            <w:pPr>
              <w:jc w:val="center"/>
              <w:ind w:right="13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revenue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accounting</w:t>
            </w:r>
          </w:p>
        </w:tc>
        <w:tc>
          <w:tcPr>
            <w:tcW w:w="1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accounting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gridSpan w:val="3"/>
          </w:tcPr>
          <w:p>
            <w:pPr>
              <w:jc w:val="center"/>
              <w:ind w:right="14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accounting</w:t>
            </w:r>
          </w:p>
        </w:tc>
        <w:tc>
          <w:tcPr>
            <w:tcW w:w="0" w:type="dxa"/>
            <w:vAlign w:val="bottom"/>
          </w:tcPr>
          <w:p>
            <w:pPr>
              <w:spacing w:after="0"/>
              <w:rPr>
                <w:sz w:val="1"/>
                <w:szCs w:val="1"/>
                <w:color w:val="auto"/>
              </w:rPr>
            </w:pPr>
          </w:p>
        </w:tc>
      </w:tr>
      <w:tr>
        <w:trPr>
          <w:trHeight w:val="165"/>
        </w:trPr>
        <w:tc>
          <w:tcPr>
            <w:tcW w:w="6600" w:type="dxa"/>
            <w:vAlign w:val="bottom"/>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Consolidated Statement of Operations: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3"/>
              </w:rPr>
              <w:t>standard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8"/>
              </w:rPr>
              <w:t>standards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3"/>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w w:val="96"/>
              </w:rPr>
              <w:t>standard</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Product sales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Subscription, licensing, and other revenues</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revenues—product sales: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 costs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Software royalties, amortization, and intellectual property licenses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revenues—subscription, licensing, and other revenues: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Game operations and distribution costs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Software royalties, amortization, and intellectual property licenses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Product development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(income), net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5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4"/>
                <w:szCs w:val="24"/>
                <w:color w:val="auto"/>
              </w:rPr>
            </w:pPr>
          </w:p>
        </w:tc>
        <w:tc>
          <w:tcPr>
            <w:tcW w:w="544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F-26</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4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Recently Issued Accounting Pronouncements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60" w:type="dxa"/>
            <w:vAlign w:val="bottom"/>
            <w:gridSpan w:val="7"/>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At December 31, 2018</w:t>
            </w:r>
          </w:p>
        </w:tc>
      </w:tr>
      <w:tr>
        <w:trPr>
          <w:trHeight w:val="125"/>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2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1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Under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(decrease) due to</w:t>
            </w: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1"/>
              </w:rPr>
              <w:t>new</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Under old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adoption of new</w:t>
            </w: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revenue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revenue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revenue</w:t>
            </w: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accounting</w:t>
            </w:r>
          </w:p>
        </w:tc>
        <w:tc>
          <w:tcPr>
            <w:tcW w:w="1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accounting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accounting</w:t>
            </w:r>
          </w:p>
        </w:tc>
      </w:tr>
      <w:tr>
        <w:trPr>
          <w:trHeight w:val="165"/>
        </w:trPr>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3"/>
              </w:rPr>
              <w:t>standard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8"/>
              </w:rPr>
              <w:t>standards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standard</w:t>
            </w: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Software development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2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432"/>
        </w:trPr>
        <w:tc>
          <w:tcPr>
            <w:tcW w:w="20" w:type="dxa"/>
            <w:vAlign w:val="bottom"/>
          </w:tcPr>
          <w:p>
            <w:pPr>
              <w:spacing w:after="0"/>
              <w:rPr>
                <w:sz w:val="24"/>
                <w:szCs w:val="24"/>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Shareholders' equity</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80" w:firstLine="341"/>
        <w:spacing w:after="0" w:line="275" w:lineRule="auto"/>
        <w:rPr>
          <w:sz w:val="20"/>
          <w:szCs w:val="20"/>
          <w:color w:val="auto"/>
        </w:rPr>
      </w:pPr>
      <w:r>
        <w:rPr>
          <w:rFonts w:ascii="Times New Roman" w:cs="Times New Roman" w:eastAsia="Times New Roman" w:hAnsi="Times New Roman"/>
          <w:sz w:val="18"/>
          <w:szCs w:val="18"/>
          <w:color w:val="auto"/>
        </w:rPr>
        <w:t>Adoption of the new revenue accounting standard had no impact to net cash from or used in operating, investing, or financing activities in our consolidated statement of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27" w:lineRule="exact"/>
        <w:rPr>
          <w:sz w:val="20"/>
          <w:szCs w:val="20"/>
          <w:color w:val="auto"/>
        </w:rPr>
      </w:pPr>
    </w:p>
    <w:p>
      <w:pPr>
        <w:ind w:firstLine="351"/>
        <w:spacing w:after="0" w:line="288" w:lineRule="auto"/>
        <w:rPr>
          <w:sz w:val="20"/>
          <w:szCs w:val="20"/>
          <w:color w:val="auto"/>
        </w:rPr>
      </w:pPr>
      <w:r>
        <w:rPr>
          <w:rFonts w:ascii="Times New Roman" w:cs="Times New Roman" w:eastAsia="Times New Roman" w:hAnsi="Times New Roman"/>
          <w:sz w:val="16"/>
          <w:szCs w:val="16"/>
          <w:color w:val="auto"/>
        </w:rPr>
        <w:t>In January 2016, the FASB issued new guidance related to the recognition and measurement of financial assets and financial liabilities. The new standard, among other things, generally requires companies to measure investments in other entities, except those accounted for under the equity method, at fair value and to recognize any changes in fair value in net income. For investments in entities without a readily determinable fair value, the new standard provides for a measurement alternative that can be elected to account for the investments at cost, less impairment, and adjusted for changes resulting from observable price changes in orderly transactions for an identical or similar investment of the same issuer. The new standard also simplifies the impairment assessment of equity investments without readily determinable fair values. The new standard is effective for fiscal years beginning after December 15, 2017, and the guidance should be applied by means of a cumulative-effect adjustment to the balance sheet as of the beginning of the fiscal year of adoption. The guidance related to equity investments without readily determinable fair values (including disclosure requirements) is applied prospectively to equity investments that exist as of the date of adoption. We adopted the new standard during the first quarter of 2018, and elected to apply the measurement alternative for our investments without a readily determinable fair value. The adoption of this standard did not have a material impact on our consolidated financial statements.</w:t>
      </w: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13" w:name="page114"/>
    <w:bookmarkEnd w:id="1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Recently Issued Accounting Pronouncements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 of Cash Flows-Restricted Cash</w:t>
      </w:r>
    </w:p>
    <w:p>
      <w:pPr>
        <w:spacing w:after="0" w:line="227"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In November 2016, the FASB issued new guidance related to the classification of restricted cash in the statement of cash flows. The new standard requires that a statement of cash flows explain any change during the period in total cash, cash equivalents, and restricted cash. Therefore, restricted cash will be included with "Cash and cash equivalents" when reconciling the beginning-of-period and end-of-period total amounts shown on the statement of cash flows. The new standard is effective for fiscal years beginning after December 15, 2017, and should be applied retrospectively.</w:t>
      </w:r>
    </w:p>
    <w:p>
      <w:pPr>
        <w:spacing w:after="0" w:line="190" w:lineRule="exact"/>
        <w:rPr>
          <w:sz w:val="20"/>
          <w:szCs w:val="20"/>
          <w:color w:val="auto"/>
        </w:rPr>
      </w:pPr>
    </w:p>
    <w:p>
      <w:pPr>
        <w:ind w:right="40" w:firstLine="348"/>
        <w:spacing w:after="0" w:line="293" w:lineRule="auto"/>
        <w:rPr>
          <w:sz w:val="20"/>
          <w:szCs w:val="20"/>
          <w:color w:val="auto"/>
        </w:rPr>
      </w:pPr>
      <w:r>
        <w:rPr>
          <w:rFonts w:ascii="Times New Roman" w:cs="Times New Roman" w:eastAsia="Times New Roman" w:hAnsi="Times New Roman"/>
          <w:sz w:val="16"/>
          <w:szCs w:val="16"/>
          <w:color w:val="auto"/>
        </w:rPr>
        <w:t>We adopted the new standard during the first quarter of 2018 and applied the standard retrospectively for all periods presented. The application of this new standard did not have a material impact on our consolidated statements of cash flows for the years ended December 31, 2018 and 2017. For the year ended December 31, 2016, there is a significant impact to the consolidated statements of cash flows, as this period included, as an investing activity, the $3.6 billion movement in restricted cash resulting from the release of cash in escrow to complete the King Acquisition. Under this new standard, the restricted cash balance is included in the beginning and ending cash, cash equivalents, and restricted cash balances and, hence, is not included as an investing activity in the statement of cash flows. See a summary of impacts on our consolidated statement of cash flows for the year ended December 31, 2016 as follows (in millions):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0" w:type="dxa"/>
            <w:vAlign w:val="bottom"/>
            <w:gridSpan w:val="10"/>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For the Year Ended December 31, 2016</w:t>
            </w:r>
          </w:p>
        </w:tc>
      </w:tr>
      <w:tr>
        <w:trPr>
          <w:trHeight w:val="125"/>
        </w:trPr>
        <w:tc>
          <w:tcPr>
            <w:tcW w:w="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7"/>
              </w:rPr>
              <w:t>Under new</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Under old</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18"/>
              <w:spacing w:after="0" w:line="125" w:lineRule="exact"/>
              <w:rPr>
                <w:sz w:val="20"/>
                <w:szCs w:val="20"/>
                <w:color w:val="auto"/>
              </w:rPr>
            </w:pPr>
            <w:r>
              <w:rPr>
                <w:rFonts w:ascii="Times New Roman" w:cs="Times New Roman" w:eastAsia="Times New Roman" w:hAnsi="Times New Roman"/>
                <w:sz w:val="14"/>
                <w:szCs w:val="14"/>
                <w:b w:val="1"/>
                <w:bCs w:val="1"/>
                <w:color w:val="auto"/>
                <w:w w:val="95"/>
              </w:rPr>
              <w:t>Increase (decrease)</w:t>
            </w:r>
          </w:p>
        </w:tc>
        <w:tc>
          <w:tcPr>
            <w:tcW w:w="1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standard after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standard before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due to adoption</w:t>
            </w:r>
          </w:p>
        </w:tc>
      </w:tr>
      <w:tr>
        <w:trPr>
          <w:trHeight w:val="165"/>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adoption</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4"/>
              </w:rPr>
              <w:t>adoption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7"/>
              </w:rPr>
              <w:t>of new standard</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(4,586)</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(4,588)</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Release of cash in escrow</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(3,561)</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(4,729)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(3,552)</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Net increase (decrease) in cash and cash equivalents and restricted cash</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(3,552)</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and Hedging</w:t>
      </w:r>
    </w:p>
    <w:p>
      <w:pPr>
        <w:spacing w:after="0" w:line="227"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In August 2017, the FASB issued new guidance related to the accounting for derivatives and hedging. The new guidance expands and refines hedge accounting for both financial and non-financial risk components, aligns the recognition and presentation of the effects of hedging instruments and hedged items in the financial statements, and includes certain targeted improvements to ease the application of current guidance related to the assessment of a hedge's effectiveness. The new standard is effective for fiscal years beginning after December 15, 2018. Early adoption is permitted. We adopted the standard during the first quarter of 2018. The adoption of the standard did not have a material impact to our consolidated financial statements.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4" w:name="page115"/>
    <w:bookmarkEnd w:id="1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Recently Issued Accounting Pronouncements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ind w:right="60" w:firstLine="351"/>
        <w:spacing w:after="0" w:line="254" w:lineRule="auto"/>
        <w:rPr>
          <w:sz w:val="20"/>
          <w:szCs w:val="20"/>
          <w:color w:val="auto"/>
        </w:rPr>
      </w:pPr>
      <w:r>
        <w:rPr>
          <w:rFonts w:ascii="Times New Roman" w:cs="Times New Roman" w:eastAsia="Times New Roman" w:hAnsi="Times New Roman"/>
          <w:sz w:val="18"/>
          <w:szCs w:val="18"/>
          <w:color w:val="auto"/>
        </w:rPr>
        <w:t>In February 2016, the FASB issued new guidance related to the accounting for leases. The new standard will replace all current U.S. GAAP guidance on this topic. The new standard, among other things, requires a lessee to classify a lease as either an operating or financing lease, and to recognize a lease liability and a right-of-use asset for its leases. Classification will be based on criteria that are largely similar to those applied in current lease accounting. The lease liability will be equal to the present value of lease payments. The asset will be based on the lease liability, subject to adjustment for initial direct costs, lease incentives received, and any prepaid lease payments. Operating leases will result in a straight-line expense pattern, while finance leases will result in a front-loaded expense pattern. The standard is effective for fiscal years, and interim periods within those fiscal years, beginning after December 15, 2018. Adoption guidance provides for an optional adoption method that allows companies to use the effective date of the new lease standard as the initial date of application on transition, and therefore does not require prior periods to be restated.</w:t>
      </w:r>
    </w:p>
    <w:p>
      <w:pPr>
        <w:spacing w:after="0" w:line="192"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This standard is effective for us beginning with the first quarter of 2019, and we will report our adoption in our Form 10-Q for the first quarter of 2019. Upon adoption, we will elect to apply the available transition practical expedients, including the optional adoption method discussed above. We estimate the impact of adoption to result in the establishment of lease liabilities of approximately $275 million to $325 million, with a similar corresponding impact to total assets. Additionally, we expect that the new disclosure requirements will require us to design and implement additional internal controls over financial reporting, and we are in process of adjusting our processes and internal controls in preparation for adopting the new standard.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In January 2017, the FASB issued new guidance that eliminates Step 2 from the goodwill impairment test. Instead, if an entity forgoes a Step 0 test, an entity will be required to perform its annual or interim goodwill impairment test by comparing the fair value of a reporting unit, as determined in Step 1 from the goodwill impairment test, with its carrying amount and recognize an impairment charge, if any, for the amount by which the carrying amount exceeds the reporting unit's fair value, not to exceed the total amount of goodwill allocated to the reporting unit. The new standard is effective for fiscal years beginning after December 15, 2019, and should be applied prospectively. Early adoption is permitted. The effect of adoption should be reflected as of the beginning of the fiscal year of adoption. We are evaluating the impact, if any, of adopting this new accounting guidance on our consolidated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Cloud Computing Arrangements</w:t>
      </w:r>
    </w:p>
    <w:p>
      <w:pPr>
        <w:spacing w:after="0" w:line="227" w:lineRule="exact"/>
        <w:rPr>
          <w:sz w:val="20"/>
          <w:szCs w:val="20"/>
          <w:color w:val="auto"/>
        </w:rPr>
      </w:pPr>
    </w:p>
    <w:p>
      <w:pPr>
        <w:ind w:right="140" w:firstLine="351"/>
        <w:spacing w:after="0" w:line="293" w:lineRule="auto"/>
        <w:rPr>
          <w:sz w:val="20"/>
          <w:szCs w:val="20"/>
          <w:color w:val="auto"/>
        </w:rPr>
      </w:pPr>
      <w:r>
        <w:rPr>
          <w:rFonts w:ascii="Times New Roman" w:cs="Times New Roman" w:eastAsia="Times New Roman" w:hAnsi="Times New Roman"/>
          <w:sz w:val="16"/>
          <w:szCs w:val="16"/>
          <w:color w:val="auto"/>
        </w:rPr>
        <w:t>In August 2018, the FASB issued new guidance related to a customer's accounting for implementation costs incurred in a cloud computing arrangement (i.e. hosting arrangement) that is a service contract. The new guidance requires customers to capitalize implementation costs for these arrangements by applying the same criteria that is utilized for existing internal-use software guidance. The capitalized costs are required to be amortized over the associated term of the arrangement, generally on a straight-line basis, with amortization of these costs presented in the same financial statement line item as other costs associated with the arrangement. The new standard is effective for fiscal years beginning after December 15, 2019, and can be applied retrospectively or prospectively. Early adoption is permitted. We are evaluating the impact, if any, of adopting this new accounting guidance on our financial statements.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Cash and Cash Equivalents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the components of our cash and cash equivalents (amounts in millions):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7"/>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8"/>
              </w:rPr>
              <w:t>At 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620" w:type="dxa"/>
            <w:vAlign w:val="bottom"/>
            <w:tcBorders>
              <w:top w:val="single" w:sz="8" w:color="auto"/>
              <w:bottom w:val="single" w:sz="8" w:color="auto"/>
            </w:tcBorders>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3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Foreign government treasury bills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94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4,405</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4,225</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4,713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Inventories, Net</w:t>
            </w: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1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Inventories, net, consist of the following (amounts in millions):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6"/>
              </w:rPr>
              <w:t>At 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top w:val="single" w:sz="8" w:color="auto"/>
            </w:tcBorders>
            <w:gridSpan w:val="2"/>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Purchased parts and components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December 31, 2018 and 2017, inventory reserves were $22 million and $36 million,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Software Development and Intellectual Property Licenses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the components of our capitalized software development costs (amounts in millions):</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At December 31,</w:t>
            </w:r>
          </w:p>
        </w:tc>
      </w:tr>
      <w:tr>
        <w:trPr>
          <w:trHeight w:val="142"/>
        </w:trPr>
        <w:tc>
          <w:tcPr>
            <w:tcW w:w="6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2017</w:t>
            </w:r>
          </w:p>
        </w:tc>
        <w:tc>
          <w:tcPr>
            <w:tcW w:w="160" w:type="dxa"/>
            <w:vAlign w:val="bottom"/>
          </w:tcPr>
          <w:p>
            <w:pPr>
              <w:spacing w:after="0"/>
              <w:rPr>
                <w:sz w:val="12"/>
                <w:szCs w:val="12"/>
                <w:color w:val="auto"/>
              </w:rPr>
            </w:pPr>
          </w:p>
        </w:tc>
      </w:tr>
      <w:tr>
        <w:trPr>
          <w:trHeight w:val="21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Internally-developed software costs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Payments made to third-party software developers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w:t>
            </w:r>
          </w:p>
        </w:tc>
      </w:tr>
      <w:tr>
        <w:trPr>
          <w:trHeight w:val="20"/>
        </w:trPr>
        <w:tc>
          <w:tcPr>
            <w:tcW w:w="6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software development costs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453</w:t>
            </w:r>
          </w:p>
        </w:tc>
      </w:tr>
      <w:tr>
        <w:trPr>
          <w:trHeight w:val="20"/>
        </w:trPr>
        <w:tc>
          <w:tcPr>
            <w:tcW w:w="6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2018 and December 31, 2017, capitalized intellectual property licenses were not material.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of capitalized software development costs and intellectual property licenses was as follows (amounts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3700" w:type="dxa"/>
            <w:vAlign w:val="bottom"/>
            <w:gridSpan w:val="7"/>
          </w:tcPr>
          <w:p>
            <w:pPr>
              <w:jc w:val="center"/>
              <w:ind w:right="1880"/>
              <w:spacing w:after="0"/>
              <w:rPr>
                <w:sz w:val="20"/>
                <w:szCs w:val="20"/>
                <w:color w:val="auto"/>
              </w:rPr>
            </w:pPr>
            <w:r>
              <w:rPr>
                <w:rFonts w:ascii="Times New Roman" w:cs="Times New Roman" w:eastAsia="Times New Roman" w:hAnsi="Times New Roman"/>
                <w:sz w:val="14"/>
                <w:szCs w:val="14"/>
                <w:b w:val="1"/>
                <w:bCs w:val="1"/>
                <w:color w:val="auto"/>
                <w:w w:val="94"/>
              </w:rPr>
              <w:t>For the Years Ended</w:t>
            </w:r>
          </w:p>
        </w:tc>
      </w:tr>
      <w:tr>
        <w:trPr>
          <w:trHeight w:val="165"/>
        </w:trPr>
        <w:tc>
          <w:tcPr>
            <w:tcW w:w="17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42"/>
        </w:trPr>
        <w:tc>
          <w:tcPr>
            <w:tcW w:w="17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500" w:type="dxa"/>
            <w:vAlign w:val="bottom"/>
          </w:tcPr>
          <w:p>
            <w:pPr>
              <w:jc w:val="right"/>
              <w:ind w:right="46"/>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6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2"/>
                <w:szCs w:val="12"/>
                <w:color w:val="auto"/>
              </w:rPr>
            </w:pPr>
          </w:p>
        </w:tc>
        <w:tc>
          <w:tcPr>
            <w:tcW w:w="500" w:type="dxa"/>
            <w:vAlign w:val="bottom"/>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95"/>
        </w:trPr>
        <w:tc>
          <w:tcPr>
            <w:tcW w:w="1720" w:type="dxa"/>
            <w:vAlign w:val="bottom"/>
          </w:tcPr>
          <w:p>
            <w:pPr>
              <w:spacing w:after="0"/>
              <w:rPr>
                <w:sz w:val="16"/>
                <w:szCs w:val="16"/>
                <w:color w:val="auto"/>
              </w:rPr>
            </w:pPr>
          </w:p>
        </w:tc>
        <w:tc>
          <w:tcPr>
            <w:tcW w:w="60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Amortization of capitalized software development costs and intellectual property</w:t>
            </w: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r>
      <w:tr>
        <w:trPr>
          <w:trHeight w:val="230"/>
        </w:trPr>
        <w:tc>
          <w:tcPr>
            <w:tcW w:w="1720" w:type="dxa"/>
            <w:vAlign w:val="bottom"/>
          </w:tcPr>
          <w:p>
            <w:pPr>
              <w:spacing w:after="0"/>
              <w:rPr>
                <w:sz w:val="20"/>
                <w:szCs w:val="20"/>
                <w:color w:val="auto"/>
              </w:rPr>
            </w:pPr>
          </w:p>
        </w:tc>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501</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314</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335</w:t>
            </w:r>
          </w:p>
        </w:tc>
        <w:tc>
          <w:tcPr>
            <w:tcW w:w="1720" w:type="dxa"/>
            <w:vAlign w:val="bottom"/>
          </w:tcPr>
          <w:p>
            <w:pPr>
              <w:spacing w:after="0"/>
              <w:rPr>
                <w:sz w:val="20"/>
                <w:szCs w:val="20"/>
                <w:color w:val="auto"/>
              </w:rPr>
            </w:pPr>
          </w:p>
        </w:tc>
      </w:tr>
      <w:tr>
        <w:trPr>
          <w:trHeight w:val="430"/>
        </w:trPr>
        <w:tc>
          <w:tcPr>
            <w:tcW w:w="1720" w:type="dxa"/>
            <w:vAlign w:val="bottom"/>
          </w:tcPr>
          <w:p>
            <w:pPr>
              <w:spacing w:after="0"/>
              <w:rPr>
                <w:sz w:val="24"/>
                <w:szCs w:val="24"/>
                <w:color w:val="auto"/>
              </w:rPr>
            </w:pPr>
          </w:p>
        </w:tc>
        <w:tc>
          <w:tcPr>
            <w:tcW w:w="600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F-30</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60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6" w:name="page117"/>
    <w:bookmarkEnd w:id="1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Software Development and Intellectual Property Licenses (Continued)</w:t>
      </w:r>
    </w:p>
    <w:p>
      <w:pPr>
        <w:spacing w:after="0" w:line="227" w:lineRule="exact"/>
        <w:rPr>
          <w:sz w:val="20"/>
          <w:szCs w:val="20"/>
          <w:color w:val="auto"/>
        </w:rPr>
      </w:pPr>
    </w:p>
    <w:p>
      <w:pPr>
        <w:ind w:right="80" w:firstLine="348"/>
        <w:spacing w:after="0" w:line="275" w:lineRule="auto"/>
        <w:rPr>
          <w:sz w:val="20"/>
          <w:szCs w:val="20"/>
          <w:color w:val="auto"/>
        </w:rPr>
      </w:pPr>
      <w:r>
        <w:rPr>
          <w:rFonts w:ascii="Times New Roman" w:cs="Times New Roman" w:eastAsia="Times New Roman" w:hAnsi="Times New Roman"/>
          <w:sz w:val="18"/>
          <w:szCs w:val="18"/>
          <w:color w:val="auto"/>
        </w:rPr>
        <w:t>Write-offs and impairments of capitalized software development costs and intellectual property licenses were not material for the years ended December 31, 2018, 2017, and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 Net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Property and equipment, net was comprised of the following (amounts in millions):</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6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7"/>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At December 31,</w:t>
            </w:r>
          </w:p>
        </w:tc>
      </w:tr>
      <w:tr>
        <w:trPr>
          <w:trHeight w:val="142"/>
        </w:trPr>
        <w:tc>
          <w:tcPr>
            <w:tcW w:w="64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160" w:type="dxa"/>
            <w:vAlign w:val="bottom"/>
          </w:tcPr>
          <w:p>
            <w:pPr>
              <w:spacing w:after="0"/>
              <w:rPr>
                <w:sz w:val="12"/>
                <w:szCs w:val="12"/>
                <w:color w:val="auto"/>
              </w:rPr>
            </w:pPr>
          </w:p>
        </w:tc>
      </w:tr>
      <w:tr>
        <w:trPr>
          <w:trHeight w:val="21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658</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other equipment</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r>
      <w:tr>
        <w:trPr>
          <w:trHeight w:val="210"/>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 of property and equipment</w:t>
            </w: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6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(685)</w:t>
            </w:r>
          </w:p>
        </w:tc>
      </w:tr>
      <w:tr>
        <w:trPr>
          <w:trHeight w:val="210"/>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6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2018, 2017, and 2016 was $138 million, $130 million, and $121 million, respectively.</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Rental expense was $75 million, $71 million and $65 million for the years ended December 31, 2018, 2017, and 2016,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 Net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Intangible assets, net consist of the following (amounts in millions):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At December 31, 2018</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41"/>
              <w:spacing w:after="0" w:line="125" w:lineRule="exact"/>
              <w:rPr>
                <w:sz w:val="20"/>
                <w:szCs w:val="20"/>
                <w:color w:val="auto"/>
              </w:rPr>
            </w:pPr>
            <w:r>
              <w:rPr>
                <w:rFonts w:ascii="Times New Roman" w:cs="Times New Roman" w:eastAsia="Times New Roman" w:hAnsi="Times New Roman"/>
                <w:sz w:val="14"/>
                <w:szCs w:val="14"/>
                <w:b w:val="1"/>
                <w:bCs w:val="1"/>
                <w:color w:val="auto"/>
                <w:w w:val="95"/>
              </w:rPr>
              <w:t>Estimated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37"/>
              <w:spacing w:after="0" w:line="12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16"/>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w w:val="94"/>
              </w:rPr>
              <w:t>useful</w:t>
            </w:r>
          </w:p>
        </w:tc>
        <w:tc>
          <w:tcPr>
            <w:tcW w:w="16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60" w:type="dxa"/>
            <w:vAlign w:val="bottom"/>
          </w:tcPr>
          <w:p>
            <w:pPr>
              <w:spacing w:after="0"/>
              <w:rPr>
                <w:sz w:val="12"/>
                <w:szCs w:val="12"/>
                <w:color w:val="auto"/>
              </w:rPr>
            </w:pPr>
          </w:p>
        </w:tc>
        <w:tc>
          <w:tcPr>
            <w:tcW w:w="102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2"/>
                <w:szCs w:val="12"/>
                <w:color w:val="auto"/>
              </w:rPr>
            </w:pPr>
          </w:p>
        </w:tc>
        <w:tc>
          <w:tcPr>
            <w:tcW w:w="1940" w:type="dxa"/>
            <w:vAlign w:val="bottom"/>
            <w:gridSpan w:val="4"/>
          </w:tcPr>
          <w:p>
            <w:pPr>
              <w:jc w:val="center"/>
              <w:ind w:right="13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carrying</w:t>
            </w: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8"/>
              </w:rPr>
              <w:t>lives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5"/>
              </w:rPr>
              <w:t>amount</w:t>
            </w:r>
          </w:p>
        </w:tc>
        <w:tc>
          <w:tcPr>
            <w:tcW w:w="160" w:type="dxa"/>
            <w:vAlign w:val="bottom"/>
          </w:tcPr>
          <w:p>
            <w:pPr>
              <w:spacing w:after="0"/>
              <w:rPr>
                <w:sz w:val="14"/>
                <w:szCs w:val="14"/>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3"/>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w w:val="95"/>
              </w:rPr>
              <w:t>amount</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definite-lived intangible assets:</w:t>
            </w:r>
          </w:p>
        </w:tc>
        <w:tc>
          <w:tcPr>
            <w:tcW w:w="1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Internally-developed franchises</w:t>
            </w:r>
          </w:p>
        </w:tc>
        <w:tc>
          <w:tcPr>
            <w:tcW w:w="178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w w:val="88"/>
              </w:rPr>
              <w:t>3</w:t>
            </w:r>
          </w:p>
        </w:tc>
        <w:tc>
          <w:tcPr>
            <w:tcW w:w="820" w:type="dxa"/>
            <w:vAlign w:val="bottom"/>
          </w:tcPr>
          <w:p>
            <w:pPr>
              <w:jc w:val="center"/>
              <w:ind w:right="1"/>
              <w:spacing w:after="0"/>
              <w:rPr>
                <w:sz w:val="20"/>
                <w:szCs w:val="20"/>
                <w:color w:val="auto"/>
              </w:rPr>
            </w:pPr>
            <w:r>
              <w:rPr>
                <w:rFonts w:ascii="Times New Roman" w:cs="Times New Roman" w:eastAsia="Times New Roman" w:hAnsi="Times New Roman"/>
                <w:sz w:val="18"/>
                <w:szCs w:val="18"/>
                <w:color w:val="auto"/>
                <w:w w:val="98"/>
              </w:rPr>
              <w:t>- 11 years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42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Developed software</w:t>
            </w:r>
          </w:p>
        </w:tc>
        <w:tc>
          <w:tcPr>
            <w:tcW w:w="178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w w:val="88"/>
              </w:rPr>
              <w:t>2</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 years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Customer base</w:t>
            </w:r>
          </w:p>
        </w:tc>
        <w:tc>
          <w:tcPr>
            <w:tcW w:w="260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2 years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Trade names</w:t>
            </w:r>
          </w:p>
        </w:tc>
        <w:tc>
          <w:tcPr>
            <w:tcW w:w="178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w w:val="88"/>
              </w:rPr>
              <w:t>7</w:t>
            </w:r>
          </w:p>
        </w:tc>
        <w:tc>
          <w:tcPr>
            <w:tcW w:w="82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8"/>
                <w:szCs w:val="18"/>
                <w:color w:val="auto"/>
                <w:w w:val="98"/>
              </w:rPr>
              <w:t>- 10 years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78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w w:val="88"/>
              </w:rPr>
              <w:t>1</w:t>
            </w:r>
          </w:p>
        </w:tc>
        <w:tc>
          <w:tcPr>
            <w:tcW w:w="820" w:type="dxa"/>
            <w:vAlign w:val="bottom"/>
          </w:tcPr>
          <w:p>
            <w:pPr>
              <w:jc w:val="center"/>
              <w:ind w:right="1"/>
              <w:spacing w:after="0"/>
              <w:rPr>
                <w:sz w:val="20"/>
                <w:szCs w:val="20"/>
                <w:color w:val="auto"/>
              </w:rPr>
            </w:pPr>
            <w:r>
              <w:rPr>
                <w:rFonts w:ascii="Times New Roman" w:cs="Times New Roman" w:eastAsia="Times New Roman" w:hAnsi="Times New Roman"/>
                <w:sz w:val="18"/>
                <w:szCs w:val="18"/>
                <w:color w:val="auto"/>
                <w:w w:val="98"/>
              </w:rPr>
              <w:t>- 15 years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42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(2,143)</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Acquired indefinite-lived intangible assets:</w:t>
            </w: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gridSpan w:val="2"/>
            <w:vMerge w:val="continue"/>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Activision trademark</w:t>
            </w:r>
          </w:p>
        </w:tc>
        <w:tc>
          <w:tcPr>
            <w:tcW w:w="2600" w:type="dxa"/>
            <w:vAlign w:val="bottom"/>
            <w:gridSpan w:val="3"/>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Indefinite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Acquired trade names</w:t>
            </w:r>
          </w:p>
        </w:tc>
        <w:tc>
          <w:tcPr>
            <w:tcW w:w="260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Indefinite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7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8"/>
                <w:szCs w:val="18"/>
                <w:color w:val="auto"/>
              </w:rPr>
              <w:t>F-31</w:t>
            </w: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78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 Net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At December 31, 2017</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41"/>
              <w:spacing w:after="0" w:line="125" w:lineRule="exact"/>
              <w:rPr>
                <w:sz w:val="20"/>
                <w:szCs w:val="20"/>
                <w:color w:val="auto"/>
              </w:rPr>
            </w:pPr>
            <w:r>
              <w:rPr>
                <w:rFonts w:ascii="Times New Roman" w:cs="Times New Roman" w:eastAsia="Times New Roman" w:hAnsi="Times New Roman"/>
                <w:sz w:val="14"/>
                <w:szCs w:val="14"/>
                <w:b w:val="1"/>
                <w:bCs w:val="1"/>
                <w:color w:val="auto"/>
                <w:w w:val="95"/>
              </w:rPr>
              <w:t>Estimated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37"/>
              <w:spacing w:after="0" w:line="12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center"/>
              <w:ind w:right="16"/>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w w:val="94"/>
              </w:rPr>
              <w:t>useful</w:t>
            </w:r>
          </w:p>
        </w:tc>
        <w:tc>
          <w:tcPr>
            <w:tcW w:w="16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60" w:type="dxa"/>
            <w:vAlign w:val="bottom"/>
          </w:tcPr>
          <w:p>
            <w:pPr>
              <w:spacing w:after="0"/>
              <w:rPr>
                <w:sz w:val="12"/>
                <w:szCs w:val="12"/>
                <w:color w:val="auto"/>
              </w:rPr>
            </w:pPr>
          </w:p>
        </w:tc>
        <w:tc>
          <w:tcPr>
            <w:tcW w:w="10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7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carrying</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8"/>
              </w:rPr>
              <w:t>lives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5"/>
              </w:rPr>
              <w:t>amount</w:t>
            </w:r>
          </w:p>
        </w:tc>
        <w:tc>
          <w:tcPr>
            <w:tcW w:w="160" w:type="dxa"/>
            <w:vAlign w:val="bottom"/>
          </w:tcPr>
          <w:p>
            <w:pPr>
              <w:spacing w:after="0"/>
              <w:rPr>
                <w:sz w:val="14"/>
                <w:szCs w:val="14"/>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definite-lived intangible assets:</w:t>
            </w:r>
          </w:p>
        </w:tc>
        <w:tc>
          <w:tcPr>
            <w:tcW w:w="1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Internally-developed franchises</w:t>
            </w:r>
          </w:p>
        </w:tc>
        <w:tc>
          <w:tcPr>
            <w:tcW w:w="12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w w:val="88"/>
              </w:rPr>
              <w:t>3</w:t>
            </w:r>
          </w:p>
        </w:tc>
        <w:tc>
          <w:tcPr>
            <w:tcW w:w="820" w:type="dxa"/>
            <w:vAlign w:val="bottom"/>
          </w:tcPr>
          <w:p>
            <w:pPr>
              <w:jc w:val="center"/>
              <w:ind w:right="1"/>
              <w:spacing w:after="0"/>
              <w:rPr>
                <w:sz w:val="20"/>
                <w:szCs w:val="20"/>
                <w:color w:val="auto"/>
              </w:rPr>
            </w:pPr>
            <w:r>
              <w:rPr>
                <w:rFonts w:ascii="Times New Roman" w:cs="Times New Roman" w:eastAsia="Times New Roman" w:hAnsi="Times New Roman"/>
                <w:sz w:val="18"/>
                <w:szCs w:val="18"/>
                <w:color w:val="auto"/>
                <w:w w:val="98"/>
              </w:rPr>
              <w:t>- 11 years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42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Developed software</w:t>
            </w:r>
          </w:p>
        </w:tc>
        <w:tc>
          <w:tcPr>
            <w:tcW w:w="12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w w:val="88"/>
              </w:rPr>
              <w:t>2</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 years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Customer base</w:t>
            </w:r>
          </w:p>
        </w:tc>
        <w:tc>
          <w:tcPr>
            <w:tcW w:w="21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2 years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Trade names</w:t>
            </w:r>
          </w:p>
        </w:tc>
        <w:tc>
          <w:tcPr>
            <w:tcW w:w="12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w w:val="88"/>
              </w:rPr>
              <w:t>7</w:t>
            </w:r>
          </w:p>
        </w:tc>
        <w:tc>
          <w:tcPr>
            <w:tcW w:w="82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8"/>
                <w:szCs w:val="18"/>
                <w:color w:val="auto"/>
                <w:w w:val="98"/>
              </w:rPr>
              <w:t>- 10 years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w w:val="88"/>
              </w:rPr>
              <w:t>1</w:t>
            </w:r>
          </w:p>
        </w:tc>
        <w:tc>
          <w:tcPr>
            <w:tcW w:w="820" w:type="dxa"/>
            <w:vAlign w:val="bottom"/>
          </w:tcPr>
          <w:p>
            <w:pPr>
              <w:jc w:val="center"/>
              <w:ind w:right="1"/>
              <w:spacing w:after="0"/>
              <w:rPr>
                <w:sz w:val="20"/>
                <w:szCs w:val="20"/>
                <w:color w:val="auto"/>
              </w:rPr>
            </w:pPr>
            <w:r>
              <w:rPr>
                <w:rFonts w:ascii="Times New Roman" w:cs="Times New Roman" w:eastAsia="Times New Roman" w:hAnsi="Times New Roman"/>
                <w:sz w:val="18"/>
                <w:szCs w:val="18"/>
                <w:color w:val="auto"/>
                <w:w w:val="98"/>
              </w:rPr>
              <w:t>- 15 years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42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Acquired indefinite-lived intangible assets:</w:t>
            </w: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
            <w:vMerge w:val="continue"/>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Activision trademark</w:t>
            </w:r>
          </w:p>
        </w:tc>
        <w:tc>
          <w:tcPr>
            <w:tcW w:w="210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Indefinite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Acquired trade names</w:t>
            </w:r>
          </w:p>
        </w:tc>
        <w:tc>
          <w:tcPr>
            <w:tcW w:w="21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Indefinite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firstLine="341"/>
        <w:spacing w:after="0" w:line="275" w:lineRule="auto"/>
        <w:rPr>
          <w:sz w:val="20"/>
          <w:szCs w:val="20"/>
          <w:color w:val="auto"/>
        </w:rPr>
      </w:pPr>
      <w:r>
        <w:rPr>
          <w:rFonts w:ascii="Times New Roman" w:cs="Times New Roman" w:eastAsia="Times New Roman" w:hAnsi="Times New Roman"/>
          <w:sz w:val="18"/>
          <w:szCs w:val="18"/>
          <w:color w:val="auto"/>
        </w:rPr>
        <w:t>Amortization expense of intangible assets was $371 million, $759 million, and $708 million for the years ended December 31, 2018, 2017, and 2016, respectively.</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December 31, 2018, future amortization of definite-lived intangible assets is estimated as follows (amounts in millions):</w:t>
      </w:r>
    </w:p>
    <w:p>
      <w:pPr>
        <w:spacing w:after="0" w:line="240"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3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3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0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302</w:t>
            </w:r>
          </w:p>
        </w:tc>
      </w:tr>
      <w:tr>
        <w:trPr>
          <w:trHeight w:val="20"/>
        </w:trPr>
        <w:tc>
          <w:tcPr>
            <w:tcW w:w="40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changes in the carrying amount of goodwill by operating segment are as follows (amounts in millions):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Activision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Blizzard</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King</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28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28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260" w:type="dxa"/>
            <w:vAlign w:val="bottom"/>
            <w:vMerge w:val="continue"/>
          </w:tcPr>
          <w:p>
            <w:pPr>
              <w:spacing w:after="0"/>
              <w:rPr>
                <w:sz w:val="17"/>
                <w:szCs w:val="17"/>
                <w:color w:val="auto"/>
              </w:rPr>
            </w:pPr>
          </w:p>
        </w:tc>
        <w:tc>
          <w:tcPr>
            <w:tcW w:w="2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28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20" w:type="dxa"/>
            <w:vAlign w:val="bottom"/>
            <w:gridSpan w:val="2"/>
          </w:tcPr>
          <w:p>
            <w:pPr>
              <w:jc w:val="right"/>
              <w:ind w:right="1292"/>
              <w:spacing w:after="0"/>
              <w:rPr>
                <w:sz w:val="20"/>
                <w:szCs w:val="20"/>
                <w:color w:val="auto"/>
              </w:rPr>
            </w:pPr>
            <w:r>
              <w:rPr>
                <w:rFonts w:ascii="Times New Roman" w:cs="Times New Roman" w:eastAsia="Times New Roman" w:hAnsi="Times New Roman"/>
                <w:sz w:val="18"/>
                <w:szCs w:val="18"/>
                <w:color w:val="auto"/>
              </w:rPr>
              <w:t>F-32</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 (Continued)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December 31, 2018, 2017, and 2016, there were no accumulated impairment losses.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Other Assets and Liabilities</w:t>
      </w:r>
    </w:p>
    <w:p>
      <w:pPr>
        <w:spacing w:after="0" w:line="227"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Included in "Accrued expenses and other liabilities" in our consolidated balance sheets are accrued payroll-related costs of $402 million and $441 million at December 31, 2018 and 2017, respectively, and the current portion of income taxes payable of $203 million and $162 million at December 31, 2018 and 2017, respectively.</w:t>
      </w:r>
    </w:p>
    <w:p>
      <w:pPr>
        <w:spacing w:after="0" w:line="186" w:lineRule="exact"/>
        <w:rPr>
          <w:sz w:val="20"/>
          <w:szCs w:val="20"/>
          <w:color w:val="auto"/>
        </w:rPr>
      </w:pPr>
    </w:p>
    <w:p>
      <w:pPr>
        <w:ind w:right="300" w:firstLine="351"/>
        <w:spacing w:after="0" w:line="275" w:lineRule="auto"/>
        <w:rPr>
          <w:sz w:val="20"/>
          <w:szCs w:val="20"/>
          <w:color w:val="auto"/>
        </w:rPr>
      </w:pPr>
      <w:r>
        <w:rPr>
          <w:rFonts w:ascii="Times New Roman" w:cs="Times New Roman" w:eastAsia="Times New Roman" w:hAnsi="Times New Roman"/>
          <w:sz w:val="18"/>
          <w:szCs w:val="18"/>
          <w:color w:val="auto"/>
        </w:rPr>
        <w:t>Included in "Other liabilities" in our consolidated balance sheets are the non-current portion of income taxes payable of $272 million and $473 million at December 31, 2018 and 2017,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227"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FASB literature regarding fair value measurements for certain assets and liabilities establishes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200" w:lineRule="exact"/>
        <w:rPr>
          <w:sz w:val="20"/>
          <w:szCs w:val="20"/>
          <w:color w:val="auto"/>
        </w:rPr>
      </w:pPr>
    </w:p>
    <w:p>
      <w:pPr>
        <w:ind w:left="1080" w:hanging="532"/>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52" w:lineRule="exact"/>
        <w:rPr>
          <w:rFonts w:ascii="Times New Roman" w:cs="Times New Roman" w:eastAsia="Times New Roman" w:hAnsi="Times New Roman"/>
          <w:sz w:val="18"/>
          <w:szCs w:val="18"/>
          <w:color w:val="auto"/>
        </w:rPr>
      </w:pPr>
    </w:p>
    <w:p>
      <w:pPr>
        <w:ind w:left="1080" w:right="60" w:hanging="532"/>
        <w:spacing w:after="0" w:line="275"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quoted prices included in Level 1, such as quoted prices for similar assets or liabilities in active markets or other inputs that are observable or can be corroborated by observable market data; and</w:t>
      </w:r>
    </w:p>
    <w:p>
      <w:pPr>
        <w:spacing w:after="0" w:line="187" w:lineRule="exact"/>
        <w:rPr>
          <w:rFonts w:ascii="Times New Roman" w:cs="Times New Roman" w:eastAsia="Times New Roman" w:hAnsi="Times New Roman"/>
          <w:sz w:val="18"/>
          <w:szCs w:val="18"/>
          <w:color w:val="auto"/>
        </w:rPr>
      </w:pPr>
    </w:p>
    <w:p>
      <w:pPr>
        <w:ind w:left="1080" w:right="120" w:hanging="532"/>
        <w:spacing w:after="0" w:line="339" w:lineRule="auto"/>
        <w:tabs>
          <w:tab w:leader="none" w:pos="10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3—Unobservable inputs that are supported by little or no market activity and that are significant to the fair value of the assets or liabilities, including certain pricing models, discounted cash flow methodologies, and similar techniques that use significant unobservable inputs.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9" w:name="page120"/>
    <w:bookmarkEnd w:id="1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 on a Recurring Basis</w:t>
      </w:r>
    </w:p>
    <w:p>
      <w:pPr>
        <w:spacing w:after="0" w:line="229" w:lineRule="exact"/>
        <w:rPr>
          <w:sz w:val="20"/>
          <w:szCs w:val="20"/>
          <w:color w:val="auto"/>
        </w:rPr>
      </w:pPr>
    </w:p>
    <w:p>
      <w:pPr>
        <w:ind w:right="100" w:firstLine="348"/>
        <w:spacing w:after="0" w:line="275" w:lineRule="auto"/>
        <w:rPr>
          <w:sz w:val="20"/>
          <w:szCs w:val="20"/>
          <w:color w:val="auto"/>
        </w:rPr>
      </w:pPr>
      <w:r>
        <w:rPr>
          <w:rFonts w:ascii="Times New Roman" w:cs="Times New Roman" w:eastAsia="Times New Roman" w:hAnsi="Times New Roman"/>
          <w:sz w:val="18"/>
          <w:szCs w:val="18"/>
          <w:color w:val="auto"/>
        </w:rPr>
        <w:t>The table below segregates all of our financial assets and liabilities that are measured at fair value on a recurring basis into the most appropriate level within the fair value hierarchy based on the inputs used to determine the fair value at the measurement date (amounts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gridSpan w:val="7"/>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5"/>
        </w:trPr>
        <w:tc>
          <w:tcPr>
            <w:tcW w:w="11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December 31, 2018 Using</w:t>
            </w: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25"/>
        </w:trPr>
        <w:tc>
          <w:tcPr>
            <w:tcW w:w="116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42"/>
              <w:spacing w:after="0" w:line="125" w:lineRule="exact"/>
              <w:rPr>
                <w:sz w:val="20"/>
                <w:szCs w:val="20"/>
                <w:color w:val="auto"/>
              </w:rPr>
            </w:pPr>
            <w:r>
              <w:rPr>
                <w:rFonts w:ascii="Times New Roman" w:cs="Times New Roman" w:eastAsia="Times New Roman" w:hAnsi="Times New Roman"/>
                <w:sz w:val="14"/>
                <w:szCs w:val="14"/>
                <w:b w:val="1"/>
                <w:bCs w:val="1"/>
                <w:color w:val="auto"/>
                <w:w w:val="94"/>
              </w:rPr>
              <w:t>Quoted</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49"/>
        </w:trPr>
        <w:tc>
          <w:tcPr>
            <w:tcW w:w="11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Prices in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Markets for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As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w w:val="94"/>
              </w:rPr>
              <w:t>Identical</w:t>
            </w:r>
          </w:p>
        </w:tc>
        <w:tc>
          <w:tcPr>
            <w:tcW w:w="16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Observable</w:t>
            </w:r>
          </w:p>
        </w:tc>
        <w:tc>
          <w:tcPr>
            <w:tcW w:w="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Unobservable</w:t>
            </w: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Inputs</w:t>
            </w:r>
          </w:p>
        </w:tc>
        <w:tc>
          <w:tcPr>
            <w:tcW w:w="60" w:type="dxa"/>
            <w:vAlign w:val="bottom"/>
          </w:tcPr>
          <w:p>
            <w:pPr>
              <w:spacing w:after="0"/>
              <w:rPr>
                <w:sz w:val="12"/>
                <w:szCs w:val="12"/>
                <w:color w:val="auto"/>
              </w:rPr>
            </w:pPr>
          </w:p>
        </w:tc>
        <w:tc>
          <w:tcPr>
            <w:tcW w:w="740" w:type="dxa"/>
            <w:vAlign w:val="bottom"/>
          </w:tcPr>
          <w:p>
            <w:pPr>
              <w:jc w:val="center"/>
              <w:ind w:left="13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0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w:t>
            </w:r>
          </w:p>
        </w:tc>
      </w:tr>
      <w:tr>
        <w:trPr>
          <w:trHeight w:val="165"/>
        </w:trPr>
        <w:tc>
          <w:tcPr>
            <w:tcW w:w="11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5"/>
              </w:rPr>
              <w:t>(Level 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60" w:type="dxa"/>
            <w:vAlign w:val="bottom"/>
          </w:tcPr>
          <w:p>
            <w:pPr>
              <w:spacing w:after="0"/>
              <w:rPr>
                <w:sz w:val="14"/>
                <w:szCs w:val="14"/>
                <w:color w:val="auto"/>
              </w:rPr>
            </w:pPr>
          </w:p>
        </w:tc>
        <w:tc>
          <w:tcPr>
            <w:tcW w:w="740" w:type="dxa"/>
            <w:vAlign w:val="bottom"/>
          </w:tcPr>
          <w:p>
            <w:pPr>
              <w:jc w:val="center"/>
              <w:ind w:left="130"/>
              <w:spacing w:after="0"/>
              <w:rPr>
                <w:sz w:val="20"/>
                <w:szCs w:val="20"/>
                <w:color w:val="auto"/>
              </w:rPr>
            </w:pPr>
            <w:r>
              <w:rPr>
                <w:rFonts w:ascii="Times New Roman" w:cs="Times New Roman" w:eastAsia="Times New Roman" w:hAnsi="Times New Roman"/>
                <w:sz w:val="14"/>
                <w:szCs w:val="14"/>
                <w:b w:val="1"/>
                <w:bCs w:val="1"/>
                <w:color w:val="auto"/>
                <w:w w:val="95"/>
              </w:rPr>
              <w:t>(Level 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0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Classification</w:t>
            </w:r>
          </w:p>
        </w:tc>
      </w:tr>
      <w:tr>
        <w:trPr>
          <w:trHeight w:val="210"/>
        </w:trPr>
        <w:tc>
          <w:tcPr>
            <w:tcW w:w="116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Recurring fair value measurements: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Cash and cash equivalents</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Foreign government treasury bills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Cash and cash equivalents</w:t>
            </w:r>
          </w:p>
        </w:tc>
        <w:tc>
          <w:tcPr>
            <w:tcW w:w="1020" w:type="dxa"/>
            <w:vAlign w:val="bottom"/>
          </w:tcPr>
          <w:p>
            <w:pPr>
              <w:spacing w:after="0"/>
              <w:rPr>
                <w:sz w:val="18"/>
                <w:szCs w:val="18"/>
                <w:color w:val="auto"/>
              </w:rPr>
            </w:pPr>
          </w:p>
        </w:tc>
      </w:tr>
      <w:tr>
        <w:trPr>
          <w:trHeight w:val="202"/>
        </w:trPr>
        <w:tc>
          <w:tcPr>
            <w:tcW w:w="1160" w:type="dxa"/>
            <w:vAlign w:val="bottom"/>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U.S. treasuries and government agency</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p>
        </w:tc>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020" w:type="dxa"/>
            <w:vAlign w:val="bottom"/>
          </w:tcPr>
          <w:p>
            <w:pPr>
              <w:spacing w:after="0"/>
              <w:rPr>
                <w:sz w:val="20"/>
                <w:szCs w:val="20"/>
                <w:color w:val="auto"/>
              </w:rPr>
            </w:pPr>
          </w:p>
        </w:tc>
      </w:tr>
      <w:tr>
        <w:trPr>
          <w:trHeight w:val="202"/>
        </w:trPr>
        <w:tc>
          <w:tcPr>
            <w:tcW w:w="1160" w:type="dxa"/>
            <w:vAlign w:val="bottom"/>
          </w:tcPr>
          <w:p>
            <w:pPr>
              <w:spacing w:after="0"/>
              <w:rPr>
                <w:sz w:val="17"/>
                <w:szCs w:val="17"/>
                <w:color w:val="auto"/>
              </w:rPr>
            </w:pPr>
          </w:p>
        </w:tc>
        <w:tc>
          <w:tcPr>
            <w:tcW w:w="29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Foreign currency forward contracts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8"/>
        </w:trPr>
        <w:tc>
          <w:tcPr>
            <w:tcW w:w="1160" w:type="dxa"/>
            <w:vAlign w:val="bottom"/>
          </w:tcPr>
          <w:p>
            <w:pPr>
              <w:spacing w:after="0"/>
              <w:rPr>
                <w:sz w:val="19"/>
                <w:szCs w:val="19"/>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designated as hedges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30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r>
      <w:tr>
        <w:trPr>
          <w:trHeight w:val="204"/>
        </w:trPr>
        <w:tc>
          <w:tcPr>
            <w:tcW w:w="1160" w:type="dxa"/>
            <w:vAlign w:val="bottom"/>
          </w:tcPr>
          <w:p>
            <w:pPr>
              <w:spacing w:after="0"/>
              <w:rPr>
                <w:sz w:val="17"/>
                <w:szCs w:val="17"/>
                <w:color w:val="auto"/>
              </w:rPr>
            </w:pPr>
          </w:p>
        </w:tc>
        <w:tc>
          <w:tcPr>
            <w:tcW w:w="296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Foreign currency forward contracts not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p>
        </w:tc>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designated as hedges</w:t>
            </w: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02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2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202"/>
        </w:trPr>
        <w:tc>
          <w:tcPr>
            <w:tcW w:w="1160" w:type="dxa"/>
            <w:vAlign w:val="bottom"/>
          </w:tcPr>
          <w:p>
            <w:pPr>
              <w:spacing w:after="0"/>
              <w:rPr>
                <w:sz w:val="17"/>
                <w:szCs w:val="17"/>
                <w:color w:val="auto"/>
              </w:rPr>
            </w:pPr>
          </w:p>
        </w:tc>
        <w:tc>
          <w:tcPr>
            <w:tcW w:w="29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Foreign currency forward contracts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2"/>
          </w:tcPr>
          <w:p>
            <w:pPr>
              <w:ind w:left="140"/>
              <w:spacing w:after="0" w:line="201" w:lineRule="exact"/>
              <w:rPr>
                <w:sz w:val="20"/>
                <w:szCs w:val="20"/>
                <w:color w:val="auto"/>
              </w:rPr>
            </w:pPr>
            <w:r>
              <w:rPr>
                <w:rFonts w:ascii="Times New Roman" w:cs="Times New Roman" w:eastAsia="Times New Roman" w:hAnsi="Times New Roman"/>
                <w:sz w:val="18"/>
                <w:szCs w:val="18"/>
                <w:color w:val="auto"/>
              </w:rPr>
              <w:t>Accrued expenses and</w:t>
            </w:r>
          </w:p>
        </w:tc>
        <w:tc>
          <w:tcPr>
            <w:tcW w:w="1020" w:type="dxa"/>
            <w:vAlign w:val="bottom"/>
          </w:tcPr>
          <w:p>
            <w:pPr>
              <w:spacing w:after="0"/>
              <w:rPr>
                <w:sz w:val="17"/>
                <w:szCs w:val="17"/>
                <w:color w:val="auto"/>
              </w:rPr>
            </w:pPr>
          </w:p>
        </w:tc>
      </w:tr>
      <w:tr>
        <w:trPr>
          <w:trHeight w:val="228"/>
        </w:trPr>
        <w:tc>
          <w:tcPr>
            <w:tcW w:w="1160" w:type="dxa"/>
            <w:vAlign w:val="bottom"/>
          </w:tcPr>
          <w:p>
            <w:pPr>
              <w:spacing w:after="0"/>
              <w:rPr>
                <w:sz w:val="19"/>
                <w:szCs w:val="19"/>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designated as hedges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30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r>
      <w:tr>
        <w:trPr>
          <w:trHeight w:val="432"/>
        </w:trPr>
        <w:tc>
          <w:tcPr>
            <w:tcW w:w="11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02"/>
              <w:spacing w:after="0"/>
              <w:rPr>
                <w:sz w:val="20"/>
                <w:szCs w:val="20"/>
                <w:color w:val="auto"/>
              </w:rPr>
            </w:pPr>
            <w:r>
              <w:rPr>
                <w:rFonts w:ascii="Times New Roman" w:cs="Times New Roman" w:eastAsia="Times New Roman" w:hAnsi="Times New Roman"/>
                <w:sz w:val="18"/>
                <w:szCs w:val="18"/>
                <w:color w:val="auto"/>
                <w:w w:val="99"/>
              </w:rPr>
              <w:t>F-34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20" w:type="dxa"/>
            <w:vAlign w:val="bottom"/>
            <w:gridSpan w:val="7"/>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December 31, 2017 Using</w:t>
            </w: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65"/>
              <w:spacing w:after="0" w:line="125"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Prices in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w w:val="94"/>
              </w:rPr>
              <w:t>Active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Markets for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60" w:type="dxa"/>
            <w:vAlign w:val="bottom"/>
          </w:tcPr>
          <w:p>
            <w:pPr>
              <w:spacing w:after="0"/>
              <w:rPr>
                <w:sz w:val="12"/>
                <w:szCs w:val="12"/>
                <w:color w:val="auto"/>
              </w:rPr>
            </w:pPr>
          </w:p>
        </w:tc>
        <w:tc>
          <w:tcPr>
            <w:tcW w:w="19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As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w w:val="98"/>
              </w:rPr>
              <w:t>Identical</w:t>
            </w:r>
          </w:p>
        </w:tc>
        <w:tc>
          <w:tcPr>
            <w:tcW w:w="16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Observable</w:t>
            </w:r>
          </w:p>
        </w:tc>
        <w:tc>
          <w:tcPr>
            <w:tcW w:w="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Unobservable</w:t>
            </w:r>
          </w:p>
        </w:tc>
        <w:tc>
          <w:tcPr>
            <w:tcW w:w="160" w:type="dxa"/>
            <w:vAlign w:val="bottom"/>
          </w:tcPr>
          <w:p>
            <w:pPr>
              <w:spacing w:after="0"/>
              <w:rPr>
                <w:sz w:val="12"/>
                <w:szCs w:val="12"/>
                <w:color w:val="auto"/>
              </w:rPr>
            </w:pPr>
          </w:p>
        </w:tc>
        <w:tc>
          <w:tcPr>
            <w:tcW w:w="19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60" w:type="dxa"/>
            <w:vAlign w:val="bottom"/>
          </w:tcPr>
          <w:p>
            <w:pPr>
              <w:spacing w:after="0"/>
              <w:rPr>
                <w:sz w:val="12"/>
                <w:szCs w:val="12"/>
                <w:color w:val="auto"/>
              </w:rPr>
            </w:pPr>
          </w:p>
        </w:tc>
        <w:tc>
          <w:tcPr>
            <w:tcW w:w="760" w:type="dxa"/>
            <w:vAlign w:val="bottom"/>
          </w:tcPr>
          <w:p>
            <w:pPr>
              <w:jc w:val="center"/>
              <w:ind w:left="130"/>
              <w:spacing w:after="0" w:line="149" w:lineRule="exact"/>
              <w:rPr>
                <w:sz w:val="20"/>
                <w:szCs w:val="20"/>
                <w:color w:val="auto"/>
              </w:rPr>
            </w:pPr>
            <w:r>
              <w:rPr>
                <w:rFonts w:ascii="Times New Roman" w:cs="Times New Roman" w:eastAsia="Times New Roman" w:hAnsi="Times New Roman"/>
                <w:sz w:val="14"/>
                <w:szCs w:val="14"/>
                <w:b w:val="1"/>
                <w:bCs w:val="1"/>
                <w:color w:val="auto"/>
                <w:w w:val="92"/>
              </w:rPr>
              <w:t>Inputs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w:t>
            </w:r>
          </w:p>
        </w:tc>
      </w:tr>
      <w:tr>
        <w:trPr>
          <w:trHeight w:val="165"/>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2"/>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(Level 2)</w:t>
            </w:r>
          </w:p>
        </w:tc>
        <w:tc>
          <w:tcPr>
            <w:tcW w:w="60" w:type="dxa"/>
            <w:vAlign w:val="bottom"/>
          </w:tcPr>
          <w:p>
            <w:pPr>
              <w:spacing w:after="0"/>
              <w:rPr>
                <w:sz w:val="14"/>
                <w:szCs w:val="14"/>
                <w:color w:val="auto"/>
              </w:rPr>
            </w:pPr>
          </w:p>
        </w:tc>
        <w:tc>
          <w:tcPr>
            <w:tcW w:w="760" w:type="dxa"/>
            <w:vAlign w:val="bottom"/>
          </w:tcPr>
          <w:p>
            <w:pPr>
              <w:jc w:val="center"/>
              <w:ind w:left="13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Classification</w:t>
            </w: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Recurring fair value measurements: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Foreign government treasury bills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r>
      <w:tr>
        <w:trPr>
          <w:trHeight w:val="202"/>
        </w:trPr>
        <w:tc>
          <w:tcPr>
            <w:tcW w:w="20" w:type="dxa"/>
            <w:vAlign w:val="bottom"/>
          </w:tcPr>
          <w:p>
            <w:pPr>
              <w:spacing w:after="0"/>
              <w:rPr>
                <w:sz w:val="17"/>
                <w:szCs w:val="17"/>
                <w:color w:val="auto"/>
              </w:rPr>
            </w:pPr>
          </w:p>
        </w:tc>
        <w:tc>
          <w:tcPr>
            <w:tcW w:w="29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U.S. treasuries and government agency</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r>
      <w:tr>
        <w:trPr>
          <w:trHeight w:val="210"/>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29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Foreign currency forward contracts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2"/>
          </w:tcPr>
          <w:p>
            <w:pPr>
              <w:ind w:left="160"/>
              <w:spacing w:after="0" w:line="201" w:lineRule="exact"/>
              <w:rPr>
                <w:sz w:val="20"/>
                <w:szCs w:val="20"/>
                <w:color w:val="auto"/>
              </w:rPr>
            </w:pPr>
            <w:r>
              <w:rPr>
                <w:rFonts w:ascii="Times New Roman" w:cs="Times New Roman" w:eastAsia="Times New Roman" w:hAnsi="Times New Roman"/>
                <w:sz w:val="18"/>
                <w:szCs w:val="18"/>
                <w:color w:val="auto"/>
              </w:rPr>
              <w:t>Accrued expenses and</w:t>
            </w:r>
          </w:p>
        </w:tc>
      </w:tr>
      <w:tr>
        <w:trPr>
          <w:trHeight w:val="228"/>
        </w:trPr>
        <w:tc>
          <w:tcPr>
            <w:tcW w:w="20" w:type="dxa"/>
            <w:vAlign w:val="bottom"/>
          </w:tcPr>
          <w:p>
            <w:pPr>
              <w:spacing w:after="0"/>
              <w:rPr>
                <w:sz w:val="19"/>
                <w:szCs w:val="19"/>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designated as hedges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8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 Contracts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Forward Contracts Designated as Hedges ("Cash Flow Hedges")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total gross notional amounts and fair values of our Cash Flow Hedges are as follows (amounts in millions):</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gridSpan w:val="3"/>
          </w:tcPr>
          <w:p>
            <w:pPr>
              <w:jc w:val="center"/>
              <w:ind w:right="566"/>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00" w:type="dxa"/>
            <w:vAlign w:val="bottom"/>
            <w:gridSpan w:val="4"/>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0"/>
              </w:rPr>
              <w:t>As of</w:t>
            </w:r>
          </w:p>
        </w:tc>
      </w:tr>
      <w:tr>
        <w:trPr>
          <w:trHeight w:val="165"/>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5"/>
              </w:rPr>
              <w:t>December 31, 2018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December 31, 2017</w:t>
            </w:r>
          </w:p>
        </w:tc>
      </w:tr>
      <w:tr>
        <w:trPr>
          <w:trHeight w:val="125"/>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4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Notional</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0"/>
                <w:szCs w:val="10"/>
                <w:color w:val="auto"/>
              </w:rPr>
            </w:pPr>
          </w:p>
        </w:tc>
        <w:tc>
          <w:tcPr>
            <w:tcW w:w="66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Notional</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5"/>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5"/>
              </w:rPr>
              <w:t>amount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gain (loss)</w:t>
            </w: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Foreign Currency:</w:t>
            </w:r>
          </w:p>
        </w:tc>
        <w:tc>
          <w:tcPr>
            <w:tcW w:w="2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Buy USD, Sell Euro</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bl>
    <w:p>
      <w:pPr>
        <w:spacing w:after="0" w:line="189" w:lineRule="exact"/>
        <w:rPr>
          <w:sz w:val="20"/>
          <w:szCs w:val="20"/>
          <w:color w:val="auto"/>
        </w:rPr>
      </w:pPr>
    </w:p>
    <w:p>
      <w:pPr>
        <w:ind w:firstLine="341"/>
        <w:spacing w:after="0" w:line="310" w:lineRule="auto"/>
        <w:rPr>
          <w:sz w:val="20"/>
          <w:szCs w:val="20"/>
          <w:color w:val="auto"/>
        </w:rPr>
      </w:pPr>
      <w:r>
        <w:rPr>
          <w:rFonts w:ascii="Times New Roman" w:cs="Times New Roman" w:eastAsia="Times New Roman" w:hAnsi="Times New Roman"/>
          <w:sz w:val="16"/>
          <w:szCs w:val="16"/>
          <w:color w:val="auto"/>
        </w:rPr>
        <w:t>At December 31, 2018, our Cash Flow Hedges have remaining maturities of 12 months or less. Additionally, $11 million of net realized but unrecognized gains are recorded within "Accumulated other comprehensive income (loss)" at December 31, 2018, for Cash Flow Hedges that had settled but were deferred and will be amortized into earnings, along with the associated hedged revenues. Such amounts will be reclassified into earnings within the next 12 months.</w:t>
      </w:r>
    </w:p>
    <w:p>
      <w:pPr>
        <w:spacing w:after="0" w:line="1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21" w:name="page122"/>
    <w:bookmarkEnd w:id="1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 (Continued)</w:t>
      </w:r>
    </w:p>
    <w:p>
      <w:pPr>
        <w:spacing w:after="0" w:line="227" w:lineRule="exact"/>
        <w:rPr>
          <w:sz w:val="20"/>
          <w:szCs w:val="20"/>
          <w:color w:val="auto"/>
        </w:rPr>
      </w:pPr>
    </w:p>
    <w:p>
      <w:pPr>
        <w:ind w:right="300" w:firstLine="348"/>
        <w:spacing w:after="0" w:line="275" w:lineRule="auto"/>
        <w:rPr>
          <w:sz w:val="20"/>
          <w:szCs w:val="20"/>
          <w:color w:val="auto"/>
        </w:rPr>
      </w:pPr>
      <w:r>
        <w:rPr>
          <w:rFonts w:ascii="Times New Roman" w:cs="Times New Roman" w:eastAsia="Times New Roman" w:hAnsi="Times New Roman"/>
          <w:sz w:val="18"/>
          <w:szCs w:val="18"/>
          <w:color w:val="auto"/>
        </w:rPr>
        <w:t>The amount of pre-tax net realized gains (losses) associated with our Cash Flow Hedges that were reclassified out of "Accumulated other comprehensive income (loss)" and into earnings was as follows (amounts in millions):</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6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For the Years Ended</w:t>
            </w:r>
          </w:p>
        </w:tc>
        <w:tc>
          <w:tcPr>
            <w:tcW w:w="16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1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Statement of</w:t>
            </w: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40" w:type="dxa"/>
            <w:vAlign w:val="bottom"/>
            <w:tcBorders>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2"/>
                <w:szCs w:val="12"/>
                <w:color w:val="auto"/>
              </w:rPr>
            </w:pPr>
          </w:p>
        </w:tc>
        <w:tc>
          <w:tcPr>
            <w:tcW w:w="4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2"/>
                <w:szCs w:val="12"/>
                <w:color w:val="auto"/>
              </w:rPr>
            </w:pPr>
          </w:p>
        </w:tc>
        <w:tc>
          <w:tcPr>
            <w:tcW w:w="15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Operations Classification</w:t>
            </w: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Net revenues</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Forward Contracts Not Designated as Hedges</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total gross notional amounts and fair values of our foreign currency forward contracts not designated as hedges are as follows (amounts in millions):</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gridSpan w:val="2"/>
          </w:tcPr>
          <w:p>
            <w:pPr>
              <w:jc w:val="center"/>
              <w:ind w:right="472"/>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00" w:type="dxa"/>
            <w:vAlign w:val="bottom"/>
            <w:gridSpan w:val="4"/>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0"/>
              </w:rPr>
              <w:t>As of</w:t>
            </w:r>
          </w:p>
        </w:tc>
      </w:tr>
      <w:tr>
        <w:trPr>
          <w:trHeight w:val="165"/>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 2018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December 31, 2017</w:t>
            </w:r>
          </w:p>
        </w:tc>
      </w:tr>
      <w:tr>
        <w:trPr>
          <w:trHeight w:val="125"/>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4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Notional</w:t>
            </w: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ind w:left="100"/>
              <w:spacing w:after="0" w:line="125" w:lineRule="exact"/>
              <w:rPr>
                <w:sz w:val="20"/>
                <w:szCs w:val="20"/>
                <w:color w:val="auto"/>
              </w:rPr>
            </w:pPr>
            <w:r>
              <w:rPr>
                <w:rFonts w:ascii="Times New Roman" w:cs="Times New Roman" w:eastAsia="Times New Roman" w:hAnsi="Times New Roman"/>
                <w:sz w:val="14"/>
                <w:szCs w:val="14"/>
                <w:b w:val="1"/>
                <w:bCs w:val="1"/>
                <w:color w:val="auto"/>
                <w:w w:val="91"/>
              </w:rPr>
              <w:t>Fair value</w:t>
            </w:r>
          </w:p>
        </w:tc>
        <w:tc>
          <w:tcPr>
            <w:tcW w:w="1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Notional</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5"/>
              </w:rPr>
              <w:t>amount</w:t>
            </w:r>
          </w:p>
        </w:tc>
        <w:tc>
          <w:tcPr>
            <w:tcW w:w="16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w w:val="92"/>
              </w:rPr>
              <w:t>gain (loss)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5"/>
              </w:rPr>
              <w:t>amount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gain (loss)</w:t>
            </w: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Foreign Currency:</w:t>
            </w:r>
          </w:p>
        </w:tc>
        <w:tc>
          <w:tcPr>
            <w:tcW w:w="2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Buy USD, Sell GBP</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40" w:type="dxa"/>
            <w:vAlign w:val="bottom"/>
            <w:gridSpan w:val="2"/>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r>
    </w:tbl>
    <w:p>
      <w:pPr>
        <w:spacing w:after="0" w:line="189" w:lineRule="exact"/>
        <w:rPr>
          <w:sz w:val="20"/>
          <w:szCs w:val="20"/>
          <w:color w:val="auto"/>
        </w:rPr>
      </w:pPr>
    </w:p>
    <w:p>
      <w:pPr>
        <w:ind w:right="620" w:firstLine="351"/>
        <w:spacing w:after="0" w:line="275" w:lineRule="auto"/>
        <w:rPr>
          <w:sz w:val="20"/>
          <w:szCs w:val="20"/>
          <w:color w:val="auto"/>
        </w:rPr>
      </w:pPr>
      <w:r>
        <w:rPr>
          <w:rFonts w:ascii="Times New Roman" w:cs="Times New Roman" w:eastAsia="Times New Roman" w:hAnsi="Times New Roman"/>
          <w:sz w:val="18"/>
          <w:szCs w:val="18"/>
          <w:color w:val="auto"/>
        </w:rPr>
        <w:t>During the years ended December 31, 2018, 2017, and 2016 pre-tax net gains associated with these forward contracts were recorded in "General and administrative expenses" and were not material.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 on a Non-Recurring Basis</w:t>
      </w:r>
    </w:p>
    <w:p>
      <w:pPr>
        <w:spacing w:after="0" w:line="229" w:lineRule="exact"/>
        <w:rPr>
          <w:sz w:val="20"/>
          <w:szCs w:val="20"/>
          <w:color w:val="auto"/>
        </w:rPr>
      </w:pPr>
    </w:p>
    <w:p>
      <w:pPr>
        <w:ind w:right="20" w:firstLine="348"/>
        <w:spacing w:after="0" w:line="275" w:lineRule="auto"/>
        <w:rPr>
          <w:sz w:val="20"/>
          <w:szCs w:val="20"/>
          <w:color w:val="auto"/>
        </w:rPr>
      </w:pPr>
      <w:r>
        <w:rPr>
          <w:rFonts w:ascii="Times New Roman" w:cs="Times New Roman" w:eastAsia="Times New Roman" w:hAnsi="Times New Roman"/>
          <w:sz w:val="18"/>
          <w:szCs w:val="18"/>
          <w:color w:val="auto"/>
        </w:rPr>
        <w:t>We measure the fair value of certain assets on a non-recurring basis, generally annually or when events or changes in circumstances indicate that the carrying amount of the assets may not be recoverable.</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the years ended December 31, 2018, 2017, and 2016, there were no impairment charges related to assets that are measured on a non-recurring basis.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Deferred Revenues</w:t>
      </w:r>
    </w:p>
    <w:p>
      <w:pPr>
        <w:spacing w:after="0" w:line="22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record deferred revenues when cash payments are received or due in advance of the fulfillment of our associated performance obligations. The opening balance of deferred revenues as of January 1, 2018 and the ending balance as of December 31, 2018, were $1.8 billion and $1.6 billion, respectively, including our current and non-current balances. For the year ended December 31, 2018, the additions to our deferred revenues balance were primarily due to cash payments received or due in advance of satisfying our performance obligations, while the reductions to our deferred revenues balance were primarily due to the recognition of revenues upon fulfillment of our performance obligations, both of which were in the ordinary course of business. During the year ended December 31, 2018, $1.7 billion of revenues were recognized that were included in the deferred revenues balance at the beginning of the period.</w:t>
      </w:r>
    </w:p>
    <w:p>
      <w:pPr>
        <w:spacing w:after="0" w:line="193" w:lineRule="exact"/>
        <w:rPr>
          <w:sz w:val="20"/>
          <w:szCs w:val="20"/>
          <w:color w:val="auto"/>
        </w:rPr>
      </w:pPr>
    </w:p>
    <w:p>
      <w:pPr>
        <w:ind w:right="180" w:firstLine="341"/>
        <w:spacing w:after="0" w:line="275" w:lineRule="auto"/>
        <w:rPr>
          <w:sz w:val="20"/>
          <w:szCs w:val="20"/>
          <w:color w:val="auto"/>
        </w:rPr>
      </w:pPr>
      <w:r>
        <w:rPr>
          <w:rFonts w:ascii="Times New Roman" w:cs="Times New Roman" w:eastAsia="Times New Roman" w:hAnsi="Times New Roman"/>
          <w:sz w:val="18"/>
          <w:szCs w:val="18"/>
          <w:color w:val="auto"/>
        </w:rPr>
        <w:t>As of December 31, 2018, the aggregate amount of contracted revenues allocated to our unsatisfied performance obligations is $2.9 billion, which includes our deferred revenues balances and amounts to be invoiced and recognized as revenue in future periods. We expect to recognize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Deferred Revenues (Continued)</w:t>
      </w:r>
    </w:p>
    <w:p>
      <w:pPr>
        <w:spacing w:after="0" w:line="227"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approximately $1.8 billion in 2019, $0.4 billion in 2020, and the remainder thereafter. This balance does not include an estimate for variable consideration arising from sales-based royalty license revenue in excess of the contractual minimum guarantee.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Debt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29" w:lineRule="exact"/>
        <w:rPr>
          <w:sz w:val="20"/>
          <w:szCs w:val="20"/>
          <w:color w:val="auto"/>
        </w:rPr>
      </w:pPr>
    </w:p>
    <w:p>
      <w:pPr>
        <w:ind w:right="200" w:firstLine="341"/>
        <w:spacing w:after="0" w:line="339" w:lineRule="auto"/>
        <w:rPr>
          <w:sz w:val="20"/>
          <w:szCs w:val="20"/>
          <w:color w:val="auto"/>
        </w:rPr>
      </w:pPr>
      <w:r>
        <w:rPr>
          <w:rFonts w:ascii="Times New Roman" w:cs="Times New Roman" w:eastAsia="Times New Roman" w:hAnsi="Times New Roman"/>
          <w:sz w:val="16"/>
          <w:szCs w:val="16"/>
          <w:color w:val="auto"/>
        </w:rPr>
        <w:t>At December 31, 2017, we had outstanding term loans "A" of approximately $990 million (the "2017 TLA") and $250 million available under a revolving credit facility pursuant to a credit agreement entered into on October 11, 2013 (as amended thereafter and from time to time, the "Credit Agreement").</w:t>
      </w:r>
    </w:p>
    <w:p>
      <w:pPr>
        <w:spacing w:after="0" w:line="128" w:lineRule="exact"/>
        <w:rPr>
          <w:sz w:val="20"/>
          <w:szCs w:val="20"/>
          <w:color w:val="auto"/>
        </w:rPr>
      </w:pPr>
    </w:p>
    <w:p>
      <w:pPr>
        <w:ind w:firstLine="351"/>
        <w:spacing w:after="0" w:line="293" w:lineRule="auto"/>
        <w:rPr>
          <w:sz w:val="20"/>
          <w:szCs w:val="20"/>
          <w:color w:val="auto"/>
        </w:rPr>
      </w:pPr>
      <w:r>
        <w:rPr>
          <w:rFonts w:ascii="Times New Roman" w:cs="Times New Roman" w:eastAsia="Times New Roman" w:hAnsi="Times New Roman"/>
          <w:sz w:val="16"/>
          <w:szCs w:val="16"/>
          <w:color w:val="auto"/>
        </w:rPr>
        <w:t>On August 24, 2018, using available cash on hand, we made a voluntary prepayment of $990 million to fully repay and extinguish the 2017 TLA. As a result, we wrote-off unamortized discount and financing costs of $7 million, which are included in "Loss on extinguishment of debt" in the consolidated statement of operations. On August 24, 2018, we also entered into the seventh amendment (the "Amendment") to our Credit Agreement. The Amendment, among other things: (1) provided for a new revolving credit facility in an aggregate principal amount of $1.5 billion (the "New Revolver"), which replaced our prior revolving credit facility; (2) amended the Credit Agreement to remove mechanics related to the 2017 TLA, which, as noted above, was repaid in full prior to the effectiveness of the Amendment; and (3) eliminated or amended certain representations, warranties and covenants to reflect our current credit ratings.</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New Revolver is scheduled to mature on August 24, 2023. Borrowings under the New Revolver will bear interest, at the Company's option, at either</w:t>
      </w:r>
    </w:p>
    <w:p>
      <w:pPr>
        <w:spacing w:after="0" w:line="21" w:lineRule="exact"/>
        <w:rPr>
          <w:sz w:val="20"/>
          <w:szCs w:val="20"/>
          <w:color w:val="auto"/>
        </w:rPr>
      </w:pPr>
    </w:p>
    <w:p>
      <w:pPr>
        <w:ind w:right="80" w:firstLine="8"/>
        <w:spacing w:after="0" w:line="252" w:lineRule="auto"/>
        <w:tabs>
          <w:tab w:leader="none" w:pos="24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equal to the highest of (i) the federal funds rate, plus 0.5%, (ii) the prime commercial lending rate of Bank of America, N.A. and (iii) the London Interbank Offered Rate ("LIBOR") for an interest period of one month beginning on such day plus 1.00%, or (2) LIBOR, in each case, plus an applicable interest margin. LIBOR will be subject to a floor of 0% and base rate will be subject to an effective floor of 1.00%. The applicable interest margin for borrowings under the New Revolver will range from 0.875% to 1.375% for LIBOR borrowings and from 0% to 0.375% for base rate borrowings and will be determined by reference to a pricing grid based on the Company's credit ratings. Up to $50 million of the New Revolver may be used for letters of credit. To date, we have not drawn on the New Revolver.</w:t>
      </w:r>
    </w:p>
    <w:p>
      <w:pPr>
        <w:spacing w:after="0" w:line="196"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Under the Credit Agreement, we are subject to a financial covenant requiring the Company's Consolidated Total Net Debt Ratio (as defined in the Credit Agreement) not to exceed 3.75:1.00 (or, at the Company's option and for a limited period of time upon the consummation of a Qualifying Acquisition (as defined in the Credit Agreement), 4.25:1.00). The Credit Agreement contains covenants customary for transactions of this type for issuers with similar credit ratings. These include those restricting liens, debt of non-guarantor subsidiaries and certain fundamental changes, in each case with exceptions, including exceptions for secured debt and debt of non-guarantor subsidiaries of the Company, in each case up to an amount not exceeding 7.5% of Total Assets (as defined in the Credit Agreement). We were in compliance with the terms of the Credit Agreement as of December 31, 2018.</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3" w:name="page124"/>
    <w:bookmarkEnd w:id="1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Debt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Unsecured Senior Notes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December 31, 2017, we had the following unsecured senior notes outstanding:</w:t>
      </w:r>
    </w:p>
    <w:p>
      <w:pPr>
        <w:spacing w:after="0" w:line="239" w:lineRule="exact"/>
        <w:rPr>
          <w:sz w:val="20"/>
          <w:szCs w:val="20"/>
          <w:color w:val="auto"/>
        </w:rPr>
      </w:pPr>
    </w:p>
    <w:p>
      <w:pPr>
        <w:ind w:left="1080" w:right="560" w:hanging="532"/>
        <w:spacing w:after="0" w:line="275"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 million of 6.125% unsecured senior notes due September 2023 that we issued on September 19, 2013 (the "2023 Notes"), in a private offering made in accordance with Rule 144A under the Securities Act of 1933, as amended (the "Securities Act");</w:t>
      </w:r>
    </w:p>
    <w:p>
      <w:pPr>
        <w:spacing w:after="0" w:line="200" w:lineRule="exact"/>
        <w:rPr>
          <w:rFonts w:ascii="Times New Roman" w:cs="Times New Roman" w:eastAsia="Times New Roman" w:hAnsi="Times New Roman"/>
          <w:sz w:val="18"/>
          <w:szCs w:val="18"/>
          <w:color w:val="auto"/>
        </w:rPr>
      </w:pPr>
    </w:p>
    <w:p>
      <w:pPr>
        <w:ind w:left="1080" w:right="540" w:hanging="532"/>
        <w:spacing w:after="0" w:line="26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$650 million of 2.3% unsecured senior notes due September 2021 (the "2021 Notes") and $850 million of 3.4% unsecured senior notes due September 2026 (the "2026 Notes") that we issued on September 19, 2016, in a private offering made in accordance with Rule 144A and Regulation S under the Securities Act, and subsequently exchanged for publicly registered notes in June 2017; and</w:t>
      </w:r>
    </w:p>
    <w:p>
      <w:pPr>
        <w:spacing w:after="0" w:line="199" w:lineRule="exact"/>
        <w:rPr>
          <w:rFonts w:ascii="Times New Roman" w:cs="Times New Roman" w:eastAsia="Times New Roman" w:hAnsi="Times New Roman"/>
          <w:sz w:val="18"/>
          <w:szCs w:val="18"/>
          <w:color w:val="auto"/>
        </w:rPr>
      </w:pPr>
    </w:p>
    <w:p>
      <w:pPr>
        <w:ind w:left="1080" w:right="160" w:hanging="532"/>
        <w:spacing w:after="0" w:line="310" w:lineRule="auto"/>
        <w:tabs>
          <w:tab w:leader="none" w:pos="10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$400 million of 2.6% unsecured senior notes due June 2022 (the "2022 Notes"), $400 million of 3.4% unsecured senior notes due June 2027 (the "2027 Notes"), and $400 million of 4.5% unsecured senior notes due June 2047 (the "2047 Notes", and together with the 2021 Notes, the 2022 Notes, the 2023 Notes, the 2026 Notes, and the 2027 Notes, the "Notes"), that we issued on May 26, 2017, in a public underwritten offering.</w:t>
      </w:r>
    </w:p>
    <w:p>
      <w:pPr>
        <w:spacing w:after="0" w:line="151"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On July 17, 2018, we issued an irrevocable notice of redemption to the holders of all of our outstanding 2023 Notes. Accordingly, on August 16, 2018, using available cash on hand, we redeemed the 2023 Notes in full at a redemption price equal to (1) 100% of the principal amount of the 2023 Notes plus (2) a "make-whole" premium calculated as set forth in the indenture governing the 2023 Notes and (3) accrued and unpaid interest to the redemption date. The redemption of the 2023 Notes resulted in a "Loss on extinguishment of debt" recorded in the consolidated statement of operations of $33 million, comprised of premium payments of $25 million and a write-off of unamortized discount and deferred financing costs of $8 million. All other Notes referred to above remained outstanding as of December 31, 2018.</w:t>
      </w:r>
    </w:p>
    <w:p>
      <w:pPr>
        <w:spacing w:after="0" w:line="191" w:lineRule="exact"/>
        <w:rPr>
          <w:sz w:val="20"/>
          <w:szCs w:val="20"/>
          <w:color w:val="auto"/>
        </w:rPr>
      </w:pPr>
    </w:p>
    <w:p>
      <w:pPr>
        <w:ind w:right="120" w:firstLine="348"/>
        <w:spacing w:after="0" w:line="257" w:lineRule="auto"/>
        <w:rPr>
          <w:sz w:val="20"/>
          <w:szCs w:val="20"/>
          <w:color w:val="auto"/>
        </w:rPr>
      </w:pPr>
      <w:r>
        <w:rPr>
          <w:rFonts w:ascii="Times New Roman" w:cs="Times New Roman" w:eastAsia="Times New Roman" w:hAnsi="Times New Roman"/>
          <w:sz w:val="18"/>
          <w:szCs w:val="18"/>
          <w:color w:val="auto"/>
        </w:rPr>
        <w:t xml:space="preserve">The Notes are general senior obligations of the Company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to all of the Company's existing and future senior indebtedness, including the New Revolver described above. The Notes are not secured and are effectively junior to any of the Company's existing and future indebtedness that is secured to the extent of the value of the collateral securing such indebtedness. The Notes contain customary covenants that place restrictions in certain circumstances on, among other things, the incurrence of secured debt, entry into sale or leaseback transactions, and certain merger or consolidation transactions. We were in compliance with the terms of the Notes as of December 31, 2018.</w:t>
      </w:r>
    </w:p>
    <w:p>
      <w:pPr>
        <w:spacing w:after="0" w:line="190"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Interest is payable semi-annually in arrears on March 15 and September 15 of each year for the 2021 Notes, the 2023 Notes, and the 2026 Notes, and payable semi-annually in arrears on June 15 and December 15 of each year for the 2022 Notes, the 2027 Notes, and the 2047 Notes. Accrued interest payable is recorded within "Accrued expenses and other liabilities" in our consolidated balance sheets. As of December 31, 2018 and December 31, 2017, we had accrued interest payable of $15 million and $28 million, respectively, related to the Notes.</w:t>
      </w:r>
    </w:p>
    <w:p>
      <w:pPr>
        <w:spacing w:after="0" w:line="190" w:lineRule="exact"/>
        <w:rPr>
          <w:sz w:val="20"/>
          <w:szCs w:val="20"/>
          <w:color w:val="auto"/>
        </w:rPr>
      </w:pPr>
    </w:p>
    <w:p>
      <w:pPr>
        <w:ind w:right="20" w:firstLine="348"/>
        <w:spacing w:after="0" w:line="275" w:lineRule="auto"/>
        <w:rPr>
          <w:sz w:val="20"/>
          <w:szCs w:val="20"/>
          <w:color w:val="auto"/>
        </w:rPr>
      </w:pPr>
      <w:r>
        <w:rPr>
          <w:rFonts w:ascii="Times New Roman" w:cs="Times New Roman" w:eastAsia="Times New Roman" w:hAnsi="Times New Roman"/>
          <w:sz w:val="18"/>
          <w:szCs w:val="18"/>
          <w:color w:val="auto"/>
        </w:rPr>
        <w:t>We may redeem some or all of the 2021 Notes, the 2022 Notes, the 2026 Notes, the 2027 Notes, and the 2047 Notes prior to August 15, 2021, May 15, 2022, June 15, 2026, March 15, 2027, and December 15, 2046, respectively, and in each case at a price equal to 100% of the aggregate principal</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4" w:name="page125"/>
    <w:bookmarkEnd w:id="1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Debt (Continued)</w:t>
      </w:r>
    </w:p>
    <w:p>
      <w:pPr>
        <w:spacing w:after="0" w:line="227"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amount thereof plus a "make-whole" premium and accrued and unpaid interest. Any redemption of all or a portion of the applicable class of note after the applicable date would be at 100% of aggregate principal amount plus accrued and unpaid interest.</w:t>
      </w:r>
    </w:p>
    <w:p>
      <w:pPr>
        <w:spacing w:after="0" w:line="174" w:lineRule="exact"/>
        <w:rPr>
          <w:sz w:val="20"/>
          <w:szCs w:val="20"/>
          <w:color w:val="auto"/>
        </w:rPr>
      </w:pPr>
    </w:p>
    <w:p>
      <w:pPr>
        <w:ind w:right="400" w:firstLine="351"/>
        <w:spacing w:after="0" w:line="262" w:lineRule="auto"/>
        <w:rPr>
          <w:sz w:val="20"/>
          <w:szCs w:val="20"/>
          <w:color w:val="auto"/>
        </w:rPr>
      </w:pPr>
      <w:r>
        <w:rPr>
          <w:rFonts w:ascii="Times New Roman" w:cs="Times New Roman" w:eastAsia="Times New Roman" w:hAnsi="Times New Roman"/>
          <w:sz w:val="18"/>
          <w:szCs w:val="18"/>
          <w:color w:val="auto"/>
        </w:rPr>
        <w:t>Upon the occurrence of certain change of control events, we will be required to offer to repurchase the Notes at a purchase price equal to 101% of the principal amount thereof, plus accrued and unpaid interest. These repurchase requirements are considered clearly and closely related to the Notes and are not accounted for separately upon issuance.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financing costs</w:t>
      </w:r>
    </w:p>
    <w:p>
      <w:pPr>
        <w:spacing w:after="0" w:line="229"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Fees and discounts associated with the issuance of our debt instruments are recorded as debt discount, which reduces their respective carrying values, and are amortized over their respective terms. Amortization expense is recorded within "Interest and other expense (income), net" in our consolidated statement of operations.</w:t>
      </w:r>
    </w:p>
    <w:p>
      <w:pPr>
        <w:spacing w:after="0" w:line="186" w:lineRule="exact"/>
        <w:rPr>
          <w:sz w:val="20"/>
          <w:szCs w:val="20"/>
          <w:color w:val="auto"/>
        </w:rPr>
      </w:pPr>
    </w:p>
    <w:p>
      <w:pPr>
        <w:ind w:right="220" w:firstLine="351"/>
        <w:spacing w:after="0" w:line="275" w:lineRule="auto"/>
        <w:rPr>
          <w:sz w:val="20"/>
          <w:szCs w:val="20"/>
          <w:color w:val="auto"/>
        </w:rPr>
      </w:pPr>
      <w:r>
        <w:rPr>
          <w:rFonts w:ascii="Times New Roman" w:cs="Times New Roman" w:eastAsia="Times New Roman" w:hAnsi="Times New Roman"/>
          <w:sz w:val="18"/>
          <w:szCs w:val="18"/>
          <w:color w:val="auto"/>
        </w:rPr>
        <w:t>For the years ended December 31, 2018, 2017, and 2016: interest expense was $134 million, $150 million, and $197 million, respectively; amortization of the debt discount and deferred financing costs was $6 million, $12 million, and $20 million, respectively.</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outstanding debt is as follows (amounts in millions):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4"/>
              </w:rPr>
              <w:t>At December 31, 2018</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25"/>
        </w:trPr>
        <w:tc>
          <w:tcPr>
            <w:tcW w:w="17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Unamortized</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20" w:type="dxa"/>
            <w:vAlign w:val="bottom"/>
          </w:tcPr>
          <w:p>
            <w:pPr>
              <w:spacing w:after="0"/>
              <w:rPr>
                <w:sz w:val="10"/>
                <w:szCs w:val="10"/>
                <w:color w:val="auto"/>
              </w:rPr>
            </w:pPr>
          </w:p>
        </w:tc>
      </w:tr>
      <w:tr>
        <w:trPr>
          <w:trHeight w:val="149"/>
        </w:trPr>
        <w:tc>
          <w:tcPr>
            <w:tcW w:w="17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Discount and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49"/>
        </w:trPr>
        <w:tc>
          <w:tcPr>
            <w:tcW w:w="17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w w:val="95"/>
              </w:rPr>
              <w:t>Gross Carrying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Deferred</w:t>
            </w:r>
          </w:p>
        </w:tc>
        <w:tc>
          <w:tcPr>
            <w:tcW w:w="2800" w:type="dxa"/>
            <w:vAlign w:val="bottom"/>
            <w:gridSpan w:val="4"/>
          </w:tcPr>
          <w:p>
            <w:pPr>
              <w:jc w:val="center"/>
              <w:ind w:right="18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Net Carrying</w:t>
            </w:r>
          </w:p>
        </w:tc>
      </w:tr>
      <w:tr>
        <w:trPr>
          <w:trHeight w:val="165"/>
        </w:trPr>
        <w:tc>
          <w:tcPr>
            <w:tcW w:w="17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Financing Costs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880" w:type="dxa"/>
            <w:vAlign w:val="bottom"/>
            <w:gridSpan w:val="2"/>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 Notes</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2022 Notes</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Notes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2027 Notes</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2047 Notes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390</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7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831"/>
        </w:trPr>
        <w:tc>
          <w:tcPr>
            <w:tcW w:w="17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4"/>
              </w:rPr>
              <w:t>At December 31, 2017</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25"/>
        </w:trPr>
        <w:tc>
          <w:tcPr>
            <w:tcW w:w="17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Unamortized</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20" w:type="dxa"/>
            <w:vAlign w:val="bottom"/>
          </w:tcPr>
          <w:p>
            <w:pPr>
              <w:spacing w:after="0"/>
              <w:rPr>
                <w:sz w:val="10"/>
                <w:szCs w:val="10"/>
                <w:color w:val="auto"/>
              </w:rPr>
            </w:pPr>
          </w:p>
        </w:tc>
      </w:tr>
      <w:tr>
        <w:trPr>
          <w:trHeight w:val="149"/>
        </w:trPr>
        <w:tc>
          <w:tcPr>
            <w:tcW w:w="17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Discount and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49"/>
        </w:trPr>
        <w:tc>
          <w:tcPr>
            <w:tcW w:w="17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w w:val="95"/>
              </w:rPr>
              <w:t>Gross Carrying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Deferred</w:t>
            </w:r>
          </w:p>
        </w:tc>
        <w:tc>
          <w:tcPr>
            <w:tcW w:w="2800" w:type="dxa"/>
            <w:vAlign w:val="bottom"/>
            <w:gridSpan w:val="4"/>
          </w:tcPr>
          <w:p>
            <w:pPr>
              <w:jc w:val="center"/>
              <w:ind w:right="18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Net Carrying</w:t>
            </w:r>
          </w:p>
        </w:tc>
      </w:tr>
      <w:tr>
        <w:trPr>
          <w:trHeight w:val="165"/>
        </w:trPr>
        <w:tc>
          <w:tcPr>
            <w:tcW w:w="17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Financing Costs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880" w:type="dxa"/>
            <w:vAlign w:val="bottom"/>
            <w:gridSpan w:val="2"/>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 TLA</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2021 Notes</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Notes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2023 Notes</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Notes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2027 Notes</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2047 Notes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390</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7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84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F-39</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5" w:name="page126"/>
    <w:bookmarkEnd w:id="1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Debt (Continued)</w:t>
      </w:r>
    </w:p>
    <w:p>
      <w:pPr>
        <w:spacing w:after="0" w:line="227" w:lineRule="exact"/>
        <w:rPr>
          <w:sz w:val="20"/>
          <w:szCs w:val="20"/>
          <w:color w:val="auto"/>
        </w:rPr>
      </w:pPr>
    </w:p>
    <w:p>
      <w:pPr>
        <w:ind w:right="380" w:firstLine="341"/>
        <w:spacing w:after="0" w:line="275" w:lineRule="auto"/>
        <w:rPr>
          <w:sz w:val="20"/>
          <w:szCs w:val="20"/>
          <w:color w:val="auto"/>
        </w:rPr>
      </w:pPr>
      <w:r>
        <w:rPr>
          <w:rFonts w:ascii="Times New Roman" w:cs="Times New Roman" w:eastAsia="Times New Roman" w:hAnsi="Times New Roman"/>
          <w:sz w:val="18"/>
          <w:szCs w:val="18"/>
          <w:color w:val="auto"/>
        </w:rPr>
        <w:t>As of December 31, 2018, the scheduled maturities and contractual principal repayments of our debt for each of the five succeeding years are as follows (amounts in millions):</w:t>
      </w:r>
    </w:p>
    <w:p>
      <w:pPr>
        <w:spacing w:after="0" w:line="18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years ending December 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gridSpan w:val="2"/>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c>
          <w:tcPr>
            <w:tcW w:w="140" w:type="dxa"/>
            <w:vAlign w:val="bottom"/>
          </w:tcPr>
          <w:p>
            <w:pPr>
              <w:spacing w:after="0"/>
              <w:rPr>
                <w:sz w:val="18"/>
                <w:szCs w:val="18"/>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shd w:val="clear" w:color="auto" w:fill="CCEEFF"/>
          </w:tcPr>
          <w:p>
            <w:pPr>
              <w:spacing w:after="0"/>
              <w:rPr>
                <w:sz w:val="18"/>
                <w:szCs w:val="18"/>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1,650</w:t>
            </w:r>
          </w:p>
        </w:tc>
        <w:tc>
          <w:tcPr>
            <w:tcW w:w="140" w:type="dxa"/>
            <w:vAlign w:val="bottom"/>
            <w:shd w:val="clear" w:color="auto" w:fill="CCEEFF"/>
          </w:tcPr>
          <w:p>
            <w:pPr>
              <w:spacing w:after="0"/>
              <w:rPr>
                <w:sz w:val="18"/>
                <w:szCs w:val="18"/>
                <w:color w:val="auto"/>
              </w:rPr>
            </w:pPr>
          </w:p>
        </w:tc>
      </w:tr>
      <w:tr>
        <w:trPr>
          <w:trHeight w:val="210"/>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On February 1, 2018, our Board of Directors authorized repayment of up to $1.8 billion of the company's outstanding debt during 2018. As of December 31, 2018, we had utilized this entire authorization to repay our 2017 TLA and redeem our 2023 Notes, as described above.</w:t>
      </w:r>
    </w:p>
    <w:p>
      <w:pPr>
        <w:spacing w:after="0" w:line="174" w:lineRule="exact"/>
        <w:rPr>
          <w:sz w:val="20"/>
          <w:szCs w:val="20"/>
          <w:color w:val="auto"/>
        </w:rPr>
      </w:pPr>
    </w:p>
    <w:p>
      <w:pPr>
        <w:ind w:right="180" w:firstLine="351"/>
        <w:spacing w:after="0" w:line="258" w:lineRule="auto"/>
        <w:rPr>
          <w:sz w:val="20"/>
          <w:szCs w:val="20"/>
          <w:color w:val="auto"/>
        </w:rPr>
      </w:pPr>
      <w:r>
        <w:rPr>
          <w:rFonts w:ascii="Times New Roman" w:cs="Times New Roman" w:eastAsia="Times New Roman" w:hAnsi="Times New Roman"/>
          <w:sz w:val="18"/>
          <w:szCs w:val="18"/>
          <w:color w:val="auto"/>
        </w:rPr>
        <w:t>Using Level 2 inputs (i.e., observable market prices in less-than-active markets) at December 31, 2018, the carrying values of the 2021 Notes and the 2022 Notes approximated their fair values, as the interest rates were similar to the current rates at which we could borrow funds over the selected interest periods. At December 31, 2018, based on Level 2 inputs, the fair values of the 2026 Notes, the 2027 Notes, and the 2047 Notes were $800 million, $376 million, and $360 million, respectively.</w:t>
      </w:r>
    </w:p>
    <w:p>
      <w:pPr>
        <w:spacing w:after="0" w:line="190" w:lineRule="exact"/>
        <w:rPr>
          <w:sz w:val="20"/>
          <w:szCs w:val="20"/>
          <w:color w:val="auto"/>
        </w:rPr>
      </w:pPr>
    </w:p>
    <w:p>
      <w:pPr>
        <w:ind w:right="440" w:firstLine="351"/>
        <w:spacing w:after="0" w:line="262" w:lineRule="auto"/>
        <w:rPr>
          <w:sz w:val="20"/>
          <w:szCs w:val="20"/>
          <w:color w:val="auto"/>
        </w:rPr>
      </w:pPr>
      <w:r>
        <w:rPr>
          <w:rFonts w:ascii="Times New Roman" w:cs="Times New Roman" w:eastAsia="Times New Roman" w:hAnsi="Times New Roman"/>
          <w:sz w:val="18"/>
          <w:szCs w:val="18"/>
          <w:color w:val="auto"/>
        </w:rPr>
        <w:t>Using Level 2 inputs at December 31, 2017, with the exception of the 2023 Notes and the 2047 Notes, the carrying values of our debt instruments approximated their fair values. At December 31, 2017, based on Level 2 inputs, the fair values of the 2023 Notes and the 2047 Notes were $795 million and $421 million,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Income (Loss)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were as follows (amounts in millions):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10"/>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Year Ended December 31, 2018</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7"/>
              </w:rPr>
              <w:t>Unrealized gain</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5"/>
              </w:rPr>
              <w:t>Unrealized gain</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Foreign currency</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(loss)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(loss)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translation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on available-for-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on forward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adjustments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7"/>
              </w:rPr>
              <w:t>sale securities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7"/>
              </w:rPr>
              <w:t>contracts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60" w:type="dxa"/>
            <w:vAlign w:val="bottom"/>
            <w:shd w:val="clear" w:color="auto" w:fill="CCEEFF"/>
          </w:tcPr>
          <w:p>
            <w:pPr>
              <w:jc w:val="center"/>
              <w:ind w:right="2132"/>
              <w:spacing w:after="0"/>
              <w:rPr>
                <w:sz w:val="20"/>
                <w:szCs w:val="20"/>
                <w:color w:val="auto"/>
              </w:rPr>
            </w:pPr>
            <w:r>
              <w:rPr>
                <w:rFonts w:ascii="Times New Roman" w:cs="Times New Roman" w:eastAsia="Times New Roman" w:hAnsi="Times New Roman"/>
                <w:sz w:val="18"/>
                <w:szCs w:val="18"/>
                <w:color w:val="auto"/>
                <w:w w:val="96"/>
              </w:rPr>
              <w:t>Balance at December 31, 2017</w:t>
            </w:r>
          </w:p>
        </w:tc>
        <w:tc>
          <w:tcPr>
            <w:tcW w:w="3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(623)</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436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Cumulative impact from adoption of new revenue</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4360" w:type="dxa"/>
            <w:vAlign w:val="bottom"/>
          </w:tcPr>
          <w:p>
            <w:pPr>
              <w:jc w:val="center"/>
              <w:ind w:right="2172"/>
              <w:spacing w:after="0"/>
              <w:rPr>
                <w:sz w:val="20"/>
                <w:szCs w:val="20"/>
                <w:color w:val="auto"/>
              </w:rPr>
            </w:pPr>
            <w:r>
              <w:rPr>
                <w:rFonts w:ascii="Times New Roman" w:cs="Times New Roman" w:eastAsia="Times New Roman" w:hAnsi="Times New Roman"/>
                <w:sz w:val="18"/>
                <w:szCs w:val="18"/>
                <w:color w:val="auto"/>
                <w:w w:val="98"/>
              </w:rPr>
              <w:t>accounting standard</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Other comprehensive income (loss) before reclassifications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436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4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comprehensive income (loss) into earnings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160" w:type="dxa"/>
            <w:vAlign w:val="bottom"/>
            <w:vMerge w:val="continue"/>
          </w:tcPr>
          <w:p>
            <w:pPr>
              <w:spacing w:after="0"/>
              <w:rPr>
                <w:sz w:val="18"/>
                <w:szCs w:val="18"/>
                <w:color w:val="auto"/>
              </w:rPr>
            </w:pPr>
          </w:p>
        </w:tc>
        <w:tc>
          <w:tcPr>
            <w:tcW w:w="4360" w:type="dxa"/>
            <w:vAlign w:val="bottom"/>
            <w:shd w:val="clear" w:color="auto" w:fill="CCEEFF"/>
          </w:tcPr>
          <w:p>
            <w:pPr>
              <w:jc w:val="center"/>
              <w:ind w:right="2132"/>
              <w:spacing w:after="0"/>
              <w:rPr>
                <w:sz w:val="20"/>
                <w:szCs w:val="20"/>
                <w:color w:val="auto"/>
              </w:rPr>
            </w:pPr>
            <w:r>
              <w:rPr>
                <w:rFonts w:ascii="Times New Roman" w:cs="Times New Roman" w:eastAsia="Times New Roman" w:hAnsi="Times New Roman"/>
                <w:sz w:val="18"/>
                <w:szCs w:val="18"/>
                <w:color w:val="auto"/>
                <w:w w:val="96"/>
              </w:rPr>
              <w:t>Balance at December 31, 2018</w:t>
            </w:r>
          </w:p>
        </w:tc>
        <w:tc>
          <w:tcPr>
            <w:tcW w:w="3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(629)</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F-40</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6" w:name="page127"/>
    <w:bookmarkEnd w:id="1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Income (Loss)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10"/>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Year Ended December 31, 2017</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7"/>
              </w:rPr>
              <w:t>Unrealized gain</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5"/>
              </w:rPr>
              <w:t>Unrealized gain</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Foreign currency</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(loss)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(loss)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translation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on available-for-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on forward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5"/>
              </w:rPr>
              <w:t>adjustments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7"/>
              </w:rPr>
              <w:t>sale securities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7"/>
              </w:rPr>
              <w:t>contracts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(659)</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(629)</w:t>
            </w: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(26)</w:t>
            </w:r>
          </w:p>
        </w:tc>
      </w:tr>
      <w:tr>
        <w:trPr>
          <w:trHeight w:val="202"/>
        </w:trPr>
        <w:tc>
          <w:tcPr>
            <w:tcW w:w="20" w:type="dxa"/>
            <w:vAlign w:val="bottom"/>
          </w:tcPr>
          <w:p>
            <w:pPr>
              <w:spacing w:after="0"/>
              <w:rPr>
                <w:sz w:val="17"/>
                <w:szCs w:val="17"/>
                <w:color w:val="auto"/>
              </w:rPr>
            </w:pPr>
          </w:p>
        </w:tc>
        <w:tc>
          <w:tcPr>
            <w:tcW w:w="4520" w:type="dxa"/>
            <w:vAlign w:val="bottom"/>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comprehensive income (loss) into earnings</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firstLine="351"/>
        <w:spacing w:after="0" w:line="262" w:lineRule="auto"/>
        <w:rPr>
          <w:sz w:val="20"/>
          <w:szCs w:val="20"/>
          <w:color w:val="auto"/>
        </w:rPr>
      </w:pPr>
      <w:r>
        <w:rPr>
          <w:rFonts w:ascii="Times New Roman" w:cs="Times New Roman" w:eastAsia="Times New Roman" w:hAnsi="Times New Roman"/>
          <w:sz w:val="18"/>
          <w:szCs w:val="18"/>
          <w:color w:val="auto"/>
        </w:rPr>
        <w:t>Income taxes were not previously provided for foreign currency translation items, as these were considered indefinite investments in non-U.S. subsidiaries. Due to the U.S. Tax Reform Act enacted on December 22, 2017, we re-evaluated our indefinite reinvestment assertions and no longer consider these items to be indefinite investments. The corresponding tax impact for this change in assertion was not material.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Operating Segments and Geographic Regions</w:t>
      </w:r>
    </w:p>
    <w:p>
      <w:pPr>
        <w:spacing w:after="0" w:line="227" w:lineRule="exact"/>
        <w:rPr>
          <w:sz w:val="20"/>
          <w:szCs w:val="20"/>
          <w:color w:val="auto"/>
        </w:rPr>
      </w:pPr>
    </w:p>
    <w:p>
      <w:pPr>
        <w:ind w:right="120" w:firstLine="351"/>
        <w:spacing w:after="0" w:line="293" w:lineRule="auto"/>
        <w:rPr>
          <w:sz w:val="20"/>
          <w:szCs w:val="20"/>
          <w:color w:val="auto"/>
        </w:rPr>
      </w:pPr>
      <w:r>
        <w:rPr>
          <w:rFonts w:ascii="Times New Roman" w:cs="Times New Roman" w:eastAsia="Times New Roman" w:hAnsi="Times New Roman"/>
          <w:sz w:val="16"/>
          <w:szCs w:val="16"/>
          <w:color w:val="auto"/>
        </w:rPr>
        <w:t>Currently, we have three reportable segments—Activision, Blizzard, and King.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amortization of intangible assets as a result of purchase price accounting; fees and other expenses (including legal fees, expenses, and accruals) related to acquisitions, associated integration activities, and financings; certain restructuring costs; and certain other non-cash charges. The CODM does not review any information regarding total assets on an operating segment basis, and accordingly, no disclosure is made with respect thereto.</w:t>
      </w:r>
    </w:p>
    <w:p>
      <w:pPr>
        <w:spacing w:after="0" w:line="165" w:lineRule="exact"/>
        <w:rPr>
          <w:sz w:val="20"/>
          <w:szCs w:val="20"/>
          <w:color w:val="auto"/>
        </w:rPr>
      </w:pPr>
    </w:p>
    <w:p>
      <w:pPr>
        <w:ind w:right="200" w:firstLine="351"/>
        <w:spacing w:after="0" w:line="275" w:lineRule="auto"/>
        <w:rPr>
          <w:sz w:val="20"/>
          <w:szCs w:val="20"/>
          <w:color w:val="auto"/>
        </w:rPr>
      </w:pPr>
      <w:r>
        <w:rPr>
          <w:rFonts w:ascii="Times New Roman" w:cs="Times New Roman" w:eastAsia="Times New Roman" w:hAnsi="Times New Roman"/>
          <w:sz w:val="18"/>
          <w:szCs w:val="18"/>
          <w:color w:val="auto"/>
        </w:rPr>
        <w:t>Our operating segments are also consistent with our internal organizational structure, the way we assess operating performance and allocate resources, and the availability of separate financial information. We do not aggregate operating segments.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Information on the reportable segment net revenues and segment operating income are presented below (amounts in millions):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w w:val="94"/>
              </w:rPr>
              <w:t>Year Ended December 31, 2018</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42"/>
        </w:trPr>
        <w:tc>
          <w:tcPr>
            <w:tcW w:w="17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Activision</w:t>
            </w:r>
          </w:p>
        </w:tc>
        <w:tc>
          <w:tcPr>
            <w:tcW w:w="80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Blizzard</w:t>
            </w:r>
          </w:p>
        </w:tc>
        <w:tc>
          <w:tcPr>
            <w:tcW w:w="120" w:type="dxa"/>
            <w:vAlign w:val="bottom"/>
          </w:tcPr>
          <w:p>
            <w:pPr>
              <w:spacing w:after="0"/>
              <w:rPr>
                <w:sz w:val="12"/>
                <w:szCs w:val="12"/>
                <w:color w:val="auto"/>
              </w:rPr>
            </w:pPr>
          </w:p>
        </w:tc>
        <w:tc>
          <w:tcPr>
            <w:tcW w:w="6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King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880" w:type="dxa"/>
            <w:vAlign w:val="bottom"/>
            <w:gridSpan w:val="2"/>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14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revenues from external customers</w:t>
            </w:r>
          </w:p>
        </w:tc>
        <w:tc>
          <w:tcPr>
            <w:tcW w:w="168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2,458</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6,782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net revenues (1)</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Segment net revenues</w:t>
            </w:r>
          </w:p>
        </w:tc>
        <w:tc>
          <w:tcPr>
            <w:tcW w:w="14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3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1680" w:type="dxa"/>
            <w:vAlign w:val="bottom"/>
            <w:gridSpan w:val="2"/>
            <w:shd w:val="clear" w:color="auto" w:fill="CCEEFF"/>
          </w:tcPr>
          <w:p>
            <w:pPr>
              <w:jc w:val="right"/>
              <w:ind w:right="45"/>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685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750</w:t>
            </w:r>
          </w:p>
        </w:tc>
        <w:tc>
          <w:tcPr>
            <w:tcW w:w="1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2,446</w:t>
            </w:r>
          </w:p>
        </w:tc>
        <w:tc>
          <w:tcPr>
            <w:tcW w:w="1720" w:type="dxa"/>
            <w:vAlign w:val="bottom"/>
          </w:tcPr>
          <w:p>
            <w:pPr>
              <w:spacing w:after="0"/>
              <w:rPr>
                <w:sz w:val="17"/>
                <w:szCs w:val="17"/>
                <w:color w:val="auto"/>
              </w:rPr>
            </w:pPr>
          </w:p>
        </w:tc>
      </w:tr>
      <w:tr>
        <w:trPr>
          <w:trHeight w:val="430"/>
        </w:trPr>
        <w:tc>
          <w:tcPr>
            <w:tcW w:w="17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680" w:type="dxa"/>
            <w:vAlign w:val="bottom"/>
            <w:gridSpan w:val="2"/>
          </w:tcPr>
          <w:p>
            <w:pPr>
              <w:jc w:val="right"/>
              <w:ind w:right="705"/>
              <w:spacing w:after="0"/>
              <w:rPr>
                <w:sz w:val="20"/>
                <w:szCs w:val="20"/>
                <w:color w:val="auto"/>
              </w:rPr>
            </w:pPr>
            <w:r>
              <w:rPr>
                <w:rFonts w:ascii="Times New Roman" w:cs="Times New Roman" w:eastAsia="Times New Roman" w:hAnsi="Times New Roman"/>
                <w:sz w:val="18"/>
                <w:szCs w:val="18"/>
                <w:color w:val="auto"/>
              </w:rPr>
              <w:t>F-41</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7" w:name="page128"/>
    <w:bookmarkEnd w:id="1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Operating Segments and Geographic Regions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2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w w:val="94"/>
              </w:rPr>
              <w:t>Year Ended December 31, 2017</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Activision</w:t>
            </w:r>
          </w:p>
        </w:tc>
        <w:tc>
          <w:tcPr>
            <w:tcW w:w="80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Blizzard</w:t>
            </w:r>
          </w:p>
        </w:tc>
        <w:tc>
          <w:tcPr>
            <w:tcW w:w="120" w:type="dxa"/>
            <w:vAlign w:val="bottom"/>
          </w:tcPr>
          <w:p>
            <w:pPr>
              <w:spacing w:after="0"/>
              <w:rPr>
                <w:sz w:val="12"/>
                <w:szCs w:val="12"/>
                <w:color w:val="auto"/>
              </w:rPr>
            </w:pPr>
          </w:p>
        </w:tc>
        <w:tc>
          <w:tcPr>
            <w:tcW w:w="6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King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r>
      <w:tr>
        <w:trPr>
          <w:trHeight w:val="210"/>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10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revenues from external customers</w:t>
            </w:r>
          </w:p>
        </w:tc>
        <w:tc>
          <w:tcPr>
            <w:tcW w:w="124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2,628</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6,746</w:t>
            </w: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net revenues (1)</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r>
      <w:tr>
        <w:trPr>
          <w:trHeight w:val="210"/>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net revenues</w:t>
            </w:r>
          </w:p>
        </w:tc>
        <w:tc>
          <w:tcPr>
            <w:tcW w:w="10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160" w:type="dxa"/>
            <w:vAlign w:val="bottom"/>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37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1240" w:type="dxa"/>
            <w:vAlign w:val="bottom"/>
            <w:gridSpan w:val="2"/>
            <w:shd w:val="clear" w:color="auto" w:fill="CCEEFF"/>
          </w:tcPr>
          <w:p>
            <w:pPr>
              <w:jc w:val="right"/>
              <w:ind w:right="45"/>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1,005</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712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700</w:t>
            </w:r>
          </w:p>
        </w:tc>
        <w:tc>
          <w:tcPr>
            <w:tcW w:w="1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2,417</w:t>
            </w:r>
          </w:p>
        </w:tc>
      </w:tr>
      <w:tr>
        <w:trPr>
          <w:trHeight w:val="851"/>
        </w:trPr>
        <w:tc>
          <w:tcPr>
            <w:tcW w:w="2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w w:val="94"/>
              </w:rPr>
              <w:t>Year Ended December 31, 2016</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42"/>
        </w:trPr>
        <w:tc>
          <w:tcPr>
            <w:tcW w:w="2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Activision</w:t>
            </w:r>
          </w:p>
        </w:tc>
        <w:tc>
          <w:tcPr>
            <w:tcW w:w="80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Blizzard</w:t>
            </w:r>
          </w:p>
        </w:tc>
        <w:tc>
          <w:tcPr>
            <w:tcW w:w="120" w:type="dxa"/>
            <w:vAlign w:val="bottom"/>
          </w:tcPr>
          <w:p>
            <w:pPr>
              <w:spacing w:after="0"/>
              <w:rPr>
                <w:sz w:val="12"/>
                <w:szCs w:val="12"/>
                <w:color w:val="auto"/>
              </w:rPr>
            </w:pPr>
          </w:p>
        </w:tc>
        <w:tc>
          <w:tcPr>
            <w:tcW w:w="6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King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r>
      <w:tr>
        <w:trPr>
          <w:trHeight w:val="210"/>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10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revenues from external customers</w:t>
            </w:r>
          </w:p>
        </w:tc>
        <w:tc>
          <w:tcPr>
            <w:tcW w:w="124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2,220</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6,245</w:t>
            </w: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net revenues (1)</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net revenues</w:t>
            </w:r>
          </w:p>
        </w:tc>
        <w:tc>
          <w:tcPr>
            <w:tcW w:w="10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160" w:type="dxa"/>
            <w:vAlign w:val="bottom"/>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37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1240" w:type="dxa"/>
            <w:vAlign w:val="bottom"/>
            <w:gridSpan w:val="2"/>
            <w:shd w:val="clear" w:color="auto" w:fill="CCEEFF"/>
          </w:tcPr>
          <w:p>
            <w:pPr>
              <w:jc w:val="right"/>
              <w:ind w:right="45"/>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788</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995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537</w:t>
            </w:r>
          </w:p>
        </w:tc>
        <w:tc>
          <w:tcPr>
            <w:tcW w:w="1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2,320</w:t>
            </w:r>
          </w:p>
        </w:tc>
      </w:tr>
      <w:tr>
        <w:trPr>
          <w:trHeight w:val="108"/>
        </w:trPr>
        <w:tc>
          <w:tcPr>
            <w:tcW w:w="2120" w:type="dxa"/>
            <w:vAlign w:val="bottom"/>
            <w:tcBorders>
              <w:bottom w:val="single" w:sz="8" w:color="auto"/>
            </w:tcBorders>
          </w:tcPr>
          <w:p>
            <w:pPr>
              <w:spacing w:after="0"/>
              <w:rPr>
                <w:sz w:val="9"/>
                <w:szCs w:val="9"/>
                <w:color w:val="auto"/>
              </w:rPr>
            </w:pPr>
          </w:p>
        </w:tc>
        <w:tc>
          <w:tcPr>
            <w:tcW w:w="1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15" w:lineRule="exact"/>
        <w:rPr>
          <w:sz w:val="20"/>
          <w:szCs w:val="20"/>
          <w:color w:val="auto"/>
        </w:rPr>
      </w:pPr>
    </w:p>
    <w:p>
      <w:pPr>
        <w:ind w:left="5540" w:right="2079" w:hanging="3820"/>
        <w:spacing w:after="0" w:line="525" w:lineRule="auto"/>
        <w:tabs>
          <w:tab w:leader="none" w:pos="225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Intersegment revenues reflect licensing and service fees charged between segments. 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28" w:name="page129"/>
    <w:bookmarkEnd w:id="1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Operating Segments and Geographic Regions (Continued)</w:t>
      </w:r>
    </w:p>
    <w:p>
      <w:pPr>
        <w:spacing w:after="0" w:line="227" w:lineRule="exact"/>
        <w:rPr>
          <w:sz w:val="20"/>
          <w:szCs w:val="20"/>
          <w:color w:val="auto"/>
        </w:rPr>
      </w:pPr>
    </w:p>
    <w:p>
      <w:pPr>
        <w:ind w:right="20" w:firstLine="351"/>
        <w:spacing w:after="0" w:line="275" w:lineRule="auto"/>
        <w:rPr>
          <w:sz w:val="20"/>
          <w:szCs w:val="20"/>
          <w:color w:val="auto"/>
        </w:rPr>
      </w:pPr>
      <w:r>
        <w:rPr>
          <w:rFonts w:ascii="Times New Roman" w:cs="Times New Roman" w:eastAsia="Times New Roman" w:hAnsi="Times New Roman"/>
          <w:sz w:val="18"/>
          <w:szCs w:val="18"/>
          <w:color w:val="auto"/>
        </w:rPr>
        <w:t>Reconciliations of total segment net revenues and total segment operating income to consolidated net revenues and consolidated income before income tax expense are presented in the table below (amounts in millions):</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10"/>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to consolidated net revenues: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net revenues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other segments (1)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effect from recognition (deferral) of deferred net revenues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intersegment revenues (2)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net revenues</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6,608</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Reconciliation to consolidated income before income tax expense: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 from other segments (1)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effect from recognition (deferral) of deferred net revenues and related cost of revenues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and other expenses related to the acquisition of King (3)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 costs (4)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non-cash charges (5)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Discrete tax-related items (6)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and other expense (income),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income before income tax expense</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4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5" w:lineRule="exact"/>
        <w:rPr>
          <w:sz w:val="20"/>
          <w:szCs w:val="20"/>
          <w:color w:val="auto"/>
        </w:rPr>
      </w:pPr>
    </w:p>
    <w:p>
      <w:pPr>
        <w:ind w:left="1680" w:right="400" w:hanging="531"/>
        <w:spacing w:after="0" w:line="275" w:lineRule="auto"/>
        <w:tabs>
          <w:tab w:leader="none" w:pos="16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other income and expenses from operating segments managed outside the reportable segments, including our Studios and Distribution businesses. Also includes unallocated corporate income and expenses.</w:t>
      </w:r>
    </w:p>
    <w:p>
      <w:pPr>
        <w:spacing w:after="0" w:line="200"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Intersegment revenues reflect licensing and service fees charged between segments.</w:t>
      </w:r>
    </w:p>
    <w:p>
      <w:pPr>
        <w:spacing w:after="0" w:line="238" w:lineRule="exact"/>
        <w:rPr>
          <w:rFonts w:ascii="Times New Roman" w:cs="Times New Roman" w:eastAsia="Times New Roman" w:hAnsi="Times New Roman"/>
          <w:sz w:val="18"/>
          <w:szCs w:val="18"/>
          <w:color w:val="auto"/>
        </w:rPr>
      </w:pPr>
    </w:p>
    <w:p>
      <w:pPr>
        <w:ind w:left="1680" w:hanging="531"/>
        <w:spacing w:after="0" w:line="275" w:lineRule="auto"/>
        <w:tabs>
          <w:tab w:leader="none" w:pos="16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fees and other expenses, such as legal, banking, and professional services fees, related to the acquisition of King and associated integration activities, including related debt financings.</w:t>
      </w:r>
    </w:p>
    <w:p>
      <w:pPr>
        <w:spacing w:after="0" w:line="187"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restructuring charges, primarily severance costs.</w:t>
      </w:r>
    </w:p>
    <w:p>
      <w:pPr>
        <w:spacing w:after="0" w:line="252" w:lineRule="exact"/>
        <w:rPr>
          <w:rFonts w:ascii="Times New Roman" w:cs="Times New Roman" w:eastAsia="Times New Roman" w:hAnsi="Times New Roman"/>
          <w:sz w:val="18"/>
          <w:szCs w:val="18"/>
          <w:color w:val="auto"/>
        </w:rPr>
      </w:pPr>
    </w:p>
    <w:p>
      <w:pPr>
        <w:ind w:left="1680" w:right="360" w:hanging="531"/>
        <w:spacing w:after="0" w:line="275" w:lineRule="auto"/>
        <w:tabs>
          <w:tab w:leader="none" w:pos="16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non-cash accounting charge to reclassify certain cumulative translation gains (losses) into earnings due to the substantial liquidation of certain of our foreign entities.</w:t>
      </w:r>
    </w:p>
    <w:p>
      <w:pPr>
        <w:spacing w:after="0" w:line="187"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impact of other unusual or unique tax-related items and activities.</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129" w:name="page130"/>
    <w:bookmarkEnd w:id="1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Operating Segments and Geographic Regions (Continued)</w:t>
      </w:r>
    </w:p>
    <w:p>
      <w:pPr>
        <w:spacing w:after="0" w:line="227"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Due to requirements from our adoption of the new revenue accounting standard as discussed in Note 2, net revenues by distribution channel for the year ended December 31, 2018, include a reconciliation to our segment revenues as disclosed for each of our reportable segments above. Net revenues by distribution channel were as follows (amounts in millions):</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11"/>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center"/>
              <w:ind w:right="15"/>
              <w:spacing w:after="0" w:line="125" w:lineRule="exact"/>
              <w:rPr>
                <w:sz w:val="20"/>
                <w:szCs w:val="20"/>
                <w:color w:val="auto"/>
              </w:rPr>
            </w:pPr>
            <w:r>
              <w:rPr>
                <w:rFonts w:ascii="Times New Roman" w:cs="Times New Roman" w:eastAsia="Times New Roman" w:hAnsi="Times New Roman"/>
                <w:sz w:val="14"/>
                <w:szCs w:val="14"/>
                <w:b w:val="1"/>
                <w:bCs w:val="1"/>
                <w:color w:val="auto"/>
                <w:w w:val="94"/>
              </w:rPr>
              <w:t>Non-</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5"/>
              </w:rPr>
              <w:t>Elimination of</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reportable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intersegment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Activision</w:t>
            </w:r>
          </w:p>
        </w:tc>
        <w:tc>
          <w:tcPr>
            <w:tcW w:w="40" w:type="dxa"/>
            <w:vAlign w:val="bottom"/>
          </w:tcPr>
          <w:p>
            <w:pPr>
              <w:spacing w:after="0"/>
              <w:rPr>
                <w:sz w:val="14"/>
                <w:szCs w:val="14"/>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Blizzard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King</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5"/>
              </w:rPr>
              <w:t>segments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revenues(3)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 by distribution channel:</w:t>
            </w:r>
          </w:p>
        </w:tc>
        <w:tc>
          <w:tcPr>
            <w:tcW w:w="5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Digital online channels (1)</w:t>
            </w:r>
          </w:p>
        </w:tc>
        <w:tc>
          <w:tcPr>
            <w:tcW w:w="72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channels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Other (2)</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net revenues</w:t>
            </w:r>
          </w:p>
        </w:tc>
        <w:tc>
          <w:tcPr>
            <w:tcW w:w="72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Change in deferred revenues:</w:t>
            </w: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332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online channels (1)</w:t>
            </w:r>
          </w:p>
        </w:tc>
        <w:tc>
          <w:tcPr>
            <w:tcW w:w="72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Retail channels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(2)</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change in deferred revenues</w:t>
            </w:r>
          </w:p>
        </w:tc>
        <w:tc>
          <w:tcPr>
            <w:tcW w:w="5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20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net revenues:</w:t>
            </w:r>
          </w:p>
        </w:tc>
        <w:tc>
          <w:tcPr>
            <w:tcW w:w="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Digital online channels (1)</w:t>
            </w:r>
          </w:p>
        </w:tc>
        <w:tc>
          <w:tcPr>
            <w:tcW w:w="72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channels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Other (2)</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72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Net revenues by distribution channel for the years ended December 31, 2017 and December 31, 2016, were as follows (amounts in millions):</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Years Ended</w:t>
            </w:r>
          </w:p>
        </w:tc>
      </w:tr>
      <w:tr>
        <w:trPr>
          <w:trHeight w:val="165"/>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 by distribution channel:</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Digital online channels (1)</w:t>
            </w:r>
          </w:p>
        </w:tc>
        <w:tc>
          <w:tcPr>
            <w:tcW w:w="2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 channels</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(2)</w:t>
            </w:r>
          </w:p>
        </w:tc>
        <w:tc>
          <w:tcPr>
            <w:tcW w:w="2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net revenues</w:t>
            </w:r>
          </w:p>
        </w:tc>
        <w:tc>
          <w:tcPr>
            <w:tcW w:w="2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6,608</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700" w:type="dxa"/>
            <w:vAlign w:val="bottom"/>
          </w:tcPr>
          <w:p>
            <w:pPr>
              <w:spacing w:after="0"/>
              <w:rPr>
                <w:sz w:val="7"/>
                <w:szCs w:val="7"/>
                <w:color w:val="auto"/>
              </w:rPr>
            </w:pPr>
          </w:p>
        </w:tc>
        <w:tc>
          <w:tcPr>
            <w:tcW w:w="2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5" w:lineRule="exact"/>
        <w:rPr>
          <w:sz w:val="20"/>
          <w:szCs w:val="20"/>
          <w:color w:val="auto"/>
        </w:rPr>
      </w:pPr>
    </w:p>
    <w:p>
      <w:pPr>
        <w:ind w:left="1680" w:right="800" w:hanging="531"/>
        <w:spacing w:after="0" w:line="275" w:lineRule="auto"/>
        <w:tabs>
          <w:tab w:leader="none" w:pos="16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"Digital online channels" include revenues from digitally-distributed subscriptions, downloadable content, microtransactions, and products, as well as licensing royalties.</w:t>
      </w:r>
    </w:p>
    <w:p>
      <w:pPr>
        <w:spacing w:after="0" w:line="200" w:lineRule="exact"/>
        <w:rPr>
          <w:rFonts w:ascii="Times New Roman" w:cs="Times New Roman" w:eastAsia="Times New Roman" w:hAnsi="Times New Roman"/>
          <w:sz w:val="18"/>
          <w:szCs w:val="18"/>
          <w:color w:val="auto"/>
        </w:rPr>
      </w:pPr>
    </w:p>
    <w:p>
      <w:pPr>
        <w:ind w:left="1680" w:right="480" w:hanging="531"/>
        <w:spacing w:after="0" w:line="275" w:lineRule="auto"/>
        <w:tabs>
          <w:tab w:leader="none" w:pos="16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"Other" include revenues from our Studios and Distribution businesses, as well as revenues from MLG and the Overwatch League.</w:t>
      </w:r>
    </w:p>
    <w:p>
      <w:pPr>
        <w:spacing w:after="0" w:line="187"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Intersegment revenues reflect licensing and service fees charged between segments.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130" w:name="page131"/>
    <w:bookmarkEnd w:id="1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Operating Segments and Geographic Regions (Continued)</w:t>
      </w:r>
    </w:p>
    <w:p>
      <w:pPr>
        <w:spacing w:after="0" w:line="227"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Geographic information presented below is based on the location of the paying customer. Net revenues by geographic region, including a reconciliation to each of our reportable segment's net revenues, for the year ended December 31, 2018, were as follows (amounts in millions):</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11"/>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center"/>
              <w:ind w:right="15"/>
              <w:spacing w:after="0" w:line="125" w:lineRule="exact"/>
              <w:rPr>
                <w:sz w:val="20"/>
                <w:szCs w:val="20"/>
                <w:color w:val="auto"/>
              </w:rPr>
            </w:pPr>
            <w:r>
              <w:rPr>
                <w:rFonts w:ascii="Times New Roman" w:cs="Times New Roman" w:eastAsia="Times New Roman" w:hAnsi="Times New Roman"/>
                <w:sz w:val="14"/>
                <w:szCs w:val="14"/>
                <w:b w:val="1"/>
                <w:bCs w:val="1"/>
                <w:color w:val="auto"/>
                <w:w w:val="94"/>
              </w:rPr>
              <w:t>Non-</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5"/>
              </w:rPr>
              <w:t>Elimination of</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reportable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intersegment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Activision</w:t>
            </w:r>
          </w:p>
        </w:tc>
        <w:tc>
          <w:tcPr>
            <w:tcW w:w="40" w:type="dxa"/>
            <w:vAlign w:val="bottom"/>
          </w:tcPr>
          <w:p>
            <w:pPr>
              <w:spacing w:after="0"/>
              <w:rPr>
                <w:sz w:val="14"/>
                <w:szCs w:val="14"/>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Blizzard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King</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5"/>
              </w:rPr>
              <w:t>segments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revenues(2)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 by geographic region:</w:t>
            </w:r>
          </w:p>
        </w:tc>
        <w:tc>
          <w:tcPr>
            <w:tcW w:w="6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Americas</w:t>
            </w:r>
          </w:p>
        </w:tc>
        <w:tc>
          <w:tcPr>
            <w:tcW w:w="80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 (1)</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net revenues</w:t>
            </w:r>
          </w:p>
        </w:tc>
        <w:tc>
          <w:tcPr>
            <w:tcW w:w="80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Change in deferred revenues:</w:t>
            </w: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324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80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EMEA (1)</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change in deferred revenues</w:t>
            </w:r>
          </w:p>
        </w:tc>
        <w:tc>
          <w:tcPr>
            <w:tcW w:w="6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20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net revenues:</w:t>
            </w:r>
          </w:p>
        </w:tc>
        <w:tc>
          <w:tcPr>
            <w:tcW w:w="6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Americas</w:t>
            </w:r>
          </w:p>
        </w:tc>
        <w:tc>
          <w:tcPr>
            <w:tcW w:w="80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 (1)</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80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Net revenues by geographic region for the years ended December 31, 2017 and December 31, 2016, were as follows (amounts in millions):</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Years Ended</w:t>
            </w:r>
          </w:p>
        </w:tc>
      </w:tr>
      <w:tr>
        <w:trPr>
          <w:trHeight w:val="165"/>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 by geographic region:</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Americas</w:t>
            </w:r>
          </w:p>
        </w:tc>
        <w:tc>
          <w:tcPr>
            <w:tcW w:w="2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EMEA (1)</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Asia Pacific</w:t>
            </w:r>
          </w:p>
        </w:tc>
        <w:tc>
          <w:tcPr>
            <w:tcW w:w="2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net revenues</w:t>
            </w:r>
          </w:p>
        </w:tc>
        <w:tc>
          <w:tcPr>
            <w:tcW w:w="2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6,608</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64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5" w:lineRule="exact"/>
        <w:rPr>
          <w:sz w:val="20"/>
          <w:szCs w:val="20"/>
          <w:color w:val="auto"/>
        </w:rPr>
      </w:pPr>
    </w:p>
    <w:p>
      <w:pPr>
        <w:ind w:left="1680" w:hanging="531"/>
        <w:spacing w:after="0"/>
        <w:tabs>
          <w:tab w:leader="none" w:pos="1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"EMEA" consists of the Europe, Middle East, and Africa geographic regions.</w:t>
      </w:r>
    </w:p>
    <w:p>
      <w:pPr>
        <w:spacing w:after="0" w:line="252"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Intersegment revenues reflect licensing and service fees charged between segments.</w:t>
      </w:r>
    </w:p>
    <w:p>
      <w:pPr>
        <w:spacing w:after="0" w:line="225" w:lineRule="exact"/>
        <w:rPr>
          <w:sz w:val="20"/>
          <w:szCs w:val="20"/>
          <w:color w:val="auto"/>
        </w:rPr>
      </w:pPr>
    </w:p>
    <w:p>
      <w:pPr>
        <w:ind w:right="60" w:firstLine="348"/>
        <w:spacing w:after="0" w:line="275" w:lineRule="auto"/>
        <w:rPr>
          <w:sz w:val="20"/>
          <w:szCs w:val="20"/>
          <w:color w:val="auto"/>
        </w:rPr>
      </w:pPr>
      <w:r>
        <w:rPr>
          <w:rFonts w:ascii="Times New Roman" w:cs="Times New Roman" w:eastAsia="Times New Roman" w:hAnsi="Times New Roman"/>
          <w:sz w:val="18"/>
          <w:szCs w:val="18"/>
          <w:color w:val="auto"/>
        </w:rPr>
        <w:t>The Company's net revenues in the U.S. were 46%, 45%, and 45% of consolidated net revenues for the years ended December 31, 2018, 2017, and 2016, respectively. The Company's net revenues in the United Kingdom ("U.K.") were 12%, 12%, and 11% of consolidated net revenues for the years</w:t>
      </w:r>
    </w:p>
    <w:p>
      <w:pPr>
        <w:spacing w:after="0" w:line="17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bookmarkStart w:id="131" w:name="page132"/>
    <w:bookmarkEnd w:id="1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Operating Segments and Geographic Regions (Continued)</w:t>
      </w:r>
    </w:p>
    <w:p>
      <w:pPr>
        <w:spacing w:after="0" w:line="227" w:lineRule="exact"/>
        <w:rPr>
          <w:sz w:val="20"/>
          <w:szCs w:val="20"/>
          <w:color w:val="auto"/>
        </w:rPr>
      </w:pPr>
    </w:p>
    <w:p>
      <w:pPr>
        <w:ind w:right="660"/>
        <w:spacing w:after="0" w:line="275" w:lineRule="auto"/>
        <w:rPr>
          <w:sz w:val="20"/>
          <w:szCs w:val="20"/>
          <w:color w:val="auto"/>
        </w:rPr>
      </w:pPr>
      <w:r>
        <w:rPr>
          <w:rFonts w:ascii="Times New Roman" w:cs="Times New Roman" w:eastAsia="Times New Roman" w:hAnsi="Times New Roman"/>
          <w:sz w:val="18"/>
          <w:szCs w:val="18"/>
          <w:color w:val="auto"/>
        </w:rPr>
        <w:t>ended December 31, 2018, 2017, and 2016, respectively. No other country's net revenues exceeded 10% of consolidated net revenues for the years ended December 31, 2018, 2017, or 2016.</w:t>
      </w:r>
    </w:p>
    <w:p>
      <w:pPr>
        <w:spacing w:after="0" w:line="174" w:lineRule="exact"/>
        <w:rPr>
          <w:sz w:val="20"/>
          <w:szCs w:val="20"/>
          <w:color w:val="auto"/>
        </w:rPr>
      </w:pPr>
    </w:p>
    <w:p>
      <w:pPr>
        <w:ind w:right="560" w:firstLine="351"/>
        <w:spacing w:after="0" w:line="275" w:lineRule="auto"/>
        <w:rPr>
          <w:sz w:val="20"/>
          <w:szCs w:val="20"/>
          <w:color w:val="auto"/>
        </w:rPr>
      </w:pPr>
      <w:r>
        <w:rPr>
          <w:rFonts w:ascii="Times New Roman" w:cs="Times New Roman" w:eastAsia="Times New Roman" w:hAnsi="Times New Roman"/>
          <w:sz w:val="18"/>
          <w:szCs w:val="18"/>
          <w:color w:val="auto"/>
        </w:rPr>
        <w:t>Net revenues by platform, including a reconciliation to each of our reportable segment's net revenues, for the year ended December 31, 2018, were as follows (amounts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11"/>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center"/>
              <w:ind w:right="15"/>
              <w:spacing w:after="0" w:line="125" w:lineRule="exact"/>
              <w:rPr>
                <w:sz w:val="20"/>
                <w:szCs w:val="20"/>
                <w:color w:val="auto"/>
              </w:rPr>
            </w:pPr>
            <w:r>
              <w:rPr>
                <w:rFonts w:ascii="Times New Roman" w:cs="Times New Roman" w:eastAsia="Times New Roman" w:hAnsi="Times New Roman"/>
                <w:sz w:val="14"/>
                <w:szCs w:val="14"/>
                <w:b w:val="1"/>
                <w:bCs w:val="1"/>
                <w:color w:val="auto"/>
                <w:w w:val="94"/>
              </w:rPr>
              <w:t>Non-</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5"/>
              </w:rPr>
              <w:t>Elimination of</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reportable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intersegment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Activision</w:t>
            </w:r>
          </w:p>
        </w:tc>
        <w:tc>
          <w:tcPr>
            <w:tcW w:w="40" w:type="dxa"/>
            <w:vAlign w:val="bottom"/>
          </w:tcPr>
          <w:p>
            <w:pPr>
              <w:spacing w:after="0"/>
              <w:rPr>
                <w:sz w:val="14"/>
                <w:szCs w:val="14"/>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Blizzard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King</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5"/>
              </w:rPr>
              <w:t>segments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revenues(3)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 by platform:</w:t>
            </w:r>
          </w:p>
        </w:tc>
        <w:tc>
          <w:tcPr>
            <w:tcW w:w="7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Console</w:t>
            </w: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PC</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Mobile and ancillary (1)</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(2)</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Total consolidated net revenues</w:t>
            </w:r>
          </w:p>
        </w:tc>
        <w:tc>
          <w:tcPr>
            <w:tcW w:w="7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deferred revenues:</w:t>
            </w:r>
          </w:p>
        </w:tc>
        <w:tc>
          <w:tcPr>
            <w:tcW w:w="7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Console</w:t>
            </w: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(265)</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PC</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Mobile and ancillary (1)</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(2)</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change in deferred revenues</w:t>
            </w:r>
          </w:p>
        </w:tc>
        <w:tc>
          <w:tcPr>
            <w:tcW w:w="7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08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net revenues:</w:t>
            </w:r>
          </w:p>
        </w:tc>
        <w:tc>
          <w:tcPr>
            <w:tcW w:w="7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Console</w:t>
            </w: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PC</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Mobile and ancillary (1)</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(2)</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7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4"/>
          </w:tcPr>
          <w:p>
            <w:pPr>
              <w:jc w:val="right"/>
              <w:ind w:right="57"/>
              <w:spacing w:after="0"/>
              <w:rPr>
                <w:sz w:val="20"/>
                <w:szCs w:val="20"/>
                <w:color w:val="auto"/>
              </w:rPr>
            </w:pPr>
            <w:r>
              <w:rPr>
                <w:rFonts w:ascii="Times New Roman" w:cs="Times New Roman" w:eastAsia="Times New Roman" w:hAnsi="Times New Roman"/>
                <w:sz w:val="18"/>
                <w:szCs w:val="18"/>
                <w:color w:val="auto"/>
              </w:rPr>
              <w:t>F-46</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2" w:name="page133"/>
    <w:bookmarkEnd w:id="1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Operating Segments and Geographic Regions (Continued)</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Net revenues by platform for the years ended December 31, 2017 and December 31, 2016, were as follows (amounts in millions):</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Years Ended</w:t>
            </w:r>
          </w:p>
        </w:tc>
      </w:tr>
      <w:tr>
        <w:trPr>
          <w:trHeight w:val="165"/>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 by platform:</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Console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Mobile and ancillary (1)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(2)</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consolidated net revenues</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6,608</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5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5" w:lineRule="exact"/>
        <w:rPr>
          <w:sz w:val="20"/>
          <w:szCs w:val="20"/>
          <w:color w:val="auto"/>
        </w:rPr>
      </w:pPr>
    </w:p>
    <w:p>
      <w:pPr>
        <w:ind w:left="1680" w:hanging="531"/>
        <w:spacing w:after="0" w:line="339" w:lineRule="auto"/>
        <w:tabs>
          <w:tab w:leader="none" w:pos="168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revenues from "Mobile and ancillary" include revenues from mobile devices, as well as non-platform specific game-related revenues, such as standalone sales of toys and accessories from our Skylanders® franchise and other physical merchandise and accessories.</w:t>
      </w:r>
    </w:p>
    <w:p>
      <w:pPr>
        <w:spacing w:after="0" w:line="155" w:lineRule="exact"/>
        <w:rPr>
          <w:rFonts w:ascii="Times New Roman" w:cs="Times New Roman" w:eastAsia="Times New Roman" w:hAnsi="Times New Roman"/>
          <w:sz w:val="16"/>
          <w:szCs w:val="16"/>
          <w:color w:val="auto"/>
        </w:rPr>
      </w:pPr>
    </w:p>
    <w:p>
      <w:pPr>
        <w:ind w:left="1680" w:right="520" w:hanging="531"/>
        <w:spacing w:after="0" w:line="275" w:lineRule="auto"/>
        <w:tabs>
          <w:tab w:leader="none" w:pos="16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"Other" include revenues from our Studios and Distribution businesses, as well as revenues from MLG and the Overwatch League.</w:t>
      </w:r>
    </w:p>
    <w:p>
      <w:pPr>
        <w:spacing w:after="0" w:line="187"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Intersegment revenues reflect licensing and service fees charged between segments.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Long-lived assets by geographic region were as follows (amounts in millions):</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21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7"/>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w w:val="96"/>
              </w:rPr>
              <w:t>At December 31,</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2018</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2016</w:t>
            </w:r>
          </w:p>
        </w:tc>
        <w:tc>
          <w:tcPr>
            <w:tcW w:w="160" w:type="dxa"/>
            <w:vAlign w:val="bottom"/>
          </w:tcPr>
          <w:p>
            <w:pPr>
              <w:spacing w:after="0"/>
              <w:rPr>
                <w:sz w:val="12"/>
                <w:szCs w:val="12"/>
                <w:color w:val="auto"/>
              </w:rPr>
            </w:pPr>
          </w:p>
        </w:tc>
      </w:tr>
      <w:tr>
        <w:trPr>
          <w:trHeight w:val="210"/>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Long-lived assets* by geographic region: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6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EMEA</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Asia Pacific</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21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long-lived assets by geographic region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258</w:t>
            </w:r>
          </w:p>
        </w:tc>
      </w:tr>
      <w:tr>
        <w:trPr>
          <w:trHeight w:val="20"/>
        </w:trPr>
        <w:tc>
          <w:tcPr>
            <w:tcW w:w="21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3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5" w:lineRule="exact"/>
        <w:rPr>
          <w:sz w:val="20"/>
          <w:szCs w:val="20"/>
          <w:color w:val="auto"/>
        </w:rPr>
      </w:pPr>
    </w:p>
    <w:p>
      <w:pPr>
        <w:ind w:left="2260" w:right="20" w:hanging="540"/>
        <w:spacing w:after="0" w:line="275" w:lineRule="auto"/>
        <w:tabs>
          <w:tab w:leader="none" w:pos="22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long-lived assets that we classify by region are our long-term tangible fixed assets, which consist of property, plant, and equipment assets; all other long-term assets are not allocated by location.</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information regarding significant customers, see "Concentration of Credit Risk" in Note 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Share-Based Payments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Activision Blizzard Equity Incentive Plans</w:t>
      </w:r>
    </w:p>
    <w:p>
      <w:pPr>
        <w:spacing w:after="0" w:line="229"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On June 5, 2014, the Activision Blizzard, Inc. 2014 Incentive Plan (the "2014 Plan") became effective. Under the 2014 Plan, the Compensation Committee of our Board of Directors is authorized to provide share-based compensation in the form of stock options, share appreciation rights, restricted stock, restricted stock units, performance shares, and other performance- or value-based awards structured by the Compensation Committee within parameters set forth in the 2014 Plan. As of the</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33" w:name="page134"/>
    <w:bookmarkEnd w:id="1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Share-Based Payments (Continued)</w:t>
      </w:r>
    </w:p>
    <w:p>
      <w:pPr>
        <w:spacing w:after="0" w:line="227"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effective date of the 2014 Plan, we had ceased making awards under our prior equity incentive plans (collectively, the "Prior Plans"), although such plans remain in effect to the extent that they continue to govern outstanding awards.</w:t>
      </w:r>
    </w:p>
    <w:p>
      <w:pPr>
        <w:spacing w:after="0" w:line="174"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While the Compensation Committee has broad discretion to create equity incentives, our current share-based compensation program generally utilizes a combination of options and restricted stock units. The majority of our options have time-based vesting schedules, generally vesting annually over a period of three to five years, and generally expire 10 years from the grant date. In addition, under the terms of the 2014 Plan, the exercise price for the options must be equal to or greater than the closing price per share of our common stock on the date the award is granted, as reported on Nasdaq. Restricted stock units have time-based vesting schedules, generally vesting in their entirety on an anniversary of the date of grant, or vest annually over a period of three to five years, and may also be contingent on the achievement of specified performance measures.</w:t>
      </w:r>
    </w:p>
    <w:p>
      <w:pPr>
        <w:spacing w:after="0" w:line="193" w:lineRule="exact"/>
        <w:rPr>
          <w:sz w:val="20"/>
          <w:szCs w:val="20"/>
          <w:color w:val="auto"/>
        </w:rPr>
      </w:pPr>
    </w:p>
    <w:p>
      <w:pPr>
        <w:ind w:right="80" w:firstLine="341"/>
        <w:spacing w:after="0" w:line="253" w:lineRule="auto"/>
        <w:rPr>
          <w:sz w:val="20"/>
          <w:szCs w:val="20"/>
          <w:color w:val="auto"/>
        </w:rPr>
      </w:pPr>
      <w:r>
        <w:rPr>
          <w:rFonts w:ascii="Times New Roman" w:cs="Times New Roman" w:eastAsia="Times New Roman" w:hAnsi="Times New Roman"/>
          <w:sz w:val="18"/>
          <w:szCs w:val="18"/>
          <w:color w:val="auto"/>
        </w:rPr>
        <w:t>As of the date it was approved by our shareholders, there were 46 million shares available for issuance under the 2014 Plan. The number of shares of our common stock reserved for issuance under the 2014 Plan has been, and may be further, increased from time to time by: (1) the number of shares relating to awards outstanding under any Prior Plan that: (i) expire, or are forfeited, terminated or canceled, without the issuance of shares; (ii) are settled in cash in lieu of shares; or (iii) are exchanged, prior to the issuance of shares of our common stock, for awards not involving our common stock; (2) if the exercise price of any option outstanding under any Prior Plans is, or the tax withholding requirements with respect to any award outstanding under any Prior Plans are, satisfied by withholding shares otherwise then deliverable in respect of the award or the actual or constructive transfer to the Company of shares already owned, the number of shares equal to the withheld or transferred shares; and (3) if a share appreciation right is exercised and settled in shares, a number of shares equal to the difference between the total number of shares with respect to which the award is exercised and the number of shares actually issued or transferred. As of December 31, 2018, we had approximately 27 million shares of our common stock reserved for future issuance under the 2014 Plan. Shares issued in connection with awards made under the 2014 Plan are generally issued as new stock issuances.</w:t>
      </w:r>
    </w:p>
    <w:p>
      <w:pPr>
        <w:spacing w:after="0" w:line="195" w:lineRule="exact"/>
        <w:rPr>
          <w:sz w:val="20"/>
          <w:szCs w:val="20"/>
          <w:color w:val="auto"/>
        </w:rPr>
      </w:pPr>
    </w:p>
    <w:p>
      <w:pPr>
        <w:jc w:val="both"/>
        <w:ind w:right="40" w:firstLine="341"/>
        <w:spacing w:after="0" w:line="258" w:lineRule="auto"/>
        <w:rPr>
          <w:sz w:val="20"/>
          <w:szCs w:val="20"/>
          <w:color w:val="auto"/>
        </w:rPr>
      </w:pPr>
      <w:r>
        <w:rPr>
          <w:rFonts w:ascii="Times New Roman" w:cs="Times New Roman" w:eastAsia="Times New Roman" w:hAnsi="Times New Roman"/>
          <w:sz w:val="18"/>
          <w:szCs w:val="18"/>
          <w:color w:val="auto"/>
        </w:rPr>
        <w:t>Additionally, in connection with the King Acquisition, a majority of the outstanding options and awards with respect to King shares that were unvested as of the King Closing Date were converted into equivalent options and awards with respect to shares of the Company's common stock. As part of the conversion, we assumed King's equity incentive plan (the "King Plan") and amended the King Plan to convert it to a plan with respect to shares of the Company's common stock for the King shares assumed. No future shares can be granted from the King Plan, but it continues to govern outstanding awards.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Valuation Assumptions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Stock Options</w:t>
      </w:r>
    </w:p>
    <w:p>
      <w:pPr>
        <w:spacing w:after="0" w:line="227" w:lineRule="exact"/>
        <w:rPr>
          <w:sz w:val="20"/>
          <w:szCs w:val="20"/>
          <w:color w:val="auto"/>
        </w:rPr>
      </w:pPr>
    </w:p>
    <w:p>
      <w:pPr>
        <w:ind w:right="60" w:firstLine="348"/>
        <w:spacing w:after="0" w:line="262" w:lineRule="auto"/>
        <w:rPr>
          <w:sz w:val="20"/>
          <w:szCs w:val="20"/>
          <w:color w:val="auto"/>
        </w:rPr>
      </w:pPr>
      <w:r>
        <w:rPr>
          <w:rFonts w:ascii="Times New Roman" w:cs="Times New Roman" w:eastAsia="Times New Roman" w:hAnsi="Times New Roman"/>
          <w:sz w:val="18"/>
          <w:szCs w:val="18"/>
          <w:color w:val="auto"/>
        </w:rPr>
        <w:t>The fair value of stock options granted are principally estimated using a binomial-lattice model. The inputs in our binomial-lattice model include expected stock price volatility, risk-free interest rate, dividend yield, contractual term, and vesting schedule, as well as measures of employees' cancellations, exercise, and post-vesting termination behavior. Statistical methods are used to estimate employee rank-specific termination rates.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34" w:name="page135"/>
    <w:bookmarkEnd w:id="1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Share-Based Payments (Continued)</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table presents the weighted-average assumptions, weighted average grant date fair value, and the range of expected stock price volatilities: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700" w:type="dxa"/>
            <w:vAlign w:val="bottom"/>
            <w:gridSpan w:val="8"/>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Employee and Director Options</w:t>
            </w: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540" w:type="dxa"/>
            <w:vAlign w:val="bottom"/>
            <w:tcBorders>
              <w:top w:val="single" w:sz="8" w:color="auto"/>
              <w:bottom w:val="single" w:sz="8" w:color="auto"/>
            </w:tcBorders>
            <w:gridSpan w:val="7"/>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For the Years Ended December 31,</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2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32.37%</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35.00%</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35.31%</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2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0.61%</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0.50%</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0.67%</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21.03</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21.11</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12.83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Stock price volatility range:</w:t>
            </w:r>
          </w:p>
        </w:tc>
        <w:tc>
          <w:tcPr>
            <w:tcW w:w="1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Low</w:t>
            </w:r>
          </w:p>
        </w:tc>
        <w:tc>
          <w:tcPr>
            <w:tcW w:w="2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31.72%</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28.19%</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29.20%</w:t>
            </w:r>
          </w:p>
        </w:tc>
      </w:tr>
      <w:tr>
        <w:trPr>
          <w:trHeight w:val="228"/>
        </w:trPr>
        <w:tc>
          <w:tcPr>
            <w:tcW w:w="20" w:type="dxa"/>
            <w:vAlign w:val="bottom"/>
          </w:tcPr>
          <w:p>
            <w:pPr>
              <w:spacing w:after="0"/>
              <w:rPr>
                <w:sz w:val="19"/>
                <w:szCs w:val="19"/>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High</w:t>
            </w:r>
          </w:p>
        </w:tc>
        <w:tc>
          <w:tcPr>
            <w:tcW w:w="2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36.73%</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35.00%</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36.00%</w:t>
            </w:r>
          </w:p>
        </w:tc>
      </w:tr>
    </w:tbl>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Expected life</w:t>
      </w:r>
    </w:p>
    <w:p>
      <w:pPr>
        <w:spacing w:after="0" w:line="225" w:lineRule="exact"/>
        <w:rPr>
          <w:sz w:val="20"/>
          <w:szCs w:val="20"/>
          <w:color w:val="auto"/>
        </w:rPr>
      </w:pPr>
    </w:p>
    <w:p>
      <w:pPr>
        <w:ind w:right="180" w:firstLine="348"/>
        <w:spacing w:after="0" w:line="262" w:lineRule="auto"/>
        <w:rPr>
          <w:sz w:val="20"/>
          <w:szCs w:val="20"/>
          <w:color w:val="auto"/>
        </w:rPr>
      </w:pPr>
      <w:r>
        <w:rPr>
          <w:rFonts w:ascii="Times New Roman" w:cs="Times New Roman" w:eastAsia="Times New Roman" w:hAnsi="Times New Roman"/>
          <w:sz w:val="18"/>
          <w:szCs w:val="18"/>
          <w:color w:val="auto"/>
        </w:rPr>
        <w:t>The expected life of employee stock options is a derived output of the binomial-lattice model and represents the weighted-average period the stock options are expected to remain outstanding. A binomial-lattice model assumes that employees will exercise their options when the stock price equals or exceeds an exercise multiple. The exercise multiple is based on historical employee exercise behaviors.</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Volatility</w:t>
      </w:r>
    </w:p>
    <w:p>
      <w:pPr>
        <w:spacing w:after="0" w:line="225"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To estimate volatility for the binomial-lattice model, we consider the implied volatility of exchange-traded options on our stock to estimate short-term volatility, the historical volatility of our common shares during the option's contractual term to estimate long-term volatility, and a statistical model to estimate the transition from short-term volatility to long-term volatility.</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Risk-free interest rate</w:t>
      </w:r>
    </w:p>
    <w:p>
      <w:pPr>
        <w:spacing w:after="0" w:line="225" w:lineRule="exact"/>
        <w:rPr>
          <w:sz w:val="20"/>
          <w:szCs w:val="20"/>
          <w:color w:val="auto"/>
        </w:rPr>
      </w:pPr>
    </w:p>
    <w:p>
      <w:pPr>
        <w:ind w:right="80" w:firstLine="341"/>
        <w:spacing w:after="0" w:line="275" w:lineRule="auto"/>
        <w:rPr>
          <w:sz w:val="20"/>
          <w:szCs w:val="20"/>
          <w:color w:val="auto"/>
        </w:rPr>
      </w:pPr>
      <w:r>
        <w:rPr>
          <w:rFonts w:ascii="Times New Roman" w:cs="Times New Roman" w:eastAsia="Times New Roman" w:hAnsi="Times New Roman"/>
          <w:sz w:val="18"/>
          <w:szCs w:val="18"/>
          <w:color w:val="auto"/>
        </w:rPr>
        <w:t>As is the case for volatility, the risk-free interest rate is assumed to change during the option's contractual term. The risk-free interest rate, which is based on U.S. Treasury yield curves, reflects the expected movement in the interest rate from one time period to the next ("forward rate").</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Dividend yield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expected dividend yield assumption is based on our historical and expected future amount of dividend payouts.</w:t>
      </w:r>
    </w:p>
    <w:p>
      <w:pPr>
        <w:spacing w:after="0" w:line="225"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Share-based compensation expense recognized is based on awards ultimately expected to vest and therefore has been reduced for estimated forfeitures. Forfeitures are estimated at the time of grant based on historical experience and revised, if necessary, in subsequent periods if actual forfeitures differ from those estimates.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5" w:name="page136"/>
    <w:bookmarkEnd w:id="1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Share-Based Payments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Restricted Stock Units ("RSUs")</w:t>
      </w:r>
    </w:p>
    <w:p>
      <w:pPr>
        <w:spacing w:after="0" w:line="227" w:lineRule="exact"/>
        <w:rPr>
          <w:sz w:val="20"/>
          <w:szCs w:val="20"/>
          <w:color w:val="auto"/>
        </w:rPr>
      </w:pPr>
    </w:p>
    <w:p>
      <w:pPr>
        <w:ind w:right="140" w:firstLine="348"/>
        <w:spacing w:after="0" w:line="275" w:lineRule="auto"/>
        <w:rPr>
          <w:sz w:val="20"/>
          <w:szCs w:val="20"/>
          <w:color w:val="auto"/>
        </w:rPr>
      </w:pPr>
      <w:r>
        <w:rPr>
          <w:rFonts w:ascii="Times New Roman" w:cs="Times New Roman" w:eastAsia="Times New Roman" w:hAnsi="Times New Roman"/>
          <w:sz w:val="18"/>
          <w:szCs w:val="18"/>
          <w:color w:val="auto"/>
        </w:rPr>
        <w:t>The fair value of the Company's RSU awards granted is principally based upon the closing price of the Company's stock price on the date of grant reduced by the present value of dividends expected to be paid on our common stock prior to vesting.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Accuracy of Fair Value Estimates</w:t>
      </w:r>
    </w:p>
    <w:p>
      <w:pPr>
        <w:spacing w:after="0" w:line="227" w:lineRule="exact"/>
        <w:rPr>
          <w:sz w:val="20"/>
          <w:szCs w:val="20"/>
          <w:color w:val="auto"/>
        </w:rPr>
      </w:pPr>
    </w:p>
    <w:p>
      <w:pPr>
        <w:ind w:right="60" w:firstLine="348"/>
        <w:spacing w:after="0" w:line="293" w:lineRule="auto"/>
        <w:rPr>
          <w:sz w:val="20"/>
          <w:szCs w:val="20"/>
          <w:color w:val="auto"/>
        </w:rPr>
      </w:pPr>
      <w:r>
        <w:rPr>
          <w:rFonts w:ascii="Times New Roman" w:cs="Times New Roman" w:eastAsia="Times New Roman" w:hAnsi="Times New Roman"/>
          <w:sz w:val="16"/>
          <w:szCs w:val="16"/>
          <w:color w:val="auto"/>
        </w:rPr>
        <w:t>We developed the assumptions used in the models above, including measures of employees' exercise and post-vesting termination behavior. Our ability to accurately estimate the fair value of share-based payment awards at the grant date depends upon the accuracy of the model and our ability to accurately forecast model inputs for as long as 10 years into the future. These inputs include, but are not limited to, expected stock price volatility, risk-free rate, dividend yield, and employee termination rates. Although the fair value of employee stock options is determined using an option-pricing model, the estimates that are produced by this model may not be indicative of the fair value observed between a willing buyer and a willing seller. Unfortunately, it is difficult to determine if this is the case, as markets do not currently exist that permit the active trading of employee stock option and other share-based instruments.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Stock option activity is as follows:</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remaining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Aggregate</w:t>
            </w: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intrinsic value</w:t>
            </w:r>
          </w:p>
        </w:tc>
      </w:tr>
      <w:tr>
        <w:trPr>
          <w:trHeight w:val="165"/>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5"/>
              </w:rPr>
              <w:t>exercise price</w:t>
            </w:r>
          </w:p>
        </w:tc>
        <w:tc>
          <w:tcPr>
            <w:tcW w:w="1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term (in years)</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stock options at December 31, 2017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20,544</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(4,161)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stock options at December 31, 2018</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17,137</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December 31, 2018</w:t>
            </w:r>
          </w:p>
        </w:tc>
        <w:tc>
          <w:tcPr>
            <w:tcW w:w="10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14,589</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38.50</w:t>
            </w:r>
          </w:p>
        </w:tc>
        <w:tc>
          <w:tcPr>
            <w:tcW w:w="12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6.98</w:t>
            </w:r>
          </w:p>
        </w:tc>
        <w:tc>
          <w:tcPr>
            <w:tcW w:w="2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172</w:t>
            </w:r>
          </w:p>
        </w:tc>
        <w:tc>
          <w:tcPr>
            <w:tcW w:w="160" w:type="dxa"/>
            <w:vAlign w:val="bottom"/>
            <w:shd w:val="clear" w:color="auto" w:fill="CCEEFF"/>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2018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Pr>
          <w:p>
            <w:pPr>
              <w:spacing w:after="0"/>
              <w:rPr>
                <w:sz w:val="19"/>
                <w:szCs w:val="19"/>
                <w:color w:val="auto"/>
              </w:rPr>
            </w:pPr>
          </w:p>
        </w:tc>
      </w:tr>
    </w:tbl>
    <w:p>
      <w:pPr>
        <w:spacing w:after="0" w:line="189"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aggregate intrinsic values in the table above represents the total pretax intrinsic value (i.e. the difference between our closing stock price on the last trading day of the period and the exercise price, times the number of shares for options where the closing stock price is greater than the exercise price) that would have been received by the option holders had all option holders exercised their options on that date. This amount changes based on the market value of our stock. The total intrinsic value of options actually exercised was $196 million, $372 million, and $161 million for the years ended December 31, 2018, 2017, and 2016, respectively. The total grant date fair value of options vested was $45 million, $47 million, and $40 million for the years ended December 31, 2018, 2017, and 2016, respectively.</w:t>
      </w:r>
    </w:p>
    <w:p>
      <w:pPr>
        <w:spacing w:after="0" w:line="1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36" w:name="page137"/>
    <w:bookmarkEnd w:id="1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Share-Based Payments (Continued)</w:t>
      </w:r>
    </w:p>
    <w:p>
      <w:pPr>
        <w:spacing w:after="0" w:line="227" w:lineRule="exact"/>
        <w:rPr>
          <w:sz w:val="20"/>
          <w:szCs w:val="20"/>
          <w:color w:val="auto"/>
        </w:rPr>
      </w:pPr>
    </w:p>
    <w:p>
      <w:pPr>
        <w:ind w:right="160" w:firstLine="341"/>
        <w:spacing w:after="0" w:line="275" w:lineRule="auto"/>
        <w:rPr>
          <w:sz w:val="20"/>
          <w:szCs w:val="20"/>
          <w:color w:val="auto"/>
        </w:rPr>
      </w:pPr>
      <w:r>
        <w:rPr>
          <w:rFonts w:ascii="Times New Roman" w:cs="Times New Roman" w:eastAsia="Times New Roman" w:hAnsi="Times New Roman"/>
          <w:sz w:val="18"/>
          <w:szCs w:val="18"/>
          <w:color w:val="auto"/>
        </w:rPr>
        <w:t>At December 31, 2018, $84 million of total unrecognized compensation cost related to stock options is expected to be recognized over a weighted-average period of 1.20 years.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 Activity</w:t>
      </w:r>
    </w:p>
    <w:p>
      <w:pPr>
        <w:spacing w:after="0" w:line="229"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We grant RSUs, which represent the right to receive shares of our common stock. Vesting for RSUs is contingent upon the holders' continued employment with us and may be subject to other conditions (which may include the satisfaction of a performance measure). Also, certain of our performance-based RSUs include a range of shares that may be released at vesting which are above or below the targeted number of RSUs based on actual performance relative to the grant date performance measure. If the vesting conditions are not met, unvested RSUs will be forfeited. Upon vesting of the RSUs, we may withhold shares otherwise deliverable to satisfy tax withholding requirements.</w:t>
      </w:r>
    </w:p>
    <w:p>
      <w:pPr>
        <w:spacing w:after="0" w:line="193"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The following table summarizes our RSU activity with performance-based RSUs presented at the maximum potential shares that could be earned and issued at vesting (amounts in thousands except per share amounts):</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Weighted-</w:t>
            </w:r>
          </w:p>
        </w:tc>
      </w:tr>
      <w:tr>
        <w:trPr>
          <w:trHeight w:val="149"/>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Average Grant</w:t>
            </w:r>
          </w:p>
        </w:tc>
      </w:tr>
      <w:tr>
        <w:trPr>
          <w:trHeight w:val="165"/>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7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4"/>
              </w:rPr>
              <w:t>Date Fair Value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RSUs at December 31, 2017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(3,078)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RSUs at December 31, 2018</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10,623</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Certain of our performance-based RSUs did not have an accounting grant date as of December 31, 2018, as there is not a mutual understanding between the Company and the employee of the performance terms. Generally, these performance terms relate to operating income performance for future years where the performance goals have not yet been set. As of December 31, 2018, there were 3.2 million performance-based RSUs outstanding for which the accounting grant date has not been set, of which 1.6 million were 2018 grants. Accordingly, no grant date fair value was established and the weighted average grant date fair value calculated above for 2018 grants excludes these RSUs.</w:t>
      </w:r>
    </w:p>
    <w:p>
      <w:pPr>
        <w:spacing w:after="0" w:line="193" w:lineRule="exact"/>
        <w:rPr>
          <w:sz w:val="20"/>
          <w:szCs w:val="20"/>
          <w:color w:val="auto"/>
        </w:rPr>
      </w:pPr>
    </w:p>
    <w:p>
      <w:pPr>
        <w:ind w:right="160" w:firstLine="341"/>
        <w:spacing w:after="0" w:line="258" w:lineRule="auto"/>
        <w:rPr>
          <w:sz w:val="20"/>
          <w:szCs w:val="20"/>
          <w:color w:val="auto"/>
        </w:rPr>
      </w:pPr>
      <w:r>
        <w:rPr>
          <w:rFonts w:ascii="Times New Roman" w:cs="Times New Roman" w:eastAsia="Times New Roman" w:hAnsi="Times New Roman"/>
          <w:sz w:val="18"/>
          <w:szCs w:val="18"/>
          <w:color w:val="auto"/>
        </w:rPr>
        <w:t>At December 31, 2018, approximately $98 million of total unrecognized compensation cost was related to RSUs and is expected to be recognized over a weighted-average period of 1.51 years. Of the total unrecognized compensation cost, $67 million was related to performance-based RSUs, which is expected to be recognized over a weighted-average period of 1.49 years. The total grant date fair value of vested RSUs was $120 million, $64 million and $123 million for the years ended December 31, 2018, 2017, and 2016, respectively.</w:t>
      </w:r>
    </w:p>
    <w:p>
      <w:pPr>
        <w:spacing w:after="0" w:line="190" w:lineRule="exact"/>
        <w:rPr>
          <w:sz w:val="20"/>
          <w:szCs w:val="20"/>
          <w:color w:val="auto"/>
        </w:rPr>
      </w:pPr>
    </w:p>
    <w:p>
      <w:pPr>
        <w:ind w:right="260" w:firstLine="348"/>
        <w:spacing w:after="0" w:line="275" w:lineRule="auto"/>
        <w:rPr>
          <w:sz w:val="20"/>
          <w:szCs w:val="20"/>
          <w:color w:val="auto"/>
        </w:rPr>
      </w:pPr>
      <w:r>
        <w:rPr>
          <w:rFonts w:ascii="Times New Roman" w:cs="Times New Roman" w:eastAsia="Times New Roman" w:hAnsi="Times New Roman"/>
          <w:sz w:val="18"/>
          <w:szCs w:val="18"/>
          <w:color w:val="auto"/>
        </w:rPr>
        <w:t>The income tax benefit from stock option exercises and RSU vestings was $94 million, $160 million, and $134 million for the years ended December 31, 2018, 2017, and 2016, respectively.</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37" w:name="page138"/>
    <w:bookmarkEnd w:id="1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Share-Based Payments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sets forth the total share-based compensation expense included in our consolidated statements of operations (amounts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20" w:type="dxa"/>
            <w:vAlign w:val="bottom"/>
            <w:gridSpan w:val="11"/>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w w:val="94"/>
              </w:rPr>
              <w:t>For the Years Ended</w:t>
            </w: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2016</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70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Cost of revenues—product sales: Software royalties, amortization, and intellectual property</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7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licenses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70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w w:val="99"/>
              </w:rPr>
              <w:t>Cost of revenues—subscription, licensing, and other revenues: Game Operations and Distribution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7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700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Cost of revenues—subscription, licensing, and other revenues: Software royalties, amortization,</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7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intellectual property licenses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 before income taxes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 expense, net of income tax benefit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17. Interest and Other Expense (Income), Net</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1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and other expense (income), net is comprised of the following (amounts in millions):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1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gridSpan w:val="11"/>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w w:val="94"/>
              </w:rPr>
              <w:t>For the Years Ended</w:t>
            </w: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2016</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from debt and amortization of debt discount and deferred financing costs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(income), net</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0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F-52</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7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70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8" w:name="page139"/>
    <w:bookmarkEnd w:id="1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Income Taxes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Domestic and foreign income (loss) before income taxes and details of the income tax expense (benefit) are as follows (amounts in millions):</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8"/>
          </w:tcPr>
          <w:p>
            <w:pPr>
              <w:jc w:val="center"/>
              <w:ind w:left="255"/>
              <w:spacing w:after="0"/>
              <w:rPr>
                <w:sz w:val="20"/>
                <w:szCs w:val="20"/>
                <w:color w:val="auto"/>
              </w:rPr>
            </w:pPr>
            <w:r>
              <w:rPr>
                <w:rFonts w:ascii="Times New Roman" w:cs="Times New Roman" w:eastAsia="Times New Roman" w:hAnsi="Times New Roman"/>
                <w:sz w:val="14"/>
                <w:szCs w:val="14"/>
                <w:b w:val="1"/>
                <w:bCs w:val="1"/>
                <w:color w:val="auto"/>
                <w:w w:val="96"/>
              </w:rPr>
              <w:t>For the Years Ended</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Domestic</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Income tax expense (benefit):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48"/>
        <w:spacing w:after="0" w:line="275" w:lineRule="auto"/>
        <w:rPr>
          <w:sz w:val="20"/>
          <w:szCs w:val="20"/>
          <w:color w:val="auto"/>
        </w:rPr>
      </w:pPr>
      <w:r>
        <w:rPr>
          <w:rFonts w:ascii="Times New Roman" w:cs="Times New Roman" w:eastAsia="Times New Roman" w:hAnsi="Times New Roman"/>
          <w:sz w:val="18"/>
          <w:szCs w:val="18"/>
          <w:color w:val="auto"/>
        </w:rPr>
        <w:t>The items accounting for the difference between income taxes computed at the U.S. federal statutory income tax rate and the income tax expense (benefit) at the effective tax rate for each of the years are as follows (amounts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 provision at statutory rate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8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(239)</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tax reserves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Audit settlements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Net operating loss tax attribute assumed from the Purchase Transaction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(114)</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Excess tax benefits related to share-based payments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Tax Reform Act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(285)</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 $</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60" w:type="dxa"/>
            <w:vAlign w:val="bottom"/>
            <w:vMerge w:val="continue"/>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76%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vMerge w:val="continue"/>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08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F-53</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0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9" w:name="page140"/>
    <w:bookmarkEnd w:id="13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Income Taxes (Continued)</w:t>
      </w:r>
    </w:p>
    <w:p>
      <w:pPr>
        <w:spacing w:after="0" w:line="227" w:lineRule="exact"/>
        <w:rPr>
          <w:sz w:val="20"/>
          <w:szCs w:val="20"/>
          <w:color w:val="auto"/>
        </w:rPr>
      </w:pPr>
    </w:p>
    <w:p>
      <w:pPr>
        <w:ind w:right="140" w:firstLine="348"/>
        <w:spacing w:after="0" w:line="275" w:lineRule="auto"/>
        <w:rPr>
          <w:sz w:val="20"/>
          <w:szCs w:val="20"/>
          <w:color w:val="auto"/>
        </w:rPr>
      </w:pPr>
      <w:r>
        <w:rPr>
          <w:rFonts w:ascii="Times New Roman" w:cs="Times New Roman" w:eastAsia="Times New Roman" w:hAnsi="Times New Roman"/>
          <w:sz w:val="18"/>
          <w:szCs w:val="18"/>
          <w:color w:val="auto"/>
        </w:rPr>
        <w:t>The Company's tax rate is affected by the tax rates in the jurisdictions in which the Company operates, some of which have a statutory tax rate less than the U.S. rate of 21% , and the relative amount of income earned in each jurisdiction.</w:t>
      </w:r>
    </w:p>
    <w:p>
      <w:pPr>
        <w:spacing w:after="0" w:line="174" w:lineRule="exact"/>
        <w:rPr>
          <w:sz w:val="20"/>
          <w:szCs w:val="20"/>
          <w:color w:val="auto"/>
        </w:rPr>
      </w:pPr>
    </w:p>
    <w:p>
      <w:pPr>
        <w:ind w:right="320" w:firstLine="351"/>
        <w:spacing w:after="0" w:line="255" w:lineRule="auto"/>
        <w:rPr>
          <w:sz w:val="20"/>
          <w:szCs w:val="20"/>
          <w:color w:val="auto"/>
        </w:rPr>
      </w:pPr>
      <w:r>
        <w:rPr>
          <w:rFonts w:ascii="Times New Roman" w:cs="Times New Roman" w:eastAsia="Times New Roman" w:hAnsi="Times New Roman"/>
          <w:sz w:val="18"/>
          <w:szCs w:val="18"/>
          <w:color w:val="auto"/>
        </w:rPr>
        <w:t>On June 27, 2018, we entered into a closing agreement with the Internal Revenue Service ("IRS") to resolve certain intercompany transfer pricing arrangements for tax periods starting in 2009 (the "Closing Agreement"). The primary adjustments related to the Closing Agreement were recognized in the second quarter of 2018 and consisted of a tax expense of $70 million and a reduction in unrecognized tax benefits of $437 million. In addition, we recognized $185 million of tax benefits related to other tax adjustments resulting from the changes in U.S. tax attributes and taxable income caused by the primary adjustments. The Closing Agreement resulted in federal and state cash tax payments totaling approximately $345 million, of which federal tax payments of $334 million were made in October 2018.</w:t>
      </w:r>
    </w:p>
    <w:p>
      <w:pPr>
        <w:spacing w:after="0" w:line="193" w:lineRule="exact"/>
        <w:rPr>
          <w:sz w:val="20"/>
          <w:szCs w:val="20"/>
          <w:color w:val="auto"/>
        </w:rPr>
      </w:pPr>
    </w:p>
    <w:p>
      <w:pPr>
        <w:ind w:right="260" w:firstLine="351"/>
        <w:spacing w:after="0" w:line="275" w:lineRule="auto"/>
        <w:rPr>
          <w:sz w:val="20"/>
          <w:szCs w:val="20"/>
          <w:color w:val="auto"/>
        </w:rPr>
      </w:pPr>
      <w:r>
        <w:rPr>
          <w:rFonts w:ascii="Times New Roman" w:cs="Times New Roman" w:eastAsia="Times New Roman" w:hAnsi="Times New Roman"/>
          <w:sz w:val="18"/>
          <w:szCs w:val="18"/>
          <w:color w:val="auto"/>
        </w:rPr>
        <w:t>On December 22, 2017, the U.S. Tax Reform Act was enacted. The U.S. Tax Reform Act, among other things, reduced the U.S. corporate income tax rate from 35% to 21%, beginning in 2018, and implemented the Transition Tax.</w:t>
      </w:r>
    </w:p>
    <w:p>
      <w:pPr>
        <w:spacing w:after="0" w:line="174"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On December 22, 2017, the Securities and Exchange Commission ("SEC") staff issued Staff Accounting Bulletin No. 118 ("SAB 118"), which provides guidance on how to account for the effects of the U.S. Tax Reform Act under ASC 740. SAB 118 enabled companies to record a provisional amount for the effects of the U.S. Tax Reform Act based on a reasonable estimate, subject to adjustment during a measurement period of up to one year, until accounting is complete. During the fourth quarter of 2017, we recorded provisional amounts of $636 million for the effects of the U.S. Tax Reform Act in accordance with SAB 118. In addition, as of December 31, 2017, we no longer considered the available cash balances related to undistributed earnings held outside of the U.S. by our foreign subsidiaries to be indefinitely reinvested.</w:t>
      </w:r>
    </w:p>
    <w:p>
      <w:pPr>
        <w:spacing w:after="0" w:line="193"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In the fourth quarter of 2018, we completed our analysis of the effect of the U.S. Tax Reform Act. For the year ended December 31, 2018, we recorded an additional tax benefit of $285 million for the effects of the U.S. Tax Reform Act. This is primarily related to the election to record deferred U.S. taxes with respect to earnings of our foreign subsidiaries subject to global intangible low-taxed income ("GILTI") and the adjustment for the remeasurement of certain deferred tax assets and liabilities as a result of the U.S. corporate income tax rate reduction. The aggregate U.S. Tax Reform Act impact for 2017 and 2018 is a net tax expense of $351 million, which consists of a $570 million tax expense related to the Transition Tax partially offset by a net benefit of $219 million, mainly related to the adoption of GILTI deferred tax accounting and remeasurement of deferred tax assets and liabilities.</w:t>
      </w:r>
    </w:p>
    <w:p>
      <w:pPr>
        <w:spacing w:after="0" w:line="193" w:lineRule="exact"/>
        <w:rPr>
          <w:sz w:val="20"/>
          <w:szCs w:val="20"/>
          <w:color w:val="auto"/>
        </w:rPr>
      </w:pPr>
    </w:p>
    <w:p>
      <w:pPr>
        <w:ind w:right="200" w:firstLine="351"/>
        <w:spacing w:after="0" w:line="255" w:lineRule="auto"/>
        <w:rPr>
          <w:sz w:val="20"/>
          <w:szCs w:val="20"/>
          <w:color w:val="auto"/>
        </w:rPr>
      </w:pPr>
      <w:r>
        <w:rPr>
          <w:rFonts w:ascii="Times New Roman" w:cs="Times New Roman" w:eastAsia="Times New Roman" w:hAnsi="Times New Roman"/>
          <w:sz w:val="18"/>
          <w:szCs w:val="18"/>
          <w:color w:val="auto"/>
        </w:rPr>
        <w:t>In 2013, in connection with the October 11, 2013 repurchase of approximately 429 million shares of our common stock from Vivendi ("Purchase Transaction"), we assumed certain tax attributes, generally consisting of net operating loss ("NOL") carryforwards of approximately $760 million, which represent a potential tax benefit of approximately $266 million. The Company also obtained indemnification from Vivendi against losses attributable to the disallowance of claimed utilization of such NOL carryforwards of up to $200 million in unrealized tax benefits in the aggregate, limited to taxable years ending on or prior to December 31, 2016. No benefit for these tax attributes or indemnification was recorded upon the close of the Purchase Transaction. As of December 31, 2017, we had utilized approximately $760 million of the original NOL and had recorded an indemnification asset</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0" w:name="page141"/>
    <w:bookmarkEnd w:id="1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Income Taxes (Continued)</w:t>
      </w:r>
    </w:p>
    <w:p>
      <w:pPr>
        <w:spacing w:after="0" w:line="22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of $200 million in "Other assets." Correspondingly, the same amount was recorded as a reduction to the consideration paid for the shares repurchased in "Treasury stock."</w:t>
      </w:r>
    </w:p>
    <w:p>
      <w:pPr>
        <w:spacing w:after="0" w:line="174" w:lineRule="exact"/>
        <w:rPr>
          <w:sz w:val="20"/>
          <w:szCs w:val="20"/>
          <w:color w:val="auto"/>
        </w:rPr>
      </w:pPr>
    </w:p>
    <w:p>
      <w:pPr>
        <w:ind w:right="460" w:firstLine="351"/>
        <w:spacing w:after="0" w:line="275"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amounts of assets and liabilities for accounting purposes and the amounts used for income tax purposes. The components of the net deferred tax assets (liabilities) are as follows (amounts in millions):</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Allowance for sales returns and price protection</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attributes carryforwards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Acquired intangibles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deferred taxes on foreign earnings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Acquired intangibles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Capitalized software development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41"/>
        <w:spacing w:after="0" w:line="262" w:lineRule="auto"/>
        <w:rPr>
          <w:sz w:val="20"/>
          <w:szCs w:val="20"/>
          <w:color w:val="auto"/>
        </w:rPr>
      </w:pPr>
      <w:r>
        <w:rPr>
          <w:rFonts w:ascii="Times New Roman" w:cs="Times New Roman" w:eastAsia="Times New Roman" w:hAnsi="Times New Roman"/>
          <w:sz w:val="18"/>
          <w:szCs w:val="18"/>
          <w:color w:val="auto"/>
        </w:rPr>
        <w:t>As of December 31, 2018, we had gross tax credit carryforwards of $172 million for state purposes. The tax credit carryforwards are presented in "Deferred tax assets" net of unrealized tax benefits that would apply upon the realization of uncertain tax positions. In addition, we had foreign NOL carryforwards of $22 million at December 31, 2018, attributed mainly to losses in France which can be carried forward indefinitely.</w:t>
      </w:r>
    </w:p>
    <w:p>
      <w:pPr>
        <w:spacing w:after="0" w:line="186" w:lineRule="exact"/>
        <w:rPr>
          <w:sz w:val="20"/>
          <w:szCs w:val="20"/>
          <w:color w:val="auto"/>
        </w:rPr>
      </w:pPr>
    </w:p>
    <w:p>
      <w:pPr>
        <w:ind w:firstLine="348"/>
        <w:spacing w:after="0" w:line="291" w:lineRule="auto"/>
        <w:rPr>
          <w:sz w:val="20"/>
          <w:szCs w:val="20"/>
          <w:color w:val="auto"/>
        </w:rPr>
      </w:pPr>
      <w:r>
        <w:rPr>
          <w:rFonts w:ascii="Times New Roman" w:cs="Times New Roman" w:eastAsia="Times New Roman" w:hAnsi="Times New Roman"/>
          <w:sz w:val="16"/>
          <w:szCs w:val="16"/>
          <w:color w:val="auto"/>
        </w:rPr>
        <w:t>We evaluate deferred tax assets each period for recoverability. We record a valuation allowance for assets that do not meet the threshold of "more likely than not" to be realized in the future. To make that determination, we evaluate the likelihood of realization based on the weight of all positive and negative evidence available. As of December 31, 2017, we had a deferred tax asset for California research and development credit carryforwards ("CA R&amp;D Credits"), which can be carried forward indefinitely. The Closing Agreement impacts historical and prospective filings in certain states, including California, and after considering the impact of the Closing Agreement on its prospective California taxable income, we determined that our remaining CA R&amp;D Credits no longer met the threshold of more likely than not to be realized in the future. As such, for the year ended December 31, 2018, we recorded a full valuation allowance of $61 million. We will reassess this determination quarterly and record a tax benefit if and when future evidence allows for a partial or full release of this valuation allowance.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1" w:name="page142"/>
    <w:bookmarkEnd w:id="1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Income Taxes (Continued)</w:t>
      </w:r>
    </w:p>
    <w:p>
      <w:pPr>
        <w:spacing w:after="0" w:line="227" w:lineRule="exact"/>
        <w:rPr>
          <w:sz w:val="20"/>
          <w:szCs w:val="20"/>
          <w:color w:val="auto"/>
        </w:rPr>
      </w:pPr>
    </w:p>
    <w:p>
      <w:pPr>
        <w:ind w:right="40" w:firstLine="341"/>
        <w:spacing w:after="0" w:line="258" w:lineRule="auto"/>
        <w:rPr>
          <w:sz w:val="20"/>
          <w:szCs w:val="20"/>
          <w:color w:val="auto"/>
        </w:rPr>
      </w:pPr>
      <w:r>
        <w:rPr>
          <w:rFonts w:ascii="Times New Roman" w:cs="Times New Roman" w:eastAsia="Times New Roman" w:hAnsi="Times New Roman"/>
          <w:sz w:val="18"/>
          <w:szCs w:val="18"/>
          <w:color w:val="auto"/>
        </w:rPr>
        <w:t>As of December 31, 2017, we no longer consider the available cash balances related to undistributed earnings held outside of the U.S. by our foreign subsidiaries to be indefinitely reinvested. As of December 31, 2018, we recorded net deferred tax liability related to undistributed foreign earnings of $16 million. In addition, we have elected to record deferred U.S. taxes with respect to earnings of our foreign subsidiaries subject to GILTI and recorded a $263 million deferred tax asset.</w:t>
      </w:r>
    </w:p>
    <w:p>
      <w:pPr>
        <w:spacing w:after="0" w:line="190" w:lineRule="exact"/>
        <w:rPr>
          <w:sz w:val="20"/>
          <w:szCs w:val="20"/>
          <w:color w:val="auto"/>
        </w:rPr>
      </w:pPr>
    </w:p>
    <w:p>
      <w:pPr>
        <w:ind w:firstLine="341"/>
        <w:spacing w:after="0" w:line="290" w:lineRule="auto"/>
        <w:rPr>
          <w:sz w:val="20"/>
          <w:szCs w:val="20"/>
          <w:color w:val="auto"/>
        </w:rPr>
      </w:pPr>
      <w:r>
        <w:rPr>
          <w:rFonts w:ascii="Times New Roman" w:cs="Times New Roman" w:eastAsia="Times New Roman" w:hAnsi="Times New Roman"/>
          <w:sz w:val="16"/>
          <w:szCs w:val="16"/>
          <w:color w:val="auto"/>
        </w:rPr>
        <w:t>Activision Blizzard's 2009 through 2017 tax years remain open to examination by certain major taxing jurisdictions to which we are subject. During February 2018, we were notified by the IRS that our tax returns for our 2012 through 2016 tax years will be subject to examination. In September 2018, the IRS concluded its examination of our 2009 through 2011 tax years. We also have several state and non-U.S. audits pending, including the French and Swedish audits discussed below. In addition, as part of purchase price accounting for our 2016 acquisition of King, we assumed $74 million of uncertain tax positions primarily related to pre-acquisition transfer pricing matters. We are currently in negotiations with the tax authorities in the relevant jurisdictions, which include the UK and Sweden, with respect to King's transfer pricing for both pre- and post-acquisition tax years. While the outcome of these negotiations remains uncertain, they could result in an agreement that changes the allocation of profits and losses between these and other relevant jurisdictions or a failure to reach an agreement that results in unilateral adjustments to the amount and timing of taxable income in the jurisdictions in which King operates.</w:t>
      </w:r>
    </w:p>
    <w:p>
      <w:pPr>
        <w:spacing w:after="0" w:line="166" w:lineRule="exact"/>
        <w:rPr>
          <w:sz w:val="20"/>
          <w:szCs w:val="20"/>
          <w:color w:val="auto"/>
        </w:rPr>
      </w:pPr>
    </w:p>
    <w:p>
      <w:pPr>
        <w:ind w:right="160" w:firstLine="351"/>
        <w:spacing w:after="0" w:line="254" w:lineRule="auto"/>
        <w:rPr>
          <w:sz w:val="20"/>
          <w:szCs w:val="20"/>
          <w:color w:val="auto"/>
        </w:rPr>
      </w:pPr>
      <w:r>
        <w:rPr>
          <w:rFonts w:ascii="Times New Roman" w:cs="Times New Roman" w:eastAsia="Times New Roman" w:hAnsi="Times New Roman"/>
          <w:sz w:val="18"/>
          <w:szCs w:val="18"/>
          <w:color w:val="auto"/>
        </w:rPr>
        <w:t>In December 2018, we received a decision from the Swedish Tax Agency ("STA") informing us of an audit assessment to a Swedish subsidiary of King for the 2016 tax year. The STA decision described the basis for issuing a transfer pricing assessment of approximately 3.5kr billion (approximately $400 million), primarily concerning an alleged intercompany asset transfer. We disagree with the STA's decision and intend to vigorously contest it. We plan to pursue all remedies available to us to successfully resolve the matter, including administrative remedies with the STA, multilateral procedures with other relevant taxing jurisdictions, and, if necessary, judicial remedies. Further, we may be required to pay the full assessment to the STA in advance of the final resolution of the matter. While we believe our tax provisions at December 31, 2018, are appropriate, until such time as this matter is ultimately resolved we could be subject to significant additional tax liabilities.</w:t>
      </w:r>
    </w:p>
    <w:p>
      <w:pPr>
        <w:spacing w:after="0" w:line="195" w:lineRule="exact"/>
        <w:rPr>
          <w:sz w:val="20"/>
          <w:szCs w:val="20"/>
          <w:color w:val="auto"/>
        </w:rPr>
      </w:pPr>
    </w:p>
    <w:p>
      <w:pPr>
        <w:ind w:right="180" w:firstLine="351"/>
        <w:spacing w:after="0" w:line="289" w:lineRule="auto"/>
        <w:rPr>
          <w:sz w:val="20"/>
          <w:szCs w:val="20"/>
          <w:color w:val="auto"/>
        </w:rPr>
      </w:pPr>
      <w:r>
        <w:rPr>
          <w:rFonts w:ascii="Times New Roman" w:cs="Times New Roman" w:eastAsia="Times New Roman" w:hAnsi="Times New Roman"/>
          <w:sz w:val="16"/>
          <w:szCs w:val="16"/>
          <w:color w:val="auto"/>
        </w:rPr>
        <w:t>In December 2017, we received a Notice of Reassessment from the French Tax Authority ("FTA") related to transfer pricing for intercompany transactions involving one of our French subsidiaries for the 2011 through 2013 tax years. The total assessment, including penalties and interest, was approximately</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€571 million (approximately $652 million). We disagree with the proposed assessment and intend to vigorously contest it. We plan to pursue all remedies available to us to successfully resolve this matter, including administrative remedies with the FTA and, if necessary, judicial remedies. While we believe our tax provisions at December 31, 2018, are appropriate, until such time as this matter is ultimately resolved we could be subject to significant additional tax liabilities. In addition to the risk of additional tax for the 2011 through 2013 tax years, if litigation regarding this matter were adversely determined and/or if the FTA were to seek adjustments of a similar nature for subsequent years, we could be subject to significant additional tax liabilities.</w:t>
      </w:r>
    </w:p>
    <w:p>
      <w:pPr>
        <w:spacing w:after="0" w:line="193"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In addition, certain of our subsidiaries are under examination or investigation, or may be subject to examination or investigation, by tax authorities in various jurisdictions. These proceedings may lead to adjustments or proposed adjustments to our taxes or provisions for uncertain tax positions. Such proceedings may have a material adverse effect on the Company's consolidated financial position,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2" w:name="page143"/>
    <w:bookmarkEnd w:id="14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Income Taxes (Continued)</w:t>
      </w:r>
    </w:p>
    <w:p>
      <w:pPr>
        <w:spacing w:after="0" w:line="22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liquidity, or results of operations in the earlier of the period or periods in which the matters are resolved and in which appropriate tax provisions are taken into account in our financial statements. If we were to receive a materially adverse assessment from a taxing jurisdiction, we would plan to vigorously contest it and consider all of our options, including the pursuit of judicial remedies.</w:t>
      </w:r>
    </w:p>
    <w:p>
      <w:pPr>
        <w:spacing w:after="0" w:line="186" w:lineRule="exact"/>
        <w:rPr>
          <w:sz w:val="20"/>
          <w:szCs w:val="20"/>
          <w:color w:val="auto"/>
        </w:rPr>
      </w:pPr>
    </w:p>
    <w:p>
      <w:pPr>
        <w:jc w:val="both"/>
        <w:ind w:firstLine="341"/>
        <w:spacing w:after="0" w:line="275" w:lineRule="auto"/>
        <w:rPr>
          <w:sz w:val="20"/>
          <w:szCs w:val="20"/>
          <w:color w:val="auto"/>
        </w:rPr>
      </w:pPr>
      <w:r>
        <w:rPr>
          <w:rFonts w:ascii="Times New Roman" w:cs="Times New Roman" w:eastAsia="Times New Roman" w:hAnsi="Times New Roman"/>
          <w:sz w:val="18"/>
          <w:szCs w:val="18"/>
          <w:color w:val="auto"/>
        </w:rPr>
        <w:t>As of December 31, 2018, we had approximately $917 million of gross unrecognized tax benefits, $812 million of which would affect our effective tax rate, if recognized. A reconciliation of total gross unrecognized tax benefits is as follows (amounts in millions):</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8"/>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balance at January 1</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 for tax positions taken during a prior year</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decrease for tax positions taken during a prior year</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 for tax positions taken during the current year</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with taxing authorities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balance at December 31</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41"/>
        <w:spacing w:after="0" w:line="262" w:lineRule="auto"/>
        <w:rPr>
          <w:sz w:val="20"/>
          <w:szCs w:val="20"/>
          <w:color w:val="auto"/>
        </w:rPr>
      </w:pPr>
      <w:r>
        <w:rPr>
          <w:rFonts w:ascii="Times New Roman" w:cs="Times New Roman" w:eastAsia="Times New Roman" w:hAnsi="Times New Roman"/>
          <w:sz w:val="18"/>
          <w:szCs w:val="18"/>
          <w:color w:val="auto"/>
        </w:rPr>
        <w:t>As of December 31, 2018, 2017, and 2016, we had approximately $87 million, $121 million, and $71 million, respectively, of accrued interest and penalties related to uncertain tax positions. For the years ended December 31, 2018, 2017, and 2016, we recorded $11 million, $28 million, and $17 million, respectively, of interest expense related to uncertain tax positions.</w:t>
      </w:r>
    </w:p>
    <w:p>
      <w:pPr>
        <w:spacing w:after="0" w:line="186" w:lineRule="exact"/>
        <w:rPr>
          <w:sz w:val="20"/>
          <w:szCs w:val="20"/>
          <w:color w:val="auto"/>
        </w:rPr>
      </w:pPr>
    </w:p>
    <w:p>
      <w:pPr>
        <w:ind w:right="160" w:firstLine="348"/>
        <w:spacing w:after="0" w:line="258" w:lineRule="auto"/>
        <w:rPr>
          <w:sz w:val="20"/>
          <w:szCs w:val="20"/>
          <w:color w:val="auto"/>
        </w:rPr>
      </w:pPr>
      <w:r>
        <w:rPr>
          <w:rFonts w:ascii="Times New Roman" w:cs="Times New Roman" w:eastAsia="Times New Roman" w:hAnsi="Times New Roman"/>
          <w:sz w:val="18"/>
          <w:szCs w:val="18"/>
          <w:color w:val="auto"/>
        </w:rPr>
        <w:t>The final resolution of the Company's global tax disputes is uncertain. There is significant judgment required in the analysis of disputes, including the probability determination and estimation of the potential exposure. Based on current information, in the opinion of the Company's management, the ultimate resolution of these matters is not expected to have a material adverse effect on the Company's consolidated financial position, liquidity or results of operations, except as noted above.</w:t>
      </w:r>
    </w:p>
    <w:p>
      <w:pPr>
        <w:spacing w:after="0" w:line="1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143" w:name="page144"/>
    <w:bookmarkEnd w:id="14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Computation of Basic/Diluted Earnings Per Common Share</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common share (amounts in millions, except per share data):</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7"/>
          </w:tcPr>
          <w:p>
            <w:pPr>
              <w:jc w:val="center"/>
              <w:ind w:left="197"/>
              <w:spacing w:after="0"/>
              <w:rPr>
                <w:sz w:val="20"/>
                <w:szCs w:val="20"/>
                <w:color w:val="auto"/>
              </w:rPr>
            </w:pPr>
            <w:r>
              <w:rPr>
                <w:rFonts w:ascii="Times New Roman" w:cs="Times New Roman" w:eastAsia="Times New Roman" w:hAnsi="Times New Roman"/>
                <w:sz w:val="14"/>
                <w:szCs w:val="14"/>
                <w:b w:val="1"/>
                <w:bCs w:val="1"/>
                <w:color w:val="auto"/>
                <w:w w:val="96"/>
              </w:rPr>
              <w:t>For the Years Ended</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center"/>
              <w:ind w:left="357"/>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2016</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net income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Distributed earnings to unvested share-based awards that participate in earnings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02"/>
        </w:trPr>
        <w:tc>
          <w:tcPr>
            <w:tcW w:w="20" w:type="dxa"/>
            <w:vAlign w:val="bottom"/>
          </w:tcPr>
          <w:p>
            <w:pPr>
              <w:spacing w:after="0"/>
              <w:rPr>
                <w:sz w:val="17"/>
                <w:szCs w:val="17"/>
                <w:color w:val="auto"/>
              </w:rPr>
            </w:pPr>
          </w:p>
        </w:tc>
        <w:tc>
          <w:tcPr>
            <w:tcW w:w="6780" w:type="dxa"/>
            <w:vAlign w:val="bottom"/>
          </w:tcPr>
          <w:p>
            <w:pPr>
              <w:ind w:left="340"/>
              <w:spacing w:after="0" w:line="201" w:lineRule="exact"/>
              <w:rPr>
                <w:sz w:val="20"/>
                <w:szCs w:val="20"/>
                <w:color w:val="auto"/>
              </w:rPr>
            </w:pPr>
            <w:r>
              <w:rPr>
                <w:rFonts w:ascii="Times New Roman" w:cs="Times New Roman" w:eastAsia="Times New Roman" w:hAnsi="Times New Roman"/>
                <w:sz w:val="18"/>
                <w:szCs w:val="18"/>
                <w:color w:val="auto"/>
              </w:rPr>
              <w:t>Less: Undistributed earnings allocated to unvested share-based awards that participate in</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6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earnings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196"/>
        </w:trPr>
        <w:tc>
          <w:tcPr>
            <w:tcW w:w="20" w:type="dxa"/>
            <w:vAlign w:val="bottom"/>
          </w:tcPr>
          <w:p>
            <w:pPr>
              <w:spacing w:after="0"/>
              <w:rPr>
                <w:sz w:val="17"/>
                <w:szCs w:val="17"/>
                <w:color w:val="auto"/>
              </w:rPr>
            </w:pPr>
          </w:p>
        </w:tc>
        <w:tc>
          <w:tcPr>
            <w:tcW w:w="6780" w:type="dxa"/>
            <w:vAlign w:val="bottom"/>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Numerator for basic and diluted earnings per common share—income available to common</w:t>
            </w: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shareholders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780" w:type="dxa"/>
            <w:vAlign w:val="bottom"/>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Denominator for basic earnings per common share—weighted-average common shares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dilutive stock options and awards under the treasury stock method</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67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Denominator for diluted earnings per common share—weighted-average common shares</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plus dilutive common shares under the treasury stock method</w:t>
            </w: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60" w:type="dxa"/>
            <w:vAlign w:val="bottom"/>
            <w:shd w:val="clear" w:color="auto" w:fill="CCEEFF"/>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3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2.35</w:t>
            </w:r>
          </w:p>
        </w:tc>
        <w:tc>
          <w:tcPr>
            <w:tcW w:w="2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1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In 2016, certain of our unvested restricted stock units met the definition of participating securities, as they participated in earnings based on their rights to dividends or dividend equivalents. Therefore, we were required to use the two-class method in our computation of basic and diluted earnings per common share. For the year ended December 31, 2016, on a weighted-average basis, we had outstanding unvested restricted stock units of 3 million shares of common stock that participated in earnings.</w:t>
      </w:r>
    </w:p>
    <w:p>
      <w:pPr>
        <w:spacing w:after="0" w:line="190"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vesting of certain of our employee-related restricted stock units and options is contingent upon the satisfaction of pre-defined performance measures. The shares underlying these equity awards are included in the weighted-average dilutive common shares only if the performance measures are met as of the end of the reporting period. Approximately 4 million, 7 million, and 8 million shares are not included in the computation of diluted earnings per common share for the years ended December 31, 2018, 2017, and 2016, respectively, as their underlying performance measures had not yet been met.</w:t>
      </w:r>
    </w:p>
    <w:p>
      <w:pPr>
        <w:spacing w:after="0" w:line="190" w:lineRule="exact"/>
        <w:rPr>
          <w:sz w:val="20"/>
          <w:szCs w:val="20"/>
          <w:color w:val="auto"/>
        </w:rPr>
      </w:pPr>
    </w:p>
    <w:p>
      <w:pPr>
        <w:jc w:val="both"/>
        <w:ind w:firstLine="351"/>
        <w:spacing w:after="0" w:line="310" w:lineRule="auto"/>
        <w:rPr>
          <w:sz w:val="20"/>
          <w:szCs w:val="20"/>
          <w:color w:val="auto"/>
        </w:rPr>
      </w:pPr>
      <w:r>
        <w:rPr>
          <w:rFonts w:ascii="Times New Roman" w:cs="Times New Roman" w:eastAsia="Times New Roman" w:hAnsi="Times New Roman"/>
          <w:sz w:val="16"/>
          <w:szCs w:val="16"/>
          <w:color w:val="auto"/>
        </w:rPr>
        <w:t>Potential common shares are not included in the denominator of the diluted earnings per common share calculation when the inclusion of such shares would be anti-dilutive. Therefore, 3 million, 1 million, and 5 million options to purchase shares of common stock were not included in the calculation of diluted earnings per common share for the years ended December 31, 2018, 2017, and 2016, respectively, as the effect of their inclusion would be anti-dilutive.</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4" w:name="page145"/>
    <w:bookmarkEnd w:id="14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Capital Transactions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Programs</w:t>
      </w:r>
    </w:p>
    <w:p>
      <w:pPr>
        <w:spacing w:after="0" w:line="229" w:lineRule="exact"/>
        <w:rPr>
          <w:sz w:val="20"/>
          <w:szCs w:val="20"/>
          <w:color w:val="auto"/>
        </w:rPr>
      </w:pPr>
    </w:p>
    <w:p>
      <w:pPr>
        <w:ind w:right="240" w:firstLine="351"/>
        <w:spacing w:after="0" w:line="262" w:lineRule="auto"/>
        <w:rPr>
          <w:sz w:val="20"/>
          <w:szCs w:val="20"/>
          <w:color w:val="auto"/>
        </w:rPr>
      </w:pPr>
      <w:r>
        <w:rPr>
          <w:rFonts w:ascii="Times New Roman" w:cs="Times New Roman" w:eastAsia="Times New Roman" w:hAnsi="Times New Roman"/>
          <w:sz w:val="18"/>
          <w:szCs w:val="18"/>
          <w:color w:val="auto"/>
        </w:rPr>
        <w:t>On January 31, 2019, our Board of Directors authorized a stock repurchase program under which we are authorized to repurchase up to $1.5 billion of our common stock from February 14, 2019 until the earlier of February 13, 2021 and a determination by the Board of Directors to discontinue the repurchase program.</w:t>
      </w:r>
    </w:p>
    <w:p>
      <w:pPr>
        <w:spacing w:after="0" w:line="186" w:lineRule="exact"/>
        <w:rPr>
          <w:sz w:val="20"/>
          <w:szCs w:val="20"/>
          <w:color w:val="auto"/>
        </w:rPr>
      </w:pPr>
    </w:p>
    <w:p>
      <w:pPr>
        <w:ind w:right="240" w:firstLine="351"/>
        <w:spacing w:after="0" w:line="275" w:lineRule="auto"/>
        <w:rPr>
          <w:sz w:val="20"/>
          <w:szCs w:val="20"/>
          <w:color w:val="auto"/>
        </w:rPr>
      </w:pPr>
      <w:r>
        <w:rPr>
          <w:rFonts w:ascii="Times New Roman" w:cs="Times New Roman" w:eastAsia="Times New Roman" w:hAnsi="Times New Roman"/>
          <w:sz w:val="18"/>
          <w:szCs w:val="18"/>
          <w:color w:val="auto"/>
        </w:rPr>
        <w:t>On February 2, 2017, our Board of Directors authorized a stock repurchase program under which we were authorized to repurchase up to $1 billion of our common stock from February 13, 2017 through February 12, 2019. We did not repurchase any shares under this program.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860" w:firstLine="351"/>
        <w:spacing w:after="0" w:line="275" w:lineRule="auto"/>
        <w:rPr>
          <w:sz w:val="20"/>
          <w:szCs w:val="20"/>
          <w:color w:val="auto"/>
        </w:rPr>
      </w:pPr>
      <w:r>
        <w:rPr>
          <w:rFonts w:ascii="Times New Roman" w:cs="Times New Roman" w:eastAsia="Times New Roman" w:hAnsi="Times New Roman"/>
          <w:sz w:val="18"/>
          <w:szCs w:val="18"/>
          <w:color w:val="auto"/>
        </w:rPr>
        <w:t>On February 12, 2019, our Board of Directors declared a cash dividend of $0.37 per common share. Such dividend is payable on May 9, 2019, to shareholders of record at the close of business on March 28, 2019.</w:t>
      </w:r>
    </w:p>
    <w:p>
      <w:pPr>
        <w:spacing w:after="0" w:line="174" w:lineRule="exact"/>
        <w:rPr>
          <w:sz w:val="20"/>
          <w:szCs w:val="20"/>
          <w:color w:val="auto"/>
        </w:rPr>
      </w:pPr>
    </w:p>
    <w:p>
      <w:pPr>
        <w:ind w:right="260" w:firstLine="351"/>
        <w:spacing w:after="0" w:line="275" w:lineRule="auto"/>
        <w:rPr>
          <w:sz w:val="20"/>
          <w:szCs w:val="20"/>
          <w:color w:val="auto"/>
        </w:rPr>
      </w:pPr>
      <w:r>
        <w:rPr>
          <w:rFonts w:ascii="Times New Roman" w:cs="Times New Roman" w:eastAsia="Times New Roman" w:hAnsi="Times New Roman"/>
          <w:sz w:val="18"/>
          <w:szCs w:val="18"/>
          <w:color w:val="auto"/>
        </w:rPr>
        <w:t>On February 8, 2018, our Board of Directors declared a cash dividend of $0.34 per common share. On May 9, 2018, we made an aggregate cash dividend payment of $259 million to shareholders of record at the close of business on March 30, 2018.</w:t>
      </w:r>
    </w:p>
    <w:p>
      <w:pPr>
        <w:spacing w:after="0" w:line="174" w:lineRule="exact"/>
        <w:rPr>
          <w:sz w:val="20"/>
          <w:szCs w:val="20"/>
          <w:color w:val="auto"/>
        </w:rPr>
      </w:pPr>
    </w:p>
    <w:p>
      <w:pPr>
        <w:jc w:val="both"/>
        <w:ind w:right="120" w:firstLine="351"/>
        <w:spacing w:after="0" w:line="262" w:lineRule="auto"/>
        <w:rPr>
          <w:sz w:val="20"/>
          <w:szCs w:val="20"/>
          <w:color w:val="auto"/>
        </w:rPr>
      </w:pPr>
      <w:r>
        <w:rPr>
          <w:rFonts w:ascii="Times New Roman" w:cs="Times New Roman" w:eastAsia="Times New Roman" w:hAnsi="Times New Roman"/>
          <w:sz w:val="18"/>
          <w:szCs w:val="18"/>
          <w:color w:val="auto"/>
        </w:rPr>
        <w:t>On February 9, 2017, our Board of Directors declared a cash dividend of $0.30 per common share. On May 10, 2017, we made an aggregate cash dividend payment of $226 million to shareholders of record at the close of business on March 30, 2017. On May 26, 2017, we made related dividend equivalent payments of less than $1 million to certain holders of restricted stock units.</w:t>
      </w:r>
    </w:p>
    <w:p>
      <w:pPr>
        <w:spacing w:after="0" w:line="186" w:lineRule="exact"/>
        <w:rPr>
          <w:sz w:val="20"/>
          <w:szCs w:val="20"/>
          <w:color w:val="auto"/>
        </w:rPr>
      </w:pPr>
    </w:p>
    <w:p>
      <w:pPr>
        <w:jc w:val="both"/>
        <w:ind w:right="100" w:firstLine="351"/>
        <w:spacing w:after="0" w:line="262" w:lineRule="auto"/>
        <w:rPr>
          <w:sz w:val="20"/>
          <w:szCs w:val="20"/>
          <w:color w:val="auto"/>
        </w:rPr>
      </w:pPr>
      <w:r>
        <w:rPr>
          <w:rFonts w:ascii="Times New Roman" w:cs="Times New Roman" w:eastAsia="Times New Roman" w:hAnsi="Times New Roman"/>
          <w:sz w:val="18"/>
          <w:szCs w:val="18"/>
          <w:color w:val="auto"/>
        </w:rPr>
        <w:t>On February 11, 2016, our Board of Directors declared a cash dividend of $0.26 per common share. On May 11, 2016, we made an aggregate cash dividend payment of $192 million to shareholders of record at the close of business on March 30, 2016. On May 27, 2016, we made related dividend equivalent payments of $3 million to certain holders of restricted stock units.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Supplemental Cash Flow Information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Supplemental cash flow information is as follows (amounts in millions):</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98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For the Years Ended</w:t>
            </w:r>
          </w:p>
        </w:tc>
      </w:tr>
      <w:tr>
        <w:trPr>
          <w:trHeight w:val="165"/>
        </w:trPr>
        <w:tc>
          <w:tcPr>
            <w:tcW w:w="60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000" w:type="dxa"/>
            <w:vAlign w:val="bottom"/>
          </w:tcPr>
          <w:p>
            <w:pPr>
              <w:spacing w:after="0"/>
              <w:rPr>
                <w:sz w:val="12"/>
                <w:szCs w:val="12"/>
                <w:color w:val="auto"/>
              </w:rPr>
            </w:pPr>
          </w:p>
        </w:tc>
        <w:tc>
          <w:tcPr>
            <w:tcW w:w="500" w:type="dxa"/>
            <w:vAlign w:val="bottom"/>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60" w:type="dxa"/>
            <w:vAlign w:val="bottom"/>
            <w:gridSpan w:val="2"/>
          </w:tcPr>
          <w:p>
            <w:pPr>
              <w:jc w:val="center"/>
              <w:ind w:left="8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2017</w:t>
            </w:r>
          </w:p>
        </w:tc>
        <w:tc>
          <w:tcPr>
            <w:tcW w:w="160" w:type="dxa"/>
            <w:vAlign w:val="bottom"/>
          </w:tcPr>
          <w:p>
            <w:pPr>
              <w:spacing w:after="0"/>
              <w:rPr>
                <w:sz w:val="12"/>
                <w:szCs w:val="12"/>
                <w:color w:val="auto"/>
              </w:rPr>
            </w:pPr>
          </w:p>
        </w:tc>
        <w:tc>
          <w:tcPr>
            <w:tcW w:w="500" w:type="dxa"/>
            <w:vAlign w:val="bottom"/>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560</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176</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121</w:t>
            </w:r>
          </w:p>
        </w:tc>
      </w:tr>
      <w:tr>
        <w:trPr>
          <w:trHeight w:val="216"/>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w:t>
            </w:r>
          </w:p>
        </w:tc>
      </w:tr>
    </w:tbl>
    <w:p>
      <w:pPr>
        <w:spacing w:after="0" w:line="202" w:lineRule="exact"/>
        <w:rPr>
          <w:sz w:val="20"/>
          <w:szCs w:val="20"/>
          <w:color w:val="auto"/>
        </w:rPr>
      </w:pPr>
    </w:p>
    <w:p>
      <w:pPr>
        <w:ind w:right="300" w:firstLine="348"/>
        <w:spacing w:after="0" w:line="275" w:lineRule="auto"/>
        <w:rPr>
          <w:sz w:val="20"/>
          <w:szCs w:val="20"/>
          <w:color w:val="auto"/>
        </w:rPr>
      </w:pPr>
      <w:r>
        <w:rPr>
          <w:rFonts w:ascii="Times New Roman" w:cs="Times New Roman" w:eastAsia="Times New Roman" w:hAnsi="Times New Roman"/>
          <w:sz w:val="18"/>
          <w:szCs w:val="18"/>
          <w:color w:val="auto"/>
        </w:rPr>
        <w:t>The beginning and ending cash and cash equivalents and restricted cash reported within our consolidated statement of cash flows included restricted cash amounts as follows (amounts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680" w:type="dxa"/>
            <w:vAlign w:val="bottom"/>
            <w:gridSpan w:val="8"/>
          </w:tcPr>
          <w:p>
            <w:pPr>
              <w:ind w:left="420"/>
              <w:spacing w:after="0"/>
              <w:rPr>
                <w:sz w:val="20"/>
                <w:szCs w:val="20"/>
                <w:color w:val="auto"/>
              </w:rPr>
            </w:pPr>
            <w:r>
              <w:rPr>
                <w:rFonts w:ascii="Times New Roman" w:cs="Times New Roman" w:eastAsia="Times New Roman" w:hAnsi="Times New Roman"/>
                <w:sz w:val="14"/>
                <w:szCs w:val="14"/>
                <w:b w:val="1"/>
                <w:bCs w:val="1"/>
                <w:color w:val="auto"/>
              </w:rPr>
              <w:t>At December 31,</w:t>
            </w:r>
          </w:p>
        </w:tc>
      </w:tr>
      <w:tr>
        <w:trPr>
          <w:trHeight w:val="142"/>
        </w:trPr>
        <w:tc>
          <w:tcPr>
            <w:tcW w:w="17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restricted cash</w:t>
            </w:r>
          </w:p>
        </w:tc>
        <w:tc>
          <w:tcPr>
            <w:tcW w:w="3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7</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3,569</w:t>
            </w:r>
          </w:p>
        </w:tc>
        <w:tc>
          <w:tcPr>
            <w:tcW w:w="1720" w:type="dxa"/>
            <w:vAlign w:val="bottom"/>
          </w:tcPr>
          <w:p>
            <w:pPr>
              <w:spacing w:after="0"/>
              <w:rPr>
                <w:sz w:val="18"/>
                <w:szCs w:val="18"/>
                <w:color w:val="auto"/>
              </w:rPr>
            </w:pPr>
          </w:p>
        </w:tc>
      </w:tr>
      <w:tr>
        <w:trPr>
          <w:trHeight w:val="228"/>
        </w:trPr>
        <w:tc>
          <w:tcPr>
            <w:tcW w:w="17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Ending restricted cash</w:t>
            </w:r>
          </w:p>
        </w:tc>
        <w:tc>
          <w:tcPr>
            <w:tcW w:w="3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720" w:type="dxa"/>
            <w:vAlign w:val="bottom"/>
          </w:tcPr>
          <w:p>
            <w:pPr>
              <w:spacing w:after="0"/>
              <w:rPr>
                <w:sz w:val="19"/>
                <w:szCs w:val="19"/>
                <w:color w:val="auto"/>
              </w:rPr>
            </w:pPr>
          </w:p>
        </w:tc>
      </w:tr>
      <w:tr>
        <w:trPr>
          <w:trHeight w:val="418"/>
        </w:trPr>
        <w:tc>
          <w:tcPr>
            <w:tcW w:w="17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720" w:type="dxa"/>
            <w:vAlign w:val="bottom"/>
            <w:gridSpan w:val="3"/>
          </w:tcPr>
          <w:p>
            <w:pPr>
              <w:jc w:val="right"/>
              <w:ind w:right="2360"/>
              <w:spacing w:after="0"/>
              <w:rPr>
                <w:sz w:val="20"/>
                <w:szCs w:val="20"/>
                <w:color w:val="auto"/>
              </w:rPr>
            </w:pPr>
            <w:r>
              <w:rPr>
                <w:rFonts w:ascii="Times New Roman" w:cs="Times New Roman" w:eastAsia="Times New Roman" w:hAnsi="Times New Roman"/>
                <w:sz w:val="18"/>
                <w:szCs w:val="18"/>
                <w:color w:val="auto"/>
              </w:rPr>
              <w:t>F-59</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5" w:name="page146"/>
    <w:bookmarkEnd w:id="14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Supplemental Cash Flow Information (Continued)</w:t>
      </w:r>
    </w:p>
    <w:p>
      <w:pPr>
        <w:spacing w:after="0" w:line="227" w:lineRule="exact"/>
        <w:rPr>
          <w:sz w:val="20"/>
          <w:szCs w:val="20"/>
          <w:color w:val="auto"/>
        </w:rPr>
      </w:pPr>
    </w:p>
    <w:p>
      <w:pPr>
        <w:ind w:right="120" w:firstLine="351"/>
        <w:spacing w:after="0" w:line="339" w:lineRule="auto"/>
        <w:rPr>
          <w:sz w:val="20"/>
          <w:szCs w:val="20"/>
          <w:color w:val="auto"/>
        </w:rPr>
      </w:pPr>
      <w:r>
        <w:rPr>
          <w:rFonts w:ascii="Times New Roman" w:cs="Times New Roman" w:eastAsia="Times New Roman" w:hAnsi="Times New Roman"/>
          <w:sz w:val="16"/>
          <w:szCs w:val="16"/>
          <w:color w:val="auto"/>
        </w:rPr>
        <w:t>For the year ended December 31, 2016, we had non-cash purchase price consideration of $89 million related to vested and unvested stock options and awards that were assumed and replaced with Activision Blizzard equity or deferred cash awards in the King Acquisition. Refer to Note 23 for further discussion.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Commitments and Contingencies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Obligations</w:t>
      </w:r>
    </w:p>
    <w:p>
      <w:pPr>
        <w:spacing w:after="0" w:line="229"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In the normal course of business, we enter into contractual arrangements with third parties for non-cancelable operating lease agreements for our offices, for the development of products and for the rights to intellectual property. Under these agreements, we commit to provide specified payments to a lessor, developer or intellectual property holder, as the case may be, based upon contractual arrangements. The payments to third-party developers are generally conditioned upon the achievement by the developers of contractually specified development milestones. Further, these payments to third-party developers and intellectual property holders typically are deemed to be advances and, as such, are recoupable against future royalties earned by the developer or intellectual property holder based on sales of the related game. Additionally, in connection with certain intellectual property rights, acquisitions and development agreements, we commit to spend specified amounts for marketing support for the game(s) which is (are) to be developed or in which the intellectual property will be utilized. Assuming all contractual provisions are met, the total future minimum commitments for these and other contractual arrangements in place at December 31, 2018, are scheduled to be paid as follows (amounts in millions):</w:t>
      </w:r>
    </w:p>
    <w:p>
      <w:pPr>
        <w:spacing w:after="0" w:line="249"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7"/>
          </w:tcPr>
          <w:p>
            <w:pPr>
              <w:jc w:val="right"/>
              <w:ind w:right="818"/>
              <w:spacing w:after="0"/>
              <w:rPr>
                <w:sz w:val="20"/>
                <w:szCs w:val="20"/>
                <w:color w:val="auto"/>
              </w:rPr>
            </w:pPr>
            <w:r>
              <w:rPr>
                <w:rFonts w:ascii="Times New Roman" w:cs="Times New Roman" w:eastAsia="Times New Roman" w:hAnsi="Times New Roman"/>
                <w:sz w:val="14"/>
                <w:szCs w:val="14"/>
                <w:b w:val="1"/>
                <w:bCs w:val="1"/>
                <w:color w:val="auto"/>
              </w:rPr>
              <w:t>Contractual Obligations(1)</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8"/>
              </w:rPr>
              <w:t>Facility and</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ind w:right="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Developer and</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ind w:right="18"/>
              <w:spacing w:after="0" w:line="125" w:lineRule="exact"/>
              <w:rPr>
                <w:sz w:val="20"/>
                <w:szCs w:val="20"/>
                <w:color w:val="auto"/>
              </w:rPr>
            </w:pPr>
            <w:r>
              <w:rPr>
                <w:rFonts w:ascii="Times New Roman" w:cs="Times New Roman" w:eastAsia="Times New Roman" w:hAnsi="Times New Roman"/>
                <w:sz w:val="14"/>
                <w:szCs w:val="14"/>
                <w:b w:val="1"/>
                <w:bCs w:val="1"/>
                <w:color w:val="auto"/>
                <w:w w:val="95"/>
              </w:rPr>
              <w:t>Long-Term</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w w:val="95"/>
              </w:rPr>
              <w:t>Equipment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Intellectual</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Debt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5"/>
              </w:rPr>
              <w:t>Leases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Properties</w:t>
            </w:r>
          </w:p>
        </w:tc>
        <w:tc>
          <w:tcPr>
            <w:tcW w:w="1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Marketing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5"/>
              </w:rPr>
              <w:t>Obligations(2)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years ending December 31,</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2019</w:t>
            </w:r>
          </w:p>
        </w:tc>
        <w:tc>
          <w:tcPr>
            <w:tcW w:w="20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00" w:type="dxa"/>
            <w:vAlign w:val="bottom"/>
            <w:gridSpan w:val="2"/>
          </w:tcPr>
          <w:p>
            <w:pPr>
              <w:jc w:val="right"/>
              <w:ind w:right="18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2020</w:t>
            </w:r>
          </w:p>
        </w:tc>
        <w:tc>
          <w:tcPr>
            <w:tcW w:w="2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2021</w:t>
            </w: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2022</w:t>
            </w:r>
          </w:p>
        </w:tc>
        <w:tc>
          <w:tcPr>
            <w:tcW w:w="2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20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5" w:lineRule="exact"/>
        <w:rPr>
          <w:sz w:val="20"/>
          <w:szCs w:val="20"/>
          <w:color w:val="auto"/>
        </w:rPr>
      </w:pPr>
    </w:p>
    <w:p>
      <w:pPr>
        <w:ind w:left="1680" w:right="20" w:hanging="531"/>
        <w:spacing w:after="0" w:line="258" w:lineRule="auto"/>
        <w:tabs>
          <w:tab w:leader="none" w:pos="16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omitted uncertain income tax liabilities from this table due to the inherent uncertainty regarding the timing of the potential issue resolution of the underlying matters. Specifically, either (a) the underlying positions have not been fully developed under audit to quantify at this time or, (b) the years relating to the matters for certain jurisdictions are not currently under audit. At December 31, 2018, we had $637 million of net unrecognized tax benefits included "Other liabilities," in our consolidated balance sheet.</w:t>
      </w:r>
    </w:p>
    <w:p>
      <w:pPr>
        <w:spacing w:after="0" w:line="190" w:lineRule="exact"/>
        <w:rPr>
          <w:sz w:val="20"/>
          <w:szCs w:val="20"/>
          <w:color w:val="auto"/>
        </w:rPr>
      </w:pPr>
    </w:p>
    <w:p>
      <w:pPr>
        <w:ind w:left="1680" w:right="240"/>
        <w:spacing w:after="0" w:line="275" w:lineRule="auto"/>
        <w:rPr>
          <w:sz w:val="20"/>
          <w:szCs w:val="20"/>
          <w:color w:val="auto"/>
        </w:rPr>
      </w:pPr>
      <w:r>
        <w:rPr>
          <w:rFonts w:ascii="Times New Roman" w:cs="Times New Roman" w:eastAsia="Times New Roman" w:hAnsi="Times New Roman"/>
          <w:sz w:val="18"/>
          <w:szCs w:val="18"/>
          <w:color w:val="auto"/>
        </w:rPr>
        <w:t>Additionally, as a result of the U.S. Tax Reform Act, we recorded a liability at December 31, 2017, of $467 million which reflected our estimated Transition Tax net payments. In the fourth quarter of</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6" w:name="page147"/>
    <w:bookmarkEnd w:id="14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Commitments and Contingencies (Continued)</w:t>
      </w:r>
    </w:p>
    <w:p>
      <w:pPr>
        <w:spacing w:after="0" w:line="227" w:lineRule="exact"/>
        <w:rPr>
          <w:sz w:val="20"/>
          <w:szCs w:val="20"/>
          <w:color w:val="auto"/>
        </w:rPr>
      </w:pPr>
    </w:p>
    <w:p>
      <w:pPr>
        <w:ind w:left="1680"/>
        <w:spacing w:after="0" w:line="262" w:lineRule="auto"/>
        <w:rPr>
          <w:sz w:val="20"/>
          <w:szCs w:val="20"/>
          <w:color w:val="auto"/>
        </w:rPr>
      </w:pPr>
      <w:r>
        <w:rPr>
          <w:rFonts w:ascii="Times New Roman" w:cs="Times New Roman" w:eastAsia="Times New Roman" w:hAnsi="Times New Roman"/>
          <w:sz w:val="18"/>
          <w:szCs w:val="18"/>
          <w:color w:val="auto"/>
        </w:rPr>
        <w:t>2018, we completed our analysis of the effects of the U.S. Tax Reform Act and adjusted the net Transition Tax liability with consideration of tax attributes utilization to be $198 million. The Transition Tax liability is payable over and up to an eight-year period and is not reflected in our Contractual Obligations table above.</w:t>
      </w:r>
    </w:p>
    <w:p>
      <w:pPr>
        <w:spacing w:after="0" w:line="200" w:lineRule="exact"/>
        <w:rPr>
          <w:sz w:val="20"/>
          <w:szCs w:val="20"/>
          <w:color w:val="auto"/>
        </w:rPr>
      </w:pPr>
    </w:p>
    <w:p>
      <w:pPr>
        <w:ind w:left="1680" w:right="140" w:hanging="531"/>
        <w:spacing w:after="0" w:line="258" w:lineRule="auto"/>
        <w:tabs>
          <w:tab w:leader="none" w:pos="16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obligations represent our obligations related to the contractual principal repayments and interest payments under the Notes, which are subject to fixed interest rates, as of December 31, 2018. There was no outstanding balance under our New Revolver as of December 31, 2018. We have calculated the expected interest obligation based on the outstanding principal balance and interest rate applicable at December 31, 2018. Refer to Note 13 for additional information on our debt obligations.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firstLine="351"/>
        <w:spacing w:after="0" w:line="293" w:lineRule="auto"/>
        <w:rPr>
          <w:sz w:val="20"/>
          <w:szCs w:val="20"/>
          <w:color w:val="auto"/>
        </w:rPr>
      </w:pPr>
      <w:r>
        <w:rPr>
          <w:rFonts w:ascii="Times New Roman" w:cs="Times New Roman" w:eastAsia="Times New Roman" w:hAnsi="Times New Roman"/>
          <w:sz w:val="16"/>
          <w:szCs w:val="16"/>
          <w:color w:val="auto"/>
        </w:rPr>
        <w:t>In December 2018, we received a decision from the STA informing us of an audit assessment to a Swedish subsidiary of King for the 2016 tax year. The STA decision described the basis for issuing a transfer pricing assessment of approximately 3.5kr billion (approximately $400 million) primarily concerning an alleged intercompany asset transfer. We disagree with the STA's decision and intend to vigorously contest it. We plan to pursue all remedies available to us to successfully resolve the matter, including administrative remedies with the STA, multilateral procedures with other relevant taxing jurisdictions, and, if necessary, judicial remedies. Further, we may be required to pay the full assessment to the STA in advance of the final resolution of the matter. While we believe our tax provisions at December 31, 2018, are appropriate, until such time as this matter is ultimately resolved we could be subject to significant additional tax liabilities.</w:t>
      </w:r>
    </w:p>
    <w:p>
      <w:pPr>
        <w:spacing w:after="0" w:line="165" w:lineRule="exact"/>
        <w:rPr>
          <w:sz w:val="20"/>
          <w:szCs w:val="20"/>
          <w:color w:val="auto"/>
        </w:rPr>
      </w:pPr>
    </w:p>
    <w:p>
      <w:pPr>
        <w:ind w:right="160" w:firstLine="351"/>
        <w:spacing w:after="0" w:line="254" w:lineRule="auto"/>
        <w:rPr>
          <w:sz w:val="20"/>
          <w:szCs w:val="20"/>
          <w:color w:val="auto"/>
        </w:rPr>
      </w:pPr>
      <w:r>
        <w:rPr>
          <w:rFonts w:ascii="Times New Roman" w:cs="Times New Roman" w:eastAsia="Times New Roman" w:hAnsi="Times New Roman"/>
          <w:sz w:val="18"/>
          <w:szCs w:val="18"/>
          <w:color w:val="auto"/>
        </w:rPr>
        <w:t>In December 2017, we received a Notice of Reassessment from the FTA related to transfer pricing for intercompany transactions involving one of our French subsidiaries for the 2011 through 2013 tax years. The total assessment, including penalties and interest, was approximately €571 million (approximately $652 million). We disagree with the proposed assessment and intend to vigorously contest it. We plan to pursue all remedies available to us to successfully resolve this matter, including administrative remedies with the FTA and, if necessary, judicial remedies. While we believe our tax provisions at December 31, 2018, are appropriate, until such time as this matter is ultimately resolved we could be subject to significant additional tax liabilities. In addition to the risk of additional tax for the 2011 through 2013 tax years, if litigation regarding this matter were adversely determined and/or if the FTA were to seek adjustments of a similar nature for subsequent years, we could be subject to significant additional tax liabilities.</w:t>
      </w:r>
    </w:p>
    <w:p>
      <w:pPr>
        <w:spacing w:after="0" w:line="195"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In addition, we are party to routine claims, suits, investigations, audits, and other proceedings arising in the ordinary course of business, including with respect to intellectual property, competition and antitrust matters, regulatory matters, tax matters, privacy matters, labor and employment matters, compliance matters, unclaimed property matters, liability and personal injury claims, product damage claims, collection matters, and/or commercial claims. In the opinion of management, after consultation with legal counsel, such routine claims and lawsuits are not significant and we do not expect them to have a material adverse effect on our business, financial condition, results of operations, or liquidity.</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47" w:name="page148"/>
    <w:bookmarkEnd w:id="14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Commitments and Contingencies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29" w:lineRule="exact"/>
        <w:rPr>
          <w:sz w:val="20"/>
          <w:szCs w:val="20"/>
          <w:color w:val="auto"/>
        </w:rPr>
      </w:pPr>
    </w:p>
    <w:p>
      <w:pPr>
        <w:ind w:right="420" w:firstLine="341"/>
        <w:spacing w:after="0" w:line="275" w:lineRule="auto"/>
        <w:rPr>
          <w:sz w:val="20"/>
          <w:szCs w:val="20"/>
          <w:color w:val="auto"/>
        </w:rPr>
      </w:pPr>
      <w:r>
        <w:rPr>
          <w:rFonts w:ascii="Times New Roman" w:cs="Times New Roman" w:eastAsia="Times New Roman" w:hAnsi="Times New Roman"/>
          <w:sz w:val="18"/>
          <w:szCs w:val="18"/>
          <w:color w:val="auto"/>
        </w:rPr>
        <w:t>As described in Note 13, a portion of our New Revolver can be used to issue letters of credit of up to $50 million, subject to the availability of the New Revolver. At December 31, 2018, we did not have any letters of credit issued or outstanding under the New Revolver.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Acquisitions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King Digital Entertainment</w:t>
      </w:r>
    </w:p>
    <w:p>
      <w:pPr>
        <w:spacing w:after="0" w:line="229"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On February 23, 2016, we completed the King Acquisition, purchasing all of King's outstanding shares. As a result, King became a wholly-owned subsidiary of Activision Blizzard. King is a leading global developer and publisher of interactive entertainment content and services, primarily on mobile platforms, such as Android and iOS, and on online and social platforms, such as Facebook and the king.com websites. King's results of operations since the King Closing Date are included in our consolidated financial statements.</w:t>
      </w:r>
    </w:p>
    <w:p>
      <w:pPr>
        <w:spacing w:after="0" w:line="190" w:lineRule="exact"/>
        <w:rPr>
          <w:sz w:val="20"/>
          <w:szCs w:val="20"/>
          <w:color w:val="auto"/>
        </w:rPr>
      </w:pPr>
    </w:p>
    <w:p>
      <w:pPr>
        <w:jc w:val="both"/>
        <w:ind w:right="80" w:firstLine="348"/>
        <w:spacing w:after="0" w:line="275" w:lineRule="auto"/>
        <w:rPr>
          <w:sz w:val="20"/>
          <w:szCs w:val="20"/>
          <w:color w:val="auto"/>
        </w:rPr>
      </w:pPr>
      <w:r>
        <w:rPr>
          <w:rFonts w:ascii="Times New Roman" w:cs="Times New Roman" w:eastAsia="Times New Roman" w:hAnsi="Times New Roman"/>
          <w:sz w:val="18"/>
          <w:szCs w:val="18"/>
          <w:color w:val="auto"/>
        </w:rPr>
        <w:t>We made this acquisition because we believed that the addition of King's highly-complementary mobile business positioned the Company as a global leader in interactive entertainment across the console, PC, and mobile platforms, and aligned us for future growth.</w:t>
      </w:r>
    </w:p>
    <w:p>
      <w:pPr>
        <w:spacing w:after="0" w:line="174" w:lineRule="exact"/>
        <w:rPr>
          <w:sz w:val="20"/>
          <w:szCs w:val="20"/>
          <w:color w:val="auto"/>
        </w:rPr>
      </w:pPr>
    </w:p>
    <w:p>
      <w:pPr>
        <w:jc w:val="both"/>
        <w:ind w:right="100" w:firstLine="348"/>
        <w:spacing w:after="0" w:line="262" w:lineRule="auto"/>
        <w:rPr>
          <w:sz w:val="20"/>
          <w:szCs w:val="20"/>
          <w:color w:val="auto"/>
        </w:rPr>
      </w:pPr>
      <w:r>
        <w:rPr>
          <w:rFonts w:ascii="Times New Roman" w:cs="Times New Roman" w:eastAsia="Times New Roman" w:hAnsi="Times New Roman"/>
          <w:sz w:val="18"/>
          <w:szCs w:val="18"/>
          <w:color w:val="auto"/>
        </w:rPr>
        <w:t>The aggregate purchase price of the King Acquisition was approximately $5.8 billion, which was paid on the King Closing Date and funded primarily with $3.6 billion of existing cash and $2.2 billion of cash from new debt issued by the Company. We identified and recorded assets acquired and liabilities assumed at their estimated fair values at the King Closing Date, and allocated the remaining value of approximately $2.7 billion to goodwill.</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8" w:name="page149"/>
    <w:bookmarkEnd w:id="14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Acquisitions (Continued)</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final purchase price allocation was as follows (in millions):</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February 23,</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Estimated</w:t>
            </w:r>
          </w:p>
        </w:tc>
      </w:tr>
      <w:tr>
        <w:trPr>
          <w:trHeight w:val="165"/>
        </w:trPr>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useful lives</w:t>
            </w: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Tangible assets and liabilities assumed: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1,151</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2 - 7 years</w:t>
            </w:r>
          </w:p>
        </w:tc>
      </w:tr>
      <w:tr>
        <w:trPr>
          <w:trHeight w:val="216"/>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820" w:type="dxa"/>
            <w:vAlign w:val="bottom"/>
          </w:tcPr>
          <w:p>
            <w:pPr>
              <w:spacing w:after="0"/>
              <w:rPr>
                <w:sz w:val="18"/>
                <w:szCs w:val="18"/>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w:t>
            </w:r>
          </w:p>
        </w:tc>
        <w:tc>
          <w:tcPr>
            <w:tcW w:w="820" w:type="dxa"/>
            <w:vAlign w:val="bottom"/>
            <w:shd w:val="clear" w:color="auto" w:fill="CCEEFF"/>
          </w:tcPr>
          <w:p>
            <w:pPr>
              <w:spacing w:after="0"/>
              <w:rPr>
                <w:sz w:val="18"/>
                <w:szCs w:val="18"/>
                <w:color w:val="auto"/>
              </w:rPr>
            </w:pPr>
          </w:p>
        </w:tc>
      </w:tr>
      <w:tr>
        <w:trPr>
          <w:trHeight w:val="216"/>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820" w:type="dxa"/>
            <w:vAlign w:val="bottom"/>
          </w:tcPr>
          <w:p>
            <w:pPr>
              <w:spacing w:after="0"/>
              <w:rPr>
                <w:sz w:val="18"/>
                <w:szCs w:val="18"/>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82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Internally-developed franchises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845</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3 - 5 years</w:t>
            </w:r>
          </w:p>
        </w:tc>
      </w:tr>
      <w:tr>
        <w:trPr>
          <w:trHeight w:val="216"/>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base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609</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 years</w:t>
            </w:r>
          </w:p>
        </w:tc>
      </w:tr>
      <w:tr>
        <w:trPr>
          <w:trHeight w:val="216"/>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Developed software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3 - 4 years</w:t>
            </w:r>
          </w:p>
        </w:tc>
      </w:tr>
      <w:tr>
        <w:trPr>
          <w:trHeight w:val="216"/>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 years</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2,675</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 purchase price</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firstLine="351"/>
        <w:spacing w:after="0" w:line="275" w:lineRule="auto"/>
        <w:rPr>
          <w:sz w:val="20"/>
          <w:szCs w:val="20"/>
          <w:color w:val="auto"/>
        </w:rPr>
      </w:pPr>
      <w:r>
        <w:rPr>
          <w:rFonts w:ascii="Times New Roman" w:cs="Times New Roman" w:eastAsia="Times New Roman" w:hAnsi="Times New Roman"/>
          <w:sz w:val="18"/>
          <w:szCs w:val="18"/>
          <w:color w:val="auto"/>
        </w:rPr>
        <w:t>During the year ended December 31, 2016, the Company incurred $38 million of expenses related to the King Acquisition, which are included within "General and administrative" in the consolidated statements of operations.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2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In connection with the King Acquisition, a majority of the outstanding King options and other equity awards that were unvested as of the King Closing Date were converted into equivalent options and awards with respect to shares of the Company's common stock, using an equity award exchange ratio calculated in accordance with the transaction agreement. As a result, replacement options and other equity awards of 10 million and 3 million, respectively, were issued. The portion of the fair value related to pre-combination services of $76 million was included in the purchase price.</w:t>
      </w:r>
    </w:p>
    <w:p>
      <w:pPr>
        <w:spacing w:after="0" w:line="190" w:lineRule="exact"/>
        <w:rPr>
          <w:sz w:val="20"/>
          <w:szCs w:val="20"/>
          <w:color w:val="auto"/>
        </w:rPr>
      </w:pPr>
    </w:p>
    <w:p>
      <w:pPr>
        <w:jc w:val="both"/>
        <w:ind w:right="260" w:firstLine="348"/>
        <w:spacing w:after="0" w:line="262" w:lineRule="auto"/>
        <w:rPr>
          <w:sz w:val="20"/>
          <w:szCs w:val="20"/>
          <w:color w:val="auto"/>
        </w:rPr>
      </w:pPr>
      <w:r>
        <w:rPr>
          <w:rFonts w:ascii="Times New Roman" w:cs="Times New Roman" w:eastAsia="Times New Roman" w:hAnsi="Times New Roman"/>
          <w:sz w:val="18"/>
          <w:szCs w:val="18"/>
          <w:color w:val="auto"/>
        </w:rPr>
        <w:t>The remaining portion of outstanding unvested awards that were assumed were replaced with deferred cash awards. The cash proceeds were placed in an escrow-like account with the cash releases to occur based on the awards' original vesting schedule upon future service being rendered. The portion of the fair value related to pre-combination services of $22 million was included in the purchase price.</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Identifiable Intangible Assets Acquired and Goodwill</w:t>
      </w:r>
    </w:p>
    <w:p>
      <w:pPr>
        <w:spacing w:after="0" w:line="227" w:lineRule="exact"/>
        <w:rPr>
          <w:sz w:val="20"/>
          <w:szCs w:val="20"/>
          <w:color w:val="auto"/>
        </w:rPr>
      </w:pPr>
    </w:p>
    <w:p>
      <w:pPr>
        <w:ind w:right="80" w:firstLine="348"/>
        <w:spacing w:after="0" w:line="275" w:lineRule="auto"/>
        <w:rPr>
          <w:sz w:val="20"/>
          <w:szCs w:val="20"/>
          <w:color w:val="auto"/>
        </w:rPr>
      </w:pPr>
      <w:r>
        <w:rPr>
          <w:rFonts w:ascii="Times New Roman" w:cs="Times New Roman" w:eastAsia="Times New Roman" w:hAnsi="Times New Roman"/>
          <w:sz w:val="18"/>
          <w:szCs w:val="18"/>
          <w:color w:val="auto"/>
        </w:rPr>
        <w:t>The internally-developed franchises, customer base, developed software, and trade name intangible assets from the acquisition of King will be amortized to "Cost of revenues—subscription, licensing, and</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49" w:name="page150"/>
    <w:bookmarkEnd w:id="14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Acquisitions (Continued)</w:t>
      </w:r>
    </w:p>
    <w:p>
      <w:pPr>
        <w:spacing w:after="0" w:line="22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other revenues—Software royalties, amortization, and intellectual property licenses," "Sales and marketing," "Cost of revenues—subscription, licensing, and other revenues—Software royalties, amortization, and intellectual property licenses," and "General and administrative," respectively. The intangible assets will be amortized over their estimated useful lives in proportion to the economic benefits received.</w:t>
      </w:r>
    </w:p>
    <w:p>
      <w:pPr>
        <w:spacing w:after="0" w:line="186" w:lineRule="exact"/>
        <w:rPr>
          <w:sz w:val="20"/>
          <w:szCs w:val="20"/>
          <w:color w:val="auto"/>
        </w:rPr>
      </w:pPr>
    </w:p>
    <w:p>
      <w:pPr>
        <w:ind w:right="100" w:firstLine="348"/>
        <w:spacing w:after="0" w:line="262" w:lineRule="auto"/>
        <w:rPr>
          <w:sz w:val="20"/>
          <w:szCs w:val="20"/>
          <w:color w:val="auto"/>
        </w:rPr>
      </w:pPr>
      <w:r>
        <w:rPr>
          <w:rFonts w:ascii="Times New Roman" w:cs="Times New Roman" w:eastAsia="Times New Roman" w:hAnsi="Times New Roman"/>
          <w:sz w:val="18"/>
          <w:szCs w:val="18"/>
          <w:color w:val="auto"/>
        </w:rPr>
        <w:t>The $2.7 billion of goodwill recognized is primarily attributable to the benefits the Company expects to derive from accelerated expansion as an interactive entertainment provider in the mobile sector, future franchises, and technology, as well as the management team's proven ability to create future games and franchises. Approximately $464 million of the goodwill is expected to be deductible for tax purposes in the U.S.</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King Net Revenue and Earnings</w:t>
      </w:r>
    </w:p>
    <w:p>
      <w:pPr>
        <w:spacing w:after="0" w:line="227" w:lineRule="exact"/>
        <w:rPr>
          <w:sz w:val="20"/>
          <w:szCs w:val="20"/>
          <w:color w:val="auto"/>
        </w:rPr>
      </w:pPr>
    </w:p>
    <w:p>
      <w:pPr>
        <w:jc w:val="both"/>
        <w:ind w:right="260" w:firstLine="348"/>
        <w:spacing w:after="0" w:line="310" w:lineRule="auto"/>
        <w:rPr>
          <w:sz w:val="20"/>
          <w:szCs w:val="20"/>
          <w:color w:val="auto"/>
        </w:rPr>
      </w:pPr>
      <w:r>
        <w:rPr>
          <w:rFonts w:ascii="Times New Roman" w:cs="Times New Roman" w:eastAsia="Times New Roman" w:hAnsi="Times New Roman"/>
          <w:sz w:val="16"/>
          <w:szCs w:val="16"/>
          <w:color w:val="auto"/>
        </w:rPr>
        <w:t>The amount of net revenue and earnings attributable to King in the Company's consolidated statement of operations during the year ended December 31, 2016, the period of the King Acquisition, are included in the table below. The amounts presented represent the net revenues and earnings after adjustments for purchase price accounting, inclusive of amortization of intangible assets, share-based payments, and deferrals of revenues and related cost of revenues.</w:t>
      </w:r>
    </w:p>
    <w:p>
      <w:pPr>
        <w:spacing w:after="0" w:line="13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For the Year Ended</w:t>
            </w:r>
          </w:p>
        </w:tc>
      </w:tr>
      <w:tr>
        <w:trPr>
          <w:trHeight w:val="165"/>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5"/>
              </w:rPr>
              <w:t>December 31, 2016</w:t>
            </w:r>
          </w:p>
        </w:tc>
        <w:tc>
          <w:tcPr>
            <w:tcW w:w="160" w:type="dxa"/>
            <w:vAlign w:val="bottom"/>
          </w:tcPr>
          <w:p>
            <w:pPr>
              <w:spacing w:after="0"/>
              <w:rPr>
                <w:sz w:val="14"/>
                <w:szCs w:val="14"/>
                <w:color w:val="auto"/>
              </w:rPr>
            </w:pPr>
          </w:p>
        </w:tc>
      </w:tr>
      <w:tr>
        <w:trPr>
          <w:trHeight w:val="21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1,523</w:t>
            </w:r>
          </w:p>
        </w:tc>
      </w:tr>
      <w:tr>
        <w:trPr>
          <w:trHeight w:val="22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r>
    </w:tbl>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Pro Forma Financial Information</w:t>
      </w:r>
    </w:p>
    <w:p>
      <w:pPr>
        <w:spacing w:after="0" w:line="227" w:lineRule="exact"/>
        <w:rPr>
          <w:sz w:val="20"/>
          <w:szCs w:val="20"/>
          <w:color w:val="auto"/>
        </w:rPr>
      </w:pPr>
    </w:p>
    <w:p>
      <w:pPr>
        <w:ind w:right="160" w:firstLine="348"/>
        <w:spacing w:after="0" w:line="255" w:lineRule="auto"/>
        <w:rPr>
          <w:sz w:val="20"/>
          <w:szCs w:val="20"/>
          <w:color w:val="auto"/>
        </w:rPr>
      </w:pPr>
      <w:r>
        <w:rPr>
          <w:rFonts w:ascii="Times New Roman" w:cs="Times New Roman" w:eastAsia="Times New Roman" w:hAnsi="Times New Roman"/>
          <w:sz w:val="18"/>
          <w:szCs w:val="18"/>
          <w:color w:val="auto"/>
        </w:rPr>
        <w:t>The unaudited financial information in the table below summarizes the combined results of operations of the Company and King, on a pro forma basis, as though the acquisition had occurred on January 1, 2015. The 2016 pro forma financial information presented includes the effects of adjustments related to amortization charges from acquired intangible assets, employee compensation from replacement equity awards issued in the King Acquisition and the profit sharing bonus plan established as part of the King Acquisition, and interest expense from the new debt issued in connection with the King Acquisition, among other adjustments. We also adjusted for Activision Blizzard and King non-recurring acquisition-related costs of approximately $74 million incurred for the year ended December 31, 2016.</w:t>
      </w:r>
    </w:p>
    <w:p>
      <w:pPr>
        <w:spacing w:after="0" w:line="193" w:lineRule="exact"/>
        <w:rPr>
          <w:sz w:val="20"/>
          <w:szCs w:val="20"/>
          <w:color w:val="auto"/>
        </w:rPr>
      </w:pPr>
    </w:p>
    <w:p>
      <w:pPr>
        <w:ind w:right="500" w:firstLine="348"/>
        <w:spacing w:after="0" w:line="275" w:lineRule="auto"/>
        <w:rPr>
          <w:sz w:val="20"/>
          <w:szCs w:val="20"/>
          <w:color w:val="auto"/>
        </w:rPr>
      </w:pPr>
      <w:r>
        <w:rPr>
          <w:rFonts w:ascii="Times New Roman" w:cs="Times New Roman" w:eastAsia="Times New Roman" w:hAnsi="Times New Roman"/>
          <w:sz w:val="18"/>
          <w:szCs w:val="18"/>
          <w:color w:val="auto"/>
        </w:rPr>
        <w:t>The unaudited pro forma financial information as presented below is for informational purposes only and is not necessarily indicative of the results of operations that would have been achieved if the</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50" w:name="page151"/>
    <w:bookmarkEnd w:id="15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Acquisitions (Continued)</w:t>
      </w:r>
    </w:p>
    <w:p>
      <w:pPr>
        <w:spacing w:after="0" w:line="22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King Acquisition, and any borrowings undertaken to finance the King Acquisition, had taken place at the beginning of 2015, nor does it intend to be a projection of future results.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For the Year Ended</w:t>
            </w:r>
          </w:p>
        </w:tc>
        <w:tc>
          <w:tcPr>
            <w:tcW w:w="0" w:type="dxa"/>
            <w:vAlign w:val="bottom"/>
          </w:tcPr>
          <w:p>
            <w:pPr>
              <w:spacing w:after="0"/>
              <w:rPr>
                <w:sz w:val="1"/>
                <w:szCs w:val="1"/>
                <w:color w:val="auto"/>
              </w:rPr>
            </w:pPr>
          </w:p>
        </w:tc>
      </w:tr>
      <w:tr>
        <w:trPr>
          <w:trHeight w:val="165"/>
        </w:trPr>
        <w:tc>
          <w:tcPr>
            <w:tcW w:w="570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42"/>
        </w:trPr>
        <w:tc>
          <w:tcPr>
            <w:tcW w:w="5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5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6,888</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418"/>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24. Quarterly Financial Information (Unaudited)</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Quarters Ended</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7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0"/>
                <w:szCs w:val="10"/>
                <w:color w:val="auto"/>
              </w:rPr>
            </w:pPr>
          </w:p>
        </w:tc>
        <w:tc>
          <w:tcPr>
            <w:tcW w:w="700" w:type="dxa"/>
            <w:vAlign w:val="bottom"/>
            <w:gridSpan w:val="4"/>
          </w:tcPr>
          <w:p>
            <w:pPr>
              <w:jc w:val="center"/>
              <w:ind w:right="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100" w:type="dxa"/>
            <w:vAlign w:val="bottom"/>
          </w:tcPr>
          <w:p>
            <w:pPr>
              <w:spacing w:after="0"/>
              <w:rPr>
                <w:sz w:val="10"/>
                <w:szCs w:val="10"/>
                <w:color w:val="auto"/>
              </w:rPr>
            </w:pPr>
          </w:p>
        </w:tc>
        <w:tc>
          <w:tcPr>
            <w:tcW w:w="7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40" w:type="dxa"/>
            <w:vAlign w:val="bottom"/>
            <w:gridSpan w:val="12"/>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(Amounts in millions, except per share data)</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1,641</w:t>
            </w:r>
          </w:p>
        </w:tc>
        <w:tc>
          <w:tcPr>
            <w:tcW w:w="34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838"/>
        </w:trPr>
        <w:tc>
          <w:tcPr>
            <w:tcW w:w="17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Quarters Ended</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7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0"/>
                <w:szCs w:val="10"/>
                <w:color w:val="auto"/>
              </w:rPr>
            </w:pPr>
          </w:p>
        </w:tc>
        <w:tc>
          <w:tcPr>
            <w:tcW w:w="700" w:type="dxa"/>
            <w:vAlign w:val="bottom"/>
            <w:gridSpan w:val="4"/>
          </w:tcPr>
          <w:p>
            <w:pPr>
              <w:jc w:val="center"/>
              <w:ind w:right="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100" w:type="dxa"/>
            <w:vAlign w:val="bottom"/>
          </w:tcPr>
          <w:p>
            <w:pPr>
              <w:spacing w:after="0"/>
              <w:rPr>
                <w:sz w:val="10"/>
                <w:szCs w:val="10"/>
                <w:color w:val="auto"/>
              </w:rPr>
            </w:pPr>
          </w:p>
        </w:tc>
        <w:tc>
          <w:tcPr>
            <w:tcW w:w="7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2"/>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40" w:type="dxa"/>
            <w:vAlign w:val="bottom"/>
            <w:gridSpan w:val="12"/>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(Amounts in millions, except per share data)</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1,631</w:t>
            </w:r>
          </w:p>
        </w:tc>
        <w:tc>
          <w:tcPr>
            <w:tcW w:w="34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Subsequent Events</w:t>
      </w:r>
    </w:p>
    <w:p>
      <w:pPr>
        <w:spacing w:after="0" w:line="225" w:lineRule="exact"/>
        <w:rPr>
          <w:sz w:val="20"/>
          <w:szCs w:val="20"/>
          <w:color w:val="auto"/>
        </w:rPr>
      </w:pPr>
    </w:p>
    <w:p>
      <w:pPr>
        <w:ind w:right="2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Focusing Development Resources and Restructuring Plan: </w:t>
      </w:r>
      <w:r>
        <w:rPr>
          <w:rFonts w:ascii="Times New Roman" w:cs="Times New Roman" w:eastAsia="Times New Roman" w:hAnsi="Times New Roman"/>
          <w:sz w:val="18"/>
          <w:szCs w:val="18"/>
          <w:color w:val="auto"/>
        </w:rPr>
        <w:t>In order to better capitalize on long-term growth opportunities, on February 12, 2019,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committed to a Board-authorized restructuring plan under which the Company plans to refocus its resources on its largest opportunities and to remove unnecessary levels of complexity and duplication from certain parts of the business. More specifically, we intend to:</w:t>
      </w:r>
    </w:p>
    <w:p>
      <w:pPr>
        <w:spacing w:after="0" w:line="197" w:lineRule="exact"/>
        <w:rPr>
          <w:sz w:val="20"/>
          <w:szCs w:val="20"/>
          <w:color w:val="auto"/>
        </w:rPr>
      </w:pPr>
    </w:p>
    <w:p>
      <w:pPr>
        <w:ind w:left="1080" w:right="460" w:hanging="532"/>
        <w:spacing w:after="0" w:line="275"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investment in development for our largest, internally-owned franchises—across upfront releases, in-game content, mobile and geographic expansion;</w:t>
      </w:r>
    </w:p>
    <w:p>
      <w:pPr>
        <w:spacing w:after="0" w:line="1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151" w:name="page152"/>
    <w:bookmarkEnd w:id="15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280" w:hanging="272"/>
        <w:spacing w:after="0"/>
        <w:tabs>
          <w:tab w:leader="none" w:pos="28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 (Continued)</w:t>
      </w:r>
    </w:p>
    <w:p>
      <w:pPr>
        <w:spacing w:after="0" w:line="24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certain non-development and administrative-related costs across our business; and</w:t>
      </w:r>
    </w:p>
    <w:p>
      <w:pPr>
        <w:spacing w:after="0" w:line="252"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our global and regional sales and "go-to-market," partnerships, and sponsorships capabilities across the business, which we believe will enable us to provide better opportunities for talent, and greater expertise and scale on behalf of our business units.</w:t>
      </w:r>
    </w:p>
    <w:p>
      <w:pPr>
        <w:spacing w:after="0" w:line="174"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We expect to incur aggregate pre-tax restructuring charges of approximately $150 million in 2019, related to severance, including, in many cases, above legally required amounts (approximately 65% of the aggregate charge), facilities costs (approximately 20% of the aggregate charge), and asset write-downs and other costs (approximately 15% of the aggregate charge). We expect the majority of these charges to be incurred in the first quarter of 2019, with most of the balance expected to be incurred in the remainder of 2019. The total pre-tax charge associated with the restructuring will be paid almost entirely in cash and the outlays are expected to be incurred throughout 2019.</w:t>
      </w:r>
    </w:p>
    <w:p>
      <w:pPr>
        <w:spacing w:after="0" w:line="1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152" w:name="page153"/>
    <w:bookmarkEnd w:id="15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millions)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Col. B</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Balance at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Col. 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Beginning of</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Col. C</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Col. 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Balance at End</w:t>
            </w:r>
          </w:p>
        </w:tc>
        <w:tc>
          <w:tcPr>
            <w:tcW w:w="0" w:type="dxa"/>
            <w:vAlign w:val="bottom"/>
          </w:tcPr>
          <w:p>
            <w:pPr>
              <w:spacing w:after="0"/>
              <w:rPr>
                <w:sz w:val="1"/>
                <w:szCs w:val="1"/>
                <w:color w:val="auto"/>
              </w:rPr>
            </w:pPr>
          </w:p>
        </w:tc>
      </w:tr>
      <w:tr>
        <w:trPr>
          <w:trHeight w:val="165"/>
        </w:trPr>
        <w:tc>
          <w:tcPr>
            <w:tcW w:w="44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Col. A Description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Additions(A)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3"/>
              </w:rPr>
              <w:t>Deductions(B)</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of 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gridSpan w:val="3"/>
          </w:tcPr>
          <w:p>
            <w:pPr>
              <w:ind w:left="160"/>
              <w:spacing w:after="0" w:line="201" w:lineRule="exact"/>
              <w:rPr>
                <w:sz w:val="20"/>
                <w:szCs w:val="20"/>
                <w:color w:val="auto"/>
              </w:rPr>
            </w:pPr>
            <w:r>
              <w:rPr>
                <w:rFonts w:ascii="Times New Roman" w:cs="Times New Roman" w:eastAsia="Times New Roman" w:hAnsi="Times New Roman"/>
                <w:sz w:val="18"/>
                <w:szCs w:val="18"/>
                <w:color w:val="auto"/>
              </w:rPr>
              <w:t>Allowances for sales returns and price protection and other</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allowances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3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December 31, 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gridSpan w:val="3"/>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Allowances for sales returns and price protection and other</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allowances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3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gridSpan w:val="3"/>
          </w:tcPr>
          <w:p>
            <w:pPr>
              <w:ind w:left="160"/>
              <w:spacing w:after="0" w:line="201" w:lineRule="exact"/>
              <w:rPr>
                <w:sz w:val="20"/>
                <w:szCs w:val="20"/>
                <w:color w:val="auto"/>
              </w:rPr>
            </w:pPr>
            <w:r>
              <w:rPr>
                <w:rFonts w:ascii="Times New Roman" w:cs="Times New Roman" w:eastAsia="Times New Roman" w:hAnsi="Times New Roman"/>
                <w:sz w:val="18"/>
                <w:szCs w:val="18"/>
                <w:color w:val="auto"/>
              </w:rPr>
              <w:t>Allowances for sales returns and price protection and other</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allowances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3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680" w:hanging="531"/>
        <w:spacing w:after="0"/>
        <w:tabs>
          <w:tab w:leader="none" w:pos="16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increases and reversals of allowances for sales returns, price protection, and doubtful accounts due to normal reserving terms.</w:t>
      </w:r>
    </w:p>
    <w:p>
      <w:pPr>
        <w:spacing w:after="0" w:line="252" w:lineRule="exact"/>
        <w:rPr>
          <w:rFonts w:ascii="Times New Roman" w:cs="Times New Roman" w:eastAsia="Times New Roman" w:hAnsi="Times New Roman"/>
          <w:sz w:val="18"/>
          <w:szCs w:val="18"/>
          <w:color w:val="auto"/>
        </w:rPr>
      </w:pPr>
    </w:p>
    <w:p>
      <w:pPr>
        <w:ind w:left="1680" w:right="340" w:hanging="531"/>
        <w:spacing w:after="0" w:line="275" w:lineRule="auto"/>
        <w:tabs>
          <w:tab w:leader="none" w:pos="16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actual write-offs and utilization of allowances for sales returns, price protection and uncollectible accounts receivable, net of recoveries, and foreign currency translation and other adjustments.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3" w:name="page154"/>
    <w:bookmarkEnd w:id="15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7" w:lineRule="exact"/>
        <w:rPr>
          <w:sz w:val="20"/>
          <w:szCs w:val="20"/>
          <w:color w:val="auto"/>
        </w:rPr>
      </w:pPr>
    </w:p>
    <w:p>
      <w:pPr>
        <w:ind w:right="80" w:firstLine="351"/>
        <w:spacing w:after="0" w:line="254" w:lineRule="auto"/>
        <w:rPr>
          <w:sz w:val="20"/>
          <w:szCs w:val="20"/>
          <w:color w:val="auto"/>
        </w:rPr>
      </w:pPr>
      <w:r>
        <w:rPr>
          <w:rFonts w:ascii="Times New Roman" w:cs="Times New Roman" w:eastAsia="Times New Roman" w:hAnsi="Times New Roman"/>
          <w:sz w:val="18"/>
          <w:szCs w:val="18"/>
          <w:color w:val="auto"/>
        </w:rPr>
        <w:t>Pursuant to the rules and regulations of the SEC, the Company has filed certain agreements as exhibits to this Annual Report on Form 10-K. These agreements may contain representations and warranties by the parties. 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the Company's public disclosure, (iii) may reflect the allocation of risk among the parties to such agreements and (iv) may apply materiality standards different from what may be viewed as material to investors. Accordingly, these representations and warranties may not describe the Company's actual state of affairs at the date hereof and should not be relied upon.</w:t>
      </w:r>
    </w:p>
    <w:p>
      <w:pPr>
        <w:spacing w:after="0" w:line="193" w:lineRule="exact"/>
        <w:rPr>
          <w:sz w:val="20"/>
          <w:szCs w:val="20"/>
          <w:color w:val="auto"/>
        </w:rPr>
      </w:pPr>
    </w:p>
    <w:p>
      <w:pPr>
        <w:ind w:left="100"/>
        <w:spacing w:after="0"/>
        <w:tabs>
          <w:tab w:leader="none" w:pos="612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280" w:right="620" w:hanging="381"/>
        <w:spacing w:after="0" w:line="259"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182">
        <w:r>
          <w:rPr>
            <w:rFonts w:ascii="Times New Roman" w:cs="Times New Roman" w:eastAsia="Times New Roman" w:hAnsi="Times New Roman"/>
            <w:sz w:val="18"/>
            <w:szCs w:val="18"/>
            <w:u w:val="single" w:color="auto"/>
            <w:color w:val="0000EE"/>
          </w:rPr>
          <w:t>Third Amended and Restated Certificate of Incorporation of Activision Blizzard, Inc., dated June 5, 2014 (incorporated by reference to</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Exhibit 3.1 of the Company's Form 8-K, filed June 6, 2014).</w:t>
        </w:r>
      </w:hyperlink>
    </w:p>
    <w:p>
      <w:pPr>
        <w:spacing w:after="0" w:line="215" w:lineRule="exact"/>
        <w:rPr>
          <w:sz w:val="20"/>
          <w:szCs w:val="20"/>
          <w:color w:val="auto"/>
        </w:rPr>
      </w:pPr>
    </w:p>
    <w:p>
      <w:pPr>
        <w:ind w:left="1280" w:right="60" w:hanging="381"/>
        <w:spacing w:after="0" w:line="275"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183">
        <w:r>
          <w:rPr>
            <w:rFonts w:ascii="Times New Roman" w:cs="Times New Roman" w:eastAsia="Times New Roman" w:hAnsi="Times New Roman"/>
            <w:sz w:val="18"/>
            <w:szCs w:val="18"/>
            <w:u w:val="single" w:color="auto"/>
            <w:color w:val="0000EE"/>
          </w:rPr>
          <w:t>Fourth Amended and Restated Bylaws of Activision Blizzard, Inc., adopted as of February 1, 2018 (incorporated by reference to Exhibit 3.1 of</w:t>
        </w:r>
      </w:hyperlink>
      <w:r>
        <w:rPr>
          <w:rFonts w:ascii="Times New Roman" w:cs="Times New Roman" w:eastAsia="Times New Roman" w:hAnsi="Times New Roman"/>
          <w:sz w:val="18"/>
          <w:szCs w:val="18"/>
          <w:u w:val="single" w:color="auto"/>
          <w:color w:val="0000EE"/>
        </w:rPr>
        <w:t xml:space="preserve"> </w:t>
      </w:r>
      <w:hyperlink r:id="rId183">
        <w:r>
          <w:rPr>
            <w:rFonts w:ascii="Times New Roman" w:cs="Times New Roman" w:eastAsia="Times New Roman" w:hAnsi="Times New Roman"/>
            <w:sz w:val="18"/>
            <w:szCs w:val="18"/>
            <w:u w:val="single" w:color="auto"/>
            <w:color w:val="0000EE"/>
          </w:rPr>
          <w:t>the Company's Form 8-K/A, filed March 21, 2018).</w:t>
        </w:r>
      </w:hyperlink>
    </w:p>
    <w:p>
      <w:pPr>
        <w:spacing w:after="0" w:line="201" w:lineRule="exact"/>
        <w:rPr>
          <w:sz w:val="20"/>
          <w:szCs w:val="20"/>
          <w:color w:val="auto"/>
        </w:rPr>
      </w:pPr>
    </w:p>
    <w:p>
      <w:pPr>
        <w:ind w:left="1280" w:right="20" w:hanging="381"/>
        <w:spacing w:after="0" w:line="262"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184">
        <w:r>
          <w:rPr>
            <w:rFonts w:ascii="Times New Roman" w:cs="Times New Roman" w:eastAsia="Times New Roman" w:hAnsi="Times New Roman"/>
            <w:sz w:val="18"/>
            <w:szCs w:val="18"/>
            <w:u w:val="single" w:color="auto"/>
            <w:color w:val="0000EE"/>
          </w:rPr>
          <w:t>Indenture, dated as of September 19, 2016, among Activision Blizzard, Inc., the guarantors named therein and Wells Fargo Bank, National</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Association, as trustee, with respect to the Company's 2.300% Unsecured Senior Notes due 2021 and the Company's 3.400% Unsecured Senior</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Notes due 2026 (incorporated by reference to Exhibit 4.1 of the Company's Form 8-K, filed September 19, 2016).</w:t>
        </w:r>
      </w:hyperlink>
    </w:p>
    <w:p>
      <w:pPr>
        <w:spacing w:after="0" w:line="213" w:lineRule="exact"/>
        <w:rPr>
          <w:rFonts w:ascii="Times New Roman" w:cs="Times New Roman" w:eastAsia="Times New Roman" w:hAnsi="Times New Roman"/>
          <w:sz w:val="18"/>
          <w:szCs w:val="18"/>
          <w:u w:val="single" w:color="auto"/>
          <w:color w:val="0000EE"/>
        </w:rPr>
      </w:pPr>
    </w:p>
    <w:p>
      <w:pPr>
        <w:ind w:left="1280" w:right="820" w:hanging="381"/>
        <w:spacing w:after="0" w:line="275"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185">
        <w:r>
          <w:rPr>
            <w:rFonts w:ascii="Times New Roman" w:cs="Times New Roman" w:eastAsia="Times New Roman" w:hAnsi="Times New Roman"/>
            <w:sz w:val="18"/>
            <w:szCs w:val="18"/>
            <w:u w:val="single" w:color="auto"/>
            <w:color w:val="0000EE"/>
          </w:rPr>
          <w:t>Base Indenture, dated as of May 26, 2017, between Activision Blizzard, Inc. and Wells Fargo Bank, National Association, as trustee</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(incorporated by reference to Exhibit 4.1 of the Company's Form 8-K, filed May 26, 2017).</w:t>
        </w:r>
      </w:hyperlink>
    </w:p>
    <w:p>
      <w:pPr>
        <w:spacing w:after="0" w:line="201" w:lineRule="exact"/>
        <w:rPr>
          <w:sz w:val="20"/>
          <w:szCs w:val="20"/>
          <w:color w:val="auto"/>
        </w:rPr>
      </w:pPr>
    </w:p>
    <w:p>
      <w:pPr>
        <w:ind w:left="1280" w:right="340" w:hanging="381"/>
        <w:spacing w:after="0" w:line="258"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186">
        <w:r>
          <w:rPr>
            <w:rFonts w:ascii="Times New Roman" w:cs="Times New Roman" w:eastAsia="Times New Roman" w:hAnsi="Times New Roman"/>
            <w:sz w:val="18"/>
            <w:szCs w:val="18"/>
            <w:u w:val="single" w:color="auto"/>
            <w:color w:val="0000EE"/>
          </w:rPr>
          <w:t>First Supplemental Indenture, dated as of May 26, 2017, between Activision Blizzard, Inc. and Wells Fargo Bank, National Association, as</w:t>
        </w:r>
      </w:hyperlink>
      <w:r>
        <w:rPr>
          <w:rFonts w:ascii="Times New Roman" w:cs="Times New Roman" w:eastAsia="Times New Roman" w:hAnsi="Times New Roman"/>
          <w:sz w:val="18"/>
          <w:szCs w:val="18"/>
          <w:u w:val="single" w:color="auto"/>
          <w:color w:val="0000EE"/>
        </w:rPr>
        <w:t xml:space="preserve"> </w:t>
      </w:r>
      <w:hyperlink r:id="rId186">
        <w:r>
          <w:rPr>
            <w:rFonts w:ascii="Times New Roman" w:cs="Times New Roman" w:eastAsia="Times New Roman" w:hAnsi="Times New Roman"/>
            <w:sz w:val="18"/>
            <w:szCs w:val="18"/>
            <w:u w:val="single" w:color="auto"/>
            <w:color w:val="0000EE"/>
          </w:rPr>
          <w:t>trustee, with respect to the Company's 2.600% Unsecured Senior Notes due 2022, the Company's 3.400% Unsecured Senior Notes due</w:t>
        </w:r>
      </w:hyperlink>
      <w:r>
        <w:rPr>
          <w:rFonts w:ascii="Times New Roman" w:cs="Times New Roman" w:eastAsia="Times New Roman" w:hAnsi="Times New Roman"/>
          <w:sz w:val="18"/>
          <w:szCs w:val="18"/>
          <w:u w:val="single" w:color="auto"/>
          <w:color w:val="0000EE"/>
        </w:rPr>
        <w:t xml:space="preserve"> </w:t>
      </w:r>
      <w:hyperlink r:id="rId186">
        <w:r>
          <w:rPr>
            <w:rFonts w:ascii="Times New Roman" w:cs="Times New Roman" w:eastAsia="Times New Roman" w:hAnsi="Times New Roman"/>
            <w:sz w:val="18"/>
            <w:szCs w:val="18"/>
            <w:u w:val="single" w:color="auto"/>
            <w:color w:val="0000EE"/>
          </w:rPr>
          <w:t>September 2027 and the Company's 4.500% Unsecured Senior Notes due 2047 (incorporated by reference to Exhibit 4.2 of the Company's</w:t>
        </w:r>
      </w:hyperlink>
      <w:r>
        <w:rPr>
          <w:rFonts w:ascii="Times New Roman" w:cs="Times New Roman" w:eastAsia="Times New Roman" w:hAnsi="Times New Roman"/>
          <w:sz w:val="18"/>
          <w:szCs w:val="18"/>
          <w:u w:val="single" w:color="auto"/>
          <w:color w:val="0000EE"/>
        </w:rPr>
        <w:t xml:space="preserve"> </w:t>
      </w:r>
      <w:hyperlink r:id="rId186">
        <w:r>
          <w:rPr>
            <w:rFonts w:ascii="Times New Roman" w:cs="Times New Roman" w:eastAsia="Times New Roman" w:hAnsi="Times New Roman"/>
            <w:sz w:val="18"/>
            <w:szCs w:val="18"/>
            <w:u w:val="single" w:color="auto"/>
            <w:color w:val="0000EE"/>
          </w:rPr>
          <w:t>Form 8-K, filed May 26, 2017).</w:t>
        </w:r>
      </w:hyperlink>
    </w:p>
    <w:p>
      <w:pPr>
        <w:spacing w:after="0" w:line="217" w:lineRule="exact"/>
        <w:rPr>
          <w:rFonts w:ascii="Times New Roman" w:cs="Times New Roman" w:eastAsia="Times New Roman" w:hAnsi="Times New Roman"/>
          <w:sz w:val="18"/>
          <w:szCs w:val="18"/>
          <w:u w:val="single" w:color="auto"/>
          <w:color w:val="0000EE"/>
        </w:rPr>
      </w:pPr>
    </w:p>
    <w:p>
      <w:pPr>
        <w:ind w:left="1280" w:right="240" w:hanging="381"/>
        <w:spacing w:after="0" w:line="275"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r:id="rId186">
        <w:r>
          <w:rPr>
            <w:rFonts w:ascii="Times New Roman" w:cs="Times New Roman" w:eastAsia="Times New Roman" w:hAnsi="Times New Roman"/>
            <w:sz w:val="18"/>
            <w:szCs w:val="18"/>
            <w:u w:val="single" w:color="auto"/>
            <w:color w:val="0000EE"/>
          </w:rPr>
          <w:t>Form of certificate for the Company's 2.600% Unsecured Senior Notes due 2022 (incorporated by reference to Exhibit 4.3 of the Company's</w:t>
        </w:r>
      </w:hyperlink>
      <w:r>
        <w:rPr>
          <w:rFonts w:ascii="Times New Roman" w:cs="Times New Roman" w:eastAsia="Times New Roman" w:hAnsi="Times New Roman"/>
          <w:sz w:val="18"/>
          <w:szCs w:val="18"/>
          <w:u w:val="single" w:color="auto"/>
          <w:color w:val="0000EE"/>
        </w:rPr>
        <w:t xml:space="preserve"> </w:t>
      </w:r>
      <w:hyperlink r:id="rId186">
        <w:r>
          <w:rPr>
            <w:rFonts w:ascii="Times New Roman" w:cs="Times New Roman" w:eastAsia="Times New Roman" w:hAnsi="Times New Roman"/>
            <w:sz w:val="18"/>
            <w:szCs w:val="18"/>
            <w:u w:val="single" w:color="auto"/>
            <w:color w:val="0000EE"/>
          </w:rPr>
          <w:t>Form 8-K, filed May 26, 2017).</w:t>
        </w:r>
      </w:hyperlink>
    </w:p>
    <w:p>
      <w:pPr>
        <w:spacing w:after="0" w:line="201" w:lineRule="exact"/>
        <w:rPr>
          <w:sz w:val="20"/>
          <w:szCs w:val="20"/>
          <w:color w:val="auto"/>
        </w:rPr>
      </w:pPr>
    </w:p>
    <w:p>
      <w:pPr>
        <w:ind w:left="1280" w:right="240" w:hanging="381"/>
        <w:spacing w:after="0" w:line="275"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4.5</w:t>
      </w:r>
      <w:r>
        <w:rPr>
          <w:sz w:val="20"/>
          <w:szCs w:val="20"/>
          <w:color w:val="auto"/>
        </w:rPr>
        <w:tab/>
      </w:r>
      <w:hyperlink r:id="rId186">
        <w:r>
          <w:rPr>
            <w:rFonts w:ascii="Times New Roman" w:cs="Times New Roman" w:eastAsia="Times New Roman" w:hAnsi="Times New Roman"/>
            <w:sz w:val="18"/>
            <w:szCs w:val="18"/>
            <w:u w:val="single" w:color="auto"/>
            <w:color w:val="0000EE"/>
          </w:rPr>
          <w:t>Form of certificate for the Company's 3.400% Unsecured Senior Notes due 2027 (incorporated by reference to Exhibit 4.4 of the Company's</w:t>
        </w:r>
      </w:hyperlink>
      <w:r>
        <w:rPr>
          <w:rFonts w:ascii="Times New Roman" w:cs="Times New Roman" w:eastAsia="Times New Roman" w:hAnsi="Times New Roman"/>
          <w:sz w:val="18"/>
          <w:szCs w:val="18"/>
          <w:u w:val="single" w:color="auto"/>
          <w:color w:val="0000EE"/>
        </w:rPr>
        <w:t xml:space="preserve"> </w:t>
      </w:r>
      <w:hyperlink r:id="rId186">
        <w:r>
          <w:rPr>
            <w:rFonts w:ascii="Times New Roman" w:cs="Times New Roman" w:eastAsia="Times New Roman" w:hAnsi="Times New Roman"/>
            <w:sz w:val="18"/>
            <w:szCs w:val="18"/>
            <w:u w:val="single" w:color="auto"/>
            <w:color w:val="0000EE"/>
          </w:rPr>
          <w:t>Form 8-K, filed May 26, 2017).</w:t>
        </w:r>
      </w:hyperlink>
    </w:p>
    <w:p>
      <w:pPr>
        <w:spacing w:after="0" w:line="201" w:lineRule="exact"/>
        <w:rPr>
          <w:sz w:val="20"/>
          <w:szCs w:val="20"/>
          <w:color w:val="auto"/>
        </w:rPr>
      </w:pPr>
    </w:p>
    <w:p>
      <w:pPr>
        <w:ind w:left="1280" w:right="240" w:hanging="381"/>
        <w:spacing w:after="0" w:line="275"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4.6</w:t>
      </w:r>
      <w:r>
        <w:rPr>
          <w:sz w:val="20"/>
          <w:szCs w:val="20"/>
          <w:color w:val="auto"/>
        </w:rPr>
        <w:tab/>
      </w:r>
      <w:hyperlink r:id="rId186">
        <w:r>
          <w:rPr>
            <w:rFonts w:ascii="Times New Roman" w:cs="Times New Roman" w:eastAsia="Times New Roman" w:hAnsi="Times New Roman"/>
            <w:sz w:val="18"/>
            <w:szCs w:val="18"/>
            <w:u w:val="single" w:color="auto"/>
            <w:color w:val="0000EE"/>
          </w:rPr>
          <w:t>Form of certificate for the Company's 4.500% Unsecured Senior Notes due 2047 (incorporated by reference to Exhibit 4.5 of the Company's</w:t>
        </w:r>
      </w:hyperlink>
      <w:r>
        <w:rPr>
          <w:rFonts w:ascii="Times New Roman" w:cs="Times New Roman" w:eastAsia="Times New Roman" w:hAnsi="Times New Roman"/>
          <w:sz w:val="18"/>
          <w:szCs w:val="18"/>
          <w:u w:val="single" w:color="auto"/>
          <w:color w:val="0000EE"/>
        </w:rPr>
        <w:t xml:space="preserve"> </w:t>
      </w:r>
      <w:hyperlink r:id="rId186">
        <w:r>
          <w:rPr>
            <w:rFonts w:ascii="Times New Roman" w:cs="Times New Roman" w:eastAsia="Times New Roman" w:hAnsi="Times New Roman"/>
            <w:sz w:val="18"/>
            <w:szCs w:val="18"/>
            <w:u w:val="single" w:color="auto"/>
            <w:color w:val="0000EE"/>
          </w:rPr>
          <w:t>Form 8-K, filed May 26, 2017).</w:t>
        </w:r>
      </w:hyperlink>
    </w:p>
    <w:p>
      <w:pPr>
        <w:spacing w:after="0" w:line="201" w:lineRule="exact"/>
        <w:rPr>
          <w:sz w:val="20"/>
          <w:szCs w:val="20"/>
          <w:color w:val="auto"/>
        </w:rPr>
      </w:pPr>
    </w:p>
    <w:p>
      <w:pPr>
        <w:ind w:left="1280" w:hanging="556"/>
        <w:spacing w:after="0" w:line="275"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187">
        <w:r>
          <w:rPr>
            <w:rFonts w:ascii="Times New Roman" w:cs="Times New Roman" w:eastAsia="Times New Roman" w:hAnsi="Times New Roman"/>
            <w:sz w:val="18"/>
            <w:szCs w:val="18"/>
            <w:u w:val="single" w:color="auto"/>
            <w:color w:val="0000EE"/>
          </w:rPr>
          <w:t>Activision Blizzard, Inc. Amended and Restated 2008 Incentive Plan, as amended and restated (incorporated by reference to Exhibit 10.1 of the</w:t>
        </w:r>
      </w:hyperlink>
      <w:r>
        <w:rPr>
          <w:rFonts w:ascii="Times New Roman" w:cs="Times New Roman" w:eastAsia="Times New Roman" w:hAnsi="Times New Roman"/>
          <w:sz w:val="18"/>
          <w:szCs w:val="18"/>
          <w:u w:val="single" w:color="auto"/>
          <w:color w:val="0000EE"/>
        </w:rPr>
        <w:t xml:space="preserve"> </w:t>
      </w:r>
      <w:hyperlink r:id="rId187">
        <w:r>
          <w:rPr>
            <w:rFonts w:ascii="Times New Roman" w:cs="Times New Roman" w:eastAsia="Times New Roman" w:hAnsi="Times New Roman"/>
            <w:sz w:val="18"/>
            <w:szCs w:val="18"/>
            <w:u w:val="single" w:color="auto"/>
            <w:color w:val="0000EE"/>
          </w:rPr>
          <w:t>Company's Form 8-K filed June 12, 2012).</w:t>
        </w:r>
      </w:hyperlink>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54" w:name="page155"/>
    <w:bookmarkEnd w:id="15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100"/>
        <w:spacing w:after="0"/>
        <w:tabs>
          <w:tab w:leader="none" w:pos="612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280" w:right="420" w:hanging="556"/>
        <w:spacing w:after="0" w:line="259"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190">
        <w:r>
          <w:rPr>
            <w:rFonts w:ascii="Times New Roman" w:cs="Times New Roman" w:eastAsia="Times New Roman" w:hAnsi="Times New Roman"/>
            <w:sz w:val="18"/>
            <w:szCs w:val="18"/>
            <w:u w:val="single" w:color="auto"/>
            <w:color w:val="0000EE"/>
          </w:rPr>
          <w:t>Activision Blizzard, Inc. 2014 Incentive Plan, amended and restated as of March 2, 2017 (incorporated by reference to Exhibit 10.1 of the</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Company's Form 10-Q filed May 4, 2017).</w:t>
        </w:r>
      </w:hyperlink>
    </w:p>
    <w:p>
      <w:pPr>
        <w:spacing w:after="0" w:line="215" w:lineRule="exact"/>
        <w:rPr>
          <w:sz w:val="20"/>
          <w:szCs w:val="20"/>
          <w:color w:val="auto"/>
        </w:rPr>
      </w:pPr>
    </w:p>
    <w:p>
      <w:pPr>
        <w:ind w:left="1280" w:right="420" w:hanging="556"/>
        <w:spacing w:after="0" w:line="275"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191">
        <w:r>
          <w:rPr>
            <w:rFonts w:ascii="Times New Roman" w:cs="Times New Roman" w:eastAsia="Times New Roman" w:hAnsi="Times New Roman"/>
            <w:sz w:val="18"/>
            <w:szCs w:val="18"/>
            <w:u w:val="single" w:color="auto"/>
            <w:color w:val="0000EE"/>
          </w:rPr>
          <w:t>Activision Blizzard, Inc. KDE Equity Incentive Plan, amended as of November 1, 2016 (incorporated by reference to Exhibit 10.14 of the</w:t>
        </w:r>
      </w:hyperlink>
      <w:r>
        <w:rPr>
          <w:rFonts w:ascii="Times New Roman" w:cs="Times New Roman" w:eastAsia="Times New Roman" w:hAnsi="Times New Roman"/>
          <w:sz w:val="18"/>
          <w:szCs w:val="18"/>
          <w:u w:val="single" w:color="auto"/>
          <w:color w:val="0000EE"/>
        </w:rPr>
        <w:t xml:space="preserve"> </w:t>
      </w:r>
      <w:hyperlink r:id="rId191">
        <w:r>
          <w:rPr>
            <w:rFonts w:ascii="Times New Roman" w:cs="Times New Roman" w:eastAsia="Times New Roman" w:hAnsi="Times New Roman"/>
            <w:sz w:val="18"/>
            <w:szCs w:val="18"/>
            <w:u w:val="single" w:color="auto"/>
            <w:color w:val="0000EE"/>
          </w:rPr>
          <w:t>Company's Form 10-K for the year ended December 31, 2016).</w:t>
        </w:r>
      </w:hyperlink>
    </w:p>
    <w:p>
      <w:pPr>
        <w:spacing w:after="0" w:line="201" w:lineRule="exact"/>
        <w:rPr>
          <w:sz w:val="20"/>
          <w:szCs w:val="20"/>
          <w:color w:val="auto"/>
        </w:rPr>
      </w:pPr>
    </w:p>
    <w:p>
      <w:pPr>
        <w:ind w:left="1280" w:right="20" w:hanging="556"/>
        <w:spacing w:after="0" w:line="262"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192">
        <w:r>
          <w:rPr>
            <w:rFonts w:ascii="Times New Roman" w:cs="Times New Roman" w:eastAsia="Times New Roman" w:hAnsi="Times New Roman"/>
            <w:sz w:val="18"/>
            <w:szCs w:val="18"/>
            <w:u w:val="single" w:color="auto"/>
            <w:color w:val="0000EE"/>
          </w:rPr>
          <w:t>Form of Notice of Stock Option Award for grants to unaffiliated directors pursuant to the Activision Blizzard, Inc. 2008 Incentive Plan</w:t>
        </w:r>
      </w:hyperlink>
      <w:r>
        <w:rPr>
          <w:rFonts w:ascii="Times New Roman" w:cs="Times New Roman" w:eastAsia="Times New Roman" w:hAnsi="Times New Roman"/>
          <w:sz w:val="18"/>
          <w:szCs w:val="18"/>
          <w:u w:val="single" w:color="auto"/>
          <w:color w:val="0000EE"/>
        </w:rPr>
        <w:t xml:space="preserve"> </w:t>
      </w:r>
      <w:hyperlink r:id="rId192">
        <w:r>
          <w:rPr>
            <w:rFonts w:ascii="Times New Roman" w:cs="Times New Roman" w:eastAsia="Times New Roman" w:hAnsi="Times New Roman"/>
            <w:sz w:val="18"/>
            <w:szCs w:val="18"/>
            <w:u w:val="single" w:color="auto"/>
            <w:color w:val="0000EE"/>
          </w:rPr>
          <w:t>(effective as of November 12, 2008) (incorporated by reference to Exhibit 10.44 of the Company's Form 10-K for the year ended December 31,</w:t>
        </w:r>
      </w:hyperlink>
      <w:r>
        <w:rPr>
          <w:rFonts w:ascii="Times New Roman" w:cs="Times New Roman" w:eastAsia="Times New Roman" w:hAnsi="Times New Roman"/>
          <w:sz w:val="18"/>
          <w:szCs w:val="18"/>
          <w:u w:val="single" w:color="auto"/>
          <w:color w:val="0000EE"/>
        </w:rPr>
        <w:t xml:space="preserve"> </w:t>
      </w:r>
      <w:hyperlink r:id="rId192">
        <w:r>
          <w:rPr>
            <w:rFonts w:ascii="Times New Roman" w:cs="Times New Roman" w:eastAsia="Times New Roman" w:hAnsi="Times New Roman"/>
            <w:sz w:val="18"/>
            <w:szCs w:val="18"/>
            <w:u w:val="single" w:color="auto"/>
            <w:color w:val="0000EE"/>
          </w:rPr>
          <w:t>2008).</w:t>
        </w:r>
      </w:hyperlink>
    </w:p>
    <w:p>
      <w:pPr>
        <w:spacing w:after="0" w:line="213" w:lineRule="exact"/>
        <w:rPr>
          <w:rFonts w:ascii="Times New Roman" w:cs="Times New Roman" w:eastAsia="Times New Roman" w:hAnsi="Times New Roman"/>
          <w:sz w:val="18"/>
          <w:szCs w:val="18"/>
          <w:u w:val="single" w:color="auto"/>
          <w:color w:val="0000EE"/>
        </w:rPr>
      </w:pPr>
    </w:p>
    <w:p>
      <w:pPr>
        <w:ind w:left="1280" w:right="20" w:hanging="556"/>
        <w:spacing w:after="0" w:line="262"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193">
        <w:r>
          <w:rPr>
            <w:rFonts w:ascii="Times New Roman" w:cs="Times New Roman" w:eastAsia="Times New Roman" w:hAnsi="Times New Roman"/>
            <w:sz w:val="18"/>
            <w:szCs w:val="18"/>
            <w:u w:val="single" w:color="auto"/>
            <w:color w:val="0000EE"/>
          </w:rPr>
          <w:t>Form of Notice of Stock Option Award for grants to persons other than directors pursuant to the Activision Blizzard, Inc. 2008 Incentive Plan</w:t>
        </w:r>
      </w:hyperlink>
      <w:r>
        <w:rPr>
          <w:rFonts w:ascii="Times New Roman" w:cs="Times New Roman" w:eastAsia="Times New Roman" w:hAnsi="Times New Roman"/>
          <w:sz w:val="18"/>
          <w:szCs w:val="18"/>
          <w:u w:val="single" w:color="auto"/>
          <w:color w:val="0000EE"/>
        </w:rPr>
        <w:t xml:space="preserve"> </w:t>
      </w:r>
      <w:hyperlink r:id="rId193">
        <w:r>
          <w:rPr>
            <w:rFonts w:ascii="Times New Roman" w:cs="Times New Roman" w:eastAsia="Times New Roman" w:hAnsi="Times New Roman"/>
            <w:sz w:val="18"/>
            <w:szCs w:val="18"/>
            <w:u w:val="single" w:color="auto"/>
            <w:color w:val="0000EE"/>
          </w:rPr>
          <w:t>(effective as of November 12, 2008) (incorporated by reference to Exhibit 10.45 of the Company's Form 10-K for the year ended December 31,</w:t>
        </w:r>
      </w:hyperlink>
      <w:r>
        <w:rPr>
          <w:rFonts w:ascii="Times New Roman" w:cs="Times New Roman" w:eastAsia="Times New Roman" w:hAnsi="Times New Roman"/>
          <w:sz w:val="18"/>
          <w:szCs w:val="18"/>
          <w:u w:val="single" w:color="auto"/>
          <w:color w:val="0000EE"/>
        </w:rPr>
        <w:t xml:space="preserve"> </w:t>
      </w:r>
      <w:hyperlink r:id="rId193">
        <w:r>
          <w:rPr>
            <w:rFonts w:ascii="Times New Roman" w:cs="Times New Roman" w:eastAsia="Times New Roman" w:hAnsi="Times New Roman"/>
            <w:sz w:val="18"/>
            <w:szCs w:val="18"/>
            <w:u w:val="single" w:color="auto"/>
            <w:color w:val="0000EE"/>
          </w:rPr>
          <w:t>2008).</w:t>
        </w:r>
      </w:hyperlink>
    </w:p>
    <w:p>
      <w:pPr>
        <w:spacing w:after="0" w:line="213" w:lineRule="exact"/>
        <w:rPr>
          <w:rFonts w:ascii="Times New Roman" w:cs="Times New Roman" w:eastAsia="Times New Roman" w:hAnsi="Times New Roman"/>
          <w:sz w:val="18"/>
          <w:szCs w:val="18"/>
          <w:u w:val="single" w:color="auto"/>
          <w:color w:val="0000EE"/>
        </w:rPr>
      </w:pPr>
    </w:p>
    <w:p>
      <w:pPr>
        <w:ind w:left="1280" w:right="40" w:hanging="556"/>
        <w:spacing w:after="0" w:line="339" w:lineRule="auto"/>
        <w:tabs>
          <w:tab w:leader="none" w:pos="126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194">
        <w:r>
          <w:rPr>
            <w:rFonts w:ascii="Times New Roman" w:cs="Times New Roman" w:eastAsia="Times New Roman" w:hAnsi="Times New Roman"/>
            <w:sz w:val="16"/>
            <w:szCs w:val="16"/>
            <w:u w:val="single" w:color="auto"/>
            <w:color w:val="0000EE"/>
          </w:rPr>
          <w:t>Form of Notice of Stock Option Award for grants to unaffiliated directors pursuant to the Activision Blizzard, Inc. 2008 Incentive Plan</w:t>
        </w:r>
      </w:hyperlink>
      <w:r>
        <w:rPr>
          <w:rFonts w:ascii="Times New Roman" w:cs="Times New Roman" w:eastAsia="Times New Roman" w:hAnsi="Times New Roman"/>
          <w:sz w:val="16"/>
          <w:szCs w:val="16"/>
          <w:u w:val="single" w:color="auto"/>
          <w:color w:val="0000EE"/>
        </w:rPr>
        <w:t xml:space="preserve"> </w:t>
      </w:r>
      <w:hyperlink r:id="rId194">
        <w:r>
          <w:rPr>
            <w:rFonts w:ascii="Times New Roman" w:cs="Times New Roman" w:eastAsia="Times New Roman" w:hAnsi="Times New Roman"/>
            <w:sz w:val="16"/>
            <w:szCs w:val="16"/>
            <w:u w:val="single" w:color="auto"/>
            <w:color w:val="0000EE"/>
          </w:rPr>
          <w:t>(effective as of March 6, 2013) (incorporated by reference to Exhibit 10.5 of the Company's Form 10-Q for the quarter ended March 31, 2013).</w:t>
        </w:r>
      </w:hyperlink>
    </w:p>
    <w:p>
      <w:pPr>
        <w:spacing w:after="0" w:line="156" w:lineRule="exact"/>
        <w:rPr>
          <w:sz w:val="20"/>
          <w:szCs w:val="20"/>
          <w:color w:val="auto"/>
        </w:rPr>
      </w:pPr>
    </w:p>
    <w:p>
      <w:pPr>
        <w:jc w:val="right"/>
        <w:ind w:left="720" w:right="80"/>
        <w:spacing w:after="0" w:line="339" w:lineRule="auto"/>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 xml:space="preserve">10.7*  </w:t>
      </w:r>
      <w:hyperlink r:id="rId195">
        <w:r>
          <w:rPr>
            <w:rFonts w:ascii="Times New Roman" w:cs="Times New Roman" w:eastAsia="Times New Roman" w:hAnsi="Times New Roman"/>
            <w:sz w:val="16"/>
            <w:szCs w:val="16"/>
            <w:u w:val="single" w:color="auto"/>
            <w:color w:val="0000EE"/>
          </w:rPr>
          <w:t>Form of Notice of Stock Option Award for grants to persons other than directors pursuant to the Activision Blizzard, Inc. 2008 Incentive Plan</w:t>
        </w:r>
      </w:hyperlink>
      <w:r>
        <w:rPr>
          <w:rFonts w:ascii="Times New Roman" w:cs="Times New Roman" w:eastAsia="Times New Roman" w:hAnsi="Times New Roman"/>
          <w:sz w:val="16"/>
          <w:szCs w:val="16"/>
          <w:color w:val="auto"/>
        </w:rPr>
        <w:t xml:space="preserve"> </w:t>
      </w:r>
      <w:hyperlink r:id="rId195">
        <w:r>
          <w:rPr>
            <w:rFonts w:ascii="Times New Roman" w:cs="Times New Roman" w:eastAsia="Times New Roman" w:hAnsi="Times New Roman"/>
            <w:sz w:val="16"/>
            <w:szCs w:val="16"/>
            <w:u w:val="single" w:color="auto"/>
            <w:color w:val="0000EE"/>
          </w:rPr>
          <w:t>(effective as of March 6, 2013) (incorporated by reference to Exhibit 10.6 of the Company's Form10-Q for the quarter ended March 31, 2013).</w:t>
        </w:r>
      </w:hyperlink>
    </w:p>
    <w:p>
      <w:pPr>
        <w:spacing w:after="0" w:line="156" w:lineRule="exact"/>
        <w:rPr>
          <w:sz w:val="20"/>
          <w:szCs w:val="20"/>
          <w:color w:val="auto"/>
        </w:rPr>
      </w:pPr>
    </w:p>
    <w:p>
      <w:pPr>
        <w:ind w:left="1280" w:right="240" w:hanging="556"/>
        <w:spacing w:after="0" w:line="275"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196">
        <w:r>
          <w:rPr>
            <w:rFonts w:ascii="Times New Roman" w:cs="Times New Roman" w:eastAsia="Times New Roman" w:hAnsi="Times New Roman"/>
            <w:sz w:val="18"/>
            <w:szCs w:val="18"/>
            <w:u w:val="single" w:color="auto"/>
            <w:color w:val="0000EE"/>
          </w:rPr>
          <w:t>Form of Notice of Stock Option Award for grants pursuant to the Activision Blizzard, Inc. 2014 Incentive Plan (effective as of June 5, 2014)</w:t>
        </w:r>
      </w:hyperlink>
      <w:r>
        <w:rPr>
          <w:rFonts w:ascii="Times New Roman" w:cs="Times New Roman" w:eastAsia="Times New Roman" w:hAnsi="Times New Roman"/>
          <w:sz w:val="18"/>
          <w:szCs w:val="18"/>
          <w:u w:val="single" w:color="auto"/>
          <w:color w:val="0000EE"/>
        </w:rPr>
        <w:t xml:space="preserve"> </w:t>
      </w:r>
      <w:hyperlink r:id="rId196">
        <w:r>
          <w:rPr>
            <w:rFonts w:ascii="Times New Roman" w:cs="Times New Roman" w:eastAsia="Times New Roman" w:hAnsi="Times New Roman"/>
            <w:sz w:val="18"/>
            <w:szCs w:val="18"/>
            <w:u w:val="single" w:color="auto"/>
            <w:color w:val="0000EE"/>
          </w:rPr>
          <w:t>(incorporated by reference to Exhibit 10.1 of the Company's Form 10-Q for the quarter ended June 30, 2014).</w:t>
        </w:r>
      </w:hyperlink>
    </w:p>
    <w:p>
      <w:pPr>
        <w:spacing w:after="0" w:line="201" w:lineRule="exact"/>
        <w:rPr>
          <w:sz w:val="20"/>
          <w:szCs w:val="20"/>
          <w:color w:val="auto"/>
        </w:rPr>
      </w:pPr>
    </w:p>
    <w:p>
      <w:pPr>
        <w:jc w:val="both"/>
        <w:ind w:left="1280" w:hanging="556"/>
        <w:spacing w:after="0" w:line="262"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197">
        <w:r>
          <w:rPr>
            <w:rFonts w:ascii="Times New Roman" w:cs="Times New Roman" w:eastAsia="Times New Roman" w:hAnsi="Times New Roman"/>
            <w:sz w:val="18"/>
            <w:szCs w:val="18"/>
            <w:u w:val="single" w:color="auto"/>
            <w:color w:val="0000EE"/>
          </w:rPr>
          <w:t>Form of Notice of Restricted Share Unit Award for grants to persons other than non-affiliated directors pursuant to the Activision Blizzard, Inc.</w:t>
        </w:r>
      </w:hyperlink>
      <w:r>
        <w:rPr>
          <w:rFonts w:ascii="Times New Roman" w:cs="Times New Roman" w:eastAsia="Times New Roman" w:hAnsi="Times New Roman"/>
          <w:sz w:val="18"/>
          <w:szCs w:val="18"/>
          <w:u w:val="single" w:color="auto"/>
          <w:color w:val="0000EE"/>
        </w:rPr>
        <w:t xml:space="preserve"> </w:t>
      </w:r>
      <w:hyperlink r:id="rId197">
        <w:r>
          <w:rPr>
            <w:rFonts w:ascii="Times New Roman" w:cs="Times New Roman" w:eastAsia="Times New Roman" w:hAnsi="Times New Roman"/>
            <w:sz w:val="18"/>
            <w:szCs w:val="18"/>
            <w:u w:val="single" w:color="auto"/>
            <w:color w:val="0000EE"/>
          </w:rPr>
          <w:t>2014 Incentive Plan (effective as of June 5, 2014) (incorporated by reference to Exhibit 10.2 of the Company's Form 10-Q for the quarter ended</w:t>
        </w:r>
      </w:hyperlink>
      <w:r>
        <w:rPr>
          <w:rFonts w:ascii="Times New Roman" w:cs="Times New Roman" w:eastAsia="Times New Roman" w:hAnsi="Times New Roman"/>
          <w:sz w:val="18"/>
          <w:szCs w:val="18"/>
          <w:u w:val="single" w:color="auto"/>
          <w:color w:val="0000EE"/>
        </w:rPr>
        <w:t xml:space="preserve"> </w:t>
      </w:r>
      <w:hyperlink r:id="rId197">
        <w:r>
          <w:rPr>
            <w:rFonts w:ascii="Times New Roman" w:cs="Times New Roman" w:eastAsia="Times New Roman" w:hAnsi="Times New Roman"/>
            <w:sz w:val="18"/>
            <w:szCs w:val="18"/>
            <w:u w:val="single" w:color="auto"/>
            <w:color w:val="0000EE"/>
          </w:rPr>
          <w:t>June 30, 2014).</w:t>
        </w:r>
      </w:hyperlink>
    </w:p>
    <w:p>
      <w:pPr>
        <w:spacing w:after="0" w:line="213" w:lineRule="exact"/>
        <w:rPr>
          <w:rFonts w:ascii="Times New Roman" w:cs="Times New Roman" w:eastAsia="Times New Roman" w:hAnsi="Times New Roman"/>
          <w:sz w:val="18"/>
          <w:szCs w:val="18"/>
          <w:u w:val="single" w:color="auto"/>
          <w:color w:val="0000EE"/>
        </w:rPr>
      </w:pPr>
    </w:p>
    <w:p>
      <w:pPr>
        <w:ind w:left="1280" w:right="180" w:hanging="644"/>
        <w:spacing w:after="0" w:line="339" w:lineRule="auto"/>
        <w:tabs>
          <w:tab w:leader="none" w:pos="126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98">
        <w:r>
          <w:rPr>
            <w:rFonts w:ascii="Times New Roman" w:cs="Times New Roman" w:eastAsia="Times New Roman" w:hAnsi="Times New Roman"/>
            <w:sz w:val="16"/>
            <w:szCs w:val="16"/>
            <w:u w:val="single" w:color="auto"/>
            <w:color w:val="0000EE"/>
          </w:rPr>
          <w:t>Form of Notice of Performance-Vesting Restricted Share Unit Award for grants pursuant to the Activision Blizzard, Inc. 2014 Incentive Plan</w:t>
        </w:r>
      </w:hyperlink>
      <w:r>
        <w:rPr>
          <w:rFonts w:ascii="Times New Roman" w:cs="Times New Roman" w:eastAsia="Times New Roman" w:hAnsi="Times New Roman"/>
          <w:sz w:val="16"/>
          <w:szCs w:val="16"/>
          <w:u w:val="single" w:color="auto"/>
          <w:color w:val="0000EE"/>
        </w:rPr>
        <w:t xml:space="preserve"> </w:t>
      </w:r>
      <w:hyperlink r:id="rId198">
        <w:r>
          <w:rPr>
            <w:rFonts w:ascii="Times New Roman" w:cs="Times New Roman" w:eastAsia="Times New Roman" w:hAnsi="Times New Roman"/>
            <w:sz w:val="16"/>
            <w:szCs w:val="16"/>
            <w:u w:val="single" w:color="auto"/>
            <w:color w:val="0000EE"/>
          </w:rPr>
          <w:t>(effective as of June 5, 2014) (incorporated by reference to Exhibit 10.4 of the Company's Form 10-Q for the quarter ended June 30, 2014).</w:t>
        </w:r>
      </w:hyperlink>
    </w:p>
    <w:p>
      <w:pPr>
        <w:spacing w:after="0" w:line="156" w:lineRule="exact"/>
        <w:rPr>
          <w:sz w:val="20"/>
          <w:szCs w:val="20"/>
          <w:color w:val="auto"/>
        </w:rPr>
      </w:pPr>
    </w:p>
    <w:p>
      <w:pPr>
        <w:ind w:left="1280" w:hanging="637"/>
        <w:spacing w:after="0" w:line="275"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99">
        <w:r>
          <w:rPr>
            <w:rFonts w:ascii="Times New Roman" w:cs="Times New Roman" w:eastAsia="Times New Roman" w:hAnsi="Times New Roman"/>
            <w:sz w:val="18"/>
            <w:szCs w:val="18"/>
            <w:u w:val="single" w:color="auto"/>
            <w:color w:val="0000EE"/>
          </w:rPr>
          <w:t>Form of Notice of Restricted Share Award for grants pursuant to the Activision Blizzard, Inc. 2014 Incentive Plan (effective as of June 5, 2014)</w:t>
        </w:r>
      </w:hyperlink>
      <w:r>
        <w:rPr>
          <w:rFonts w:ascii="Times New Roman" w:cs="Times New Roman" w:eastAsia="Times New Roman" w:hAnsi="Times New Roman"/>
          <w:sz w:val="18"/>
          <w:szCs w:val="18"/>
          <w:u w:val="single" w:color="auto"/>
          <w:color w:val="0000EE"/>
        </w:rPr>
        <w:t xml:space="preserve"> </w:t>
      </w:r>
      <w:hyperlink r:id="rId199">
        <w:r>
          <w:rPr>
            <w:rFonts w:ascii="Times New Roman" w:cs="Times New Roman" w:eastAsia="Times New Roman" w:hAnsi="Times New Roman"/>
            <w:sz w:val="18"/>
            <w:szCs w:val="18"/>
            <w:u w:val="single" w:color="auto"/>
            <w:color w:val="0000EE"/>
          </w:rPr>
          <w:t>(incorporated by reference to Exhibit 10.5 of the Company's Form 10-Q for the quarter ended June 30, 2014).</w:t>
        </w:r>
      </w:hyperlink>
    </w:p>
    <w:p>
      <w:pPr>
        <w:spacing w:after="0" w:line="201" w:lineRule="exact"/>
        <w:rPr>
          <w:sz w:val="20"/>
          <w:szCs w:val="20"/>
          <w:color w:val="auto"/>
        </w:rPr>
      </w:pPr>
    </w:p>
    <w:p>
      <w:pPr>
        <w:ind w:left="1280" w:right="40" w:hanging="644"/>
        <w:spacing w:after="0" w:line="262"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200">
        <w:r>
          <w:rPr>
            <w:rFonts w:ascii="Times New Roman" w:cs="Times New Roman" w:eastAsia="Times New Roman" w:hAnsi="Times New Roman"/>
            <w:sz w:val="18"/>
            <w:szCs w:val="18"/>
            <w:u w:val="single" w:color="auto"/>
            <w:color w:val="0000EE"/>
          </w:rPr>
          <w:t>Form of Notice of Restricted Share Unit Award for grants to persons other than non-affiliated directors pursuant to the Activision Blizzard, Inc.</w:t>
        </w:r>
      </w:hyperlink>
      <w:r>
        <w:rPr>
          <w:rFonts w:ascii="Times New Roman" w:cs="Times New Roman" w:eastAsia="Times New Roman" w:hAnsi="Times New Roman"/>
          <w:sz w:val="18"/>
          <w:szCs w:val="18"/>
          <w:u w:val="single" w:color="auto"/>
          <w:color w:val="0000EE"/>
        </w:rPr>
        <w:t xml:space="preserve"> </w:t>
      </w:r>
      <w:hyperlink r:id="rId200">
        <w:r>
          <w:rPr>
            <w:rFonts w:ascii="Times New Roman" w:cs="Times New Roman" w:eastAsia="Times New Roman" w:hAnsi="Times New Roman"/>
            <w:sz w:val="18"/>
            <w:szCs w:val="18"/>
            <w:u w:val="single" w:color="auto"/>
            <w:color w:val="0000EE"/>
          </w:rPr>
          <w:t>2014 Incentive Plan (effective as of July 29, 2014) (incorporated by reference to Exhibit 10.1 of the Company's Form 10-Q for the quarter</w:t>
        </w:r>
      </w:hyperlink>
      <w:r>
        <w:rPr>
          <w:rFonts w:ascii="Times New Roman" w:cs="Times New Roman" w:eastAsia="Times New Roman" w:hAnsi="Times New Roman"/>
          <w:sz w:val="18"/>
          <w:szCs w:val="18"/>
          <w:u w:val="single" w:color="auto"/>
          <w:color w:val="0000EE"/>
        </w:rPr>
        <w:t xml:space="preserve"> </w:t>
      </w:r>
      <w:hyperlink r:id="rId200">
        <w:r>
          <w:rPr>
            <w:rFonts w:ascii="Times New Roman" w:cs="Times New Roman" w:eastAsia="Times New Roman" w:hAnsi="Times New Roman"/>
            <w:sz w:val="18"/>
            <w:szCs w:val="18"/>
            <w:u w:val="single" w:color="auto"/>
            <w:color w:val="0000EE"/>
          </w:rPr>
          <w:t>ended September 30, 2014).</w:t>
        </w:r>
      </w:hyperlink>
    </w:p>
    <w:p>
      <w:pPr>
        <w:spacing w:after="0" w:line="186" w:lineRule="exact"/>
        <w:rPr>
          <w:rFonts w:ascii="Times New Roman" w:cs="Times New Roman" w:eastAsia="Times New Roman" w:hAnsi="Times New Roman"/>
          <w:sz w:val="18"/>
          <w:szCs w:val="18"/>
          <w:u w:val="single" w:color="auto"/>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E-2</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55" w:name="page156"/>
    <w:bookmarkEnd w:id="15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100"/>
        <w:spacing w:after="0"/>
        <w:tabs>
          <w:tab w:leader="none" w:pos="612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280" w:hanging="644"/>
        <w:spacing w:after="0" w:line="254"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203">
        <w:r>
          <w:rPr>
            <w:rFonts w:ascii="Times New Roman" w:cs="Times New Roman" w:eastAsia="Times New Roman" w:hAnsi="Times New Roman"/>
            <w:sz w:val="18"/>
            <w:szCs w:val="18"/>
            <w:u w:val="single" w:color="auto"/>
            <w:color w:val="0000EE"/>
          </w:rPr>
          <w:t>Form of Notice of Restricted Share Unit Award for grants to non-affiliated directors pursuant to the Activision Blizzard, Inc. 2014 Incentive</w:t>
        </w:r>
      </w:hyperlink>
      <w:r>
        <w:rPr>
          <w:rFonts w:ascii="Times New Roman" w:cs="Times New Roman" w:eastAsia="Times New Roman" w:hAnsi="Times New Roman"/>
          <w:sz w:val="18"/>
          <w:szCs w:val="18"/>
          <w:u w:val="single" w:color="auto"/>
          <w:color w:val="0000EE"/>
        </w:rPr>
        <w:t xml:space="preserve"> </w:t>
      </w:r>
      <w:hyperlink r:id="rId203">
        <w:r>
          <w:rPr>
            <w:rFonts w:ascii="Times New Roman" w:cs="Times New Roman" w:eastAsia="Times New Roman" w:hAnsi="Times New Roman"/>
            <w:sz w:val="18"/>
            <w:szCs w:val="18"/>
            <w:u w:val="single" w:color="auto"/>
            <w:color w:val="0000EE"/>
          </w:rPr>
          <w:t>Plan (effective as of July 29, 2014) (incorporated by reference to Exhibit 10.2 of the Company's Form 10-Q for the quarter ended September 30,</w:t>
        </w:r>
      </w:hyperlink>
      <w:r>
        <w:rPr>
          <w:rFonts w:ascii="Times New Roman" w:cs="Times New Roman" w:eastAsia="Times New Roman" w:hAnsi="Times New Roman"/>
          <w:sz w:val="18"/>
          <w:szCs w:val="18"/>
          <w:u w:val="single" w:color="auto"/>
          <w:color w:val="0000EE"/>
        </w:rPr>
        <w:t xml:space="preserve"> </w:t>
      </w:r>
      <w:hyperlink r:id="rId203">
        <w:r>
          <w:rPr>
            <w:rFonts w:ascii="Times New Roman" w:cs="Times New Roman" w:eastAsia="Times New Roman" w:hAnsi="Times New Roman"/>
            <w:sz w:val="18"/>
            <w:szCs w:val="18"/>
            <w:u w:val="single" w:color="auto"/>
            <w:color w:val="0000EE"/>
          </w:rPr>
          <w:t>2014).</w:t>
        </w:r>
      </w:hyperlink>
    </w:p>
    <w:p>
      <w:pPr>
        <w:spacing w:after="0" w:line="220" w:lineRule="exact"/>
        <w:rPr>
          <w:rFonts w:ascii="Times New Roman" w:cs="Times New Roman" w:eastAsia="Times New Roman" w:hAnsi="Times New Roman"/>
          <w:sz w:val="18"/>
          <w:szCs w:val="18"/>
          <w:u w:val="single" w:color="auto"/>
          <w:color w:val="0000EE"/>
        </w:rPr>
      </w:pPr>
    </w:p>
    <w:p>
      <w:pPr>
        <w:ind w:left="1280" w:right="200" w:hanging="644"/>
        <w:spacing w:after="0" w:line="262"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204">
        <w:r>
          <w:rPr>
            <w:rFonts w:ascii="Times New Roman" w:cs="Times New Roman" w:eastAsia="Times New Roman" w:hAnsi="Times New Roman"/>
            <w:sz w:val="18"/>
            <w:szCs w:val="18"/>
            <w:u w:val="single" w:color="auto"/>
            <w:color w:val="0000EE"/>
          </w:rPr>
          <w:t>Form of Notice of Performance-Vesting Restricted Share Unit Award for grants pursuant to the Activision Blizzard, Inc. 2014 Incentive Plan</w:t>
        </w:r>
      </w:hyperlink>
      <w:r>
        <w:rPr>
          <w:rFonts w:ascii="Times New Roman" w:cs="Times New Roman" w:eastAsia="Times New Roman" w:hAnsi="Times New Roman"/>
          <w:sz w:val="18"/>
          <w:szCs w:val="18"/>
          <w:u w:val="single" w:color="auto"/>
          <w:color w:val="0000EE"/>
        </w:rPr>
        <w:t xml:space="preserve"> </w:t>
      </w:r>
      <w:hyperlink r:id="rId204">
        <w:r>
          <w:rPr>
            <w:rFonts w:ascii="Times New Roman" w:cs="Times New Roman" w:eastAsia="Times New Roman" w:hAnsi="Times New Roman"/>
            <w:sz w:val="18"/>
            <w:szCs w:val="18"/>
            <w:u w:val="single" w:color="auto"/>
            <w:color w:val="0000EE"/>
          </w:rPr>
          <w:t>(effective as of July 29, 2014) (incorporated by reference to Exhibit 10.3 of the Company's Form 10-Q for the quarter ended September 30,</w:t>
        </w:r>
      </w:hyperlink>
      <w:r>
        <w:rPr>
          <w:rFonts w:ascii="Times New Roman" w:cs="Times New Roman" w:eastAsia="Times New Roman" w:hAnsi="Times New Roman"/>
          <w:sz w:val="18"/>
          <w:szCs w:val="18"/>
          <w:u w:val="single" w:color="auto"/>
          <w:color w:val="0000EE"/>
        </w:rPr>
        <w:t xml:space="preserve"> </w:t>
      </w:r>
      <w:hyperlink r:id="rId204">
        <w:r>
          <w:rPr>
            <w:rFonts w:ascii="Times New Roman" w:cs="Times New Roman" w:eastAsia="Times New Roman" w:hAnsi="Times New Roman"/>
            <w:sz w:val="18"/>
            <w:szCs w:val="18"/>
            <w:u w:val="single" w:color="auto"/>
            <w:color w:val="0000EE"/>
          </w:rPr>
          <w:t>2014).</w:t>
        </w:r>
      </w:hyperlink>
    </w:p>
    <w:p>
      <w:pPr>
        <w:spacing w:after="0" w:line="213" w:lineRule="exact"/>
        <w:rPr>
          <w:rFonts w:ascii="Times New Roman" w:cs="Times New Roman" w:eastAsia="Times New Roman" w:hAnsi="Times New Roman"/>
          <w:sz w:val="18"/>
          <w:szCs w:val="18"/>
          <w:u w:val="single" w:color="auto"/>
          <w:color w:val="0000EE"/>
        </w:rPr>
      </w:pPr>
    </w:p>
    <w:p>
      <w:pPr>
        <w:ind w:left="1280" w:right="100" w:hanging="644"/>
        <w:spacing w:after="0" w:line="339" w:lineRule="auto"/>
        <w:tabs>
          <w:tab w:leader="none" w:pos="126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205">
        <w:r>
          <w:rPr>
            <w:rFonts w:ascii="Times New Roman" w:cs="Times New Roman" w:eastAsia="Times New Roman" w:hAnsi="Times New Roman"/>
            <w:sz w:val="16"/>
            <w:szCs w:val="16"/>
            <w:u w:val="single" w:color="auto"/>
            <w:color w:val="0000EE"/>
          </w:rPr>
          <w:t>Form of Notice of Stock Option Award for grants to U.S. employees pursuant to the Activision Blizzard, Inc. 2014 Incentive Plan (effective as</w:t>
        </w:r>
      </w:hyperlink>
      <w:r>
        <w:rPr>
          <w:rFonts w:ascii="Times New Roman" w:cs="Times New Roman" w:eastAsia="Times New Roman" w:hAnsi="Times New Roman"/>
          <w:sz w:val="16"/>
          <w:szCs w:val="16"/>
          <w:u w:val="single" w:color="auto"/>
          <w:color w:val="0000EE"/>
        </w:rPr>
        <w:t xml:space="preserve"> </w:t>
      </w:r>
      <w:hyperlink r:id="rId205">
        <w:r>
          <w:rPr>
            <w:rFonts w:ascii="Times New Roman" w:cs="Times New Roman" w:eastAsia="Times New Roman" w:hAnsi="Times New Roman"/>
            <w:sz w:val="16"/>
            <w:szCs w:val="16"/>
            <w:u w:val="single" w:color="auto"/>
            <w:color w:val="0000EE"/>
          </w:rPr>
          <w:t>of November 1, 2016) (incorporated by reference to Exhibit 10.44 of the Company's Form 10-K for the year ended December 31, 2016).</w:t>
        </w:r>
      </w:hyperlink>
    </w:p>
    <w:p>
      <w:pPr>
        <w:spacing w:after="0" w:line="156" w:lineRule="exact"/>
        <w:rPr>
          <w:sz w:val="20"/>
          <w:szCs w:val="20"/>
          <w:color w:val="auto"/>
        </w:rPr>
      </w:pPr>
    </w:p>
    <w:p>
      <w:pPr>
        <w:ind w:left="1280" w:right="120" w:hanging="644"/>
        <w:spacing w:after="0" w:line="262"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206">
        <w:r>
          <w:rPr>
            <w:rFonts w:ascii="Times New Roman" w:cs="Times New Roman" w:eastAsia="Times New Roman" w:hAnsi="Times New Roman"/>
            <w:sz w:val="18"/>
            <w:szCs w:val="18"/>
            <w:u w:val="single" w:color="auto"/>
            <w:color w:val="0000EE"/>
          </w:rPr>
          <w:t>Form of Notice of Stock Option Award for grants to non-U.S. employees pursuant to the Activision Blizzard, Inc. 2014 Incentive Plan</w:t>
        </w:r>
      </w:hyperlink>
      <w:r>
        <w:rPr>
          <w:rFonts w:ascii="Times New Roman" w:cs="Times New Roman" w:eastAsia="Times New Roman" w:hAnsi="Times New Roman"/>
          <w:sz w:val="18"/>
          <w:szCs w:val="18"/>
          <w:u w:val="single" w:color="auto"/>
          <w:color w:val="0000EE"/>
        </w:rPr>
        <w:t xml:space="preserve"> </w:t>
      </w:r>
      <w:hyperlink r:id="rId206">
        <w:r>
          <w:rPr>
            <w:rFonts w:ascii="Times New Roman" w:cs="Times New Roman" w:eastAsia="Times New Roman" w:hAnsi="Times New Roman"/>
            <w:sz w:val="18"/>
            <w:szCs w:val="18"/>
            <w:u w:val="single" w:color="auto"/>
            <w:color w:val="0000EE"/>
          </w:rPr>
          <w:t>(effective as of November 1, 2016) (incorporated by reference to Exhibit 10.45 of the Company's Form 10-K for the year ended December 31,</w:t>
        </w:r>
      </w:hyperlink>
      <w:r>
        <w:rPr>
          <w:rFonts w:ascii="Times New Roman" w:cs="Times New Roman" w:eastAsia="Times New Roman" w:hAnsi="Times New Roman"/>
          <w:sz w:val="18"/>
          <w:szCs w:val="18"/>
          <w:u w:val="single" w:color="auto"/>
          <w:color w:val="0000EE"/>
        </w:rPr>
        <w:t xml:space="preserve"> </w:t>
      </w:r>
      <w:hyperlink r:id="rId206">
        <w:r>
          <w:rPr>
            <w:rFonts w:ascii="Times New Roman" w:cs="Times New Roman" w:eastAsia="Times New Roman" w:hAnsi="Times New Roman"/>
            <w:sz w:val="18"/>
            <w:szCs w:val="18"/>
            <w:u w:val="single" w:color="auto"/>
            <w:color w:val="0000EE"/>
          </w:rPr>
          <w:t>2016).</w:t>
        </w:r>
      </w:hyperlink>
    </w:p>
    <w:p>
      <w:pPr>
        <w:spacing w:after="0" w:line="213" w:lineRule="exact"/>
        <w:rPr>
          <w:rFonts w:ascii="Times New Roman" w:cs="Times New Roman" w:eastAsia="Times New Roman" w:hAnsi="Times New Roman"/>
          <w:sz w:val="18"/>
          <w:szCs w:val="18"/>
          <w:u w:val="single" w:color="auto"/>
          <w:color w:val="0000EE"/>
        </w:rPr>
      </w:pPr>
    </w:p>
    <w:p>
      <w:pPr>
        <w:jc w:val="both"/>
        <w:ind w:left="1280" w:right="60" w:hanging="644"/>
        <w:spacing w:after="0" w:line="262"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207">
        <w:r>
          <w:rPr>
            <w:rFonts w:ascii="Times New Roman" w:cs="Times New Roman" w:eastAsia="Times New Roman" w:hAnsi="Times New Roman"/>
            <w:sz w:val="18"/>
            <w:szCs w:val="18"/>
            <w:u w:val="single" w:color="auto"/>
            <w:color w:val="0000EE"/>
          </w:rPr>
          <w:t>Form of Notice of Restricted Share Unit Award for grants to non-U.S. employees pursuant to the Activision Blizzard, Inc. 2014 Incentive Plan</w:t>
        </w:r>
      </w:hyperlink>
      <w:r>
        <w:rPr>
          <w:rFonts w:ascii="Times New Roman" w:cs="Times New Roman" w:eastAsia="Times New Roman" w:hAnsi="Times New Roman"/>
          <w:sz w:val="18"/>
          <w:szCs w:val="18"/>
          <w:u w:val="single" w:color="auto"/>
          <w:color w:val="0000EE"/>
        </w:rPr>
        <w:t xml:space="preserve"> </w:t>
      </w:r>
      <w:hyperlink r:id="rId207">
        <w:r>
          <w:rPr>
            <w:rFonts w:ascii="Times New Roman" w:cs="Times New Roman" w:eastAsia="Times New Roman" w:hAnsi="Times New Roman"/>
            <w:sz w:val="18"/>
            <w:szCs w:val="18"/>
            <w:u w:val="single" w:color="auto"/>
            <w:color w:val="0000EE"/>
          </w:rPr>
          <w:t>(effective as of November 1, 2016) (incorporated by reference to Exhibit 10.46 of the Company's Form 10-K for the year ended December 31,</w:t>
        </w:r>
      </w:hyperlink>
      <w:r>
        <w:rPr>
          <w:rFonts w:ascii="Times New Roman" w:cs="Times New Roman" w:eastAsia="Times New Roman" w:hAnsi="Times New Roman"/>
          <w:sz w:val="18"/>
          <w:szCs w:val="18"/>
          <w:u w:val="single" w:color="auto"/>
          <w:color w:val="0000EE"/>
        </w:rPr>
        <w:t xml:space="preserve"> </w:t>
      </w:r>
      <w:hyperlink r:id="rId207">
        <w:r>
          <w:rPr>
            <w:rFonts w:ascii="Times New Roman" w:cs="Times New Roman" w:eastAsia="Times New Roman" w:hAnsi="Times New Roman"/>
            <w:sz w:val="18"/>
            <w:szCs w:val="18"/>
            <w:u w:val="single" w:color="auto"/>
            <w:color w:val="0000EE"/>
          </w:rPr>
          <w:t>2016).</w:t>
        </w:r>
      </w:hyperlink>
    </w:p>
    <w:p>
      <w:pPr>
        <w:spacing w:after="0" w:line="213" w:lineRule="exact"/>
        <w:rPr>
          <w:rFonts w:ascii="Times New Roman" w:cs="Times New Roman" w:eastAsia="Times New Roman" w:hAnsi="Times New Roman"/>
          <w:sz w:val="18"/>
          <w:szCs w:val="18"/>
          <w:u w:val="single" w:color="auto"/>
          <w:color w:val="0000EE"/>
        </w:rPr>
      </w:pPr>
    </w:p>
    <w:p>
      <w:pPr>
        <w:ind w:left="1280" w:right="120" w:hanging="644"/>
        <w:spacing w:after="0" w:line="275"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208">
        <w:r>
          <w:rPr>
            <w:rFonts w:ascii="Times New Roman" w:cs="Times New Roman" w:eastAsia="Times New Roman" w:hAnsi="Times New Roman"/>
            <w:sz w:val="18"/>
            <w:szCs w:val="18"/>
            <w:u w:val="single" w:color="auto"/>
            <w:color w:val="0000EE"/>
          </w:rPr>
          <w:t>Form of Notice of Stock Option Award for grants pursuant to the Activision Blizzard, Inc. 2014 Incentive Plan (effective as of March 2, 2017)</w:t>
        </w:r>
      </w:hyperlink>
      <w:r>
        <w:rPr>
          <w:rFonts w:ascii="Times New Roman" w:cs="Times New Roman" w:eastAsia="Times New Roman" w:hAnsi="Times New Roman"/>
          <w:sz w:val="18"/>
          <w:szCs w:val="18"/>
          <w:u w:val="single" w:color="auto"/>
          <w:color w:val="0000EE"/>
        </w:rPr>
        <w:t xml:space="preserve"> </w:t>
      </w:r>
      <w:hyperlink r:id="rId208">
        <w:r>
          <w:rPr>
            <w:rFonts w:ascii="Times New Roman" w:cs="Times New Roman" w:eastAsia="Times New Roman" w:hAnsi="Times New Roman"/>
            <w:sz w:val="18"/>
            <w:szCs w:val="18"/>
            <w:u w:val="single" w:color="auto"/>
            <w:color w:val="0000EE"/>
          </w:rPr>
          <w:t>(incorporated by reference to Exhibit 10.2 of the Company's Form 10-Q for the quarter ended March 31, 2017).</w:t>
        </w:r>
      </w:hyperlink>
    </w:p>
    <w:p>
      <w:pPr>
        <w:spacing w:after="0" w:line="201" w:lineRule="exact"/>
        <w:rPr>
          <w:sz w:val="20"/>
          <w:szCs w:val="20"/>
          <w:color w:val="auto"/>
        </w:rPr>
      </w:pPr>
    </w:p>
    <w:p>
      <w:pPr>
        <w:ind w:left="1280" w:right="60" w:hanging="644"/>
        <w:spacing w:after="0" w:line="339" w:lineRule="auto"/>
        <w:tabs>
          <w:tab w:leader="none" w:pos="126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209">
        <w:r>
          <w:rPr>
            <w:rFonts w:ascii="Times New Roman" w:cs="Times New Roman" w:eastAsia="Times New Roman" w:hAnsi="Times New Roman"/>
            <w:sz w:val="16"/>
            <w:szCs w:val="16"/>
            <w:u w:val="single" w:color="auto"/>
            <w:color w:val="0000EE"/>
          </w:rPr>
          <w:t>Form of Notice of Performance-Vesting Restricted Share Unit Award for grants pursuant to the Activision Blizzard, Inc. 2014 Incentive Plan</w:t>
        </w:r>
      </w:hyperlink>
      <w:r>
        <w:rPr>
          <w:rFonts w:ascii="Times New Roman" w:cs="Times New Roman" w:eastAsia="Times New Roman" w:hAnsi="Times New Roman"/>
          <w:sz w:val="16"/>
          <w:szCs w:val="16"/>
          <w:u w:val="single" w:color="auto"/>
          <w:color w:val="0000EE"/>
        </w:rPr>
        <w:t xml:space="preserve"> </w:t>
      </w:r>
      <w:hyperlink r:id="rId209">
        <w:r>
          <w:rPr>
            <w:rFonts w:ascii="Times New Roman" w:cs="Times New Roman" w:eastAsia="Times New Roman" w:hAnsi="Times New Roman"/>
            <w:sz w:val="16"/>
            <w:szCs w:val="16"/>
            <w:u w:val="single" w:color="auto"/>
            <w:color w:val="0000EE"/>
          </w:rPr>
          <w:t>(effective as of March 2, 2017) (incorporated by reference to Exhibit 10.3 of the Company's Form 10-Q for the quarter ended March 31, 2017).</w:t>
        </w:r>
      </w:hyperlink>
    </w:p>
    <w:p>
      <w:pPr>
        <w:spacing w:after="0" w:line="156" w:lineRule="exact"/>
        <w:rPr>
          <w:sz w:val="20"/>
          <w:szCs w:val="20"/>
          <w:color w:val="auto"/>
        </w:rPr>
      </w:pPr>
    </w:p>
    <w:p>
      <w:pPr>
        <w:ind w:left="1280" w:right="240" w:hanging="644"/>
        <w:spacing w:after="0" w:line="275"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w:anchor="page163">
        <w:r>
          <w:rPr>
            <w:rFonts w:ascii="Times New Roman" w:cs="Times New Roman" w:eastAsia="Times New Roman" w:hAnsi="Times New Roman"/>
            <w:sz w:val="18"/>
            <w:szCs w:val="18"/>
            <w:u w:val="single" w:color="auto"/>
            <w:color w:val="0000EE"/>
          </w:rPr>
          <w:t>Form of Notice of Performance-Vesting Restricted Share Unit Award for grants pursuant to the Activision Blizzard, Inc. 2014 Incentive Plan</w:t>
        </w:r>
      </w:hyperlink>
      <w:r>
        <w:rPr>
          <w:rFonts w:ascii="Times New Roman" w:cs="Times New Roman" w:eastAsia="Times New Roman" w:hAnsi="Times New Roman"/>
          <w:sz w:val="18"/>
          <w:szCs w:val="18"/>
          <w:u w:val="single" w:color="auto"/>
          <w:color w:val="0000EE"/>
        </w:rPr>
        <w:t xml:space="preserve"> </w:t>
      </w:r>
      <w:hyperlink w:anchor="page163">
        <w:r>
          <w:rPr>
            <w:rFonts w:ascii="Times New Roman" w:cs="Times New Roman" w:eastAsia="Times New Roman" w:hAnsi="Times New Roman"/>
            <w:sz w:val="18"/>
            <w:szCs w:val="18"/>
            <w:u w:val="single" w:color="auto"/>
            <w:color w:val="0000EE"/>
          </w:rPr>
          <w:t>(effective as of November 26, 2018).</w:t>
        </w:r>
      </w:hyperlink>
    </w:p>
    <w:p>
      <w:pPr>
        <w:spacing w:after="0" w:line="201" w:lineRule="exact"/>
        <w:rPr>
          <w:sz w:val="20"/>
          <w:szCs w:val="20"/>
          <w:color w:val="auto"/>
        </w:rPr>
      </w:pPr>
    </w:p>
    <w:p>
      <w:pPr>
        <w:ind w:left="640"/>
        <w:spacing w:after="0"/>
        <w:tabs>
          <w:tab w:leader="none" w:pos="126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w:anchor="page209">
        <w:r>
          <w:rPr>
            <w:rFonts w:ascii="Times New Roman" w:cs="Times New Roman" w:eastAsia="Times New Roman" w:hAnsi="Times New Roman"/>
            <w:sz w:val="16"/>
            <w:szCs w:val="16"/>
            <w:u w:val="single" w:color="auto"/>
            <w:color w:val="0000EE"/>
          </w:rPr>
          <w:t>Form of Notice of Stock Option Award for grants pursuant to the Activision Blizzard, Inc. 2014 Incentive Plan (effective as of October 26,</w:t>
        </w:r>
      </w:hyperlink>
    </w:p>
    <w:p>
      <w:pPr>
        <w:spacing w:after="0" w:line="21" w:lineRule="exact"/>
        <w:rPr>
          <w:sz w:val="20"/>
          <w:szCs w:val="20"/>
          <w:color w:val="auto"/>
        </w:rPr>
      </w:pPr>
    </w:p>
    <w:p>
      <w:pPr>
        <w:ind w:left="1280"/>
        <w:spacing w:after="0"/>
        <w:rPr>
          <w:rFonts w:ascii="Times New Roman" w:cs="Times New Roman" w:eastAsia="Times New Roman" w:hAnsi="Times New Roman"/>
          <w:sz w:val="18"/>
          <w:szCs w:val="18"/>
          <w:u w:val="single" w:color="auto"/>
          <w:color w:val="0000EE"/>
        </w:rPr>
      </w:pPr>
      <w:hyperlink w:anchor="page209">
        <w:r>
          <w:rPr>
            <w:rFonts w:ascii="Times New Roman" w:cs="Times New Roman" w:eastAsia="Times New Roman" w:hAnsi="Times New Roman"/>
            <w:sz w:val="18"/>
            <w:szCs w:val="18"/>
            <w:u w:val="single" w:color="auto"/>
            <w:color w:val="0000EE"/>
          </w:rPr>
          <w:t>2018).</w:t>
        </w:r>
      </w:hyperlink>
    </w:p>
    <w:p>
      <w:pPr>
        <w:spacing w:after="0" w:line="240" w:lineRule="exact"/>
        <w:rPr>
          <w:sz w:val="20"/>
          <w:szCs w:val="20"/>
          <w:color w:val="auto"/>
        </w:rPr>
      </w:pPr>
    </w:p>
    <w:p>
      <w:pPr>
        <w:ind w:left="1280" w:right="400" w:hanging="644"/>
        <w:spacing w:after="0" w:line="275"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210">
        <w:r>
          <w:rPr>
            <w:rFonts w:ascii="Times New Roman" w:cs="Times New Roman" w:eastAsia="Times New Roman" w:hAnsi="Times New Roman"/>
            <w:sz w:val="18"/>
            <w:szCs w:val="18"/>
            <w:u w:val="single" w:color="auto"/>
            <w:color w:val="0000EE"/>
          </w:rPr>
          <w:t>Amended and Restated CEO Recognition Program (incorporated by reference to Exhibit 10.6 of the Company's Form 10-Q for the quarter</w:t>
        </w:r>
      </w:hyperlink>
      <w:r>
        <w:rPr>
          <w:rFonts w:ascii="Times New Roman" w:cs="Times New Roman" w:eastAsia="Times New Roman" w:hAnsi="Times New Roman"/>
          <w:sz w:val="18"/>
          <w:szCs w:val="18"/>
          <w:u w:val="single" w:color="auto"/>
          <w:color w:val="0000EE"/>
        </w:rPr>
        <w:t xml:space="preserve"> </w:t>
      </w:r>
      <w:hyperlink r:id="rId210">
        <w:r>
          <w:rPr>
            <w:rFonts w:ascii="Times New Roman" w:cs="Times New Roman" w:eastAsia="Times New Roman" w:hAnsi="Times New Roman"/>
            <w:sz w:val="18"/>
            <w:szCs w:val="18"/>
            <w:u w:val="single" w:color="auto"/>
            <w:color w:val="0000EE"/>
          </w:rPr>
          <w:t>ended June 30, 2014).</w:t>
        </w:r>
      </w:hyperlink>
    </w:p>
    <w:p>
      <w:pPr>
        <w:spacing w:after="0" w:line="201" w:lineRule="exact"/>
        <w:rPr>
          <w:sz w:val="20"/>
          <w:szCs w:val="20"/>
          <w:color w:val="auto"/>
        </w:rPr>
      </w:pPr>
    </w:p>
    <w:p>
      <w:pPr>
        <w:ind w:left="1280" w:right="420" w:hanging="644"/>
        <w:spacing w:after="0" w:line="275"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211">
        <w:r>
          <w:rPr>
            <w:rFonts w:ascii="Times New Roman" w:cs="Times New Roman" w:eastAsia="Times New Roman" w:hAnsi="Times New Roman"/>
            <w:sz w:val="18"/>
            <w:szCs w:val="18"/>
            <w:u w:val="single" w:color="auto"/>
            <w:color w:val="0000EE"/>
          </w:rPr>
          <w:t>Activision Blizzard, Inc. Corporate Annual Incentive Plan (incorporated by reference to Exhibit 10.1 of the Company's Form 10-Q for the</w:t>
        </w:r>
      </w:hyperlink>
      <w:r>
        <w:rPr>
          <w:rFonts w:ascii="Times New Roman" w:cs="Times New Roman" w:eastAsia="Times New Roman" w:hAnsi="Times New Roman"/>
          <w:sz w:val="18"/>
          <w:szCs w:val="18"/>
          <w:u w:val="single" w:color="auto"/>
          <w:color w:val="0000EE"/>
        </w:rPr>
        <w:t xml:space="preserve"> </w:t>
      </w:r>
      <w:hyperlink r:id="rId211">
        <w:r>
          <w:rPr>
            <w:rFonts w:ascii="Times New Roman" w:cs="Times New Roman" w:eastAsia="Times New Roman" w:hAnsi="Times New Roman"/>
            <w:sz w:val="18"/>
            <w:szCs w:val="18"/>
            <w:u w:val="single" w:color="auto"/>
            <w:color w:val="0000EE"/>
          </w:rPr>
          <w:t>quarter ended September 30, 2015).</w:t>
        </w:r>
      </w:hyperlink>
    </w:p>
    <w:p>
      <w:pPr>
        <w:spacing w:after="0" w:line="201" w:lineRule="exact"/>
        <w:rPr>
          <w:sz w:val="20"/>
          <w:szCs w:val="20"/>
          <w:color w:val="auto"/>
        </w:rPr>
      </w:pPr>
    </w:p>
    <w:p>
      <w:pPr>
        <w:ind w:left="640"/>
        <w:spacing w:after="0"/>
        <w:tabs>
          <w:tab w:leader="none" w:pos="126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w:anchor="page256">
        <w:r>
          <w:rPr>
            <w:rFonts w:ascii="Times New Roman" w:cs="Times New Roman" w:eastAsia="Times New Roman" w:hAnsi="Times New Roman"/>
            <w:sz w:val="16"/>
            <w:szCs w:val="16"/>
            <w:u w:val="single" w:color="auto"/>
            <w:color w:val="0000EE"/>
          </w:rPr>
          <w:t>Employment Agreement, dated February 25, 2019, between Dennis Durkin and the Company.</w:t>
        </w:r>
      </w:hyperlink>
    </w:p>
    <w:p>
      <w:pPr>
        <w:spacing w:after="0" w:line="252" w:lineRule="exact"/>
        <w:rPr>
          <w:sz w:val="20"/>
          <w:szCs w:val="20"/>
          <w:color w:val="auto"/>
        </w:rPr>
      </w:pPr>
    </w:p>
    <w:p>
      <w:pPr>
        <w:ind w:left="1280" w:right="800" w:hanging="644"/>
        <w:spacing w:after="0" w:line="275"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212">
        <w:r>
          <w:rPr>
            <w:rFonts w:ascii="Times New Roman" w:cs="Times New Roman" w:eastAsia="Times New Roman" w:hAnsi="Times New Roman"/>
            <w:sz w:val="18"/>
            <w:szCs w:val="18"/>
            <w:u w:val="single" w:color="auto"/>
            <w:color w:val="0000EE"/>
          </w:rPr>
          <w:t>Employment Agreement, dated as of November 22, 2016, between Robert A. Kotick and the Company (incorporated by reference to</w:t>
        </w:r>
      </w:hyperlink>
      <w:r>
        <w:rPr>
          <w:rFonts w:ascii="Times New Roman" w:cs="Times New Roman" w:eastAsia="Times New Roman" w:hAnsi="Times New Roman"/>
          <w:sz w:val="18"/>
          <w:szCs w:val="18"/>
          <w:u w:val="single" w:color="auto"/>
          <w:color w:val="0000EE"/>
        </w:rPr>
        <w:t xml:space="preserve"> </w:t>
      </w:r>
      <w:hyperlink r:id="rId212">
        <w:r>
          <w:rPr>
            <w:rFonts w:ascii="Times New Roman" w:cs="Times New Roman" w:eastAsia="Times New Roman" w:hAnsi="Times New Roman"/>
            <w:sz w:val="18"/>
            <w:szCs w:val="18"/>
            <w:u w:val="single" w:color="auto"/>
            <w:color w:val="0000EE"/>
          </w:rPr>
          <w:t>Exhibit 10.1 of the Company's Form 8-K, filed November 25, 2016).</w:t>
        </w:r>
      </w:hyperlink>
    </w:p>
    <w:p>
      <w:pPr>
        <w:spacing w:after="0" w:line="201" w:lineRule="exact"/>
        <w:rPr>
          <w:sz w:val="20"/>
          <w:szCs w:val="20"/>
          <w:color w:val="auto"/>
        </w:rPr>
      </w:pPr>
    </w:p>
    <w:p>
      <w:pPr>
        <w:ind w:left="640"/>
        <w:spacing w:after="0"/>
        <w:tabs>
          <w:tab w:leader="none" w:pos="126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w:anchor="page274">
        <w:r>
          <w:rPr>
            <w:rFonts w:ascii="Times New Roman" w:cs="Times New Roman" w:eastAsia="Times New Roman" w:hAnsi="Times New Roman"/>
            <w:sz w:val="16"/>
            <w:szCs w:val="16"/>
            <w:u w:val="single" w:color="auto"/>
            <w:color w:val="0000EE"/>
          </w:rPr>
          <w:t>Form of Notice of Performance Share Unit Award to Robert A. Kotick.</w:t>
        </w:r>
      </w:hyperlink>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6" w:name="page157"/>
    <w:bookmarkEnd w:id="15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100"/>
        <w:spacing w:after="0"/>
        <w:tabs>
          <w:tab w:leader="none" w:pos="612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640"/>
        <w:spacing w:after="0"/>
        <w:tabs>
          <w:tab w:leader="none" w:pos="126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w:anchor="page285">
        <w:r>
          <w:rPr>
            <w:rFonts w:ascii="Times New Roman" w:cs="Times New Roman" w:eastAsia="Times New Roman" w:hAnsi="Times New Roman"/>
            <w:sz w:val="16"/>
            <w:szCs w:val="16"/>
            <w:u w:val="single" w:color="auto"/>
            <w:color w:val="0000EE"/>
          </w:rPr>
          <w:t>Form of Notice of Stock Option Award to Robert A. Kotick.</w:t>
        </w:r>
      </w:hyperlink>
    </w:p>
    <w:p>
      <w:pPr>
        <w:spacing w:after="0" w:line="238" w:lineRule="exact"/>
        <w:rPr>
          <w:sz w:val="20"/>
          <w:szCs w:val="20"/>
          <w:color w:val="auto"/>
        </w:rPr>
      </w:pPr>
    </w:p>
    <w:p>
      <w:pPr>
        <w:ind w:left="640"/>
        <w:spacing w:after="0"/>
        <w:tabs>
          <w:tab w:leader="none" w:pos="126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w:anchor="page296">
        <w:r>
          <w:rPr>
            <w:rFonts w:ascii="Times New Roman" w:cs="Times New Roman" w:eastAsia="Times New Roman" w:hAnsi="Times New Roman"/>
            <w:sz w:val="16"/>
            <w:szCs w:val="16"/>
            <w:u w:val="single" w:color="auto"/>
            <w:color w:val="0000EE"/>
          </w:rPr>
          <w:t>Employment Letter, dated October 3, 2018, to Michael Morhaime from the Company.</w:t>
        </w:r>
      </w:hyperlink>
    </w:p>
    <w:p>
      <w:pPr>
        <w:spacing w:after="0" w:line="252" w:lineRule="exact"/>
        <w:rPr>
          <w:sz w:val="20"/>
          <w:szCs w:val="20"/>
          <w:color w:val="auto"/>
        </w:rPr>
      </w:pPr>
    </w:p>
    <w:p>
      <w:pPr>
        <w:ind w:left="1280" w:right="200" w:hanging="644"/>
        <w:spacing w:after="0" w:line="275"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215">
        <w:r>
          <w:rPr>
            <w:rFonts w:ascii="Times New Roman" w:cs="Times New Roman" w:eastAsia="Times New Roman" w:hAnsi="Times New Roman"/>
            <w:sz w:val="18"/>
            <w:szCs w:val="18"/>
            <w:u w:val="single" w:color="auto"/>
            <w:color w:val="0000EE"/>
          </w:rPr>
          <w:t>Service Agreement, dated November 2, 2015, between Riccardo Zacconi and the Company (incorporated by reference to Exhibit 10.4 of the</w:t>
        </w:r>
      </w:hyperlink>
      <w:r>
        <w:rPr>
          <w:rFonts w:ascii="Times New Roman" w:cs="Times New Roman" w:eastAsia="Times New Roman" w:hAnsi="Times New Roman"/>
          <w:sz w:val="18"/>
          <w:szCs w:val="18"/>
          <w:u w:val="single" w:color="auto"/>
          <w:color w:val="0000EE"/>
        </w:rPr>
        <w:t xml:space="preserve"> </w:t>
      </w:r>
      <w:hyperlink r:id="rId215">
        <w:r>
          <w:rPr>
            <w:rFonts w:ascii="Times New Roman" w:cs="Times New Roman" w:eastAsia="Times New Roman" w:hAnsi="Times New Roman"/>
            <w:sz w:val="18"/>
            <w:szCs w:val="18"/>
            <w:u w:val="single" w:color="auto"/>
            <w:color w:val="0000EE"/>
          </w:rPr>
          <w:t>Company's Form 10-Q for the quarter ended March 31, 2017).</w:t>
        </w:r>
      </w:hyperlink>
    </w:p>
    <w:p>
      <w:pPr>
        <w:spacing w:after="0" w:line="201" w:lineRule="exact"/>
        <w:rPr>
          <w:sz w:val="20"/>
          <w:szCs w:val="20"/>
          <w:color w:val="auto"/>
        </w:rPr>
      </w:pPr>
    </w:p>
    <w:p>
      <w:pPr>
        <w:ind w:left="1280" w:right="380" w:hanging="644"/>
        <w:spacing w:after="0" w:line="275"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216">
        <w:r>
          <w:rPr>
            <w:rFonts w:ascii="Times New Roman" w:cs="Times New Roman" w:eastAsia="Times New Roman" w:hAnsi="Times New Roman"/>
            <w:sz w:val="18"/>
            <w:szCs w:val="18"/>
            <w:u w:val="single" w:color="auto"/>
            <w:color w:val="0000EE"/>
          </w:rPr>
          <w:t>Individual Option and Subscription Agreement, dated as of January 31, 2014 (incorporated by reference to Exhibit 10.5 of the Company's</w:t>
        </w:r>
      </w:hyperlink>
      <w:r>
        <w:rPr>
          <w:rFonts w:ascii="Times New Roman" w:cs="Times New Roman" w:eastAsia="Times New Roman" w:hAnsi="Times New Roman"/>
          <w:sz w:val="18"/>
          <w:szCs w:val="18"/>
          <w:u w:val="single" w:color="auto"/>
          <w:color w:val="0000EE"/>
        </w:rPr>
        <w:t xml:space="preserve"> </w:t>
      </w:r>
      <w:hyperlink r:id="rId216">
        <w:r>
          <w:rPr>
            <w:rFonts w:ascii="Times New Roman" w:cs="Times New Roman" w:eastAsia="Times New Roman" w:hAnsi="Times New Roman"/>
            <w:sz w:val="18"/>
            <w:szCs w:val="18"/>
            <w:u w:val="single" w:color="auto"/>
            <w:color w:val="0000EE"/>
          </w:rPr>
          <w:t>Form 10-Q for the quarter ended March 31, 2017).</w:t>
        </w:r>
      </w:hyperlink>
    </w:p>
    <w:p>
      <w:pPr>
        <w:spacing w:after="0" w:line="201" w:lineRule="exact"/>
        <w:rPr>
          <w:sz w:val="20"/>
          <w:szCs w:val="20"/>
          <w:color w:val="auto"/>
        </w:rPr>
      </w:pPr>
    </w:p>
    <w:p>
      <w:pPr>
        <w:ind w:left="1280" w:right="620" w:hanging="644"/>
        <w:spacing w:after="0" w:line="275"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217">
        <w:r>
          <w:rPr>
            <w:rFonts w:ascii="Times New Roman" w:cs="Times New Roman" w:eastAsia="Times New Roman" w:hAnsi="Times New Roman"/>
            <w:sz w:val="18"/>
            <w:szCs w:val="18"/>
            <w:u w:val="single" w:color="auto"/>
            <w:color w:val="0000EE"/>
          </w:rPr>
          <w:t>Option Exchange/Supplemental Subscription Agreement, dated as of March 21, 2014 (incorporated by reference to Exhibit 10.6 of the</w:t>
        </w:r>
      </w:hyperlink>
      <w:r>
        <w:rPr>
          <w:rFonts w:ascii="Times New Roman" w:cs="Times New Roman" w:eastAsia="Times New Roman" w:hAnsi="Times New Roman"/>
          <w:sz w:val="18"/>
          <w:szCs w:val="18"/>
          <w:u w:val="single" w:color="auto"/>
          <w:color w:val="0000EE"/>
        </w:rPr>
        <w:t xml:space="preserve"> </w:t>
      </w:r>
      <w:hyperlink r:id="rId217">
        <w:r>
          <w:rPr>
            <w:rFonts w:ascii="Times New Roman" w:cs="Times New Roman" w:eastAsia="Times New Roman" w:hAnsi="Times New Roman"/>
            <w:sz w:val="18"/>
            <w:szCs w:val="18"/>
            <w:u w:val="single" w:color="auto"/>
            <w:color w:val="0000EE"/>
          </w:rPr>
          <w:t>Company's Form 10-Q for the quarter ended March 31, 2017).</w:t>
        </w:r>
      </w:hyperlink>
    </w:p>
    <w:p>
      <w:pPr>
        <w:spacing w:after="0" w:line="201" w:lineRule="exact"/>
        <w:rPr>
          <w:sz w:val="20"/>
          <w:szCs w:val="20"/>
          <w:color w:val="auto"/>
        </w:rPr>
      </w:pPr>
    </w:p>
    <w:p>
      <w:pPr>
        <w:ind w:left="1280" w:right="20" w:hanging="644"/>
        <w:spacing w:after="0" w:line="275"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10.32*</w:t>
      </w:r>
      <w:r>
        <w:rPr>
          <w:sz w:val="20"/>
          <w:szCs w:val="20"/>
          <w:color w:val="auto"/>
        </w:rPr>
        <w:tab/>
      </w:r>
      <w:hyperlink r:id="rId218">
        <w:r>
          <w:rPr>
            <w:rFonts w:ascii="Times New Roman" w:cs="Times New Roman" w:eastAsia="Times New Roman" w:hAnsi="Times New Roman"/>
            <w:sz w:val="18"/>
            <w:szCs w:val="18"/>
            <w:u w:val="single" w:color="auto"/>
            <w:color w:val="0000EE"/>
          </w:rPr>
          <w:t>Notice of Share Option Grant, dated as of February 16, 2015, to Riccardo Zacconi (incorporated by reference to Exhibit 10.7 of the Company's</w:t>
        </w:r>
      </w:hyperlink>
      <w:r>
        <w:rPr>
          <w:rFonts w:ascii="Times New Roman" w:cs="Times New Roman" w:eastAsia="Times New Roman" w:hAnsi="Times New Roman"/>
          <w:sz w:val="18"/>
          <w:szCs w:val="18"/>
          <w:u w:val="single" w:color="auto"/>
          <w:color w:val="0000EE"/>
        </w:rPr>
        <w:t xml:space="preserve"> </w:t>
      </w:r>
      <w:hyperlink r:id="rId218">
        <w:r>
          <w:rPr>
            <w:rFonts w:ascii="Times New Roman" w:cs="Times New Roman" w:eastAsia="Times New Roman" w:hAnsi="Times New Roman"/>
            <w:sz w:val="18"/>
            <w:szCs w:val="18"/>
            <w:u w:val="single" w:color="auto"/>
            <w:color w:val="0000EE"/>
          </w:rPr>
          <w:t>Form 10-Q for the quarter ended March 31, 2017).</w:t>
        </w:r>
      </w:hyperlink>
    </w:p>
    <w:p>
      <w:pPr>
        <w:spacing w:after="0" w:line="201" w:lineRule="exact"/>
        <w:rPr>
          <w:sz w:val="20"/>
          <w:szCs w:val="20"/>
          <w:color w:val="auto"/>
        </w:rPr>
      </w:pPr>
    </w:p>
    <w:p>
      <w:pPr>
        <w:ind w:left="1280" w:right="200" w:hanging="644"/>
        <w:spacing w:after="0" w:line="275"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10.33*</w:t>
      </w:r>
      <w:r>
        <w:rPr>
          <w:sz w:val="20"/>
          <w:szCs w:val="20"/>
          <w:color w:val="auto"/>
        </w:rPr>
        <w:tab/>
      </w:r>
      <w:hyperlink r:id="rId219">
        <w:r>
          <w:rPr>
            <w:rFonts w:ascii="Times New Roman" w:cs="Times New Roman" w:eastAsia="Times New Roman" w:hAnsi="Times New Roman"/>
            <w:sz w:val="18"/>
            <w:szCs w:val="18"/>
            <w:u w:val="single" w:color="auto"/>
            <w:color w:val="0000EE"/>
          </w:rPr>
          <w:t>Notice of Restricted Stock Unit Award, dated as of February 16, 2015, to Riccardo Zacconi (incorporated by reference to Exhibit 10.8 of the</w:t>
        </w:r>
      </w:hyperlink>
      <w:r>
        <w:rPr>
          <w:rFonts w:ascii="Times New Roman" w:cs="Times New Roman" w:eastAsia="Times New Roman" w:hAnsi="Times New Roman"/>
          <w:sz w:val="18"/>
          <w:szCs w:val="18"/>
          <w:u w:val="single" w:color="auto"/>
          <w:color w:val="0000EE"/>
        </w:rPr>
        <w:t xml:space="preserve"> </w:t>
      </w:r>
      <w:hyperlink r:id="rId219">
        <w:r>
          <w:rPr>
            <w:rFonts w:ascii="Times New Roman" w:cs="Times New Roman" w:eastAsia="Times New Roman" w:hAnsi="Times New Roman"/>
            <w:sz w:val="18"/>
            <w:szCs w:val="18"/>
            <w:u w:val="single" w:color="auto"/>
            <w:color w:val="0000EE"/>
          </w:rPr>
          <w:t>Company's Form 10-Q for the quarter ended March 31, 2017).</w:t>
        </w:r>
      </w:hyperlink>
    </w:p>
    <w:p>
      <w:pPr>
        <w:spacing w:after="0" w:line="201" w:lineRule="exact"/>
        <w:rPr>
          <w:sz w:val="20"/>
          <w:szCs w:val="20"/>
          <w:color w:val="auto"/>
        </w:rPr>
      </w:pPr>
    </w:p>
    <w:p>
      <w:pPr>
        <w:ind w:left="1280" w:right="100" w:hanging="644"/>
        <w:spacing w:after="0" w:line="275"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10.34*</w:t>
      </w:r>
      <w:r>
        <w:rPr>
          <w:sz w:val="20"/>
          <w:szCs w:val="20"/>
          <w:color w:val="auto"/>
        </w:rPr>
        <w:tab/>
      </w:r>
      <w:hyperlink r:id="rId220">
        <w:r>
          <w:rPr>
            <w:rFonts w:ascii="Times New Roman" w:cs="Times New Roman" w:eastAsia="Times New Roman" w:hAnsi="Times New Roman"/>
            <w:sz w:val="18"/>
            <w:szCs w:val="18"/>
            <w:u w:val="single" w:color="auto"/>
            <w:color w:val="0000EE"/>
          </w:rPr>
          <w:t>Notice of Restricted Stock Unit Award, dated as of November 10, 2015, to Riccardo Zacconi (incorporated by reference to Exhibit 10.9 of the</w:t>
        </w:r>
      </w:hyperlink>
      <w:r>
        <w:rPr>
          <w:rFonts w:ascii="Times New Roman" w:cs="Times New Roman" w:eastAsia="Times New Roman" w:hAnsi="Times New Roman"/>
          <w:sz w:val="18"/>
          <w:szCs w:val="18"/>
          <w:u w:val="single" w:color="auto"/>
          <w:color w:val="0000EE"/>
        </w:rPr>
        <w:t xml:space="preserve"> </w:t>
      </w:r>
      <w:hyperlink r:id="rId220">
        <w:r>
          <w:rPr>
            <w:rFonts w:ascii="Times New Roman" w:cs="Times New Roman" w:eastAsia="Times New Roman" w:hAnsi="Times New Roman"/>
            <w:sz w:val="18"/>
            <w:szCs w:val="18"/>
            <w:u w:val="single" w:color="auto"/>
            <w:color w:val="0000EE"/>
          </w:rPr>
          <w:t>Company's Form 10-Q for the quarter ended March 31, 2017).</w:t>
        </w:r>
      </w:hyperlink>
    </w:p>
    <w:p>
      <w:pPr>
        <w:spacing w:after="0" w:line="201" w:lineRule="exact"/>
        <w:rPr>
          <w:sz w:val="20"/>
          <w:szCs w:val="20"/>
          <w:color w:val="auto"/>
        </w:rPr>
      </w:pPr>
    </w:p>
    <w:p>
      <w:pPr>
        <w:ind w:left="1280" w:right="740" w:hanging="644"/>
        <w:spacing w:after="0" w:line="275"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10.35*</w:t>
      </w:r>
      <w:r>
        <w:rPr>
          <w:sz w:val="20"/>
          <w:szCs w:val="20"/>
          <w:color w:val="auto"/>
        </w:rPr>
        <w:tab/>
      </w:r>
      <w:hyperlink r:id="rId221">
        <w:r>
          <w:rPr>
            <w:rFonts w:ascii="Times New Roman" w:cs="Times New Roman" w:eastAsia="Times New Roman" w:hAnsi="Times New Roman"/>
            <w:sz w:val="18"/>
            <w:szCs w:val="18"/>
            <w:u w:val="single" w:color="auto"/>
            <w:color w:val="0000EE"/>
          </w:rPr>
          <w:t>Employment Agreement, dated May 10, 2017, between Activision Blizzard, Inc. and Collister Johnson (incorporated by reference to</w:t>
        </w:r>
      </w:hyperlink>
      <w:r>
        <w:rPr>
          <w:rFonts w:ascii="Times New Roman" w:cs="Times New Roman" w:eastAsia="Times New Roman" w:hAnsi="Times New Roman"/>
          <w:sz w:val="18"/>
          <w:szCs w:val="18"/>
          <w:u w:val="single" w:color="auto"/>
          <w:color w:val="0000EE"/>
        </w:rPr>
        <w:t xml:space="preserve"> </w:t>
      </w:r>
      <w:hyperlink r:id="rId221">
        <w:r>
          <w:rPr>
            <w:rFonts w:ascii="Times New Roman" w:cs="Times New Roman" w:eastAsia="Times New Roman" w:hAnsi="Times New Roman"/>
            <w:sz w:val="18"/>
            <w:szCs w:val="18"/>
            <w:u w:val="single" w:color="auto"/>
            <w:color w:val="0000EE"/>
          </w:rPr>
          <w:t>Exhibit 10.1 of the Company's Form 8-K, filed May 11, 2017).</w:t>
        </w:r>
      </w:hyperlink>
    </w:p>
    <w:p>
      <w:pPr>
        <w:spacing w:after="0" w:line="201" w:lineRule="exact"/>
        <w:rPr>
          <w:sz w:val="20"/>
          <w:szCs w:val="20"/>
          <w:color w:val="auto"/>
        </w:rPr>
      </w:pPr>
    </w:p>
    <w:p>
      <w:pPr>
        <w:ind w:left="1280" w:right="760" w:hanging="644"/>
        <w:spacing w:after="0" w:line="275"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10.36*</w:t>
      </w:r>
      <w:r>
        <w:rPr>
          <w:sz w:val="20"/>
          <w:szCs w:val="20"/>
          <w:color w:val="auto"/>
        </w:rPr>
        <w:tab/>
      </w:r>
      <w:hyperlink r:id="rId222">
        <w:r>
          <w:rPr>
            <w:rFonts w:ascii="Times New Roman" w:cs="Times New Roman" w:eastAsia="Times New Roman" w:hAnsi="Times New Roman"/>
            <w:sz w:val="18"/>
            <w:szCs w:val="18"/>
            <w:u w:val="single" w:color="auto"/>
            <w:color w:val="0000EE"/>
          </w:rPr>
          <w:t>Employment Agreement, dated May 5, 2017, between Activision Blizzard, Inc. and Spencer Neumann (incorporated by reference to</w:t>
        </w:r>
      </w:hyperlink>
      <w:r>
        <w:rPr>
          <w:rFonts w:ascii="Times New Roman" w:cs="Times New Roman" w:eastAsia="Times New Roman" w:hAnsi="Times New Roman"/>
          <w:sz w:val="18"/>
          <w:szCs w:val="18"/>
          <w:u w:val="single" w:color="auto"/>
          <w:color w:val="0000EE"/>
        </w:rPr>
        <w:t xml:space="preserve"> </w:t>
      </w:r>
      <w:hyperlink r:id="rId222">
        <w:r>
          <w:rPr>
            <w:rFonts w:ascii="Times New Roman" w:cs="Times New Roman" w:eastAsia="Times New Roman" w:hAnsi="Times New Roman"/>
            <w:sz w:val="18"/>
            <w:szCs w:val="18"/>
            <w:u w:val="single" w:color="auto"/>
            <w:color w:val="0000EE"/>
          </w:rPr>
          <w:t>Exhibit 10.2 of the Company's Form 8-K, filed May 11, 2017).</w:t>
        </w:r>
      </w:hyperlink>
    </w:p>
    <w:p>
      <w:pPr>
        <w:spacing w:after="0" w:line="201" w:lineRule="exact"/>
        <w:rPr>
          <w:sz w:val="20"/>
          <w:szCs w:val="20"/>
          <w:color w:val="auto"/>
        </w:rPr>
      </w:pPr>
    </w:p>
    <w:p>
      <w:pPr>
        <w:ind w:left="1280" w:right="200" w:hanging="732"/>
        <w:spacing w:after="0" w:line="275"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10.37*†</w:t>
      </w:r>
      <w:r>
        <w:rPr>
          <w:sz w:val="20"/>
          <w:szCs w:val="20"/>
          <w:color w:val="auto"/>
        </w:rPr>
        <w:tab/>
      </w:r>
      <w:hyperlink r:id="rId223">
        <w:r>
          <w:rPr>
            <w:rFonts w:ascii="Times New Roman" w:cs="Times New Roman" w:eastAsia="Times New Roman" w:hAnsi="Times New Roman"/>
            <w:sz w:val="18"/>
            <w:szCs w:val="18"/>
            <w:u w:val="single" w:color="auto"/>
            <w:color w:val="0000EE"/>
          </w:rPr>
          <w:t>King Profit Sharing Plan, effective as of February 23, 2016 (incorporated by reference to Exhibit 10.10 of the Company's Form 10-Q for the</w:t>
        </w:r>
      </w:hyperlink>
      <w:r>
        <w:rPr>
          <w:rFonts w:ascii="Times New Roman" w:cs="Times New Roman" w:eastAsia="Times New Roman" w:hAnsi="Times New Roman"/>
          <w:sz w:val="18"/>
          <w:szCs w:val="18"/>
          <w:u w:val="single" w:color="auto"/>
          <w:color w:val="0000EE"/>
        </w:rPr>
        <w:t xml:space="preserve"> </w:t>
      </w:r>
      <w:hyperlink r:id="rId223">
        <w:r>
          <w:rPr>
            <w:rFonts w:ascii="Times New Roman" w:cs="Times New Roman" w:eastAsia="Times New Roman" w:hAnsi="Times New Roman"/>
            <w:sz w:val="18"/>
            <w:szCs w:val="18"/>
            <w:u w:val="single" w:color="auto"/>
            <w:color w:val="0000EE"/>
          </w:rPr>
          <w:t>quarter ended March 31, 2017).</w:t>
        </w:r>
      </w:hyperlink>
    </w:p>
    <w:p>
      <w:pPr>
        <w:spacing w:after="0" w:line="201" w:lineRule="exact"/>
        <w:rPr>
          <w:sz w:val="20"/>
          <w:szCs w:val="20"/>
          <w:color w:val="auto"/>
        </w:rPr>
      </w:pPr>
    </w:p>
    <w:p>
      <w:pPr>
        <w:ind w:left="1280" w:hanging="556"/>
        <w:spacing w:after="0" w:line="287" w:lineRule="auto"/>
        <w:tabs>
          <w:tab w:leader="none" w:pos="126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8"/>
          <w:szCs w:val="18"/>
          <w:color w:val="auto"/>
        </w:rPr>
        <w:t>10.38</w:t>
      </w:r>
      <w:r>
        <w:rPr>
          <w:sz w:val="20"/>
          <w:szCs w:val="20"/>
          <w:color w:val="auto"/>
        </w:rPr>
        <w:tab/>
      </w:r>
      <w:hyperlink r:id="rId224">
        <w:r>
          <w:rPr>
            <w:rFonts w:ascii="Times New Roman" w:cs="Times New Roman" w:eastAsia="Times New Roman" w:hAnsi="Times New Roman"/>
            <w:sz w:val="16"/>
            <w:szCs w:val="16"/>
            <w:u w:val="single" w:color="auto"/>
            <w:color w:val="0000EE"/>
          </w:rPr>
          <w:t>Credit Agreement, dated as of October 11, 2013, among the Company, as borrower, certain subsidiaries of the Company, as guarantors, a group</w:t>
        </w:r>
      </w:hyperlink>
      <w:r>
        <w:rPr>
          <w:rFonts w:ascii="Times New Roman" w:cs="Times New Roman" w:eastAsia="Times New Roman" w:hAnsi="Times New Roman"/>
          <w:sz w:val="16"/>
          <w:szCs w:val="16"/>
          <w:u w:val="single" w:color="auto"/>
          <w:color w:val="0000EE"/>
        </w:rPr>
        <w:t xml:space="preserve"> </w:t>
      </w:r>
      <w:hyperlink r:id="rId224">
        <w:r>
          <w:rPr>
            <w:rFonts w:ascii="Times New Roman" w:cs="Times New Roman" w:eastAsia="Times New Roman" w:hAnsi="Times New Roman"/>
            <w:sz w:val="16"/>
            <w:szCs w:val="16"/>
            <w:u w:val="single" w:color="auto"/>
            <w:color w:val="0000EE"/>
          </w:rPr>
          <w:t>of lenders, Bank of America, N.A., as administrative agent and collateral agent for the lenders, J.P. Morgan Securities LLC, as syndication</w:t>
        </w:r>
      </w:hyperlink>
      <w:r>
        <w:rPr>
          <w:rFonts w:ascii="Times New Roman" w:cs="Times New Roman" w:eastAsia="Times New Roman" w:hAnsi="Times New Roman"/>
          <w:sz w:val="16"/>
          <w:szCs w:val="16"/>
          <w:u w:val="single" w:color="auto"/>
          <w:color w:val="0000EE"/>
        </w:rPr>
        <w:t xml:space="preserve"> </w:t>
      </w:r>
      <w:hyperlink r:id="rId224">
        <w:r>
          <w:rPr>
            <w:rFonts w:ascii="Times New Roman" w:cs="Times New Roman" w:eastAsia="Times New Roman" w:hAnsi="Times New Roman"/>
            <w:sz w:val="16"/>
            <w:szCs w:val="16"/>
            <w:u w:val="single" w:color="auto"/>
            <w:color w:val="0000EE"/>
          </w:rPr>
          <w:t>agent, Bank of America Merrill Lynch and J.P. Morgan Securities LLC, as joint lead arrangers and joint bookrunners, and Goldman</w:t>
        </w:r>
      </w:hyperlink>
    </w:p>
    <w:p>
      <w:pPr>
        <w:spacing w:after="0" w:line="1" w:lineRule="exact"/>
        <w:rPr>
          <w:rFonts w:ascii="Times New Roman" w:cs="Times New Roman" w:eastAsia="Times New Roman" w:hAnsi="Times New Roman"/>
          <w:sz w:val="16"/>
          <w:szCs w:val="16"/>
          <w:u w:val="single" w:color="auto"/>
          <w:color w:val="0000EE"/>
        </w:rPr>
      </w:pPr>
    </w:p>
    <w:p>
      <w:pPr>
        <w:ind w:left="1280" w:right="100"/>
        <w:spacing w:after="0" w:line="255" w:lineRule="auto"/>
        <w:rPr>
          <w:rFonts w:ascii="Times New Roman" w:cs="Times New Roman" w:eastAsia="Times New Roman" w:hAnsi="Times New Roman"/>
          <w:sz w:val="18"/>
          <w:szCs w:val="18"/>
          <w:u w:val="single" w:color="auto"/>
          <w:color w:val="0000EE"/>
        </w:rPr>
      </w:pPr>
      <w:hyperlink r:id="rId224">
        <w:r>
          <w:rPr>
            <w:rFonts w:ascii="Times New Roman" w:cs="Times New Roman" w:eastAsia="Times New Roman" w:hAnsi="Times New Roman"/>
            <w:sz w:val="18"/>
            <w:szCs w:val="18"/>
            <w:u w:val="single" w:color="auto"/>
            <w:color w:val="0000EE"/>
          </w:rPr>
          <w:t>Sachs &amp; Co., HSBC Securities (USA) Inc., Mistubishi UFJ Securities (USA), Inc., Mizuho Securities USA Inc., RBC Capital Markets,</w:t>
        </w:r>
      </w:hyperlink>
      <w:r>
        <w:rPr>
          <w:rFonts w:ascii="Times New Roman" w:cs="Times New Roman" w:eastAsia="Times New Roman" w:hAnsi="Times New Roman"/>
          <w:sz w:val="18"/>
          <w:szCs w:val="18"/>
          <w:u w:val="single" w:color="auto"/>
          <w:color w:val="0000EE"/>
        </w:rPr>
        <w:t xml:space="preserve"> </w:t>
      </w:r>
      <w:hyperlink r:id="rId224">
        <w:r>
          <w:rPr>
            <w:rFonts w:ascii="Times New Roman" w:cs="Times New Roman" w:eastAsia="Times New Roman" w:hAnsi="Times New Roman"/>
            <w:sz w:val="18"/>
            <w:szCs w:val="18"/>
            <w:u w:val="single" w:color="auto"/>
            <w:color w:val="0000EE"/>
          </w:rPr>
          <w:t>SunTrust Bank and U.S. Bank National Association, as co-documentation agents (incorporated by reference to Exhibit 10.1 of the Company's</w:t>
        </w:r>
      </w:hyperlink>
      <w:r>
        <w:rPr>
          <w:rFonts w:ascii="Times New Roman" w:cs="Times New Roman" w:eastAsia="Times New Roman" w:hAnsi="Times New Roman"/>
          <w:sz w:val="18"/>
          <w:szCs w:val="18"/>
          <w:u w:val="single" w:color="auto"/>
          <w:color w:val="0000EE"/>
        </w:rPr>
        <w:t xml:space="preserve"> </w:t>
      </w:r>
      <w:hyperlink r:id="rId224">
        <w:r>
          <w:rPr>
            <w:rFonts w:ascii="Times New Roman" w:cs="Times New Roman" w:eastAsia="Times New Roman" w:hAnsi="Times New Roman"/>
            <w:sz w:val="18"/>
            <w:szCs w:val="18"/>
            <w:u w:val="single" w:color="auto"/>
            <w:color w:val="0000EE"/>
          </w:rPr>
          <w:t>Form 8-K, filed October 18, 2013).</w:t>
        </w:r>
      </w:hyperlink>
    </w:p>
    <w:p>
      <w:pPr>
        <w:spacing w:after="0" w:line="219" w:lineRule="exact"/>
        <w:rPr>
          <w:rFonts w:ascii="Times New Roman" w:cs="Times New Roman" w:eastAsia="Times New Roman" w:hAnsi="Times New Roman"/>
          <w:sz w:val="18"/>
          <w:szCs w:val="18"/>
          <w:u w:val="single" w:color="auto"/>
          <w:color w:val="0000EE"/>
        </w:rPr>
      </w:pPr>
    </w:p>
    <w:p>
      <w:pPr>
        <w:ind w:left="1280" w:right="120" w:hanging="556"/>
        <w:spacing w:after="0" w:line="310" w:lineRule="auto"/>
        <w:tabs>
          <w:tab w:leader="none" w:pos="126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8"/>
          <w:szCs w:val="18"/>
          <w:color w:val="auto"/>
        </w:rPr>
        <w:t>10.39</w:t>
      </w:r>
      <w:r>
        <w:rPr>
          <w:sz w:val="20"/>
          <w:szCs w:val="20"/>
          <w:color w:val="auto"/>
        </w:rPr>
        <w:tab/>
      </w:r>
      <w:hyperlink r:id="rId225">
        <w:r>
          <w:rPr>
            <w:rFonts w:ascii="Times New Roman" w:cs="Times New Roman" w:eastAsia="Times New Roman" w:hAnsi="Times New Roman"/>
            <w:sz w:val="16"/>
            <w:szCs w:val="16"/>
            <w:u w:val="single" w:color="auto"/>
            <w:color w:val="0000EE"/>
          </w:rPr>
          <w:t>First Amendment to the Credit Agreement, dated as of October 11, 2013, by and among Activision Blizzard, Inc., the guarantors from time to</w:t>
        </w:r>
      </w:hyperlink>
      <w:r>
        <w:rPr>
          <w:rFonts w:ascii="Times New Roman" w:cs="Times New Roman" w:eastAsia="Times New Roman" w:hAnsi="Times New Roman"/>
          <w:sz w:val="16"/>
          <w:szCs w:val="16"/>
          <w:u w:val="single" w:color="auto"/>
          <w:color w:val="0000EE"/>
        </w:rPr>
        <w:t xml:space="preserve"> </w:t>
      </w:r>
      <w:hyperlink r:id="rId225">
        <w:r>
          <w:rPr>
            <w:rFonts w:ascii="Times New Roman" w:cs="Times New Roman" w:eastAsia="Times New Roman" w:hAnsi="Times New Roman"/>
            <w:sz w:val="16"/>
            <w:szCs w:val="16"/>
            <w:u w:val="single" w:color="auto"/>
            <w:color w:val="0000EE"/>
          </w:rPr>
          <w:t>time party thereto, the lenders from time to time party thereto, Bank of America, N.A., as administrative agent and collateral agent, and the</w:t>
        </w:r>
      </w:hyperlink>
      <w:r>
        <w:rPr>
          <w:rFonts w:ascii="Times New Roman" w:cs="Times New Roman" w:eastAsia="Times New Roman" w:hAnsi="Times New Roman"/>
          <w:sz w:val="16"/>
          <w:szCs w:val="16"/>
          <w:u w:val="single" w:color="auto"/>
          <w:color w:val="0000EE"/>
        </w:rPr>
        <w:t xml:space="preserve"> </w:t>
      </w:r>
      <w:hyperlink r:id="rId225">
        <w:r>
          <w:rPr>
            <w:rFonts w:ascii="Times New Roman" w:cs="Times New Roman" w:eastAsia="Times New Roman" w:hAnsi="Times New Roman"/>
            <w:sz w:val="16"/>
            <w:szCs w:val="16"/>
            <w:u w:val="single" w:color="auto"/>
            <w:color w:val="0000EE"/>
          </w:rPr>
          <w:t>several other agents party thereto (incorporated by reference to Exhibit 10.1 of the Company's Form 8-K, filed November 3, 2015).</w:t>
        </w:r>
      </w:hyperlink>
    </w:p>
    <w:p>
      <w:pPr>
        <w:spacing w:after="0" w:line="151" w:lineRule="exact"/>
        <w:rPr>
          <w:rFonts w:ascii="Times New Roman" w:cs="Times New Roman" w:eastAsia="Times New Roman" w:hAnsi="Times New Roman"/>
          <w:sz w:val="16"/>
          <w:szCs w:val="16"/>
          <w:u w:val="single" w:color="auto"/>
          <w:color w:val="0000EE"/>
        </w:rPr>
      </w:pPr>
    </w:p>
    <w:p>
      <w:pPr>
        <w:jc w:val="center"/>
        <w:ind w:right="-79"/>
        <w:spacing w:after="0"/>
        <w:rPr>
          <w:sz w:val="20"/>
          <w:szCs w:val="20"/>
          <w:color w:val="auto"/>
        </w:rPr>
      </w:pPr>
      <w:r>
        <w:rPr>
          <w:rFonts w:ascii="Times New Roman" w:cs="Times New Roman" w:eastAsia="Times New Roman" w:hAnsi="Times New Roman"/>
          <w:sz w:val="18"/>
          <w:szCs w:val="18"/>
          <w:color w:val="auto"/>
        </w:rPr>
        <w:t>E-4</w:t>
      </w:r>
    </w:p>
    <w:p>
      <w:pPr>
        <w:spacing w:after="0" w:line="20" w:lineRule="exact"/>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57" w:name="page158"/>
    <w:bookmarkEnd w:id="15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100"/>
        <w:spacing w:after="0"/>
        <w:tabs>
          <w:tab w:leader="none" w:pos="612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both"/>
        <w:ind w:left="1280" w:right="140" w:hanging="556"/>
        <w:spacing w:after="0" w:line="301" w:lineRule="auto"/>
        <w:tabs>
          <w:tab w:leader="none" w:pos="126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8"/>
          <w:szCs w:val="18"/>
          <w:color w:val="auto"/>
        </w:rPr>
        <w:t>10.40</w:t>
      </w:r>
      <w:r>
        <w:rPr>
          <w:sz w:val="20"/>
          <w:szCs w:val="20"/>
          <w:color w:val="auto"/>
        </w:rPr>
        <w:tab/>
      </w:r>
      <w:hyperlink r:id="rId228">
        <w:r>
          <w:rPr>
            <w:rFonts w:ascii="Times New Roman" w:cs="Times New Roman" w:eastAsia="Times New Roman" w:hAnsi="Times New Roman"/>
            <w:sz w:val="16"/>
            <w:szCs w:val="16"/>
            <w:u w:val="single" w:color="auto"/>
            <w:color w:val="0000EE"/>
          </w:rPr>
          <w:t>Second Amendment to the Credit Agreement, dated as of October 11, 2013, by and among Activision Blizzard, Inc., the guarantors from time</w:t>
        </w:r>
      </w:hyperlink>
      <w:r>
        <w:rPr>
          <w:rFonts w:ascii="Times New Roman" w:cs="Times New Roman" w:eastAsia="Times New Roman" w:hAnsi="Times New Roman"/>
          <w:sz w:val="16"/>
          <w:szCs w:val="16"/>
          <w:u w:val="single" w:color="auto"/>
          <w:color w:val="0000EE"/>
        </w:rPr>
        <w:t xml:space="preserve"> </w:t>
      </w:r>
      <w:hyperlink r:id="rId228">
        <w:r>
          <w:rPr>
            <w:rFonts w:ascii="Times New Roman" w:cs="Times New Roman" w:eastAsia="Times New Roman" w:hAnsi="Times New Roman"/>
            <w:sz w:val="16"/>
            <w:szCs w:val="16"/>
            <w:u w:val="single" w:color="auto"/>
            <w:color w:val="0000EE"/>
          </w:rPr>
          <w:t>to time party thereto, the lenders from time to time party thereto, Bank of America, N.A., as administrative agent and collateral agent, and the</w:t>
        </w:r>
      </w:hyperlink>
      <w:r>
        <w:rPr>
          <w:rFonts w:ascii="Times New Roman" w:cs="Times New Roman" w:eastAsia="Times New Roman" w:hAnsi="Times New Roman"/>
          <w:sz w:val="16"/>
          <w:szCs w:val="16"/>
          <w:u w:val="single" w:color="auto"/>
          <w:color w:val="0000EE"/>
        </w:rPr>
        <w:t xml:space="preserve"> </w:t>
      </w:r>
      <w:hyperlink r:id="rId228">
        <w:r>
          <w:rPr>
            <w:rFonts w:ascii="Times New Roman" w:cs="Times New Roman" w:eastAsia="Times New Roman" w:hAnsi="Times New Roman"/>
            <w:sz w:val="16"/>
            <w:szCs w:val="16"/>
            <w:u w:val="single" w:color="auto"/>
            <w:color w:val="0000EE"/>
          </w:rPr>
          <w:t>several other agents party thereto (incorporated by reference to Exhibit 10.1 of the Company's Form 8-K, filed November 17, 2015).</w:t>
        </w:r>
      </w:hyperlink>
    </w:p>
    <w:p>
      <w:pPr>
        <w:spacing w:after="0" w:line="185" w:lineRule="exact"/>
        <w:rPr>
          <w:rFonts w:ascii="Times New Roman" w:cs="Times New Roman" w:eastAsia="Times New Roman" w:hAnsi="Times New Roman"/>
          <w:sz w:val="16"/>
          <w:szCs w:val="16"/>
          <w:u w:val="single" w:color="auto"/>
          <w:color w:val="0000EE"/>
        </w:rPr>
      </w:pPr>
    </w:p>
    <w:p>
      <w:pPr>
        <w:ind w:left="1280" w:right="80" w:hanging="556"/>
        <w:spacing w:after="0" w:line="310" w:lineRule="auto"/>
        <w:tabs>
          <w:tab w:leader="none" w:pos="126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8"/>
          <w:szCs w:val="18"/>
          <w:color w:val="auto"/>
        </w:rPr>
        <w:t>10.41</w:t>
      </w:r>
      <w:r>
        <w:rPr>
          <w:sz w:val="20"/>
          <w:szCs w:val="20"/>
          <w:color w:val="auto"/>
        </w:rPr>
        <w:tab/>
      </w:r>
      <w:hyperlink r:id="rId229">
        <w:r>
          <w:rPr>
            <w:rFonts w:ascii="Times New Roman" w:cs="Times New Roman" w:eastAsia="Times New Roman" w:hAnsi="Times New Roman"/>
            <w:sz w:val="16"/>
            <w:szCs w:val="16"/>
            <w:u w:val="single" w:color="auto"/>
            <w:color w:val="0000EE"/>
          </w:rPr>
          <w:t>Third Amendment to the Credit Agreement, dated as of October 11, 2013, by and among Activision Blizzard, Inc., the guarantors from time to</w:t>
        </w:r>
      </w:hyperlink>
      <w:r>
        <w:rPr>
          <w:rFonts w:ascii="Times New Roman" w:cs="Times New Roman" w:eastAsia="Times New Roman" w:hAnsi="Times New Roman"/>
          <w:sz w:val="16"/>
          <w:szCs w:val="16"/>
          <w:u w:val="single" w:color="auto"/>
          <w:color w:val="0000EE"/>
        </w:rPr>
        <w:t xml:space="preserve"> </w:t>
      </w:r>
      <w:hyperlink r:id="rId229">
        <w:r>
          <w:rPr>
            <w:rFonts w:ascii="Times New Roman" w:cs="Times New Roman" w:eastAsia="Times New Roman" w:hAnsi="Times New Roman"/>
            <w:sz w:val="16"/>
            <w:szCs w:val="16"/>
            <w:u w:val="single" w:color="auto"/>
            <w:color w:val="0000EE"/>
          </w:rPr>
          <w:t>time party thereto, the lenders from time to time party thereto, Bank of America, N.A., as administrative agent and collateral agent, and the</w:t>
        </w:r>
      </w:hyperlink>
      <w:r>
        <w:rPr>
          <w:rFonts w:ascii="Times New Roman" w:cs="Times New Roman" w:eastAsia="Times New Roman" w:hAnsi="Times New Roman"/>
          <w:sz w:val="16"/>
          <w:szCs w:val="16"/>
          <w:u w:val="single" w:color="auto"/>
          <w:color w:val="0000EE"/>
        </w:rPr>
        <w:t xml:space="preserve"> </w:t>
      </w:r>
      <w:hyperlink r:id="rId229">
        <w:r>
          <w:rPr>
            <w:rFonts w:ascii="Times New Roman" w:cs="Times New Roman" w:eastAsia="Times New Roman" w:hAnsi="Times New Roman"/>
            <w:sz w:val="16"/>
            <w:szCs w:val="16"/>
            <w:u w:val="single" w:color="auto"/>
            <w:color w:val="0000EE"/>
          </w:rPr>
          <w:t>several other agents party thereto (incorporated by reference to Exhibit 10.1 of the Company's form 8-K, filed December 14, 2015).</w:t>
        </w:r>
      </w:hyperlink>
    </w:p>
    <w:p>
      <w:pPr>
        <w:spacing w:after="0" w:line="178" w:lineRule="exact"/>
        <w:rPr>
          <w:rFonts w:ascii="Times New Roman" w:cs="Times New Roman" w:eastAsia="Times New Roman" w:hAnsi="Times New Roman"/>
          <w:sz w:val="16"/>
          <w:szCs w:val="16"/>
          <w:u w:val="single" w:color="auto"/>
          <w:color w:val="0000EE"/>
        </w:rPr>
      </w:pPr>
    </w:p>
    <w:p>
      <w:pPr>
        <w:ind w:left="1280" w:hanging="556"/>
        <w:spacing w:after="0" w:line="262"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10.42</w:t>
      </w:r>
      <w:r>
        <w:rPr>
          <w:sz w:val="20"/>
          <w:szCs w:val="20"/>
          <w:color w:val="auto"/>
        </w:rPr>
        <w:tab/>
      </w:r>
      <w:hyperlink r:id="rId230">
        <w:r>
          <w:rPr>
            <w:rFonts w:ascii="Times New Roman" w:cs="Times New Roman" w:eastAsia="Times New Roman" w:hAnsi="Times New Roman"/>
            <w:sz w:val="18"/>
            <w:szCs w:val="18"/>
            <w:u w:val="single" w:color="auto"/>
            <w:color w:val="0000EE"/>
          </w:rPr>
          <w:t>Fourth Amendment to the Credit Agreement, dated as of October 11, 2013, by and among Activision Blizzard, Inc., the guarantors from time to</w:t>
        </w:r>
      </w:hyperlink>
      <w:r>
        <w:rPr>
          <w:rFonts w:ascii="Times New Roman" w:cs="Times New Roman" w:eastAsia="Times New Roman" w:hAnsi="Times New Roman"/>
          <w:sz w:val="18"/>
          <w:szCs w:val="18"/>
          <w:u w:val="single" w:color="auto"/>
          <w:color w:val="0000EE"/>
        </w:rPr>
        <w:t xml:space="preserve"> </w:t>
      </w:r>
      <w:hyperlink r:id="rId230">
        <w:r>
          <w:rPr>
            <w:rFonts w:ascii="Times New Roman" w:cs="Times New Roman" w:eastAsia="Times New Roman" w:hAnsi="Times New Roman"/>
            <w:sz w:val="18"/>
            <w:szCs w:val="18"/>
            <w:u w:val="single" w:color="auto"/>
            <w:color w:val="0000EE"/>
          </w:rPr>
          <w:t>time party thereto, the lenders from time to time party thereto, Bank of America, N.A., as administrative agent and collateral agent, and the</w:t>
        </w:r>
      </w:hyperlink>
      <w:r>
        <w:rPr>
          <w:rFonts w:ascii="Times New Roman" w:cs="Times New Roman" w:eastAsia="Times New Roman" w:hAnsi="Times New Roman"/>
          <w:sz w:val="18"/>
          <w:szCs w:val="18"/>
          <w:u w:val="single" w:color="auto"/>
          <w:color w:val="0000EE"/>
        </w:rPr>
        <w:t xml:space="preserve"> </w:t>
      </w:r>
      <w:hyperlink r:id="rId230">
        <w:r>
          <w:rPr>
            <w:rFonts w:ascii="Times New Roman" w:cs="Times New Roman" w:eastAsia="Times New Roman" w:hAnsi="Times New Roman"/>
            <w:sz w:val="18"/>
            <w:szCs w:val="18"/>
            <w:u w:val="single" w:color="auto"/>
            <w:color w:val="0000EE"/>
          </w:rPr>
          <w:t>several other agents party thereto (incorporated by reference to Exhibit 10.1 of the Company's Form 8-K, filed April 1, 2016).</w:t>
        </w:r>
      </w:hyperlink>
    </w:p>
    <w:p>
      <w:pPr>
        <w:spacing w:after="0" w:line="213" w:lineRule="exact"/>
        <w:rPr>
          <w:rFonts w:ascii="Times New Roman" w:cs="Times New Roman" w:eastAsia="Times New Roman" w:hAnsi="Times New Roman"/>
          <w:sz w:val="18"/>
          <w:szCs w:val="18"/>
          <w:u w:val="single" w:color="auto"/>
          <w:color w:val="0000EE"/>
        </w:rPr>
      </w:pPr>
    </w:p>
    <w:p>
      <w:pPr>
        <w:ind w:left="1280" w:right="140" w:hanging="556"/>
        <w:spacing w:after="0" w:line="310" w:lineRule="auto"/>
        <w:tabs>
          <w:tab w:leader="none" w:pos="126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8"/>
          <w:szCs w:val="18"/>
          <w:color w:val="auto"/>
        </w:rPr>
        <w:t>10.43</w:t>
      </w:r>
      <w:r>
        <w:rPr>
          <w:sz w:val="20"/>
          <w:szCs w:val="20"/>
          <w:color w:val="auto"/>
        </w:rPr>
        <w:tab/>
      </w:r>
      <w:hyperlink r:id="rId231">
        <w:r>
          <w:rPr>
            <w:rFonts w:ascii="Times New Roman" w:cs="Times New Roman" w:eastAsia="Times New Roman" w:hAnsi="Times New Roman"/>
            <w:sz w:val="16"/>
            <w:szCs w:val="16"/>
            <w:u w:val="single" w:color="auto"/>
            <w:color w:val="0000EE"/>
          </w:rPr>
          <w:t>Fifth Amendment to the Credit Agreement, dated as of October 11, 2013, by and among Activision Blizzard, Inc., the guarantors from time to</w:t>
        </w:r>
      </w:hyperlink>
      <w:r>
        <w:rPr>
          <w:rFonts w:ascii="Times New Roman" w:cs="Times New Roman" w:eastAsia="Times New Roman" w:hAnsi="Times New Roman"/>
          <w:sz w:val="16"/>
          <w:szCs w:val="16"/>
          <w:u w:val="single" w:color="auto"/>
          <w:color w:val="0000EE"/>
        </w:rPr>
        <w:t xml:space="preserve"> </w:t>
      </w:r>
      <w:hyperlink r:id="rId231">
        <w:r>
          <w:rPr>
            <w:rFonts w:ascii="Times New Roman" w:cs="Times New Roman" w:eastAsia="Times New Roman" w:hAnsi="Times New Roman"/>
            <w:sz w:val="16"/>
            <w:szCs w:val="16"/>
            <w:u w:val="single" w:color="auto"/>
            <w:color w:val="0000EE"/>
          </w:rPr>
          <w:t>time party thereto, the lenders from time to time party thereto, Bank of America, N.A., as administrative agent and collateral agent, and the</w:t>
        </w:r>
      </w:hyperlink>
      <w:r>
        <w:rPr>
          <w:rFonts w:ascii="Times New Roman" w:cs="Times New Roman" w:eastAsia="Times New Roman" w:hAnsi="Times New Roman"/>
          <w:sz w:val="16"/>
          <w:szCs w:val="16"/>
          <w:u w:val="single" w:color="auto"/>
          <w:color w:val="0000EE"/>
        </w:rPr>
        <w:t xml:space="preserve"> </w:t>
      </w:r>
      <w:hyperlink r:id="rId231">
        <w:r>
          <w:rPr>
            <w:rFonts w:ascii="Times New Roman" w:cs="Times New Roman" w:eastAsia="Times New Roman" w:hAnsi="Times New Roman"/>
            <w:sz w:val="16"/>
            <w:szCs w:val="16"/>
            <w:u w:val="single" w:color="auto"/>
            <w:color w:val="0000EE"/>
          </w:rPr>
          <w:t>several other agents party thereto (incorporated by reference to Exhibit 10.1 of the Company's Form 8-K, filed August 24, 2016).</w:t>
        </w:r>
      </w:hyperlink>
    </w:p>
    <w:p>
      <w:pPr>
        <w:spacing w:after="0" w:line="178" w:lineRule="exact"/>
        <w:rPr>
          <w:rFonts w:ascii="Times New Roman" w:cs="Times New Roman" w:eastAsia="Times New Roman" w:hAnsi="Times New Roman"/>
          <w:sz w:val="16"/>
          <w:szCs w:val="16"/>
          <w:u w:val="single" w:color="auto"/>
          <w:color w:val="0000EE"/>
        </w:rPr>
      </w:pPr>
    </w:p>
    <w:p>
      <w:pPr>
        <w:ind w:left="1280" w:right="100" w:hanging="556"/>
        <w:spacing w:after="0" w:line="262"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10.44</w:t>
      </w:r>
      <w:r>
        <w:rPr>
          <w:sz w:val="20"/>
          <w:szCs w:val="20"/>
          <w:color w:val="auto"/>
        </w:rPr>
        <w:tab/>
      </w:r>
      <w:hyperlink r:id="rId232">
        <w:r>
          <w:rPr>
            <w:rFonts w:ascii="Times New Roman" w:cs="Times New Roman" w:eastAsia="Times New Roman" w:hAnsi="Times New Roman"/>
            <w:sz w:val="18"/>
            <w:szCs w:val="18"/>
            <w:u w:val="single" w:color="auto"/>
            <w:color w:val="0000EE"/>
          </w:rPr>
          <w:t>Sixth Amendment to the Credit Agreement, dated as of October 11, 2013, by and among Activision Blizzard, Inc., the guarantors from time to</w:t>
        </w:r>
      </w:hyperlink>
      <w:r>
        <w:rPr>
          <w:rFonts w:ascii="Times New Roman" w:cs="Times New Roman" w:eastAsia="Times New Roman" w:hAnsi="Times New Roman"/>
          <w:sz w:val="18"/>
          <w:szCs w:val="18"/>
          <w:u w:val="single" w:color="auto"/>
          <w:color w:val="0000EE"/>
        </w:rPr>
        <w:t xml:space="preserve"> </w:t>
      </w:r>
      <w:hyperlink r:id="rId232">
        <w:r>
          <w:rPr>
            <w:rFonts w:ascii="Times New Roman" w:cs="Times New Roman" w:eastAsia="Times New Roman" w:hAnsi="Times New Roman"/>
            <w:sz w:val="18"/>
            <w:szCs w:val="18"/>
            <w:u w:val="single" w:color="auto"/>
            <w:color w:val="0000EE"/>
          </w:rPr>
          <w:t>time party thereto, the lenders from time to time party thereto, Bank of America, N.A., as administrative agent and collateral agent, and the</w:t>
        </w:r>
      </w:hyperlink>
      <w:r>
        <w:rPr>
          <w:rFonts w:ascii="Times New Roman" w:cs="Times New Roman" w:eastAsia="Times New Roman" w:hAnsi="Times New Roman"/>
          <w:sz w:val="18"/>
          <w:szCs w:val="18"/>
          <w:u w:val="single" w:color="auto"/>
          <w:color w:val="0000EE"/>
        </w:rPr>
        <w:t xml:space="preserve"> </w:t>
      </w:r>
      <w:hyperlink r:id="rId232">
        <w:r>
          <w:rPr>
            <w:rFonts w:ascii="Times New Roman" w:cs="Times New Roman" w:eastAsia="Times New Roman" w:hAnsi="Times New Roman"/>
            <w:sz w:val="18"/>
            <w:szCs w:val="18"/>
            <w:u w:val="single" w:color="auto"/>
            <w:color w:val="0000EE"/>
          </w:rPr>
          <w:t>several other agents party thereto (incorporated by reference to Exhibit 10.1 of the Company's Form 8-K, filed February 6, 2017).</w:t>
        </w:r>
      </w:hyperlink>
    </w:p>
    <w:p>
      <w:pPr>
        <w:spacing w:after="0" w:line="213" w:lineRule="exact"/>
        <w:rPr>
          <w:rFonts w:ascii="Times New Roman" w:cs="Times New Roman" w:eastAsia="Times New Roman" w:hAnsi="Times New Roman"/>
          <w:sz w:val="18"/>
          <w:szCs w:val="18"/>
          <w:u w:val="single" w:color="auto"/>
          <w:color w:val="0000EE"/>
        </w:rPr>
      </w:pPr>
    </w:p>
    <w:p>
      <w:pPr>
        <w:ind w:left="1280" w:right="40" w:hanging="556"/>
        <w:spacing w:after="0" w:line="262"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10.45</w:t>
      </w:r>
      <w:r>
        <w:rPr>
          <w:sz w:val="20"/>
          <w:szCs w:val="20"/>
          <w:color w:val="auto"/>
        </w:rPr>
        <w:tab/>
      </w:r>
      <w:hyperlink r:id="rId233">
        <w:r>
          <w:rPr>
            <w:rFonts w:ascii="Times New Roman" w:cs="Times New Roman" w:eastAsia="Times New Roman" w:hAnsi="Times New Roman"/>
            <w:sz w:val="18"/>
            <w:szCs w:val="18"/>
            <w:u w:val="single" w:color="auto"/>
            <w:color w:val="0000EE"/>
          </w:rPr>
          <w:t>Seventh Amendment to the Credit Agreement, dated as of October 11, 2013, by and among Activision Blizzard, Inc., the guarantors from time</w:t>
        </w:r>
      </w:hyperlink>
      <w:r>
        <w:rPr>
          <w:rFonts w:ascii="Times New Roman" w:cs="Times New Roman" w:eastAsia="Times New Roman" w:hAnsi="Times New Roman"/>
          <w:sz w:val="18"/>
          <w:szCs w:val="18"/>
          <w:u w:val="single" w:color="auto"/>
          <w:color w:val="0000EE"/>
        </w:rPr>
        <w:t xml:space="preserve"> </w:t>
      </w:r>
      <w:hyperlink r:id="rId233">
        <w:r>
          <w:rPr>
            <w:rFonts w:ascii="Times New Roman" w:cs="Times New Roman" w:eastAsia="Times New Roman" w:hAnsi="Times New Roman"/>
            <w:sz w:val="18"/>
            <w:szCs w:val="18"/>
            <w:u w:val="single" w:color="auto"/>
            <w:color w:val="0000EE"/>
          </w:rPr>
          <w:t>to time party thereto, the lenders from time to time party thereto, Bank of America, N.A., as administrative agent and collateral agent, and the</w:t>
        </w:r>
      </w:hyperlink>
      <w:r>
        <w:rPr>
          <w:rFonts w:ascii="Times New Roman" w:cs="Times New Roman" w:eastAsia="Times New Roman" w:hAnsi="Times New Roman"/>
          <w:sz w:val="18"/>
          <w:szCs w:val="18"/>
          <w:u w:val="single" w:color="auto"/>
          <w:color w:val="0000EE"/>
        </w:rPr>
        <w:t xml:space="preserve"> </w:t>
      </w:r>
      <w:hyperlink r:id="rId233">
        <w:r>
          <w:rPr>
            <w:rFonts w:ascii="Times New Roman" w:cs="Times New Roman" w:eastAsia="Times New Roman" w:hAnsi="Times New Roman"/>
            <w:sz w:val="18"/>
            <w:szCs w:val="18"/>
            <w:u w:val="single" w:color="auto"/>
            <w:color w:val="0000EE"/>
          </w:rPr>
          <w:t>several other agents party thereto (incorporated by reference to Exhibit 10.1 of the Company's Form 8-K, filed August 29, 2018).</w:t>
        </w:r>
      </w:hyperlink>
    </w:p>
    <w:p>
      <w:pPr>
        <w:spacing w:after="0" w:line="213" w:lineRule="exact"/>
        <w:rPr>
          <w:rFonts w:ascii="Times New Roman" w:cs="Times New Roman" w:eastAsia="Times New Roman" w:hAnsi="Times New Roman"/>
          <w:sz w:val="18"/>
          <w:szCs w:val="18"/>
          <w:u w:val="single" w:color="auto"/>
          <w:color w:val="0000EE"/>
        </w:rPr>
      </w:pPr>
    </w:p>
    <w:p>
      <w:pPr>
        <w:ind w:left="1280" w:right="40" w:hanging="644"/>
        <w:spacing w:after="0" w:line="275"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10.46*</w:t>
      </w:r>
      <w:r>
        <w:rPr>
          <w:sz w:val="20"/>
          <w:szCs w:val="20"/>
          <w:color w:val="auto"/>
        </w:rPr>
        <w:tab/>
      </w:r>
      <w:hyperlink r:id="rId234">
        <w:r>
          <w:rPr>
            <w:rFonts w:ascii="Times New Roman" w:cs="Times New Roman" w:eastAsia="Times New Roman" w:hAnsi="Times New Roman"/>
            <w:sz w:val="18"/>
            <w:szCs w:val="18"/>
            <w:u w:val="single" w:color="auto"/>
            <w:color w:val="0000EE"/>
          </w:rPr>
          <w:t>Non-Affiliated Director Compensation Program and Stock Ownership Guidelines, as amended and restated as of May 1, 2018 (incorporated by</w:t>
        </w:r>
      </w:hyperlink>
      <w:r>
        <w:rPr>
          <w:rFonts w:ascii="Times New Roman" w:cs="Times New Roman" w:eastAsia="Times New Roman" w:hAnsi="Times New Roman"/>
          <w:sz w:val="18"/>
          <w:szCs w:val="18"/>
          <w:u w:val="single" w:color="auto"/>
          <w:color w:val="0000EE"/>
        </w:rPr>
        <w:t xml:space="preserve"> </w:t>
      </w:r>
      <w:hyperlink r:id="rId234">
        <w:r>
          <w:rPr>
            <w:rFonts w:ascii="Times New Roman" w:cs="Times New Roman" w:eastAsia="Times New Roman" w:hAnsi="Times New Roman"/>
            <w:sz w:val="18"/>
            <w:szCs w:val="18"/>
            <w:u w:val="single" w:color="auto"/>
            <w:color w:val="0000EE"/>
          </w:rPr>
          <w:t>reference to Exhibit 10.1 of the Company's Form 10-Q for the quarter ended June 30, 2018).</w:t>
        </w:r>
      </w:hyperlink>
    </w:p>
    <w:p>
      <w:pPr>
        <w:spacing w:after="0" w:line="201" w:lineRule="exact"/>
        <w:rPr>
          <w:sz w:val="20"/>
          <w:szCs w:val="20"/>
          <w:color w:val="auto"/>
        </w:rPr>
      </w:pPr>
    </w:p>
    <w:p>
      <w:pPr>
        <w:ind w:left="800"/>
        <w:spacing w:after="0"/>
        <w:tabs>
          <w:tab w:leader="none" w:pos="126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8"/>
          <w:szCs w:val="18"/>
          <w:color w:val="auto"/>
        </w:rPr>
        <w:t>21.1</w:t>
      </w:r>
      <w:r>
        <w:rPr>
          <w:sz w:val="20"/>
          <w:szCs w:val="20"/>
          <w:color w:val="auto"/>
        </w:rPr>
        <w:tab/>
      </w:r>
      <w:hyperlink w:anchor="page300">
        <w:r>
          <w:rPr>
            <w:rFonts w:ascii="Times New Roman" w:cs="Times New Roman" w:eastAsia="Times New Roman" w:hAnsi="Times New Roman"/>
            <w:sz w:val="16"/>
            <w:szCs w:val="16"/>
            <w:u w:val="single" w:color="auto"/>
            <w:color w:val="0000EE"/>
          </w:rPr>
          <w:t>Subsidiaries of the Company.</w:t>
        </w:r>
      </w:hyperlink>
    </w:p>
    <w:p>
      <w:pPr>
        <w:spacing w:after="0" w:line="252" w:lineRule="exact"/>
        <w:rPr>
          <w:sz w:val="20"/>
          <w:szCs w:val="20"/>
          <w:color w:val="auto"/>
        </w:rPr>
      </w:pPr>
    </w:p>
    <w:p>
      <w:pPr>
        <w:ind w:left="800"/>
        <w:spacing w:after="0"/>
        <w:tabs>
          <w:tab w:leader="none" w:pos="126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8"/>
          <w:szCs w:val="18"/>
          <w:color w:val="auto"/>
        </w:rPr>
        <w:t>23.1</w:t>
      </w:r>
      <w:r>
        <w:rPr>
          <w:sz w:val="20"/>
          <w:szCs w:val="20"/>
          <w:color w:val="auto"/>
        </w:rPr>
        <w:tab/>
      </w:r>
      <w:hyperlink w:anchor="page301">
        <w:r>
          <w:rPr>
            <w:rFonts w:ascii="Times New Roman" w:cs="Times New Roman" w:eastAsia="Times New Roman" w:hAnsi="Times New Roman"/>
            <w:sz w:val="16"/>
            <w:szCs w:val="16"/>
            <w:u w:val="single" w:color="auto"/>
            <w:color w:val="0000EE"/>
          </w:rPr>
          <w:t>Consent of Independent Registered Public Accounting Firm (PricewaterhouseCoopers LLP).</w:t>
        </w:r>
      </w:hyperlink>
    </w:p>
    <w:p>
      <w:pPr>
        <w:spacing w:after="0" w:line="252" w:lineRule="exact"/>
        <w:rPr>
          <w:sz w:val="20"/>
          <w:szCs w:val="20"/>
          <w:color w:val="auto"/>
        </w:rPr>
      </w:pPr>
    </w:p>
    <w:p>
      <w:pPr>
        <w:ind w:left="800"/>
        <w:spacing w:after="0"/>
        <w:tabs>
          <w:tab w:leader="none" w:pos="126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8"/>
          <w:szCs w:val="18"/>
          <w:color w:val="auto"/>
        </w:rPr>
        <w:t>24.1</w:t>
      </w:r>
      <w:r>
        <w:rPr>
          <w:sz w:val="20"/>
          <w:szCs w:val="20"/>
          <w:color w:val="auto"/>
        </w:rPr>
        <w:tab/>
      </w:r>
      <w:hyperlink w:anchor="page160">
        <w:r>
          <w:rPr>
            <w:rFonts w:ascii="Times New Roman" w:cs="Times New Roman" w:eastAsia="Times New Roman" w:hAnsi="Times New Roman"/>
            <w:sz w:val="16"/>
            <w:szCs w:val="16"/>
            <w:u w:val="single" w:color="auto"/>
            <w:color w:val="0000EE"/>
          </w:rPr>
          <w:t>Power of Attorney of each Executive Officer and Director signing this report (included in the signature page hereto).</w:t>
        </w:r>
      </w:hyperlink>
    </w:p>
    <w:p>
      <w:pPr>
        <w:spacing w:after="0" w:line="252" w:lineRule="exact"/>
        <w:rPr>
          <w:sz w:val="20"/>
          <w:szCs w:val="20"/>
          <w:color w:val="auto"/>
        </w:rPr>
      </w:pPr>
    </w:p>
    <w:p>
      <w:pPr>
        <w:ind w:left="1280" w:right="820" w:hanging="468"/>
        <w:spacing w:after="0" w:line="275"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31.1</w:t>
      </w:r>
      <w:r>
        <w:rPr>
          <w:sz w:val="20"/>
          <w:szCs w:val="20"/>
          <w:color w:val="auto"/>
        </w:rPr>
        <w:tab/>
      </w:r>
      <w:hyperlink w:anchor="page302">
        <w:r>
          <w:rPr>
            <w:rFonts w:ascii="Times New Roman" w:cs="Times New Roman" w:eastAsia="Times New Roman" w:hAnsi="Times New Roman"/>
            <w:sz w:val="18"/>
            <w:szCs w:val="18"/>
            <w:u w:val="single" w:color="auto"/>
            <w:color w:val="0000EE"/>
          </w:rPr>
          <w:t>Certification of Robert A. Kotick pursuant to Rule 13a-14(a) under the Securities and Exchange Act of 1934, as adopted pursuant to</w:t>
        </w:r>
      </w:hyperlink>
      <w:r>
        <w:rPr>
          <w:rFonts w:ascii="Times New Roman" w:cs="Times New Roman" w:eastAsia="Times New Roman" w:hAnsi="Times New Roman"/>
          <w:sz w:val="18"/>
          <w:szCs w:val="18"/>
          <w:u w:val="single" w:color="auto"/>
          <w:color w:val="0000EE"/>
        </w:rPr>
        <w:t xml:space="preserve"> </w:t>
      </w:r>
      <w:hyperlink w:anchor="page302">
        <w:r>
          <w:rPr>
            <w:rFonts w:ascii="Times New Roman" w:cs="Times New Roman" w:eastAsia="Times New Roman" w:hAnsi="Times New Roman"/>
            <w:sz w:val="18"/>
            <w:szCs w:val="18"/>
            <w:u w:val="single" w:color="auto"/>
            <w:color w:val="0000EE"/>
          </w:rPr>
          <w:t>Section 302 of the Sarbanes-Oxley Act of 2002.</w:t>
        </w:r>
      </w:hyperlink>
    </w:p>
    <w:p>
      <w:pPr>
        <w:spacing w:after="0" w:line="201" w:lineRule="exact"/>
        <w:rPr>
          <w:sz w:val="20"/>
          <w:szCs w:val="20"/>
          <w:color w:val="auto"/>
        </w:rPr>
      </w:pPr>
    </w:p>
    <w:p>
      <w:pPr>
        <w:ind w:left="1280" w:right="120" w:hanging="468"/>
        <w:spacing w:after="0" w:line="275"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31.2</w:t>
      </w:r>
      <w:r>
        <w:rPr>
          <w:sz w:val="20"/>
          <w:szCs w:val="20"/>
          <w:color w:val="auto"/>
        </w:rPr>
        <w:tab/>
      </w:r>
      <w:hyperlink w:anchor="page303">
        <w:r>
          <w:rPr>
            <w:rFonts w:ascii="Times New Roman" w:cs="Times New Roman" w:eastAsia="Times New Roman" w:hAnsi="Times New Roman"/>
            <w:sz w:val="18"/>
            <w:szCs w:val="18"/>
            <w:u w:val="single" w:color="auto"/>
            <w:color w:val="0000EE"/>
          </w:rPr>
          <w:t>Certification of Dennis Durkin pursuant to Rule 13a-14(a) under the Securities and Exchange Act of 1934, as adopted pursuant to Section 302</w:t>
        </w:r>
      </w:hyperlink>
      <w:r>
        <w:rPr>
          <w:rFonts w:ascii="Times New Roman" w:cs="Times New Roman" w:eastAsia="Times New Roman" w:hAnsi="Times New Roman"/>
          <w:sz w:val="18"/>
          <w:szCs w:val="18"/>
          <w:u w:val="single" w:color="auto"/>
          <w:color w:val="0000EE"/>
        </w:rPr>
        <w:t xml:space="preserve"> </w:t>
      </w:r>
      <w:hyperlink w:anchor="page303">
        <w:r>
          <w:rPr>
            <w:rFonts w:ascii="Times New Roman" w:cs="Times New Roman" w:eastAsia="Times New Roman" w:hAnsi="Times New Roman"/>
            <w:sz w:val="18"/>
            <w:szCs w:val="18"/>
            <w:u w:val="single" w:color="auto"/>
            <w:color w:val="0000EE"/>
          </w:rPr>
          <w:t>of the Sarbanes-Oxley Act of 2002.</w:t>
        </w:r>
      </w:hyperlink>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58" w:name="page159"/>
    <w:bookmarkEnd w:id="15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720" w:type="dxa"/>
            <w:vAlign w:val="bottom"/>
          </w:tcPr>
          <w:p>
            <w:pPr>
              <w:spacing w:after="0"/>
              <w:rPr>
                <w:sz w:val="14"/>
                <w:szCs w:val="14"/>
                <w:color w:val="auto"/>
              </w:rPr>
            </w:pPr>
          </w:p>
        </w:tc>
        <w:tc>
          <w:tcPr>
            <w:tcW w:w="8420" w:type="dxa"/>
            <w:vAlign w:val="bottom"/>
            <w:gridSpan w:val="3"/>
          </w:tcPr>
          <w:p>
            <w:pPr>
              <w:ind w:left="3140"/>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169"/>
        </w:trPr>
        <w:tc>
          <w:tcPr>
            <w:tcW w:w="112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14"/>
                <w:szCs w:val="14"/>
                <w:color w:val="auto"/>
              </w:rPr>
            </w:pPr>
          </w:p>
        </w:tc>
        <w:tc>
          <w:tcPr>
            <w:tcW w:w="10140" w:type="dxa"/>
            <w:vAlign w:val="bottom"/>
            <w:tcBorders>
              <w:top w:val="single" w:sz="8" w:color="auto"/>
            </w:tcBorders>
            <w:gridSpan w:val="4"/>
          </w:tcPr>
          <w:p>
            <w:pPr>
              <w:spacing w:after="0" w:line="170" w:lineRule="exact"/>
              <w:rPr>
                <w:rFonts w:ascii="Times New Roman" w:cs="Times New Roman" w:eastAsia="Times New Roman" w:hAnsi="Times New Roman"/>
                <w:sz w:val="18"/>
                <w:szCs w:val="18"/>
                <w:color w:val="0000EE"/>
              </w:rPr>
            </w:pPr>
            <w:hyperlink w:anchor="page304">
              <w:r>
                <w:rPr>
                  <w:rFonts w:ascii="Times New Roman" w:cs="Times New Roman" w:eastAsia="Times New Roman" w:hAnsi="Times New Roman"/>
                  <w:sz w:val="18"/>
                  <w:szCs w:val="18"/>
                  <w:color w:val="0000EE"/>
                </w:rPr>
                <w:t>Certification of Robert A. Kotick pursuant to Section 906 of the Sarbanes-Oxley Act of 2002.</w:t>
              </w:r>
            </w:hyperlink>
          </w:p>
        </w:tc>
      </w:tr>
      <w:tr>
        <w:trPr>
          <w:trHeight w:val="439"/>
        </w:trPr>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tcPr>
          <w:p>
            <w:pPr>
              <w:spacing w:after="0"/>
              <w:rPr>
                <w:sz w:val="24"/>
                <w:szCs w:val="24"/>
                <w:color w:val="auto"/>
              </w:rPr>
            </w:pPr>
          </w:p>
        </w:tc>
        <w:tc>
          <w:tcPr>
            <w:tcW w:w="6580" w:type="dxa"/>
            <w:vAlign w:val="bottom"/>
            <w:tcBorders>
              <w:top w:val="single" w:sz="8" w:color="0000EE"/>
            </w:tcBorders>
            <w:gridSpan w:val="3"/>
          </w:tcPr>
          <w:p>
            <w:pPr>
              <w:spacing w:after="0"/>
              <w:rPr>
                <w:rFonts w:ascii="Times New Roman" w:cs="Times New Roman" w:eastAsia="Times New Roman" w:hAnsi="Times New Roman"/>
                <w:sz w:val="18"/>
                <w:szCs w:val="18"/>
                <w:color w:val="0000EE"/>
                <w:w w:val="99"/>
              </w:rPr>
            </w:pPr>
            <w:hyperlink w:anchor="page305">
              <w:r>
                <w:rPr>
                  <w:rFonts w:ascii="Times New Roman" w:cs="Times New Roman" w:eastAsia="Times New Roman" w:hAnsi="Times New Roman"/>
                  <w:sz w:val="18"/>
                  <w:szCs w:val="18"/>
                  <w:color w:val="0000EE"/>
                  <w:w w:val="99"/>
                </w:rPr>
                <w:t>Certification of Dennis Durkin pursuant to Section 906 of the Sarbanes-Oxley Act of 2002.</w:t>
              </w:r>
            </w:hyperlink>
          </w:p>
        </w:tc>
        <w:tc>
          <w:tcPr>
            <w:tcW w:w="3560" w:type="dxa"/>
            <w:vAlign w:val="bottom"/>
          </w:tcPr>
          <w:p>
            <w:pPr>
              <w:spacing w:after="0"/>
              <w:rPr>
                <w:sz w:val="24"/>
                <w:szCs w:val="24"/>
                <w:color w:val="auto"/>
              </w:rPr>
            </w:pPr>
          </w:p>
        </w:tc>
      </w:tr>
      <w:tr>
        <w:trPr>
          <w:trHeight w:val="478"/>
        </w:trPr>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101.INS</w:t>
            </w:r>
          </w:p>
        </w:tc>
        <w:tc>
          <w:tcPr>
            <w:tcW w:w="64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3740" w:type="dxa"/>
            <w:vAlign w:val="bottom"/>
            <w:gridSpan w:val="2"/>
          </w:tcPr>
          <w:p>
            <w:pPr>
              <w:spacing w:after="0"/>
              <w:rPr>
                <w:sz w:val="24"/>
                <w:szCs w:val="24"/>
                <w:color w:val="auto"/>
              </w:rPr>
            </w:pPr>
          </w:p>
        </w:tc>
      </w:tr>
      <w:tr>
        <w:trPr>
          <w:trHeight w:val="459"/>
        </w:trPr>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101.SCH</w:t>
            </w: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59"/>
        </w:trPr>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101.CAL</w:t>
            </w: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r>
      <w:tr>
        <w:trPr>
          <w:trHeight w:val="459"/>
        </w:trPr>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101.LAB</w:t>
            </w: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Label Linkbase Document.</w:t>
            </w:r>
          </w:p>
        </w:tc>
      </w:tr>
      <w:tr>
        <w:trPr>
          <w:trHeight w:val="459"/>
        </w:trPr>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101.PRE</w:t>
            </w: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r>
      <w:tr>
        <w:trPr>
          <w:trHeight w:val="459"/>
        </w:trPr>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101.DEF</w:t>
            </w: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Definition Document.</w:t>
            </w:r>
          </w:p>
        </w:tc>
      </w:tr>
      <w:tr>
        <w:trPr>
          <w:trHeight w:val="110"/>
        </w:trPr>
        <w:tc>
          <w:tcPr>
            <w:tcW w:w="1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560" w:type="dxa"/>
            <w:vAlign w:val="bottom"/>
          </w:tcPr>
          <w:p>
            <w:pPr>
              <w:spacing w:after="0"/>
              <w:rPr>
                <w:sz w:val="9"/>
                <w:szCs w:val="9"/>
                <w:color w:val="auto"/>
              </w:rPr>
            </w:pPr>
          </w:p>
        </w:tc>
      </w:tr>
    </w:tbl>
    <w:p>
      <w:pPr>
        <w:spacing w:after="0" w:line="215" w:lineRule="exact"/>
        <w:rPr>
          <w:sz w:val="20"/>
          <w:szCs w:val="20"/>
          <w:color w:val="auto"/>
        </w:rPr>
      </w:pPr>
    </w:p>
    <w:p>
      <w:pPr>
        <w:ind w:left="540" w:hanging="532"/>
        <w:spacing w:after="0"/>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contract or arrangement in which a director or executive officer of the Company participates.</w:t>
      </w:r>
    </w:p>
    <w:p>
      <w:pPr>
        <w:spacing w:after="0" w:line="252" w:lineRule="exact"/>
        <w:rPr>
          <w:sz w:val="20"/>
          <w:szCs w:val="20"/>
          <w:color w:val="auto"/>
        </w:rPr>
      </w:pPr>
    </w:p>
    <w:p>
      <w:pPr>
        <w:ind w:left="540" w:right="560" w:hanging="532"/>
        <w:spacing w:after="0" w:line="275"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requested as to portions of the exhibit. Confidential materials omitted and filed separately with the Securities and Exchange Commission.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9" w:name="page160"/>
    <w:bookmarkEnd w:id="15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7" w:lineRule="exact"/>
        <w:rPr>
          <w:sz w:val="20"/>
          <w:szCs w:val="20"/>
          <w:color w:val="auto"/>
        </w:rPr>
      </w:pPr>
    </w:p>
    <w:p>
      <w:pPr>
        <w:ind w:right="2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Activision Blizzard, Inc. has duly caused this report to be signed on its behalf by the undersigned, thereunto duly authorized.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2019</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ACTIVISION BLIZZARD, INC.</w:t>
      </w:r>
    </w:p>
    <w:p>
      <w:pPr>
        <w:spacing w:after="0" w:line="252" w:lineRule="exact"/>
        <w:rPr>
          <w:sz w:val="20"/>
          <w:szCs w:val="20"/>
          <w:color w:val="auto"/>
        </w:rPr>
      </w:pPr>
    </w:p>
    <w:p>
      <w:pPr>
        <w:ind w:left="1140"/>
        <w:spacing w:after="0"/>
        <w:tabs>
          <w:tab w:leader="none" w:pos="27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74930</wp:posOffset>
            </wp:positionV>
            <wp:extent cx="2735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7">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78" w:lineRule="exact"/>
        <w:rPr>
          <w:sz w:val="20"/>
          <w:szCs w:val="20"/>
          <w:color w:val="auto"/>
        </w:rPr>
      </w:pPr>
    </w:p>
    <w:p>
      <w:pPr>
        <w:jc w:val="center"/>
        <w:ind w:right="4000"/>
        <w:spacing w:after="0"/>
        <w:rPr>
          <w:sz w:val="20"/>
          <w:szCs w:val="20"/>
          <w:color w:val="auto"/>
        </w:rPr>
      </w:pPr>
      <w:r>
        <w:rPr>
          <w:rFonts w:ascii="Times New Roman" w:cs="Times New Roman" w:eastAsia="Times New Roman" w:hAnsi="Times New Roman"/>
          <w:sz w:val="18"/>
          <w:szCs w:val="18"/>
          <w:color w:val="auto"/>
        </w:rPr>
        <w:t>Robert A. Kotick</w:t>
      </w:r>
    </w:p>
    <w:p>
      <w:pPr>
        <w:spacing w:after="0" w:line="21" w:lineRule="exact"/>
        <w:rPr>
          <w:sz w:val="20"/>
          <w:szCs w:val="20"/>
          <w:color w:val="auto"/>
        </w:rPr>
      </w:pPr>
    </w:p>
    <w:p>
      <w:pPr>
        <w:jc w:val="center"/>
        <w:ind w:right="4000"/>
        <w:spacing w:after="0"/>
        <w:rPr>
          <w:sz w:val="20"/>
          <w:szCs w:val="20"/>
          <w:color w:val="auto"/>
        </w:rPr>
      </w:pPr>
      <w:r>
        <w:rPr>
          <w:rFonts w:ascii="Times New Roman" w:cs="Times New Roman" w:eastAsia="Times New Roman" w:hAnsi="Times New Roman"/>
          <w:sz w:val="18"/>
          <w:szCs w:val="18"/>
          <w:i w:val="1"/>
          <w:iCs w:val="1"/>
          <w:color w:val="auto"/>
        </w:rPr>
        <w:t>Director and Chief Executive Officer of Activision</w:t>
      </w:r>
    </w:p>
    <w:p>
      <w:pPr>
        <w:spacing w:after="0" w:line="9" w:lineRule="exact"/>
        <w:rPr>
          <w:sz w:val="20"/>
          <w:szCs w:val="20"/>
          <w:color w:val="auto"/>
        </w:rPr>
      </w:pPr>
    </w:p>
    <w:p>
      <w:pPr>
        <w:jc w:val="center"/>
        <w:ind w:right="4000"/>
        <w:spacing w:after="0"/>
        <w:rPr>
          <w:sz w:val="20"/>
          <w:szCs w:val="20"/>
          <w:color w:val="auto"/>
        </w:rPr>
      </w:pPr>
      <w:r>
        <w:rPr>
          <w:rFonts w:ascii="Times New Roman" w:cs="Times New Roman" w:eastAsia="Times New Roman" w:hAnsi="Times New Roman"/>
          <w:sz w:val="18"/>
          <w:szCs w:val="18"/>
          <w:i w:val="1"/>
          <w:iCs w:val="1"/>
          <w:color w:val="auto"/>
        </w:rPr>
        <w:t>Blizzard, Inc.</w:t>
      </w:r>
    </w:p>
    <w:p>
      <w:pPr>
        <w:spacing w:after="0" w:line="9" w:lineRule="exact"/>
        <w:rPr>
          <w:sz w:val="20"/>
          <w:szCs w:val="20"/>
          <w:color w:val="auto"/>
        </w:rPr>
      </w:pPr>
    </w:p>
    <w:p>
      <w:pPr>
        <w:jc w:val="center"/>
        <w:ind w:right="40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8">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7" w:lineRule="exact"/>
        <w:rPr>
          <w:sz w:val="20"/>
          <w:szCs w:val="20"/>
          <w:color w:val="auto"/>
        </w:rPr>
      </w:pPr>
    </w:p>
    <w:p>
      <w:pPr>
        <w:ind w:right="100" w:firstLine="351"/>
        <w:spacing w:after="0" w:line="254" w:lineRule="auto"/>
        <w:rPr>
          <w:sz w:val="20"/>
          <w:szCs w:val="20"/>
          <w:color w:val="auto"/>
        </w:rPr>
      </w:pPr>
      <w:r>
        <w:rPr>
          <w:rFonts w:ascii="Times New Roman" w:cs="Times New Roman" w:eastAsia="Times New Roman" w:hAnsi="Times New Roman"/>
          <w:sz w:val="18"/>
          <w:szCs w:val="18"/>
          <w:color w:val="auto"/>
        </w:rPr>
        <w:t>Each individual whose signature appears below constitutes and appoints Robert A. Kotick, and Dennis Durkin and each of them, his or her true and lawful attorneys-in-fact and agents with full power of substitution, for him or her and in his or her name, place and stead, in any and all capacities, to sign any and all amendments to this Annual Report on Form 10-K,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her or their substitute or substitutes, may lawfully do or cause to be done or by virtue hereof.</w:t>
      </w:r>
    </w:p>
    <w:p>
      <w:pPr>
        <w:spacing w:after="0" w:line="195" w:lineRule="exact"/>
        <w:rPr>
          <w:sz w:val="20"/>
          <w:szCs w:val="20"/>
          <w:color w:val="auto"/>
        </w:rPr>
      </w:pPr>
    </w:p>
    <w:p>
      <w:pPr>
        <w:ind w:right="16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w w:val="97"/>
              </w:rPr>
              <w:t>/s/ ROBERT A. KOTICK</w:t>
            </w:r>
          </w:p>
        </w:tc>
        <w:tc>
          <w:tcPr>
            <w:tcW w:w="640" w:type="dxa"/>
            <w:vAlign w:val="bottom"/>
          </w:tcPr>
          <w:p>
            <w:pPr>
              <w:spacing w:after="0"/>
              <w:rPr>
                <w:sz w:val="18"/>
                <w:szCs w:val="18"/>
                <w:color w:val="auto"/>
              </w:rPr>
            </w:pPr>
          </w:p>
        </w:tc>
        <w:tc>
          <w:tcPr>
            <w:tcW w:w="2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1620" w:type="dxa"/>
            <w:vAlign w:val="bottom"/>
          </w:tcPr>
          <w:p>
            <w:pPr>
              <w:spacing w:after="0"/>
              <w:rPr>
                <w:sz w:val="9"/>
                <w:szCs w:val="9"/>
                <w:color w:val="auto"/>
              </w:rPr>
            </w:pPr>
          </w:p>
        </w:tc>
        <w:tc>
          <w:tcPr>
            <w:tcW w:w="34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Chief Executive Officer, and</w:t>
            </w:r>
          </w:p>
        </w:tc>
        <w:tc>
          <w:tcPr>
            <w:tcW w:w="29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February 28, 2019</w:t>
            </w:r>
          </w:p>
        </w:tc>
        <w:tc>
          <w:tcPr>
            <w:tcW w:w="0" w:type="dxa"/>
            <w:vAlign w:val="bottom"/>
          </w:tcPr>
          <w:p>
            <w:pPr>
              <w:spacing w:after="0"/>
              <w:rPr>
                <w:sz w:val="1"/>
                <w:szCs w:val="1"/>
                <w:color w:val="auto"/>
              </w:rPr>
            </w:pPr>
          </w:p>
        </w:tc>
      </w:tr>
      <w:tr>
        <w:trPr>
          <w:trHeight w:val="87"/>
        </w:trPr>
        <w:tc>
          <w:tcPr>
            <w:tcW w:w="1620" w:type="dxa"/>
            <w:vAlign w:val="bottom"/>
          </w:tcPr>
          <w:p>
            <w:pPr>
              <w:spacing w:after="0"/>
              <w:rPr>
                <w:sz w:val="7"/>
                <w:szCs w:val="7"/>
                <w:color w:val="auto"/>
              </w:rPr>
            </w:pPr>
          </w:p>
        </w:tc>
        <w:tc>
          <w:tcPr>
            <w:tcW w:w="3460" w:type="dxa"/>
            <w:vAlign w:val="bottom"/>
            <w:vMerge w:val="restart"/>
          </w:tcPr>
          <w:p>
            <w:pPr>
              <w:jc w:val="center"/>
              <w:ind w:left="512"/>
              <w:spacing w:after="0"/>
              <w:rPr>
                <w:sz w:val="20"/>
                <w:szCs w:val="20"/>
                <w:color w:val="auto"/>
              </w:rPr>
            </w:pPr>
            <w:r>
              <w:rPr>
                <w:rFonts w:ascii="Times New Roman" w:cs="Times New Roman" w:eastAsia="Times New Roman" w:hAnsi="Times New Roman"/>
                <w:sz w:val="18"/>
                <w:szCs w:val="18"/>
                <w:color w:val="auto"/>
                <w:w w:val="98"/>
              </w:rPr>
              <w:t>(Robert A. Kotick)</w:t>
            </w:r>
          </w:p>
        </w:tc>
        <w:tc>
          <w:tcPr>
            <w:tcW w:w="64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1620" w:type="dxa"/>
            <w:vAlign w:val="bottom"/>
          </w:tcPr>
          <w:p>
            <w:pPr>
              <w:spacing w:after="0"/>
              <w:rPr>
                <w:sz w:val="19"/>
                <w:szCs w:val="19"/>
                <w:color w:val="auto"/>
              </w:rPr>
            </w:pPr>
          </w:p>
        </w:tc>
        <w:tc>
          <w:tcPr>
            <w:tcW w:w="34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6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vMerge w:val="restart"/>
          </w:tcPr>
          <w:p>
            <w:pPr>
              <w:jc w:val="center"/>
              <w:ind w:left="512"/>
              <w:spacing w:after="0"/>
              <w:rPr>
                <w:sz w:val="20"/>
                <w:szCs w:val="20"/>
                <w:color w:val="auto"/>
              </w:rPr>
            </w:pPr>
            <w:r>
              <w:rPr>
                <w:rFonts w:ascii="Times New Roman" w:cs="Times New Roman" w:eastAsia="Times New Roman" w:hAnsi="Times New Roman"/>
                <w:sz w:val="18"/>
                <w:szCs w:val="18"/>
                <w:color w:val="auto"/>
                <w:w w:val="97"/>
              </w:rPr>
              <w:t>/s/ DENNIS DURKIN</w:t>
            </w:r>
          </w:p>
        </w:tc>
        <w:tc>
          <w:tcPr>
            <w:tcW w:w="6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34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Chief Financial Officer and</w:t>
            </w: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6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780" w:type="dxa"/>
            <w:vAlign w:val="bottom"/>
            <w:vMerge w:val="continue"/>
          </w:tcPr>
          <w:p>
            <w:pPr>
              <w:spacing w:after="0"/>
              <w:rPr>
                <w:sz w:val="13"/>
                <w:szCs w:val="13"/>
                <w:color w:val="auto"/>
              </w:rPr>
            </w:pPr>
          </w:p>
        </w:tc>
        <w:tc>
          <w:tcPr>
            <w:tcW w:w="2920" w:type="dxa"/>
            <w:vAlign w:val="bottom"/>
            <w:vMerge w:val="restart"/>
          </w:tcPr>
          <w:p>
            <w:pPr>
              <w:ind w:left="420"/>
              <w:spacing w:after="0" w:line="198" w:lineRule="exact"/>
              <w:rPr>
                <w:sz w:val="20"/>
                <w:szCs w:val="20"/>
                <w:color w:val="auto"/>
              </w:rPr>
            </w:pPr>
            <w:r>
              <w:rPr>
                <w:rFonts w:ascii="Times New Roman" w:cs="Times New Roman" w:eastAsia="Times New Roman" w:hAnsi="Times New Roman"/>
                <w:sz w:val="18"/>
                <w:szCs w:val="18"/>
                <w:color w:val="auto"/>
              </w:rPr>
              <w:t>February 28, 2019</w:t>
            </w:r>
          </w:p>
        </w:tc>
        <w:tc>
          <w:tcPr>
            <w:tcW w:w="0" w:type="dxa"/>
            <w:vAlign w:val="bottom"/>
          </w:tcPr>
          <w:p>
            <w:pPr>
              <w:spacing w:after="0"/>
              <w:rPr>
                <w:sz w:val="1"/>
                <w:szCs w:val="1"/>
                <w:color w:val="auto"/>
              </w:rPr>
            </w:pPr>
          </w:p>
        </w:tc>
      </w:tr>
      <w:tr>
        <w:trPr>
          <w:trHeight w:val="68"/>
        </w:trPr>
        <w:tc>
          <w:tcPr>
            <w:tcW w:w="1620" w:type="dxa"/>
            <w:vAlign w:val="bottom"/>
          </w:tcPr>
          <w:p>
            <w:pPr>
              <w:spacing w:after="0"/>
              <w:rPr>
                <w:sz w:val="5"/>
                <w:szCs w:val="5"/>
                <w:color w:val="auto"/>
              </w:rPr>
            </w:pPr>
          </w:p>
        </w:tc>
        <w:tc>
          <w:tcPr>
            <w:tcW w:w="34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620" w:type="dxa"/>
            <w:vAlign w:val="bottom"/>
          </w:tcPr>
          <w:p>
            <w:pPr>
              <w:spacing w:after="0"/>
              <w:rPr>
                <w:sz w:val="12"/>
                <w:szCs w:val="12"/>
                <w:color w:val="auto"/>
              </w:rPr>
            </w:pPr>
          </w:p>
        </w:tc>
        <w:tc>
          <w:tcPr>
            <w:tcW w:w="3460" w:type="dxa"/>
            <w:vAlign w:val="bottom"/>
            <w:vMerge w:val="restart"/>
          </w:tcPr>
          <w:p>
            <w:pPr>
              <w:jc w:val="center"/>
              <w:ind w:left="512"/>
              <w:spacing w:after="0"/>
              <w:rPr>
                <w:sz w:val="20"/>
                <w:szCs w:val="20"/>
                <w:color w:val="auto"/>
              </w:rPr>
            </w:pPr>
            <w:r>
              <w:rPr>
                <w:rFonts w:ascii="Times New Roman" w:cs="Times New Roman" w:eastAsia="Times New Roman" w:hAnsi="Times New Roman"/>
                <w:sz w:val="18"/>
                <w:szCs w:val="18"/>
                <w:color w:val="auto"/>
                <w:w w:val="96"/>
              </w:rPr>
              <w:t>(Dennis Durkin)</w:t>
            </w:r>
          </w:p>
        </w:tc>
        <w:tc>
          <w:tcPr>
            <w:tcW w:w="640" w:type="dxa"/>
            <w:vAlign w:val="bottom"/>
          </w:tcPr>
          <w:p>
            <w:pPr>
              <w:spacing w:after="0"/>
              <w:rPr>
                <w:sz w:val="12"/>
                <w:szCs w:val="12"/>
                <w:color w:val="auto"/>
              </w:rPr>
            </w:pPr>
          </w:p>
        </w:tc>
        <w:tc>
          <w:tcPr>
            <w:tcW w:w="2780" w:type="dxa"/>
            <w:vAlign w:val="bottom"/>
            <w:vMerge w:val="continue"/>
          </w:tcPr>
          <w:p>
            <w:pPr>
              <w:spacing w:after="0"/>
              <w:rPr>
                <w:sz w:val="12"/>
                <w:szCs w:val="12"/>
                <w:color w:val="auto"/>
              </w:rPr>
            </w:pPr>
          </w:p>
        </w:tc>
        <w:tc>
          <w:tcPr>
            <w:tcW w:w="2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620" w:type="dxa"/>
            <w:vAlign w:val="bottom"/>
          </w:tcPr>
          <w:p>
            <w:pPr>
              <w:spacing w:after="0"/>
              <w:rPr>
                <w:sz w:val="15"/>
                <w:szCs w:val="15"/>
                <w:color w:val="auto"/>
              </w:rPr>
            </w:pPr>
          </w:p>
        </w:tc>
        <w:tc>
          <w:tcPr>
            <w:tcW w:w="346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9"/>
        </w:trPr>
        <w:tc>
          <w:tcPr>
            <w:tcW w:w="16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vMerge w:val="restart"/>
          </w:tcPr>
          <w:p>
            <w:pPr>
              <w:jc w:val="center"/>
              <w:ind w:left="492"/>
              <w:spacing w:after="0"/>
              <w:rPr>
                <w:sz w:val="20"/>
                <w:szCs w:val="20"/>
                <w:color w:val="auto"/>
              </w:rPr>
            </w:pPr>
            <w:r>
              <w:rPr>
                <w:rFonts w:ascii="Times New Roman" w:cs="Times New Roman" w:eastAsia="Times New Roman" w:hAnsi="Times New Roman"/>
                <w:sz w:val="18"/>
                <w:szCs w:val="18"/>
                <w:color w:val="auto"/>
                <w:w w:val="97"/>
              </w:rPr>
              <w:t>/s/ STEPHEN WEREB</w:t>
            </w:r>
          </w:p>
        </w:tc>
        <w:tc>
          <w:tcPr>
            <w:tcW w:w="6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620" w:type="dxa"/>
            <w:vAlign w:val="bottom"/>
          </w:tcPr>
          <w:p>
            <w:pPr>
              <w:spacing w:after="0"/>
              <w:rPr>
                <w:sz w:val="20"/>
                <w:szCs w:val="20"/>
                <w:color w:val="auto"/>
              </w:rPr>
            </w:pPr>
          </w:p>
        </w:tc>
        <w:tc>
          <w:tcPr>
            <w:tcW w:w="346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2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Deputy Chief Financial Officer,</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620" w:type="dxa"/>
            <w:vAlign w:val="bottom"/>
          </w:tcPr>
          <w:p>
            <w:pPr>
              <w:spacing w:after="0"/>
              <w:rPr>
                <w:sz w:val="15"/>
                <w:szCs w:val="15"/>
                <w:color w:val="auto"/>
              </w:rPr>
            </w:pPr>
          </w:p>
        </w:tc>
        <w:tc>
          <w:tcPr>
            <w:tcW w:w="34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780" w:type="dxa"/>
            <w:vAlign w:val="bottom"/>
          </w:tcPr>
          <w:p>
            <w:pPr>
              <w:ind w:left="120"/>
              <w:spacing w:after="0" w:line="157" w:lineRule="exact"/>
              <w:rPr>
                <w:sz w:val="20"/>
                <w:szCs w:val="20"/>
                <w:color w:val="auto"/>
              </w:rPr>
            </w:pPr>
            <w:r>
              <w:rPr>
                <w:rFonts w:ascii="Times New Roman" w:cs="Times New Roman" w:eastAsia="Times New Roman" w:hAnsi="Times New Roman"/>
                <w:sz w:val="18"/>
                <w:szCs w:val="18"/>
                <w:color w:val="auto"/>
              </w:rPr>
              <w:t>Chief Accounting Officer, and</w:t>
            </w:r>
          </w:p>
        </w:tc>
        <w:tc>
          <w:tcPr>
            <w:tcW w:w="2920" w:type="dxa"/>
            <w:vAlign w:val="bottom"/>
          </w:tcPr>
          <w:p>
            <w:pPr>
              <w:ind w:left="420"/>
              <w:spacing w:after="0" w:line="157" w:lineRule="exact"/>
              <w:rPr>
                <w:sz w:val="20"/>
                <w:szCs w:val="20"/>
                <w:color w:val="auto"/>
              </w:rPr>
            </w:pPr>
            <w:r>
              <w:rPr>
                <w:rFonts w:ascii="Times New Roman" w:cs="Times New Roman" w:eastAsia="Times New Roman" w:hAnsi="Times New Roman"/>
                <w:sz w:val="18"/>
                <w:szCs w:val="18"/>
                <w:color w:val="auto"/>
              </w:rPr>
              <w:t>February 28, 2019</w:t>
            </w:r>
          </w:p>
        </w:tc>
        <w:tc>
          <w:tcPr>
            <w:tcW w:w="0" w:type="dxa"/>
            <w:vAlign w:val="bottom"/>
          </w:tcPr>
          <w:p>
            <w:pPr>
              <w:spacing w:after="0"/>
              <w:rPr>
                <w:sz w:val="1"/>
                <w:szCs w:val="1"/>
                <w:color w:val="auto"/>
              </w:rPr>
            </w:pPr>
          </w:p>
        </w:tc>
      </w:tr>
      <w:tr>
        <w:trPr>
          <w:trHeight w:val="248"/>
        </w:trPr>
        <w:tc>
          <w:tcPr>
            <w:tcW w:w="1620" w:type="dxa"/>
            <w:vAlign w:val="bottom"/>
          </w:tcPr>
          <w:p>
            <w:pPr>
              <w:spacing w:after="0"/>
              <w:rPr>
                <w:sz w:val="21"/>
                <w:szCs w:val="21"/>
                <w:color w:val="auto"/>
              </w:rPr>
            </w:pPr>
          </w:p>
        </w:tc>
        <w:tc>
          <w:tcPr>
            <w:tcW w:w="3460" w:type="dxa"/>
            <w:vAlign w:val="bottom"/>
            <w:vMerge w:val="restart"/>
          </w:tcPr>
          <w:p>
            <w:pPr>
              <w:jc w:val="center"/>
              <w:ind w:left="512"/>
              <w:spacing w:after="0"/>
              <w:rPr>
                <w:sz w:val="20"/>
                <w:szCs w:val="20"/>
                <w:color w:val="auto"/>
              </w:rPr>
            </w:pPr>
            <w:r>
              <w:rPr>
                <w:rFonts w:ascii="Times New Roman" w:cs="Times New Roman" w:eastAsia="Times New Roman" w:hAnsi="Times New Roman"/>
                <w:sz w:val="18"/>
                <w:szCs w:val="18"/>
                <w:color w:val="auto"/>
                <w:w w:val="96"/>
              </w:rPr>
              <w:t>(Stephen Wereb)</w:t>
            </w:r>
          </w:p>
        </w:tc>
        <w:tc>
          <w:tcPr>
            <w:tcW w:w="640" w:type="dxa"/>
            <w:vAlign w:val="bottom"/>
          </w:tcPr>
          <w:p>
            <w:pPr>
              <w:spacing w:after="0"/>
              <w:rPr>
                <w:sz w:val="21"/>
                <w:szCs w:val="21"/>
                <w:color w:val="auto"/>
              </w:rPr>
            </w:pPr>
          </w:p>
        </w:tc>
        <w:tc>
          <w:tcPr>
            <w:tcW w:w="2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1620" w:type="dxa"/>
            <w:vAlign w:val="bottom"/>
          </w:tcPr>
          <w:p>
            <w:pPr>
              <w:spacing w:after="0"/>
              <w:rPr>
                <w:sz w:val="5"/>
                <w:szCs w:val="5"/>
                <w:color w:val="auto"/>
              </w:rPr>
            </w:pPr>
          </w:p>
        </w:tc>
        <w:tc>
          <w:tcPr>
            <w:tcW w:w="34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780" w:type="dxa"/>
            <w:vAlign w:val="bottom"/>
          </w:tcPr>
          <w:p>
            <w:pPr>
              <w:spacing w:after="0"/>
              <w:rPr>
                <w:sz w:val="5"/>
                <w:szCs w:val="5"/>
                <w:color w:val="auto"/>
              </w:rPr>
            </w:pPr>
          </w:p>
        </w:tc>
        <w:tc>
          <w:tcPr>
            <w:tcW w:w="2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9"/>
        </w:trPr>
        <w:tc>
          <w:tcPr>
            <w:tcW w:w="16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vMerge w:val="restart"/>
          </w:tcPr>
          <w:p>
            <w:pPr>
              <w:jc w:val="center"/>
              <w:ind w:left="512"/>
              <w:spacing w:after="0"/>
              <w:rPr>
                <w:sz w:val="20"/>
                <w:szCs w:val="20"/>
                <w:color w:val="auto"/>
              </w:rPr>
            </w:pPr>
            <w:r>
              <w:rPr>
                <w:rFonts w:ascii="Times New Roman" w:cs="Times New Roman" w:eastAsia="Times New Roman" w:hAnsi="Times New Roman"/>
                <w:sz w:val="18"/>
                <w:szCs w:val="18"/>
                <w:color w:val="auto"/>
                <w:w w:val="96"/>
              </w:rPr>
              <w:t>/s/ REVETA BOWERS</w:t>
            </w:r>
          </w:p>
        </w:tc>
        <w:tc>
          <w:tcPr>
            <w:tcW w:w="6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34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620" w:type="dxa"/>
            <w:vAlign w:val="bottom"/>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7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2920" w:type="dxa"/>
            <w:vAlign w:val="bottom"/>
          </w:tcPr>
          <w:p>
            <w:pPr>
              <w:ind w:left="420"/>
              <w:spacing w:after="0" w:line="198" w:lineRule="exact"/>
              <w:rPr>
                <w:sz w:val="20"/>
                <w:szCs w:val="20"/>
                <w:color w:val="auto"/>
              </w:rPr>
            </w:pPr>
            <w:r>
              <w:rPr>
                <w:rFonts w:ascii="Times New Roman" w:cs="Times New Roman" w:eastAsia="Times New Roman" w:hAnsi="Times New Roman"/>
                <w:sz w:val="18"/>
                <w:szCs w:val="18"/>
                <w:color w:val="auto"/>
              </w:rPr>
              <w:t>February 28, 2019</w:t>
            </w:r>
          </w:p>
        </w:tc>
        <w:tc>
          <w:tcPr>
            <w:tcW w:w="0" w:type="dxa"/>
            <w:vAlign w:val="bottom"/>
          </w:tcPr>
          <w:p>
            <w:pPr>
              <w:spacing w:after="0"/>
              <w:rPr>
                <w:sz w:val="1"/>
                <w:szCs w:val="1"/>
                <w:color w:val="auto"/>
              </w:rPr>
            </w:pPr>
          </w:p>
        </w:tc>
      </w:tr>
      <w:tr>
        <w:trPr>
          <w:trHeight w:val="316"/>
        </w:trPr>
        <w:tc>
          <w:tcPr>
            <w:tcW w:w="1620" w:type="dxa"/>
            <w:vAlign w:val="bottom"/>
          </w:tcPr>
          <w:p>
            <w:pPr>
              <w:spacing w:after="0"/>
              <w:rPr>
                <w:sz w:val="24"/>
                <w:szCs w:val="24"/>
                <w:color w:val="auto"/>
              </w:rPr>
            </w:pPr>
          </w:p>
        </w:tc>
        <w:tc>
          <w:tcPr>
            <w:tcW w:w="346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w w:val="97"/>
              </w:rPr>
              <w:t>(Reveta Bowers)</w:t>
            </w:r>
          </w:p>
        </w:tc>
        <w:tc>
          <w:tcPr>
            <w:tcW w:w="6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4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E-7</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2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Table of Contents</w:t>
              </w:r>
            </w:hyperlink>
          </w:p>
        </w:tc>
        <w:tc>
          <w:tcPr>
            <w:tcW w:w="36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16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By:</w:t>
            </w:r>
          </w:p>
        </w:tc>
        <w:tc>
          <w:tcPr>
            <w:tcW w:w="6580" w:type="dxa"/>
            <w:vAlign w:val="bottom"/>
            <w:gridSpan w:val="2"/>
          </w:tcPr>
          <w:p>
            <w:pPr>
              <w:jc w:val="center"/>
              <w:ind w:right="2432"/>
              <w:spacing w:after="0"/>
              <w:rPr>
                <w:sz w:val="20"/>
                <w:szCs w:val="20"/>
                <w:color w:val="auto"/>
              </w:rPr>
            </w:pPr>
            <w:r>
              <w:rPr>
                <w:rFonts w:ascii="Times New Roman" w:cs="Times New Roman" w:eastAsia="Times New Roman" w:hAnsi="Times New Roman"/>
                <w:sz w:val="18"/>
                <w:szCs w:val="18"/>
                <w:color w:val="auto"/>
                <w:w w:val="96"/>
              </w:rPr>
              <w:t>/s/ ROBERT J. CORTI</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24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3220" w:type="dxa"/>
            <w:vAlign w:val="bottom"/>
          </w:tcPr>
          <w:p>
            <w:pPr>
              <w:ind w:left="720"/>
              <w:spacing w:after="0" w:line="198" w:lineRule="exact"/>
              <w:rPr>
                <w:sz w:val="20"/>
                <w:szCs w:val="20"/>
                <w:color w:val="auto"/>
              </w:rPr>
            </w:pPr>
            <w:r>
              <w:rPr>
                <w:rFonts w:ascii="Times New Roman" w:cs="Times New Roman" w:eastAsia="Times New Roman" w:hAnsi="Times New Roman"/>
                <w:sz w:val="18"/>
                <w:szCs w:val="18"/>
                <w:color w:val="auto"/>
              </w:rPr>
              <w:t>February 28, 2019</w:t>
            </w:r>
          </w:p>
        </w:tc>
        <w:tc>
          <w:tcPr>
            <w:tcW w:w="0" w:type="dxa"/>
            <w:vAlign w:val="bottom"/>
          </w:tcPr>
          <w:p>
            <w:pPr>
              <w:spacing w:after="0"/>
              <w:rPr>
                <w:sz w:val="1"/>
                <w:szCs w:val="1"/>
                <w:color w:val="auto"/>
              </w:rPr>
            </w:pPr>
          </w:p>
        </w:tc>
      </w:tr>
      <w:tr>
        <w:trPr>
          <w:trHeight w:val="316"/>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80" w:type="dxa"/>
            <w:vAlign w:val="bottom"/>
            <w:gridSpan w:val="2"/>
          </w:tcPr>
          <w:p>
            <w:pPr>
              <w:jc w:val="center"/>
              <w:ind w:right="2432"/>
              <w:spacing w:after="0"/>
              <w:rPr>
                <w:sz w:val="20"/>
                <w:szCs w:val="20"/>
                <w:color w:val="auto"/>
              </w:rPr>
            </w:pPr>
            <w:r>
              <w:rPr>
                <w:rFonts w:ascii="Times New Roman" w:cs="Times New Roman" w:eastAsia="Times New Roman" w:hAnsi="Times New Roman"/>
                <w:sz w:val="18"/>
                <w:szCs w:val="18"/>
                <w:color w:val="auto"/>
                <w:w w:val="96"/>
              </w:rPr>
              <w:t>(Robert J. Corti)</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By:</w:t>
            </w:r>
          </w:p>
        </w:tc>
        <w:tc>
          <w:tcPr>
            <w:tcW w:w="6580" w:type="dxa"/>
            <w:vAlign w:val="bottom"/>
            <w:gridSpan w:val="2"/>
            <w:vMerge w:val="restart"/>
          </w:tcPr>
          <w:p>
            <w:pPr>
              <w:jc w:val="center"/>
              <w:ind w:right="2432"/>
              <w:spacing w:after="0"/>
              <w:rPr>
                <w:sz w:val="20"/>
                <w:szCs w:val="20"/>
                <w:color w:val="auto"/>
              </w:rPr>
            </w:pPr>
            <w:r>
              <w:rPr>
                <w:rFonts w:ascii="Times New Roman" w:cs="Times New Roman" w:eastAsia="Times New Roman" w:hAnsi="Times New Roman"/>
                <w:sz w:val="18"/>
                <w:szCs w:val="18"/>
                <w:color w:val="auto"/>
                <w:w w:val="96"/>
              </w:rPr>
              <w:t>/s/ BRIAN G. KELLY</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580" w:type="dxa"/>
            <w:vAlign w:val="bottom"/>
            <w:gridSpan w:val="2"/>
            <w:vMerge w:val="continue"/>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24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Chairman and Director</w:t>
            </w:r>
          </w:p>
        </w:tc>
        <w:tc>
          <w:tcPr>
            <w:tcW w:w="3220" w:type="dxa"/>
            <w:vAlign w:val="bottom"/>
          </w:tcPr>
          <w:p>
            <w:pPr>
              <w:ind w:left="720"/>
              <w:spacing w:after="0" w:line="198" w:lineRule="exact"/>
              <w:rPr>
                <w:sz w:val="20"/>
                <w:szCs w:val="20"/>
                <w:color w:val="auto"/>
              </w:rPr>
            </w:pPr>
            <w:r>
              <w:rPr>
                <w:rFonts w:ascii="Times New Roman" w:cs="Times New Roman" w:eastAsia="Times New Roman" w:hAnsi="Times New Roman"/>
                <w:sz w:val="18"/>
                <w:szCs w:val="18"/>
                <w:color w:val="auto"/>
              </w:rPr>
              <w:t>February 28, 2019</w:t>
            </w:r>
          </w:p>
        </w:tc>
        <w:tc>
          <w:tcPr>
            <w:tcW w:w="0" w:type="dxa"/>
            <w:vAlign w:val="bottom"/>
          </w:tcPr>
          <w:p>
            <w:pPr>
              <w:spacing w:after="0"/>
              <w:rPr>
                <w:sz w:val="1"/>
                <w:szCs w:val="1"/>
                <w:color w:val="auto"/>
              </w:rPr>
            </w:pPr>
          </w:p>
        </w:tc>
      </w:tr>
      <w:tr>
        <w:trPr>
          <w:trHeight w:val="316"/>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80" w:type="dxa"/>
            <w:vAlign w:val="bottom"/>
            <w:gridSpan w:val="2"/>
          </w:tcPr>
          <w:p>
            <w:pPr>
              <w:jc w:val="center"/>
              <w:ind w:right="2432"/>
              <w:spacing w:after="0"/>
              <w:rPr>
                <w:sz w:val="20"/>
                <w:szCs w:val="20"/>
                <w:color w:val="auto"/>
              </w:rPr>
            </w:pPr>
            <w:r>
              <w:rPr>
                <w:rFonts w:ascii="Times New Roman" w:cs="Times New Roman" w:eastAsia="Times New Roman" w:hAnsi="Times New Roman"/>
                <w:sz w:val="18"/>
                <w:szCs w:val="18"/>
                <w:color w:val="auto"/>
                <w:w w:val="96"/>
              </w:rPr>
              <w:t>(Brian G. Kelly)</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By:</w:t>
            </w:r>
          </w:p>
        </w:tc>
        <w:tc>
          <w:tcPr>
            <w:tcW w:w="6580" w:type="dxa"/>
            <w:vAlign w:val="bottom"/>
            <w:gridSpan w:val="2"/>
            <w:vMerge w:val="restart"/>
          </w:tcPr>
          <w:p>
            <w:pPr>
              <w:jc w:val="center"/>
              <w:ind w:right="2432"/>
              <w:spacing w:after="0"/>
              <w:rPr>
                <w:sz w:val="20"/>
                <w:szCs w:val="20"/>
                <w:color w:val="auto"/>
              </w:rPr>
            </w:pPr>
            <w:r>
              <w:rPr>
                <w:rFonts w:ascii="Times New Roman" w:cs="Times New Roman" w:eastAsia="Times New Roman" w:hAnsi="Times New Roman"/>
                <w:sz w:val="18"/>
                <w:szCs w:val="18"/>
                <w:color w:val="auto"/>
                <w:w w:val="96"/>
              </w:rPr>
              <w:t>/s/ HENDRIK J. HARTONG III</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580" w:type="dxa"/>
            <w:vAlign w:val="bottom"/>
            <w:gridSpan w:val="2"/>
            <w:vMerge w:val="continue"/>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24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3220" w:type="dxa"/>
            <w:vAlign w:val="bottom"/>
          </w:tcPr>
          <w:p>
            <w:pPr>
              <w:ind w:left="720"/>
              <w:spacing w:after="0" w:line="198" w:lineRule="exact"/>
              <w:rPr>
                <w:sz w:val="20"/>
                <w:szCs w:val="20"/>
                <w:color w:val="auto"/>
              </w:rPr>
            </w:pPr>
            <w:r>
              <w:rPr>
                <w:rFonts w:ascii="Times New Roman" w:cs="Times New Roman" w:eastAsia="Times New Roman" w:hAnsi="Times New Roman"/>
                <w:sz w:val="18"/>
                <w:szCs w:val="18"/>
                <w:color w:val="auto"/>
              </w:rPr>
              <w:t>February 28, 2019</w:t>
            </w:r>
          </w:p>
        </w:tc>
        <w:tc>
          <w:tcPr>
            <w:tcW w:w="0" w:type="dxa"/>
            <w:vAlign w:val="bottom"/>
          </w:tcPr>
          <w:p>
            <w:pPr>
              <w:spacing w:after="0"/>
              <w:rPr>
                <w:sz w:val="1"/>
                <w:szCs w:val="1"/>
                <w:color w:val="auto"/>
              </w:rPr>
            </w:pPr>
          </w:p>
        </w:tc>
      </w:tr>
      <w:tr>
        <w:trPr>
          <w:trHeight w:val="316"/>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80" w:type="dxa"/>
            <w:vAlign w:val="bottom"/>
            <w:gridSpan w:val="2"/>
          </w:tcPr>
          <w:p>
            <w:pPr>
              <w:jc w:val="center"/>
              <w:ind w:right="2432"/>
              <w:spacing w:after="0"/>
              <w:rPr>
                <w:sz w:val="20"/>
                <w:szCs w:val="20"/>
                <w:color w:val="auto"/>
              </w:rPr>
            </w:pPr>
            <w:r>
              <w:rPr>
                <w:rFonts w:ascii="Times New Roman" w:cs="Times New Roman" w:eastAsia="Times New Roman" w:hAnsi="Times New Roman"/>
                <w:sz w:val="18"/>
                <w:szCs w:val="18"/>
                <w:color w:val="auto"/>
                <w:w w:val="98"/>
              </w:rPr>
              <w:t>(Hendrik J. Hartong III)</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By:</w:t>
            </w:r>
          </w:p>
        </w:tc>
        <w:tc>
          <w:tcPr>
            <w:tcW w:w="6580" w:type="dxa"/>
            <w:vAlign w:val="bottom"/>
            <w:gridSpan w:val="2"/>
            <w:vMerge w:val="restart"/>
          </w:tcPr>
          <w:p>
            <w:pPr>
              <w:jc w:val="center"/>
              <w:ind w:right="2432"/>
              <w:spacing w:after="0"/>
              <w:rPr>
                <w:sz w:val="20"/>
                <w:szCs w:val="20"/>
                <w:color w:val="auto"/>
              </w:rPr>
            </w:pPr>
            <w:r>
              <w:rPr>
                <w:rFonts w:ascii="Times New Roman" w:cs="Times New Roman" w:eastAsia="Times New Roman" w:hAnsi="Times New Roman"/>
                <w:sz w:val="18"/>
                <w:szCs w:val="18"/>
                <w:color w:val="auto"/>
                <w:w w:val="96"/>
              </w:rPr>
              <w:t>/s/ BARRY MEYER</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580" w:type="dxa"/>
            <w:vAlign w:val="bottom"/>
            <w:gridSpan w:val="2"/>
            <w:vMerge w:val="continue"/>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24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3220" w:type="dxa"/>
            <w:vAlign w:val="bottom"/>
          </w:tcPr>
          <w:p>
            <w:pPr>
              <w:ind w:left="720"/>
              <w:spacing w:after="0" w:line="198" w:lineRule="exact"/>
              <w:rPr>
                <w:sz w:val="20"/>
                <w:szCs w:val="20"/>
                <w:color w:val="auto"/>
              </w:rPr>
            </w:pPr>
            <w:r>
              <w:rPr>
                <w:rFonts w:ascii="Times New Roman" w:cs="Times New Roman" w:eastAsia="Times New Roman" w:hAnsi="Times New Roman"/>
                <w:sz w:val="18"/>
                <w:szCs w:val="18"/>
                <w:color w:val="auto"/>
              </w:rPr>
              <w:t>February 28, 2019</w:t>
            </w:r>
          </w:p>
        </w:tc>
        <w:tc>
          <w:tcPr>
            <w:tcW w:w="0" w:type="dxa"/>
            <w:vAlign w:val="bottom"/>
          </w:tcPr>
          <w:p>
            <w:pPr>
              <w:spacing w:after="0"/>
              <w:rPr>
                <w:sz w:val="1"/>
                <w:szCs w:val="1"/>
                <w:color w:val="auto"/>
              </w:rPr>
            </w:pPr>
          </w:p>
        </w:tc>
      </w:tr>
      <w:tr>
        <w:trPr>
          <w:trHeight w:val="316"/>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80" w:type="dxa"/>
            <w:vAlign w:val="bottom"/>
            <w:gridSpan w:val="2"/>
          </w:tcPr>
          <w:p>
            <w:pPr>
              <w:jc w:val="center"/>
              <w:ind w:right="2432"/>
              <w:spacing w:after="0"/>
              <w:rPr>
                <w:sz w:val="20"/>
                <w:szCs w:val="20"/>
                <w:color w:val="auto"/>
              </w:rPr>
            </w:pPr>
            <w:r>
              <w:rPr>
                <w:rFonts w:ascii="Times New Roman" w:cs="Times New Roman" w:eastAsia="Times New Roman" w:hAnsi="Times New Roman"/>
                <w:sz w:val="18"/>
                <w:szCs w:val="18"/>
                <w:color w:val="auto"/>
                <w:w w:val="97"/>
              </w:rPr>
              <w:t>(Barry Meyer)</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By:</w:t>
            </w:r>
          </w:p>
        </w:tc>
        <w:tc>
          <w:tcPr>
            <w:tcW w:w="6580" w:type="dxa"/>
            <w:vAlign w:val="bottom"/>
            <w:gridSpan w:val="2"/>
            <w:vMerge w:val="restart"/>
          </w:tcPr>
          <w:p>
            <w:pPr>
              <w:jc w:val="center"/>
              <w:ind w:right="2452"/>
              <w:spacing w:after="0"/>
              <w:rPr>
                <w:sz w:val="20"/>
                <w:szCs w:val="20"/>
                <w:color w:val="auto"/>
              </w:rPr>
            </w:pPr>
            <w:r>
              <w:rPr>
                <w:rFonts w:ascii="Times New Roman" w:cs="Times New Roman" w:eastAsia="Times New Roman" w:hAnsi="Times New Roman"/>
                <w:sz w:val="18"/>
                <w:szCs w:val="18"/>
                <w:color w:val="auto"/>
                <w:w w:val="97"/>
              </w:rPr>
              <w:t>/s/ ROBERT J. MORGADO</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580" w:type="dxa"/>
            <w:vAlign w:val="bottom"/>
            <w:gridSpan w:val="2"/>
            <w:vMerge w:val="continue"/>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24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3220" w:type="dxa"/>
            <w:vAlign w:val="bottom"/>
          </w:tcPr>
          <w:p>
            <w:pPr>
              <w:ind w:left="720"/>
              <w:spacing w:after="0" w:line="198" w:lineRule="exact"/>
              <w:rPr>
                <w:sz w:val="20"/>
                <w:szCs w:val="20"/>
                <w:color w:val="auto"/>
              </w:rPr>
            </w:pPr>
            <w:r>
              <w:rPr>
                <w:rFonts w:ascii="Times New Roman" w:cs="Times New Roman" w:eastAsia="Times New Roman" w:hAnsi="Times New Roman"/>
                <w:sz w:val="18"/>
                <w:szCs w:val="18"/>
                <w:color w:val="auto"/>
              </w:rPr>
              <w:t>February 28, 2019</w:t>
            </w:r>
          </w:p>
        </w:tc>
        <w:tc>
          <w:tcPr>
            <w:tcW w:w="0" w:type="dxa"/>
            <w:vAlign w:val="bottom"/>
          </w:tcPr>
          <w:p>
            <w:pPr>
              <w:spacing w:after="0"/>
              <w:rPr>
                <w:sz w:val="1"/>
                <w:szCs w:val="1"/>
                <w:color w:val="auto"/>
              </w:rPr>
            </w:pPr>
          </w:p>
        </w:tc>
      </w:tr>
      <w:tr>
        <w:trPr>
          <w:trHeight w:val="316"/>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80" w:type="dxa"/>
            <w:vAlign w:val="bottom"/>
            <w:gridSpan w:val="2"/>
          </w:tcPr>
          <w:p>
            <w:pPr>
              <w:jc w:val="center"/>
              <w:ind w:right="2432"/>
              <w:spacing w:after="0"/>
              <w:rPr>
                <w:sz w:val="20"/>
                <w:szCs w:val="20"/>
                <w:color w:val="auto"/>
              </w:rPr>
            </w:pPr>
            <w:r>
              <w:rPr>
                <w:rFonts w:ascii="Times New Roman" w:cs="Times New Roman" w:eastAsia="Times New Roman" w:hAnsi="Times New Roman"/>
                <w:sz w:val="18"/>
                <w:szCs w:val="18"/>
                <w:color w:val="auto"/>
                <w:w w:val="96"/>
              </w:rPr>
              <w:t>(Robert J. Morgado)</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By:</w:t>
            </w:r>
          </w:p>
        </w:tc>
        <w:tc>
          <w:tcPr>
            <w:tcW w:w="6580" w:type="dxa"/>
            <w:vAlign w:val="bottom"/>
            <w:gridSpan w:val="2"/>
            <w:vMerge w:val="restart"/>
          </w:tcPr>
          <w:p>
            <w:pPr>
              <w:jc w:val="center"/>
              <w:ind w:right="2432"/>
              <w:spacing w:after="0"/>
              <w:rPr>
                <w:sz w:val="20"/>
                <w:szCs w:val="20"/>
                <w:color w:val="auto"/>
              </w:rPr>
            </w:pPr>
            <w:r>
              <w:rPr>
                <w:rFonts w:ascii="Times New Roman" w:cs="Times New Roman" w:eastAsia="Times New Roman" w:hAnsi="Times New Roman"/>
                <w:sz w:val="18"/>
                <w:szCs w:val="18"/>
                <w:color w:val="auto"/>
                <w:w w:val="98"/>
              </w:rPr>
              <w:t>/s/ PETER NOLAN</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580" w:type="dxa"/>
            <w:vAlign w:val="bottom"/>
            <w:gridSpan w:val="2"/>
            <w:vMerge w:val="continue"/>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24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3220" w:type="dxa"/>
            <w:vAlign w:val="bottom"/>
          </w:tcPr>
          <w:p>
            <w:pPr>
              <w:ind w:left="720"/>
              <w:spacing w:after="0" w:line="198" w:lineRule="exact"/>
              <w:rPr>
                <w:sz w:val="20"/>
                <w:szCs w:val="20"/>
                <w:color w:val="auto"/>
              </w:rPr>
            </w:pPr>
            <w:r>
              <w:rPr>
                <w:rFonts w:ascii="Times New Roman" w:cs="Times New Roman" w:eastAsia="Times New Roman" w:hAnsi="Times New Roman"/>
                <w:sz w:val="18"/>
                <w:szCs w:val="18"/>
                <w:color w:val="auto"/>
              </w:rPr>
              <w:t>February 28, 2019</w:t>
            </w:r>
          </w:p>
        </w:tc>
        <w:tc>
          <w:tcPr>
            <w:tcW w:w="0" w:type="dxa"/>
            <w:vAlign w:val="bottom"/>
          </w:tcPr>
          <w:p>
            <w:pPr>
              <w:spacing w:after="0"/>
              <w:rPr>
                <w:sz w:val="1"/>
                <w:szCs w:val="1"/>
                <w:color w:val="auto"/>
              </w:rPr>
            </w:pPr>
          </w:p>
        </w:tc>
      </w:tr>
      <w:tr>
        <w:trPr>
          <w:trHeight w:val="316"/>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80" w:type="dxa"/>
            <w:vAlign w:val="bottom"/>
            <w:gridSpan w:val="2"/>
          </w:tcPr>
          <w:p>
            <w:pPr>
              <w:jc w:val="center"/>
              <w:ind w:right="2432"/>
              <w:spacing w:after="0"/>
              <w:rPr>
                <w:sz w:val="20"/>
                <w:szCs w:val="20"/>
                <w:color w:val="auto"/>
              </w:rPr>
            </w:pPr>
            <w:r>
              <w:rPr>
                <w:rFonts w:ascii="Times New Roman" w:cs="Times New Roman" w:eastAsia="Times New Roman" w:hAnsi="Times New Roman"/>
                <w:sz w:val="18"/>
                <w:szCs w:val="18"/>
                <w:color w:val="auto"/>
                <w:w w:val="96"/>
              </w:rPr>
              <w:t>(Peter Nolan)</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By:</w:t>
            </w:r>
          </w:p>
        </w:tc>
        <w:tc>
          <w:tcPr>
            <w:tcW w:w="6580" w:type="dxa"/>
            <w:vAlign w:val="bottom"/>
            <w:gridSpan w:val="2"/>
            <w:vMerge w:val="restart"/>
          </w:tcPr>
          <w:p>
            <w:pPr>
              <w:jc w:val="center"/>
              <w:ind w:right="2432"/>
              <w:spacing w:after="0"/>
              <w:rPr>
                <w:sz w:val="20"/>
                <w:szCs w:val="20"/>
                <w:color w:val="auto"/>
              </w:rPr>
            </w:pPr>
            <w:r>
              <w:rPr>
                <w:rFonts w:ascii="Times New Roman" w:cs="Times New Roman" w:eastAsia="Times New Roman" w:hAnsi="Times New Roman"/>
                <w:sz w:val="18"/>
                <w:szCs w:val="18"/>
                <w:color w:val="auto"/>
                <w:w w:val="96"/>
              </w:rPr>
              <w:t>/s/ CASEY WASSERMAN</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580" w:type="dxa"/>
            <w:vAlign w:val="bottom"/>
            <w:gridSpan w:val="2"/>
            <w:vMerge w:val="continue"/>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24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3220" w:type="dxa"/>
            <w:vAlign w:val="bottom"/>
          </w:tcPr>
          <w:p>
            <w:pPr>
              <w:ind w:left="720"/>
              <w:spacing w:after="0" w:line="198" w:lineRule="exact"/>
              <w:rPr>
                <w:sz w:val="20"/>
                <w:szCs w:val="20"/>
                <w:color w:val="auto"/>
              </w:rPr>
            </w:pPr>
            <w:r>
              <w:rPr>
                <w:rFonts w:ascii="Times New Roman" w:cs="Times New Roman" w:eastAsia="Times New Roman" w:hAnsi="Times New Roman"/>
                <w:sz w:val="18"/>
                <w:szCs w:val="18"/>
                <w:color w:val="auto"/>
              </w:rPr>
              <w:t>February 28, 2019</w:t>
            </w:r>
          </w:p>
        </w:tc>
        <w:tc>
          <w:tcPr>
            <w:tcW w:w="0" w:type="dxa"/>
            <w:vAlign w:val="bottom"/>
          </w:tcPr>
          <w:p>
            <w:pPr>
              <w:spacing w:after="0"/>
              <w:rPr>
                <w:sz w:val="1"/>
                <w:szCs w:val="1"/>
                <w:color w:val="auto"/>
              </w:rPr>
            </w:pPr>
          </w:p>
        </w:tc>
      </w:tr>
      <w:tr>
        <w:trPr>
          <w:trHeight w:val="316"/>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80" w:type="dxa"/>
            <w:vAlign w:val="bottom"/>
            <w:gridSpan w:val="2"/>
          </w:tcPr>
          <w:p>
            <w:pPr>
              <w:jc w:val="center"/>
              <w:ind w:right="2432"/>
              <w:spacing w:after="0"/>
              <w:rPr>
                <w:sz w:val="20"/>
                <w:szCs w:val="20"/>
                <w:color w:val="auto"/>
              </w:rPr>
            </w:pPr>
            <w:r>
              <w:rPr>
                <w:rFonts w:ascii="Times New Roman" w:cs="Times New Roman" w:eastAsia="Times New Roman" w:hAnsi="Times New Roman"/>
                <w:sz w:val="18"/>
                <w:szCs w:val="18"/>
                <w:color w:val="auto"/>
                <w:w w:val="95"/>
              </w:rPr>
              <w:t>(Casey Wasserman)</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By:</w:t>
            </w:r>
          </w:p>
        </w:tc>
        <w:tc>
          <w:tcPr>
            <w:tcW w:w="6580" w:type="dxa"/>
            <w:vAlign w:val="bottom"/>
            <w:gridSpan w:val="2"/>
            <w:vMerge w:val="restart"/>
          </w:tcPr>
          <w:p>
            <w:pPr>
              <w:jc w:val="center"/>
              <w:ind w:right="2452"/>
              <w:spacing w:after="0"/>
              <w:rPr>
                <w:sz w:val="20"/>
                <w:szCs w:val="20"/>
                <w:color w:val="auto"/>
              </w:rPr>
            </w:pPr>
            <w:r>
              <w:rPr>
                <w:rFonts w:ascii="Times New Roman" w:cs="Times New Roman" w:eastAsia="Times New Roman" w:hAnsi="Times New Roman"/>
                <w:sz w:val="18"/>
                <w:szCs w:val="18"/>
                <w:color w:val="auto"/>
                <w:w w:val="96"/>
              </w:rPr>
              <w:t>/s/ ELAINE P. WYNN</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580" w:type="dxa"/>
            <w:vAlign w:val="bottom"/>
            <w:gridSpan w:val="2"/>
            <w:vMerge w:val="continue"/>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24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3220" w:type="dxa"/>
            <w:vAlign w:val="bottom"/>
          </w:tcPr>
          <w:p>
            <w:pPr>
              <w:ind w:left="720"/>
              <w:spacing w:after="0" w:line="198" w:lineRule="exact"/>
              <w:rPr>
                <w:sz w:val="20"/>
                <w:szCs w:val="20"/>
                <w:color w:val="auto"/>
              </w:rPr>
            </w:pPr>
            <w:r>
              <w:rPr>
                <w:rFonts w:ascii="Times New Roman" w:cs="Times New Roman" w:eastAsia="Times New Roman" w:hAnsi="Times New Roman"/>
                <w:sz w:val="18"/>
                <w:szCs w:val="18"/>
                <w:color w:val="auto"/>
              </w:rPr>
              <w:t>February 28, 2019</w:t>
            </w:r>
          </w:p>
        </w:tc>
        <w:tc>
          <w:tcPr>
            <w:tcW w:w="0" w:type="dxa"/>
            <w:vAlign w:val="bottom"/>
          </w:tcPr>
          <w:p>
            <w:pPr>
              <w:spacing w:after="0"/>
              <w:rPr>
                <w:sz w:val="1"/>
                <w:szCs w:val="1"/>
                <w:color w:val="auto"/>
              </w:rPr>
            </w:pPr>
          </w:p>
        </w:tc>
      </w:tr>
      <w:tr>
        <w:trPr>
          <w:trHeight w:val="316"/>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80" w:type="dxa"/>
            <w:vAlign w:val="bottom"/>
            <w:gridSpan w:val="2"/>
          </w:tcPr>
          <w:p>
            <w:pPr>
              <w:jc w:val="center"/>
              <w:ind w:right="2432"/>
              <w:spacing w:after="0"/>
              <w:rPr>
                <w:sz w:val="20"/>
                <w:szCs w:val="20"/>
                <w:color w:val="auto"/>
              </w:rPr>
            </w:pPr>
            <w:r>
              <w:rPr>
                <w:rFonts w:ascii="Times New Roman" w:cs="Times New Roman" w:eastAsia="Times New Roman" w:hAnsi="Times New Roman"/>
                <w:sz w:val="18"/>
                <w:szCs w:val="18"/>
                <w:color w:val="auto"/>
                <w:w w:val="94"/>
              </w:rPr>
              <w:t>(Elaine P. Wynn)</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80" w:type="dxa"/>
            <w:vAlign w:val="bottom"/>
            <w:gridSpan w:val="2"/>
          </w:tcPr>
          <w:p>
            <w:pPr>
              <w:ind w:left="3960"/>
              <w:spacing w:after="0"/>
              <w:rPr>
                <w:sz w:val="20"/>
                <w:szCs w:val="20"/>
                <w:color w:val="auto"/>
              </w:rPr>
            </w:pPr>
            <w:r>
              <w:rPr>
                <w:rFonts w:ascii="Times New Roman" w:cs="Times New Roman" w:eastAsia="Times New Roman" w:hAnsi="Times New Roman"/>
                <w:sz w:val="18"/>
                <w:szCs w:val="18"/>
                <w:color w:val="auto"/>
              </w:rPr>
              <w:t>E-8</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61" w:name="page162"/>
    <w:bookmarkEnd w:id="16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20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NOTICE OF PERFORMANCE-VESTING RESTRICTED SHARE UNIT AWARD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have been awarded Restricted Share Units of Activision Blizzard, Inc. (the “Company”),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Your name: </w:t>
            </w:r>
            <w:r>
              <w:rPr>
                <w:rFonts w:ascii="Times New Roman" w:cs="Times New Roman" w:eastAsia="Times New Roman" w:hAnsi="Times New Roman"/>
                <w:sz w:val="18"/>
                <w:szCs w:val="18"/>
                <w:b w:val="1"/>
                <w:bCs w:val="1"/>
                <w:color w:val="auto"/>
              </w:rPr>
              <w:t>[</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32"/>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Total number of Restricted Share Units awarded: </w:t>
            </w:r>
            <w:r>
              <w:rPr>
                <w:rFonts w:ascii="Times New Roman" w:cs="Times New Roman" w:eastAsia="Times New Roman" w:hAnsi="Times New Roman"/>
                <w:sz w:val="18"/>
                <w:szCs w:val="18"/>
                <w:b w:val="1"/>
                <w:bCs w:val="1"/>
                <w:color w:val="auto"/>
              </w:rPr>
              <w:t>[</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32"/>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Your business unit, for vesting purposes: </w:t>
            </w:r>
            <w:r>
              <w:rPr>
                <w:rFonts w:ascii="Times New Roman" w:cs="Times New Roman" w:eastAsia="Times New Roman" w:hAnsi="Times New Roman"/>
                <w:sz w:val="18"/>
                <w:szCs w:val="18"/>
                <w:b w:val="1"/>
                <w:bCs w:val="1"/>
                <w:color w:val="auto"/>
              </w:rPr>
              <w:t>[</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32"/>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Date of Grant: </w:t>
            </w:r>
            <w:r>
              <w:rPr>
                <w:rFonts w:ascii="Times New Roman" w:cs="Times New Roman" w:eastAsia="Times New Roman" w:hAnsi="Times New Roman"/>
                <w:sz w:val="18"/>
                <w:szCs w:val="18"/>
                <w:b w:val="1"/>
                <w:bCs w:val="1"/>
                <w:color w:val="auto"/>
              </w:rPr>
              <w:t>[</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32"/>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Grant ID: </w:t>
            </w:r>
            <w:r>
              <w:rPr>
                <w:rFonts w:ascii="Times New Roman" w:cs="Times New Roman" w:eastAsia="Times New Roman" w:hAnsi="Times New Roman"/>
                <w:sz w:val="18"/>
                <w:szCs w:val="18"/>
                <w:b w:val="1"/>
                <w:bCs w:val="1"/>
                <w:color w:val="auto"/>
              </w:rPr>
              <w:t>[</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98" w:lineRule="exact"/>
        <w:rPr>
          <w:sz w:val="20"/>
          <w:szCs w:val="20"/>
          <w:color w:val="auto"/>
        </w:rPr>
      </w:pPr>
    </w:p>
    <w:p>
      <w:pPr>
        <w:ind w:left="300" w:hanging="292"/>
        <w:spacing w:after="0"/>
        <w:tabs>
          <w:tab w:leader="none" w:pos="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Award of Restricted Share Units is governed by the terms and conditions set forth in:</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Notice of Performance-Vesting Restricted Share Unit Award;</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Performance-Vesting Restricted Share Unit Award Terms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2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Appendix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which may include special terms and conditions relating to your country of work and/or residence (the “Appendix”); and</w:t>
      </w:r>
    </w:p>
    <w:p>
      <w:pPr>
        <w:spacing w:after="0" w:line="16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2014 Incentive Plan, the receipt of a copy of which you hereby acknowledge.</w:t>
      </w:r>
    </w:p>
    <w:p>
      <w:pPr>
        <w:spacing w:after="0" w:line="223"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Schedule for Vesting</w:t>
      </w:r>
      <w:r>
        <w:rPr>
          <w:rFonts w:ascii="Times New Roman" w:cs="Times New Roman" w:eastAsia="Times New Roman" w:hAnsi="Times New Roman"/>
          <w:sz w:val="18"/>
          <w:szCs w:val="18"/>
          <w:color w:val="auto"/>
        </w:rPr>
        <w:t>: Except as otherwise provided pursuant to the Performance-Vesting Restricted Share Unit Award Terms attached hereto as</w:t>
      </w:r>
    </w:p>
    <w:p>
      <w:pPr>
        <w:spacing w:after="0" w:line="29" w:lineRule="exact"/>
        <w:rPr>
          <w:sz w:val="20"/>
          <w:szCs w:val="20"/>
          <w:color w:val="auto"/>
        </w:rPr>
      </w:pPr>
    </w:p>
    <w:p>
      <w:pPr>
        <w:ind w:left="340"/>
        <w:spacing w:after="0" w:line="255" w:lineRule="auto"/>
        <w:rPr>
          <w:sz w:val="20"/>
          <w:szCs w:val="20"/>
          <w:color w:val="auto"/>
        </w:rPr>
      </w:pP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supplemented, modified, or replaced by the special terms and conditions, if any, set forth under your country of work and/or residence in the Appendix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(together, the “Award Terms”), the Restricted Share Units shall vest in accordance with the Performance-Vesting Restricted Share Unit Vesting Schedule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“Vesting Schedule”).</w:t>
      </w:r>
    </w:p>
    <w:p>
      <w:pPr>
        <w:spacing w:after="0" w:line="186" w:lineRule="exact"/>
        <w:rPr>
          <w:sz w:val="20"/>
          <w:szCs w:val="20"/>
          <w:color w:val="auto"/>
        </w:rPr>
      </w:pPr>
    </w:p>
    <w:p>
      <w:pPr>
        <w:ind w:left="300" w:hanging="292"/>
        <w:spacing w:after="0"/>
        <w:tabs>
          <w:tab w:leader="none" w:pos="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capitalized term used but not otherwise defined herein shall have the meaning ascribed to such term in the Award Terms.</w:t>
      </w:r>
    </w:p>
    <w:p>
      <w:pPr>
        <w:spacing w:after="0" w:line="221" w:lineRule="exact"/>
        <w:rPr>
          <w:rFonts w:ascii="Times New Roman" w:cs="Times New Roman" w:eastAsia="Times New Roman" w:hAnsi="Times New Roman"/>
          <w:sz w:val="18"/>
          <w:szCs w:val="18"/>
          <w:color w:val="auto"/>
        </w:rPr>
      </w:pPr>
    </w:p>
    <w:p>
      <w:pPr>
        <w:ind w:left="340" w:right="300" w:hanging="332"/>
        <w:spacing w:after="0" w:line="286" w:lineRule="auto"/>
        <w:tabs>
          <w:tab w:leader="none" w:pos="30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accepting the Award, you are deemed to be bound by the terms and conditions set forth in the 2014 Incentive Plan, this Notice of Performance-Vesting Restricted Share Unit Award and the Award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63" w:name="page164"/>
    <w:bookmarkEnd w:id="16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PERFORMANCE-VESTING RESTRICTED SHARE UNIT AWARD TERMS</w:t>
      </w:r>
    </w:p>
    <w:p>
      <w:pPr>
        <w:spacing w:after="0" w:line="229" w:lineRule="exact"/>
        <w:rPr>
          <w:sz w:val="20"/>
          <w:szCs w:val="20"/>
          <w:color w:val="auto"/>
        </w:rPr>
      </w:pPr>
    </w:p>
    <w:p>
      <w:pPr>
        <w:ind w:left="1300" w:hanging="644"/>
        <w:spacing w:after="0"/>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40" w:hanging="635"/>
        <w:spacing w:after="0"/>
        <w:tabs>
          <w:tab w:leader="none" w:pos="19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Award Terms, the following terms shall have the meanings set forth below:</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“Award” </w:t>
      </w:r>
      <w:r>
        <w:rPr>
          <w:rFonts w:ascii="Times New Roman" w:cs="Times New Roman" w:eastAsia="Times New Roman" w:hAnsi="Times New Roman"/>
          <w:sz w:val="18"/>
          <w:szCs w:val="18"/>
          <w:color w:val="auto"/>
        </w:rPr>
        <w:t>means the award described on the Grant Notice.</w:t>
      </w:r>
    </w:p>
    <w:p>
      <w:pPr>
        <w:spacing w:after="0" w:line="225" w:lineRule="exact"/>
        <w:rPr>
          <w:sz w:val="20"/>
          <w:szCs w:val="20"/>
          <w:color w:val="auto"/>
        </w:rPr>
      </w:pPr>
    </w:p>
    <w:p>
      <w:pPr>
        <w:ind w:firstLine="12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“Cause” </w:t>
      </w:r>
      <w:r>
        <w:rPr>
          <w:rFonts w:ascii="Times New Roman" w:cs="Times New Roman" w:eastAsia="Times New Roman" w:hAnsi="Times New Roman"/>
          <w:sz w:val="18"/>
          <w:szCs w:val="18"/>
          <w:color w:val="auto"/>
        </w:rPr>
        <w:t>(i) shall have the meaning given to such term in any employment agreement, service contract or offer letter between Grantee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entity in the Company Group in effect at the time of the determination or (ii) if Grantee is not then party to any agreement or offer letter with any entity in the Company Group or any such agreement or offer letter does not contain a definition of “cause,” shall mean a good faith determination by the Company that Grantee (A) engaged in misconduct or gross negligence in the performance of his or her duties or willfully and continuously failed or refused to perform any duties reasonably requested in the course of his or her employment; (B) engaged in fraud, dishonesty, or any other conduct that causes, or has the potential to cause, harm to any entity in the Company Group, including its business reputation or financial condition; (C) violated any lawful directives or policies of the Company Group or any applicable laws, rules or regulations; (D) materially breached his or her employment agreement, service contract, proprietary information agreement or confidentiality agreement with any entity in the Company Group; (E) was convicted of, or pled guilty or no contest to, a felony or crime involving dishonesty or moral turpitude; or (F) breached his or her fiduciary duties to the Company Group.</w:t>
      </w:r>
    </w:p>
    <w:p>
      <w:pPr>
        <w:spacing w:after="0" w:line="182" w:lineRule="exact"/>
        <w:rPr>
          <w:sz w:val="20"/>
          <w:szCs w:val="20"/>
          <w:color w:val="auto"/>
        </w:rPr>
      </w:pPr>
    </w:p>
    <w:p>
      <w:pPr>
        <w:ind w:right="28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“Common Shares” </w:t>
      </w:r>
      <w:r>
        <w:rPr>
          <w:rFonts w:ascii="Times New Roman" w:cs="Times New Roman" w:eastAsia="Times New Roman" w:hAnsi="Times New Roman"/>
          <w:sz w:val="18"/>
          <w:szCs w:val="18"/>
          <w:color w:val="auto"/>
        </w:rPr>
        <w:t>means the shares of common stock, par value $0.000001 per share, of the Company or any security into which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Shares may be changed by reason of any transaction or event of the type referred to in Section 10 hereof.</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means Activision Blizzard, Inc. and any successor thereto.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“Company Group” </w:t>
      </w:r>
      <w:r>
        <w:rPr>
          <w:rFonts w:ascii="Times New Roman" w:cs="Times New Roman" w:eastAsia="Times New Roman" w:hAnsi="Times New Roman"/>
          <w:sz w:val="18"/>
          <w:szCs w:val="18"/>
          <w:color w:val="auto"/>
        </w:rPr>
        <w:t>means the Company and its Subsidiaries.</w:t>
      </w:r>
    </w:p>
    <w:p>
      <w:pPr>
        <w:spacing w:after="0" w:line="225" w:lineRule="exact"/>
        <w:rPr>
          <w:sz w:val="20"/>
          <w:szCs w:val="20"/>
          <w:color w:val="auto"/>
        </w:rPr>
      </w:pPr>
    </w:p>
    <w:p>
      <w:pPr>
        <w:ind w:right="16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“Company-Sponsored Equity Account” </w:t>
      </w:r>
      <w:r>
        <w:rPr>
          <w:rFonts w:ascii="Times New Roman" w:cs="Times New Roman" w:eastAsia="Times New Roman" w:hAnsi="Times New Roman"/>
          <w:sz w:val="18"/>
          <w:szCs w:val="18"/>
          <w:color w:val="auto"/>
        </w:rPr>
        <w:t>means an account that is created with the Equity Account Administrator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of the Company’s equity plans and programs, including the Plan.</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“Date of Grant” </w:t>
      </w:r>
      <w:r>
        <w:rPr>
          <w:rFonts w:ascii="Times New Roman" w:cs="Times New Roman" w:eastAsia="Times New Roman" w:hAnsi="Times New Roman"/>
          <w:sz w:val="18"/>
          <w:szCs w:val="18"/>
          <w:color w:val="auto"/>
        </w:rPr>
        <w:t>means the Date of Grant of the Award set forth on the Grant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“Employer” </w:t>
      </w:r>
      <w:r>
        <w:rPr>
          <w:rFonts w:ascii="Times New Roman" w:cs="Times New Roman" w:eastAsia="Times New Roman" w:hAnsi="Times New Roman"/>
          <w:sz w:val="18"/>
          <w:szCs w:val="18"/>
          <w:color w:val="auto"/>
        </w:rPr>
        <w:t>means the Subsidiary of the Company which employs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64" w:name="page165"/>
    <w:bookmarkEnd w:id="164"/>
    <w:p>
      <w:pPr>
        <w:ind w:right="12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“Equity Account Administrator” </w:t>
      </w:r>
      <w:r>
        <w:rPr>
          <w:rFonts w:ascii="Times New Roman" w:cs="Times New Roman" w:eastAsia="Times New Roman" w:hAnsi="Times New Roman"/>
          <w:sz w:val="18"/>
          <w:szCs w:val="18"/>
          <w:color w:val="auto"/>
        </w:rPr>
        <w:t>means the brokerage firm utilized by the Company from time to time to create and administer accounts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participants in the Company’s equity plans and programs, including the Plan.</w:t>
      </w:r>
    </w:p>
    <w:p>
      <w:pPr>
        <w:spacing w:after="0" w:line="155" w:lineRule="exact"/>
        <w:rPr>
          <w:sz w:val="20"/>
          <w:szCs w:val="20"/>
          <w:color w:val="auto"/>
        </w:rPr>
      </w:pPr>
    </w:p>
    <w:p>
      <w:pPr>
        <w:ind w:right="100" w:firstLine="12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“Exercise Rules and Regulations” </w:t>
      </w:r>
      <w:r>
        <w:rPr>
          <w:rFonts w:ascii="Times New Roman" w:cs="Times New Roman" w:eastAsia="Times New Roman" w:hAnsi="Times New Roman"/>
          <w:sz w:val="18"/>
          <w:szCs w:val="18"/>
          <w:color w:val="auto"/>
        </w:rPr>
        <w:t>means (i) (A) for employees who work and/or reside in the U.S., the Securities Act or any comparable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federal securities law and all applicable state securities laws, and (B) for employees who work and/or reside outside the U.S., any laws applicable to Grantee which subject him or her to insider trading restrictions and/or market abuse laws or otherwise affect his or her ability to accept, acquire, sell, attempt to sell or otherwise dispose of Common Shares, rights to Common Shares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Restricted Share Units) or rights linked to the value of Common Shares during such times as he or she is considered to have “inside information” regarding the Company, (ii) the requirements of any securities exchange, securities association, market system or quotation system on which Common Shares are then traded or quoted, (iii) any restrictions on transfer imposed by the Company’s certificate of incorporation or bylaws, and (iv) any policy or procedure the Company has adopted with respect to the trading of its securities, in each case as in effect on the date of the intended transaction.</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“Grantee” </w:t>
      </w:r>
      <w:r>
        <w:rPr>
          <w:rFonts w:ascii="Times New Roman" w:cs="Times New Roman" w:eastAsia="Times New Roman" w:hAnsi="Times New Roman"/>
          <w:sz w:val="18"/>
          <w:szCs w:val="18"/>
          <w:color w:val="auto"/>
        </w:rPr>
        <w:t>means the recipient of the Award named on the Grant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“Grant Notice” </w:t>
      </w:r>
      <w:r>
        <w:rPr>
          <w:rFonts w:ascii="Times New Roman" w:cs="Times New Roman" w:eastAsia="Times New Roman" w:hAnsi="Times New Roman"/>
          <w:sz w:val="18"/>
          <w:szCs w:val="18"/>
          <w:color w:val="auto"/>
        </w:rPr>
        <w:t>means the Notice of Performance-Vesting Restricted Share Unit Award to which these Award Terms are attached.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“Plan” </w:t>
      </w:r>
      <w:r>
        <w:rPr>
          <w:rFonts w:ascii="Times New Roman" w:cs="Times New Roman" w:eastAsia="Times New Roman" w:hAnsi="Times New Roman"/>
          <w:sz w:val="18"/>
          <w:szCs w:val="18"/>
          <w:color w:val="auto"/>
        </w:rPr>
        <w:t>means the Activision Blizzard, Inc. 2014 Incentive Plan, as amended from time to time.</w:t>
      </w:r>
    </w:p>
    <w:p>
      <w:pPr>
        <w:spacing w:after="0" w:line="225"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“Restricted Share Units” </w:t>
      </w:r>
      <w:r>
        <w:rPr>
          <w:rFonts w:ascii="Times New Roman" w:cs="Times New Roman" w:eastAsia="Times New Roman" w:hAnsi="Times New Roman"/>
          <w:sz w:val="18"/>
          <w:szCs w:val="18"/>
          <w:color w:val="auto"/>
        </w:rPr>
        <w:t>means units subject to the Award, which represent the conditional right to receive Common Shares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Grant Notice and these Award Terms, unless and until such units become vested or are forfeited to the Company in accordance with the Grant Notice and these Award Terms.</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means Section 409A of the Code and the guidance and regulations promulgated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“Securities Act” </w:t>
      </w:r>
      <w:r>
        <w:rPr>
          <w:rFonts w:ascii="Times New Roman" w:cs="Times New Roman" w:eastAsia="Times New Roman" w:hAnsi="Times New Roman"/>
          <w:sz w:val="18"/>
          <w:szCs w:val="18"/>
          <w:color w:val="auto"/>
        </w:rPr>
        <w:t>means the U.S. Securities Act of 1933, as amended.</w:t>
      </w:r>
    </w:p>
    <w:p>
      <w:pPr>
        <w:spacing w:after="0" w:line="225" w:lineRule="exact"/>
        <w:rPr>
          <w:sz w:val="20"/>
          <w:szCs w:val="20"/>
          <w:color w:val="auto"/>
        </w:rPr>
      </w:pPr>
    </w:p>
    <w:p>
      <w:pPr>
        <w:ind w:right="32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“Vested Shares” </w:t>
      </w:r>
      <w:r>
        <w:rPr>
          <w:rFonts w:ascii="Times New Roman" w:cs="Times New Roman" w:eastAsia="Times New Roman" w:hAnsi="Times New Roman"/>
          <w:sz w:val="18"/>
          <w:szCs w:val="18"/>
          <w:color w:val="auto"/>
        </w:rPr>
        <w:t>means the Common Shares to which the holder of the Restricted Share Units becomes entitled upon vesting thereof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Section 2 or 3 hereof.</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“U.S.” </w:t>
      </w:r>
      <w:r>
        <w:rPr>
          <w:rFonts w:ascii="Times New Roman" w:cs="Times New Roman" w:eastAsia="Times New Roman" w:hAnsi="Times New Roman"/>
          <w:sz w:val="18"/>
          <w:szCs w:val="18"/>
          <w:color w:val="auto"/>
        </w:rPr>
        <w:t>means the United States of America.</w:t>
      </w:r>
    </w:p>
    <w:p>
      <w:pPr>
        <w:spacing w:after="0" w:line="225" w:lineRule="exact"/>
        <w:rPr>
          <w:sz w:val="20"/>
          <w:szCs w:val="20"/>
          <w:color w:val="auto"/>
        </w:rPr>
      </w:pPr>
    </w:p>
    <w:p>
      <w:pPr>
        <w:ind w:right="40"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“Withholding Taxes” </w:t>
      </w:r>
      <w:r>
        <w:rPr>
          <w:rFonts w:ascii="Times New Roman" w:cs="Times New Roman" w:eastAsia="Times New Roman" w:hAnsi="Times New Roman"/>
          <w:sz w:val="18"/>
          <w:szCs w:val="18"/>
          <w:color w:val="auto"/>
        </w:rPr>
        <w:t>means any taxes, including, but not limited to, income tax, social insurance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U.S. social security and Medicare),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payroll tax, state and local income taxes, fringe benefits tax, and payment on account, required or permitted under any applicable law to be withheld from amounts otherwise payable to Grantee.</w:t>
      </w:r>
    </w:p>
    <w:p>
      <w:pPr>
        <w:spacing w:after="0" w:line="175" w:lineRule="exact"/>
        <w:rPr>
          <w:sz w:val="20"/>
          <w:szCs w:val="20"/>
          <w:color w:val="auto"/>
        </w:rPr>
      </w:pPr>
    </w:p>
    <w:p>
      <w:pPr>
        <w:ind w:left="5580" w:right="1060" w:hanging="4275"/>
        <w:spacing w:after="0" w:line="532" w:lineRule="auto"/>
        <w:tabs>
          <w:tab w:leader="none" w:pos="196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capitalized term used but not otherwise defined herein shall have the meaning ascribed to such term in the Plan.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65" w:name="page166"/>
    <w:bookmarkEnd w:id="165"/>
    <w:p>
      <w:pPr>
        <w:ind w:left="-20" w:right="40" w:firstLine="656"/>
        <w:spacing w:after="0" w:line="266" w:lineRule="auto"/>
        <w:tabs>
          <w:tab w:leader="none" w:pos="127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Except as otherwise set forth in these Award Terms, the Restricted Share Units shall vest in accordance with the Vesting Schedule. Each Restricted Share Unit, upon vesting thereof, shall entitle the holder thereof to receive one Common Share (subject to adjustment pursuant to Section 10 hereof).</w:t>
      </w:r>
    </w:p>
    <w:p>
      <w:pPr>
        <w:spacing w:after="0" w:line="176" w:lineRule="exact"/>
        <w:rPr>
          <w:rFonts w:ascii="Times New Roman" w:cs="Times New Roman" w:eastAsia="Times New Roman" w:hAnsi="Times New Roman"/>
          <w:sz w:val="18"/>
          <w:szCs w:val="18"/>
          <w:color w:val="auto"/>
        </w:rPr>
      </w:pPr>
    </w:p>
    <w:p>
      <w:pPr>
        <w:ind w:left="1280" w:hanging="644"/>
        <w:spacing w:after="0"/>
        <w:tabs>
          <w:tab w:leader="none" w:pos="12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20" w:firstLine="1305"/>
        <w:spacing w:after="0" w:line="266" w:lineRule="auto"/>
        <w:tabs>
          <w:tab w:leader="none" w:pos="1922"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In the event that Grantee’s employment is terminated by any entity in the Company Group for Cause, as of the date of such termination of employment all Restricted Share Units shall cease to vest and any outstanding Restricted Share Units and Vested Shares that have yet to settle pursuant to Section 8 hereof, shall immediately be forfeited to the Company without payment of consideration by the Company.</w:t>
      </w:r>
    </w:p>
    <w:p>
      <w:pPr>
        <w:spacing w:after="0" w:line="176" w:lineRule="exact"/>
        <w:rPr>
          <w:rFonts w:ascii="Times New Roman" w:cs="Times New Roman" w:eastAsia="Times New Roman" w:hAnsi="Times New Roman"/>
          <w:sz w:val="18"/>
          <w:szCs w:val="18"/>
          <w:color w:val="auto"/>
        </w:rPr>
      </w:pPr>
    </w:p>
    <w:p>
      <w:pPr>
        <w:ind w:left="-20" w:right="220" w:firstLine="1305"/>
        <w:spacing w:after="0" w:line="289" w:lineRule="auto"/>
        <w:tabs>
          <w:tab w:leader="none" w:pos="1932"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w:t>
      </w:r>
      <w:r>
        <w:rPr>
          <w:rFonts w:ascii="Times New Roman" w:cs="Times New Roman" w:eastAsia="Times New Roman" w:hAnsi="Times New Roman"/>
          <w:sz w:val="17"/>
          <w:szCs w:val="17"/>
          <w:color w:val="auto"/>
        </w:rPr>
        <w:t>. Unless the Committee determines otherwise, in the event that Grantee’s employment is terminated for any reason other than for Cause, as of the date of such termination of employment all Restricted Share Units shall cease to vest and, with the exception of any Vested Shares that have yet to settle pursuant to Section 8 hereof, shall immediately be forfeited to the Company without payment of consideration by the Company.</w:t>
      </w:r>
    </w:p>
    <w:p>
      <w:pPr>
        <w:spacing w:after="0" w:line="158" w:lineRule="exact"/>
        <w:rPr>
          <w:rFonts w:ascii="Times New Roman" w:cs="Times New Roman" w:eastAsia="Times New Roman" w:hAnsi="Times New Roman"/>
          <w:sz w:val="17"/>
          <w:szCs w:val="17"/>
          <w:color w:val="auto"/>
        </w:rPr>
      </w:pPr>
    </w:p>
    <w:p>
      <w:pPr>
        <w:ind w:left="1280" w:hanging="644"/>
        <w:spacing w:after="0"/>
        <w:tabs>
          <w:tab w:leader="none" w:pos="12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firstLine="1305"/>
        <w:spacing w:after="0" w:line="254" w:lineRule="auto"/>
        <w:tabs>
          <w:tab w:leader="none" w:pos="1922"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Regardless of any action the Company or the Employer takes with respect to any Withholding Taxes related to Grantee’s participation in the Plan and legally applicable to Grantee, Grantee acknowledges that the ultimate liability for all Withholding Taxes is and remains Grantee’s responsibility and may exceed the amount, if any, actually withheld by the Company or the Employer. Grantee further acknowledges that the Company and/or the Employer (A) make no representations or undertakings regarding the treatment of any Withholding Taxes in connection with any aspect of the Restricted Share Units, including, without limitation, the grant, vesting or payment of the Award, the subsequent sale of Vested Shares acquired, and the receipt of any dividends; and (B) do not commit to and are under no obligation to structure the terms of the grant or any aspect of the Restricted Share Units to reduce or eliminate Grantee’s liability for Withholding Taxes or achieve any particular tax result. Further, if Grantee is subject to tax in more than one jurisdiction, Grantee acknowledges that the Company and/or the Employer (or former employer, as applicable) may be required to withhold or account for Withholding Taxes in more than one jurisdiction. The Company shall have no obligation to deliver any Vested Shares unless and until all Withholding Taxes contemplated by this Section 4 have been satisfied.</w:t>
      </w:r>
    </w:p>
    <w:p>
      <w:pPr>
        <w:spacing w:after="0" w:line="186" w:lineRule="exact"/>
        <w:rPr>
          <w:rFonts w:ascii="Times New Roman" w:cs="Times New Roman" w:eastAsia="Times New Roman" w:hAnsi="Times New Roman"/>
          <w:sz w:val="18"/>
          <w:szCs w:val="18"/>
          <w:color w:val="auto"/>
        </w:rPr>
      </w:pPr>
    </w:p>
    <w:p>
      <w:pPr>
        <w:ind w:left="-20" w:firstLine="1305"/>
        <w:spacing w:after="0" w:line="256" w:lineRule="auto"/>
        <w:tabs>
          <w:tab w:leader="none" w:pos="1932"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determine the method or methods Grantee may use to satisfy any Withholding Taxes resulting from the vesting of any Restricted Share Units, the issuance or transfer of any Vested Shares or otherwise in connection with the Award at the time such Withholding Taxes become due, which may include any of the following: (i) by delivery to the Company of a bank check or certified check or wire transfer of immediately available funds; (ii) through the delivery of irrevocable written instructions, in a form acceptable to the Company, that the Company withhold Vested Shares otherwise then deliverable having a value equal to the aggregate amount of the Withholding Taxes (valued in the same manner used in computing the amount of such Withholding Taxes); (iii) arranging for the sale, on Grantee’s behalf, of Vested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37" w:right="259" w:bottom="1440" w:gutter="0" w:footer="0" w:header="0"/>
        </w:sectPr>
      </w:pPr>
    </w:p>
    <w:bookmarkStart w:id="166" w:name="page167"/>
    <w:bookmarkEnd w:id="166"/>
    <w:p>
      <w:pPr>
        <w:ind w:right="420"/>
        <w:spacing w:after="0" w:line="266" w:lineRule="auto"/>
        <w:rPr>
          <w:sz w:val="20"/>
          <w:szCs w:val="20"/>
          <w:color w:val="auto"/>
        </w:rPr>
      </w:pPr>
      <w:r>
        <w:rPr>
          <w:rFonts w:ascii="Times New Roman" w:cs="Times New Roman" w:eastAsia="Times New Roman" w:hAnsi="Times New Roman"/>
          <w:sz w:val="18"/>
          <w:szCs w:val="18"/>
          <w:color w:val="auto"/>
        </w:rPr>
        <w:t>Shares otherwise then deliverable to Grantee (valued in the same manner used in computing the amount of such Withholding Taxes); or (iv) by any combination of (i), (ii) or (iii) above. Further, any entity in the Company Group shall have the right to require Grantee to satisfy any Withholding Taxes contemplated by this Section 4 by any of the aforementioned methods or by withholding from Grantee’s wages or other cash compensation.</w:t>
      </w:r>
    </w:p>
    <w:p>
      <w:pPr>
        <w:spacing w:after="0" w:line="176" w:lineRule="exact"/>
        <w:rPr>
          <w:sz w:val="20"/>
          <w:szCs w:val="20"/>
          <w:color w:val="auto"/>
        </w:rPr>
      </w:pPr>
    </w:p>
    <w:p>
      <w:pPr>
        <w:ind w:firstLine="1305"/>
        <w:spacing w:after="0" w:line="255" w:lineRule="auto"/>
        <w:tabs>
          <w:tab w:leader="none" w:pos="1955"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may withhold or account for Withholding Taxes contemplated by this Section 4 by reference to applicable withholding rates, including minimum or maximum applicable statutory rates in Grantee’s jurisdiction(s) of employment and/or residency, and if the Company Group withholds more than the amount necessary to satisfy the liability, Grantee may receive a refund of any over-withheld amount in cash and will have no entitlement to the equivalent Shares. If the obligation for Withholding Taxes is satisfied by withholding in Shares, for tax purposes, Grantee will be deemed to have been issued the full number of Vested Shares underlying the Restricted Share Units, notwithstanding that a number of the Shares is held back solely for the purpose of paying the Withholding Taxes. No fractional Shares will be withheld or issued pursuant to the settlement of the Restricted Share Units and the Withholding Taxes thereunder.</w:t>
      </w:r>
    </w:p>
    <w:p>
      <w:pPr>
        <w:spacing w:after="0" w:line="18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Deemed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By accepting the Award, Grantee is deemed to be bound by the terms and conditions set forth in the Plan, the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Grant Notice and these Award Terms.</w:t>
      </w:r>
    </w:p>
    <w:p>
      <w:pPr>
        <w:spacing w:after="0" w:line="206" w:lineRule="exact"/>
        <w:rPr>
          <w:rFonts w:ascii="Times New Roman" w:cs="Times New Roman" w:eastAsia="Times New Roman" w:hAnsi="Times New Roman"/>
          <w:sz w:val="18"/>
          <w:szCs w:val="18"/>
          <w:color w:val="auto"/>
        </w:rPr>
      </w:pPr>
    </w:p>
    <w:p>
      <w:pPr>
        <w:ind w:right="340" w:firstLine="656"/>
        <w:spacing w:after="0" w:line="282" w:lineRule="auto"/>
        <w:tabs>
          <w:tab w:leader="none" w:pos="129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The Company shall at all times reserve for issuance or delivery upon vesting of the Restricted Share Units such number of Common Shares as shall be required for issuance or delivery upon vesting thereof.</w:t>
      </w:r>
    </w:p>
    <w:p>
      <w:pPr>
        <w:spacing w:after="0" w:line="161" w:lineRule="exact"/>
        <w:rPr>
          <w:rFonts w:ascii="Times New Roman" w:cs="Times New Roman" w:eastAsia="Times New Roman" w:hAnsi="Times New Roman"/>
          <w:sz w:val="18"/>
          <w:szCs w:val="18"/>
          <w:color w:val="auto"/>
        </w:rPr>
      </w:pPr>
    </w:p>
    <w:p>
      <w:pPr>
        <w:ind w:right="500" w:firstLine="656"/>
        <w:spacing w:after="0" w:line="282" w:lineRule="auto"/>
        <w:tabs>
          <w:tab w:leader="none" w:pos="129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The holder of the Restricted Share Units shall not be entitled to receive any payment, payment-in-kind or any equivalent with regard to any cash or other dividends that are declared and paid on Common Shares.</w:t>
      </w:r>
    </w:p>
    <w:p>
      <w:pPr>
        <w:spacing w:after="0" w:line="161" w:lineRule="exact"/>
        <w:rPr>
          <w:rFonts w:ascii="Times New Roman" w:cs="Times New Roman" w:eastAsia="Times New Roman" w:hAnsi="Times New Roman"/>
          <w:sz w:val="18"/>
          <w:szCs w:val="18"/>
          <w:color w:val="auto"/>
        </w:rPr>
      </w:pPr>
    </w:p>
    <w:p>
      <w:pPr>
        <w:ind w:right="40" w:firstLine="656"/>
        <w:spacing w:after="0" w:line="256" w:lineRule="auto"/>
        <w:tabs>
          <w:tab w:leader="none" w:pos="129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Receipt and Delivery</w:t>
      </w:r>
      <w:r>
        <w:rPr>
          <w:rFonts w:ascii="Times New Roman" w:cs="Times New Roman" w:eastAsia="Times New Roman" w:hAnsi="Times New Roman"/>
          <w:sz w:val="18"/>
          <w:szCs w:val="18"/>
          <w:color w:val="auto"/>
        </w:rPr>
        <w:t xml:space="preserve">. As soon as administratively practicable (and, in any event, within 30 days) after any Restricted Share Units vest, the Company shall (a) effect the issuance or transfer of the resulting Vested Shares, (b) cause the issuance or transfer of such Vested Shares to be evidenced on the books and records of the Company, and (c) cause such Vested Shares to be delivered to a Company-Sponsored Equity Account in the name of the person entitled to such Vested Shares (or, with the Company’s consent, such other brokerage account as may be requested by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such Vested Shares are subject to a legend as set forth in Section 15 hereof, the Company shall instead cause a certificate evidencing such Vested Shares and bearing such legend to be delivered to the person entitled thereto.</w:t>
      </w:r>
    </w:p>
    <w:p>
      <w:pPr>
        <w:spacing w:after="0" w:line="187" w:lineRule="exact"/>
        <w:rPr>
          <w:rFonts w:ascii="Times New Roman" w:cs="Times New Roman" w:eastAsia="Times New Roman" w:hAnsi="Times New Roman"/>
          <w:sz w:val="18"/>
          <w:szCs w:val="18"/>
          <w:color w:val="auto"/>
        </w:rPr>
      </w:pPr>
    </w:p>
    <w:p>
      <w:pPr>
        <w:ind w:right="20" w:firstLine="656"/>
        <w:spacing w:after="0" w:line="258" w:lineRule="auto"/>
        <w:tabs>
          <w:tab w:leader="none" w:pos="129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 Discretion</w:t>
      </w:r>
      <w:r>
        <w:rPr>
          <w:rFonts w:ascii="Times New Roman" w:cs="Times New Roman" w:eastAsia="Times New Roman" w:hAnsi="Times New Roman"/>
          <w:sz w:val="18"/>
          <w:szCs w:val="18"/>
          <w:color w:val="auto"/>
        </w:rPr>
        <w:t>. Except as may otherwise be provided in the Plan, the Committee shall have sole discretion to (a) interpret any provision of the Plan, the Grant Notice and these Award Terms, (b) make any determinations necessary or advisable for the administration of the Plan and the Award, and (c) waive any conditions or rights of the Company under the Award, the Grant Notice or these Award Terms. Without intending to limit the generality or effect of the foregoing, any decision or determination to be made by the Committee pursuant to these Award Terms, including whether to grant or withhold any consent, shall be</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67" w:name="page168"/>
    <w:bookmarkEnd w:id="167"/>
    <w:p>
      <w:pPr>
        <w:ind w:right="20"/>
        <w:spacing w:after="0" w:line="255" w:lineRule="auto"/>
        <w:rPr>
          <w:sz w:val="20"/>
          <w:szCs w:val="20"/>
          <w:color w:val="auto"/>
        </w:rPr>
      </w:pPr>
      <w:r>
        <w:rPr>
          <w:rFonts w:ascii="Times New Roman" w:cs="Times New Roman" w:eastAsia="Times New Roman" w:hAnsi="Times New Roman"/>
          <w:sz w:val="18"/>
          <w:szCs w:val="18"/>
          <w:color w:val="auto"/>
        </w:rPr>
        <w:t>made by the Committee in its sole and absolute discretion, subject only to the terms of the Plan. Subject to the terms of the Plan, the Committee may amend the terms of the Award prospectively or retroactively; however, no such amendment may materially and adversely affect the rights of Grantee taken as a whole without Grantee’s consent. Without intending to limit the generality or effect of the foregoing, the Committee may amend the terms of the Award (i) in recognition of unusual or nonrecurring events (including, without limitation, events described in Section 10 hereof) affecting any entity in the Company Group or any of the Company’s other affiliates or the financial statements of any entity in the Company Group or any of the Company’s other affiliates, (ii) in response to changes in applicable laws, regulations or accounting principles and interpretations thereof, or (iii) to prevent the Award from becoming subject to any adverse consequences under Section 409A.</w:t>
      </w:r>
    </w:p>
    <w:p>
      <w:pPr>
        <w:spacing w:after="0" w:line="189" w:lineRule="exact"/>
        <w:rPr>
          <w:sz w:val="20"/>
          <w:szCs w:val="20"/>
          <w:color w:val="auto"/>
        </w:rPr>
      </w:pPr>
    </w:p>
    <w:p>
      <w:pPr>
        <w:ind w:right="100" w:firstLine="656"/>
        <w:spacing w:after="0" w:line="255" w:lineRule="auto"/>
        <w:tabs>
          <w:tab w:leader="none" w:pos="129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Notwithstanding anything to the contrary contained herein, pursuant to Section 12 of the Plan, the Committee will make or provide for such adjustments to the Award as are equitably required to prevent dilution or enlargement of the rights of Grantee that otherwise would result from (a) any stock dividend, extraordinary dividend, stock split, combination of shares, recapitalization or other change in the capital structure of the Company, (b) any change of control, merger, consolidation, spin-off, split-off,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 alternative consideration (including, without limitation, cash), if any, as it may determine to be equitable in the circumstances and may require in connection therewith the surrender of the Award.</w:t>
      </w:r>
    </w:p>
    <w:p>
      <w:pPr>
        <w:spacing w:after="0" w:line="185" w:lineRule="exact"/>
        <w:rPr>
          <w:rFonts w:ascii="Times New Roman" w:cs="Times New Roman" w:eastAsia="Times New Roman" w:hAnsi="Times New Roman"/>
          <w:sz w:val="18"/>
          <w:szCs w:val="18"/>
          <w:color w:val="auto"/>
        </w:rPr>
      </w:pPr>
    </w:p>
    <w:p>
      <w:pPr>
        <w:ind w:firstLine="656"/>
        <w:spacing w:after="0" w:line="254" w:lineRule="auto"/>
        <w:tabs>
          <w:tab w:leader="none" w:pos="128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and Listing</w:t>
      </w:r>
      <w:r>
        <w:rPr>
          <w:rFonts w:ascii="Times New Roman" w:cs="Times New Roman" w:eastAsia="Times New Roman" w:hAnsi="Times New Roman"/>
          <w:sz w:val="18"/>
          <w:szCs w:val="18"/>
          <w:color w:val="auto"/>
        </w:rPr>
        <w:t>. Notwithstanding anything to the contrary contained herein, the Company shall not be obligated to issue or transfer any Restricted Share Units or Vested Shares, and no Restricted Share Units or Vested Shares may be sold, assigned, transferred, pledged, hypothecated or otherwise disposed of or encumbered in any way, unless such transaction is in compliance with all Exercise Rules and Regulations. The Company is under no obligation to register, qualify or list, or maintain the registration, qualification or listing of, Restricted Share Units or Vested Shares with the U.S. Securities and Exchange Commission, any state securities commission or any securities exchange, securities association, market system or quotation system to effect such compliance. Grantee shall make such representations and furnish such information as may be appropriate to permit the Company, in light of the then existence or non-existence of an effective registration statement under the Securities Act relating to Restricted Share Units or Vested Shares, to issue or transfer Restricted Share Units or Vested Shares in compliance with the provisions of that or any comparable federal securities law and all applicable state securities laws. The Company shall have the right, but not the obligation, to register the issuance or transfer of Restricted Share Units or Vested Shares or resale of Restricted Share Units or Vested Shares under the Securities Act or any comparable federal securities law or applicable state securities law.</w:t>
      </w:r>
    </w:p>
    <w:p>
      <w:pPr>
        <w:spacing w:after="0" w:line="186" w:lineRule="exact"/>
        <w:rPr>
          <w:rFonts w:ascii="Times New Roman" w:cs="Times New Roman" w:eastAsia="Times New Roman" w:hAnsi="Times New Roman"/>
          <w:sz w:val="18"/>
          <w:szCs w:val="18"/>
          <w:color w:val="auto"/>
        </w:rPr>
      </w:pPr>
    </w:p>
    <w:p>
      <w:pPr>
        <w:ind w:right="140" w:firstLine="656"/>
        <w:spacing w:after="0" w:line="266" w:lineRule="auto"/>
        <w:tabs>
          <w:tab w:leader="none" w:pos="129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xml:space="preserve">. Subject to the terms of the Plan, and only with the Company’s consent, Grantee may transfer Restricted Share Units for estate planning purposes or pursuant to a domestic relations order (or a comparable order under applicable local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transferee shall be bound by all of the terms and conditions of the Plan,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168" w:name="page169"/>
    <w:bookmarkEnd w:id="168"/>
    <w:p>
      <w:pPr>
        <w:spacing w:after="0" w:line="261" w:lineRule="auto"/>
        <w:rPr>
          <w:sz w:val="20"/>
          <w:szCs w:val="20"/>
          <w:color w:val="auto"/>
        </w:rPr>
      </w:pPr>
      <w:r>
        <w:rPr>
          <w:rFonts w:ascii="Times New Roman" w:cs="Times New Roman" w:eastAsia="Times New Roman" w:hAnsi="Times New Roman"/>
          <w:sz w:val="18"/>
          <w:szCs w:val="18"/>
          <w:color w:val="auto"/>
        </w:rPr>
        <w:t xml:space="preserve">Grant Notice and these Award Terms and shall execute an agreement in form and substance satisfactory to the Company in connection with such transfer;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Grantee will remain bound by the terms and conditions of the Plan, the Grant Notice and these Award Terms. Except as otherwise permitted under the Plan or this Section 12, the Restricted Share Units shall not be transferable by Grantee other than by will or the laws of descent and distribution.</w:t>
      </w:r>
    </w:p>
    <w:p>
      <w:pPr>
        <w:spacing w:after="0" w:line="180" w:lineRule="exact"/>
        <w:rPr>
          <w:sz w:val="20"/>
          <w:szCs w:val="20"/>
          <w:color w:val="auto"/>
        </w:rPr>
      </w:pPr>
    </w:p>
    <w:p>
      <w:pPr>
        <w:ind w:left="1300" w:hanging="644"/>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Applicable Laws and Regulations and Company Policies and Procedures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20" w:firstLine="1305"/>
        <w:spacing w:after="0" w:line="313" w:lineRule="auto"/>
        <w:tabs>
          <w:tab w:leader="none" w:pos="1942"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Grantee is responsible for complying with (i) any federal, state, and local tax, social insurance, national insurance contributions, payroll tax, payment on account or other tax liabilities applicable to Grantee in connection with the Award and (ii) all Exercise Rules and Regulations.</w:t>
      </w:r>
    </w:p>
    <w:p>
      <w:pPr>
        <w:spacing w:after="0" w:line="138" w:lineRule="exact"/>
        <w:rPr>
          <w:rFonts w:ascii="Times New Roman" w:cs="Times New Roman" w:eastAsia="Times New Roman" w:hAnsi="Times New Roman"/>
          <w:sz w:val="17"/>
          <w:szCs w:val="17"/>
          <w:color w:val="auto"/>
        </w:rPr>
      </w:pPr>
    </w:p>
    <w:p>
      <w:pPr>
        <w:ind w:right="100" w:firstLine="1305"/>
        <w:spacing w:after="0" w:line="266" w:lineRule="auto"/>
        <w:tabs>
          <w:tab w:leader="none" w:pos="1952"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is subject to the terms and conditions of any policy requiring or permitting the Company to recover any gains realized by Grantee in connection with the Award, including, without limitation, the Policy on Recoupment of Performance-Based Compensation Related to Certain Financial Restatements.</w:t>
      </w:r>
    </w:p>
    <w:p>
      <w:pPr>
        <w:spacing w:after="0" w:line="172" w:lineRule="exact"/>
        <w:rPr>
          <w:rFonts w:ascii="Times New Roman" w:cs="Times New Roman" w:eastAsia="Times New Roman" w:hAnsi="Times New Roman"/>
          <w:sz w:val="18"/>
          <w:szCs w:val="18"/>
          <w:color w:val="auto"/>
        </w:rPr>
      </w:pPr>
    </w:p>
    <w:p>
      <w:pPr>
        <w:ind w:firstLine="1305"/>
        <w:spacing w:after="0" w:line="268" w:lineRule="auto"/>
        <w:tabs>
          <w:tab w:leader="none" w:pos="1955"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[If and when Grantee is an “executive officer” of the Company within the meaning of the Executive Stock Ownership Guidelines, the Award will be subject to the terms and conditions of the Executive Stock Ownership Guidelines and the limitations contained therein on the ability of Grantee to transfer any Vested Shares.]</w:t>
      </w:r>
    </w:p>
    <w:p>
      <w:pPr>
        <w:spacing w:after="0" w:line="17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1305"/>
        <w:spacing w:after="0" w:line="252" w:lineRule="auto"/>
        <w:tabs>
          <w:tab w:leader="none" w:pos="1942"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contemplated with respect to the Award are intended to comply with Section 409A, and all provisions of the Plan, the Grant Notice and these Award Terms shall be construed and interpreted in a manner consistent with the requirements for avoiding taxes or penalties under Section 409A. Notwithstanding the foregoing, (i) nothing in the Plan, the Grant Notice and these Award Terms shall guarantee that the Award is not subject to taxes or penalties under Section 409A and (ii) if any provision of the Plan, the Grant Notice or these Award Terms would, in the reasonable, good faith judgment of the Company, result or likely result in the imposition on Grantee or any other person of taxes, interest or penalties under Section 409A, the Committee may, in its sole discretion, modify the terms of the Plan, the Grant Notice or these Award Terms, without the consent of Grantee, in the manner that the Committee may reasonably and in good faith determine to be necessary or advisable to avoid the imposition of such taxes, interest or penalties;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Section 14 does not create an obligation on the part of the Committee or the Company to make any such modification, and in no event shall the Company be liable for the payment of or gross up in connection with any taxes, interest or penalties owed by Grantee pursuant to</w:t>
      </w:r>
    </w:p>
    <w:p>
      <w:pPr>
        <w:spacing w:after="0" w:line="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w:t>
      </w:r>
    </w:p>
    <w:p>
      <w:pPr>
        <w:spacing w:after="0" w:line="206" w:lineRule="exact"/>
        <w:rPr>
          <w:rFonts w:ascii="Times New Roman" w:cs="Times New Roman" w:eastAsia="Times New Roman" w:hAnsi="Times New Roman"/>
          <w:sz w:val="18"/>
          <w:szCs w:val="18"/>
          <w:color w:val="auto"/>
        </w:rPr>
      </w:pPr>
    </w:p>
    <w:p>
      <w:pPr>
        <w:ind w:right="120" w:firstLine="1305"/>
        <w:spacing w:after="0" w:line="266" w:lineRule="auto"/>
        <w:tabs>
          <w:tab w:leader="none" w:pos="1952"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Grantee nor any of Grantee’s creditors or beneficiaries shall have the right to subject any deferred compensation (within the meaning of Section 409A) payable with respect to the Award to any anticipation, alienation, sale, transfer, assignment, pledge, encumbrance, attachment or garnishment. Except as permitted under Section 409A, any deferred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69" w:name="page170"/>
    <w:bookmarkEnd w:id="169"/>
    <w:p>
      <w:pPr>
        <w:ind w:right="200"/>
        <w:spacing w:after="0" w:line="282" w:lineRule="auto"/>
        <w:rPr>
          <w:sz w:val="20"/>
          <w:szCs w:val="20"/>
          <w:color w:val="auto"/>
        </w:rPr>
      </w:pPr>
      <w:r>
        <w:rPr>
          <w:rFonts w:ascii="Times New Roman" w:cs="Times New Roman" w:eastAsia="Times New Roman" w:hAnsi="Times New Roman"/>
          <w:sz w:val="18"/>
          <w:szCs w:val="18"/>
          <w:color w:val="auto"/>
        </w:rPr>
        <w:t>compensation (within the meaning of Section 409A) payable to Grantee or for Grantee’s benefit with respect to the Award may not be reduced by, or offset against, any amount owing by Grantee to the Company.</w:t>
      </w:r>
    </w:p>
    <w:p>
      <w:pPr>
        <w:spacing w:after="0" w:line="162" w:lineRule="exact"/>
        <w:rPr>
          <w:sz w:val="20"/>
          <w:szCs w:val="20"/>
          <w:color w:val="auto"/>
        </w:rPr>
      </w:pPr>
    </w:p>
    <w:p>
      <w:pPr>
        <w:ind w:right="80" w:firstLine="1305"/>
        <w:spacing w:after="0" w:line="261" w:lineRule="auto"/>
        <w:tabs>
          <w:tab w:leader="none" w:pos="1955"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if (i) the Committee determines in good faith that the Restricted Share Units do not qualify for the “short-term deferral exception” under Section 409A, (ii) Grantee is a “specified employee” (as defined in Section 409A) and</w:t>
      </w:r>
    </w:p>
    <w:p>
      <w:pPr>
        <w:ind w:firstLine="8"/>
        <w:spacing w:after="0" w:line="250" w:lineRule="auto"/>
        <w:tabs>
          <w:tab w:leader="none" w:pos="31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in the issuance or transfer of Vested Shares to Grantee or his or her estate or beneficiaries hereunder by reason of Grantee’s “separation from service” (as defined in Section 409A) with any entity in the Company Group is required to avoid tax penalties under Section 409A but is not already provided for by this Award, the Company shall cause the issuance or transfer of such Vested Shares to Grantee or Grantee’s estate or beneficiary upon the earlier of</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date that is the first business day following the date that is six months after the date of Grantee’s separation from service and (B) Grantee’s death.</w:t>
      </w:r>
    </w:p>
    <w:p>
      <w:pPr>
        <w:spacing w:after="0" w:line="206" w:lineRule="exact"/>
        <w:rPr>
          <w:rFonts w:ascii="Times New Roman" w:cs="Times New Roman" w:eastAsia="Times New Roman" w:hAnsi="Times New Roman"/>
          <w:sz w:val="18"/>
          <w:szCs w:val="18"/>
          <w:color w:val="auto"/>
        </w:rPr>
      </w:pPr>
    </w:p>
    <w:p>
      <w:pPr>
        <w:ind w:right="180" w:firstLine="656"/>
        <w:spacing w:after="0" w:line="282" w:lineRule="auto"/>
        <w:tabs>
          <w:tab w:leader="none" w:pos="1292"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The Company may, if determined by it based on the advice of counsel to be appropriate, cause any certificate evidencing Vested Shares to bear a legend substantially as follows:</w:t>
      </w:r>
    </w:p>
    <w:p>
      <w:pPr>
        <w:spacing w:after="0" w:line="162" w:lineRule="exact"/>
        <w:rPr>
          <w:sz w:val="20"/>
          <w:szCs w:val="20"/>
          <w:color w:val="auto"/>
        </w:rPr>
      </w:pPr>
    </w:p>
    <w:p>
      <w:pPr>
        <w:ind w:left="1300" w:right="400"/>
        <w:spacing w:after="0" w:line="266" w:lineRule="auto"/>
        <w:rPr>
          <w:sz w:val="20"/>
          <w:szCs w:val="20"/>
          <w:color w:val="auto"/>
        </w:rPr>
      </w:pPr>
      <w:r>
        <w:rPr>
          <w:rFonts w:ascii="Times New Roman" w:cs="Times New Roman" w:eastAsia="Times New Roman" w:hAnsi="Times New Roman"/>
          <w:sz w:val="18"/>
          <w:szCs w:val="18"/>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pacing w:after="0" w:line="176" w:lineRule="exact"/>
        <w:rPr>
          <w:sz w:val="20"/>
          <w:szCs w:val="20"/>
          <w:color w:val="auto"/>
        </w:rPr>
      </w:pPr>
    </w:p>
    <w:p>
      <w:pPr>
        <w:ind w:right="180" w:firstLine="656"/>
        <w:spacing w:after="0" w:line="266" w:lineRule="auto"/>
        <w:tabs>
          <w:tab w:leader="none" w:pos="129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Employment</w:t>
      </w:r>
      <w:r>
        <w:rPr>
          <w:rFonts w:ascii="Times New Roman" w:cs="Times New Roman" w:eastAsia="Times New Roman" w:hAnsi="Times New Roman"/>
          <w:sz w:val="18"/>
          <w:szCs w:val="18"/>
          <w:color w:val="auto"/>
        </w:rPr>
        <w:t>. Nothing contained in the Grant Notice or these Award Terms shall create a right to employment with the Employer or any other entity in the Company Group and shall not interfere with the ability of the Employer to retire, request the resignation of or terminate Grantee’s employment or service relationship at any time.</w:t>
      </w:r>
    </w:p>
    <w:p>
      <w:pPr>
        <w:spacing w:after="0" w:line="176" w:lineRule="exact"/>
        <w:rPr>
          <w:rFonts w:ascii="Times New Roman" w:cs="Times New Roman" w:eastAsia="Times New Roman" w:hAnsi="Times New Roman"/>
          <w:sz w:val="18"/>
          <w:szCs w:val="18"/>
          <w:color w:val="auto"/>
        </w:rPr>
      </w:pPr>
    </w:p>
    <w:p>
      <w:pPr>
        <w:ind w:firstLine="656"/>
        <w:spacing w:after="0" w:line="266" w:lineRule="auto"/>
        <w:tabs>
          <w:tab w:leader="none" w:pos="129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w:t>
      </w:r>
      <w:r>
        <w:rPr>
          <w:rFonts w:ascii="Times New Roman" w:cs="Times New Roman" w:eastAsia="Times New Roman" w:hAnsi="Times New Roman"/>
          <w:sz w:val="18"/>
          <w:szCs w:val="18"/>
          <w:color w:val="auto"/>
        </w:rPr>
        <w:t>. No holder of Restricted Share Units shall, by virtue of the Grant Notice or these Award Terms, be entitled to any right of a stockholder of the Company, either at law or in equity, and the rights of any such holder are limited to those expressed, and are not enforceable against the Company except to the extent set forth in the Plan, the Grant Notice or these Award Terms.</w:t>
      </w:r>
    </w:p>
    <w:p>
      <w:pPr>
        <w:spacing w:after="0" w:line="176" w:lineRule="exact"/>
        <w:rPr>
          <w:rFonts w:ascii="Times New Roman" w:cs="Times New Roman" w:eastAsia="Times New Roman" w:hAnsi="Times New Roman"/>
          <w:sz w:val="18"/>
          <w:szCs w:val="18"/>
          <w:color w:val="auto"/>
        </w:rPr>
      </w:pPr>
    </w:p>
    <w:p>
      <w:pPr>
        <w:ind w:right="240" w:firstLine="656"/>
        <w:spacing w:after="0" w:line="266" w:lineRule="auto"/>
        <w:tabs>
          <w:tab w:leader="none" w:pos="129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Venue and Governing Law</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305"/>
        <w:spacing w:after="0" w:line="282" w:lineRule="auto"/>
        <w:tabs>
          <w:tab w:leader="none" w:pos="194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litigating any dispute that arises directly or indirectly from the relationship of the parties evidenced by the grant of the Restricted Share Units or these Award Terms, the parties submit and consent to the exclusive jurisdiction of the State of</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70" w:name="page171"/>
    <w:bookmarkEnd w:id="170"/>
    <w:p>
      <w:pPr>
        <w:ind w:right="460"/>
        <w:spacing w:after="0" w:line="282" w:lineRule="auto"/>
        <w:rPr>
          <w:sz w:val="20"/>
          <w:szCs w:val="20"/>
          <w:color w:val="auto"/>
        </w:rPr>
      </w:pPr>
      <w:r>
        <w:rPr>
          <w:rFonts w:ascii="Times New Roman" w:cs="Times New Roman" w:eastAsia="Times New Roman" w:hAnsi="Times New Roman"/>
          <w:sz w:val="18"/>
          <w:szCs w:val="18"/>
          <w:color w:val="auto"/>
        </w:rPr>
        <w:t>California and agree that such litigation shall be conducted only in the courts of Los Angeles County, California or the federal courts of the U.S. for the Central District of California and no other courts, regardless of where the grant of the Restricted Share Units is made and/or to be performed.</w:t>
      </w:r>
    </w:p>
    <w:p>
      <w:pPr>
        <w:spacing w:after="0" w:line="162" w:lineRule="exact"/>
        <w:rPr>
          <w:sz w:val="20"/>
          <w:szCs w:val="20"/>
          <w:color w:val="auto"/>
        </w:rPr>
      </w:pPr>
    </w:p>
    <w:p>
      <w:pPr>
        <w:ind w:right="140" w:firstLine="1305"/>
        <w:spacing w:after="0" w:line="313" w:lineRule="auto"/>
        <w:tabs>
          <w:tab w:leader="none" w:pos="1952"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U.S. federal law does not otherwise control, the validity, interpretation, performance and enforcement of the Grant Notice and these Award Terms shall be governed by the laws of the State of Delaware, without giving effect to principles of conflicts of laws thereof.</w:t>
      </w:r>
    </w:p>
    <w:p>
      <w:pPr>
        <w:spacing w:after="0" w:line="138" w:lineRule="exact"/>
        <w:rPr>
          <w:rFonts w:ascii="Times New Roman" w:cs="Times New Roman" w:eastAsia="Times New Roman" w:hAnsi="Times New Roman"/>
          <w:sz w:val="17"/>
          <w:szCs w:val="17"/>
          <w:color w:val="auto"/>
        </w:rPr>
      </w:pPr>
    </w:p>
    <w:p>
      <w:pPr>
        <w:jc w:val="both"/>
        <w:ind w:right="160" w:firstLine="656"/>
        <w:spacing w:after="0" w:line="266" w:lineRule="auto"/>
        <w:tabs>
          <w:tab w:leader="none" w:pos="129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provisions of the Grant Notice and these Award Terms shall be binding upon and inure to the benefit of the Company, its successors and assigns, and Grantee and, to the extent applicable, Grantee’s permitted assigns under Section 12 hereof and Grantee’s estate or beneficiaries as determined by will or the laws of descent and distribution.</w:t>
      </w:r>
    </w:p>
    <w:p>
      <w:pPr>
        <w:spacing w:after="0" w:line="1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Notices and Other Documents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20" w:firstLine="1305"/>
        <w:spacing w:after="0" w:line="261" w:lineRule="auto"/>
        <w:tabs>
          <w:tab w:leader="none" w:pos="1942"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document which Grantee may be required or permitted to deliver to the Company pursuant to or in connection with the Grant Notice or these Award Terms shall be in writing, and may be delivered personally or by mail, postage prepaid, or overnight courier, addressed to the Company, at its office at 3100 Ocean Park Boulevard, Santa Monica, California 90405, U.S.A. Attn: Stock Plan Administration, or such other address as the Company by notice to Grantee may designate in writing from time to time. Notices shall be effective upon delivery.</w:t>
      </w:r>
    </w:p>
    <w:p>
      <w:pPr>
        <w:spacing w:after="0" w:line="180" w:lineRule="exact"/>
        <w:rPr>
          <w:rFonts w:ascii="Times New Roman" w:cs="Times New Roman" w:eastAsia="Times New Roman" w:hAnsi="Times New Roman"/>
          <w:sz w:val="18"/>
          <w:szCs w:val="18"/>
          <w:color w:val="auto"/>
        </w:rPr>
      </w:pPr>
    </w:p>
    <w:p>
      <w:pPr>
        <w:ind w:firstLine="1305"/>
        <w:spacing w:after="0" w:line="255" w:lineRule="auto"/>
        <w:tabs>
          <w:tab w:leader="none" w:pos="1952"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document which the Company may be required or permitted to deliver to Grantee pursuant to or in connection with the Grant Notice or these Award Terms shall be in writing, and may be delivered personally or by mail, postage prepaid, or overnight courier, addressed to Grantee at the address shown on any employment agreement, service contract or offer letter between Grantee and any entity in the Company Group in effect at the time, or such other address as Grantee by notice to the Company may designate in writing from time to time. The Company may also, in its sole discretion, deliver any such document to Grantee electronically via an e-mail to Grantee at his or her Company-provided email address or through a notice delivered to such e-mail address that such document is available on a website established and maintained on behalf of the Company or a third party designated by the Company, including, without limitation, the Equity Account Administrator. Notices shall be effective upon delivery.</w:t>
      </w:r>
    </w:p>
    <w:p>
      <w:pPr>
        <w:spacing w:after="0" w:line="189" w:lineRule="exact"/>
        <w:rPr>
          <w:rFonts w:ascii="Times New Roman" w:cs="Times New Roman" w:eastAsia="Times New Roman" w:hAnsi="Times New Roman"/>
          <w:sz w:val="18"/>
          <w:szCs w:val="18"/>
          <w:color w:val="auto"/>
        </w:rPr>
      </w:pPr>
    </w:p>
    <w:p>
      <w:pPr>
        <w:ind w:right="300" w:firstLine="656"/>
        <w:spacing w:after="0" w:line="282" w:lineRule="auto"/>
        <w:tabs>
          <w:tab w:leader="none" w:pos="129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with Plan</w:t>
      </w:r>
      <w:r>
        <w:rPr>
          <w:rFonts w:ascii="Times New Roman" w:cs="Times New Roman" w:eastAsia="Times New Roman" w:hAnsi="Times New Roman"/>
          <w:sz w:val="18"/>
          <w:szCs w:val="18"/>
          <w:color w:val="auto"/>
        </w:rPr>
        <w:t>. In the event of any conflict between the terms the Grant Notice or these Award Terms and the terms of the Plan, the terms of the Plan shall control.</w:t>
      </w:r>
    </w:p>
    <w:p>
      <w:pPr>
        <w:spacing w:after="0" w:line="161" w:lineRule="exact"/>
        <w:rPr>
          <w:rFonts w:ascii="Times New Roman" w:cs="Times New Roman" w:eastAsia="Times New Roman" w:hAnsi="Times New Roman"/>
          <w:sz w:val="18"/>
          <w:szCs w:val="18"/>
          <w:color w:val="auto"/>
        </w:rPr>
      </w:pPr>
    </w:p>
    <w:p>
      <w:pPr>
        <w:ind w:right="100" w:firstLine="656"/>
        <w:spacing w:after="0" w:line="266" w:lineRule="auto"/>
        <w:tabs>
          <w:tab w:leader="none" w:pos="129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Appendix</w:t>
      </w:r>
      <w:r>
        <w:rPr>
          <w:rFonts w:ascii="Times New Roman" w:cs="Times New Roman" w:eastAsia="Times New Roman" w:hAnsi="Times New Roman"/>
          <w:sz w:val="18"/>
          <w:szCs w:val="18"/>
          <w:color w:val="auto"/>
        </w:rPr>
        <w:t>. Notwithstanding anything to the contrary contained herein, the Restricted Share Units shall be subject to any special terms and conditions set forth in the Appendix for Grantee’s country of work and/or residence, both of which constitute a part of these Award Terms. Moreover, if Grantee relocates his or her work and/or residence to one of the countries included in the Appendix, the special terms and conditions for such country will</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71" w:name="page172"/>
    <w:bookmarkEnd w:id="171"/>
    <w:p>
      <w:pPr>
        <w:ind w:right="220"/>
        <w:spacing w:after="0" w:line="282" w:lineRule="auto"/>
        <w:rPr>
          <w:sz w:val="20"/>
          <w:szCs w:val="20"/>
          <w:color w:val="auto"/>
        </w:rPr>
      </w:pPr>
      <w:r>
        <w:rPr>
          <w:rFonts w:ascii="Times New Roman" w:cs="Times New Roman" w:eastAsia="Times New Roman" w:hAnsi="Times New Roman"/>
          <w:sz w:val="18"/>
          <w:szCs w:val="18"/>
          <w:color w:val="auto"/>
        </w:rPr>
        <w:t>apply to Grantee, to the extent the Company determines that the application of such terms and conditions is necessary or advisable in order to comply with applicable local law or facilitate the administration of the Plan.</w:t>
      </w:r>
    </w:p>
    <w:p>
      <w:pPr>
        <w:spacing w:after="0" w:line="162" w:lineRule="exact"/>
        <w:rPr>
          <w:sz w:val="20"/>
          <w:szCs w:val="20"/>
          <w:color w:val="auto"/>
        </w:rPr>
      </w:pPr>
    </w:p>
    <w:p>
      <w:pPr>
        <w:jc w:val="both"/>
        <w:ind w:firstLine="656"/>
        <w:spacing w:after="0" w:line="261" w:lineRule="auto"/>
        <w:tabs>
          <w:tab w:leader="none" w:pos="129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Imposition of Other Requirements</w:t>
      </w:r>
      <w:r>
        <w:rPr>
          <w:rFonts w:ascii="Times New Roman" w:cs="Times New Roman" w:eastAsia="Times New Roman" w:hAnsi="Times New Roman"/>
          <w:sz w:val="18"/>
          <w:szCs w:val="18"/>
          <w:color w:val="auto"/>
        </w:rPr>
        <w:t>. The Company reserves the right to impose other requirements on Grantee’s participation in the Plan, on the Restricted Share Units and on any Common Shares acquired under the Plan, to the extent the Company determines it is necessary or advisable in order to comply with applicable local law or facilitate the administration of the Plan, and to require Grantee to sign any additional agreements or undertakings that may be necessary to accomplish the foregoing.</w:t>
      </w:r>
    </w:p>
    <w:p>
      <w:pPr>
        <w:spacing w:after="0" w:line="180" w:lineRule="exact"/>
        <w:rPr>
          <w:rFonts w:ascii="Times New Roman" w:cs="Times New Roman" w:eastAsia="Times New Roman" w:hAnsi="Times New Roman"/>
          <w:sz w:val="18"/>
          <w:szCs w:val="18"/>
          <w:color w:val="auto"/>
        </w:rPr>
      </w:pPr>
    </w:p>
    <w:p>
      <w:pPr>
        <w:ind w:right="60" w:firstLine="656"/>
        <w:spacing w:after="0" w:line="266" w:lineRule="auto"/>
        <w:tabs>
          <w:tab w:leader="none" w:pos="129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Grantee acknowledges that a waiver by the Company of a breach of any provision of these Award Terms shall not operate or be construed as a waiver of any other provision of these Award Terms, or of any subsequent breach by Grantee or any other grantee of an equity award from the Company.</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APPENDIX</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PERFORMANCE-VESTING RESTRICTED SHARE UNIT AWARD TERMS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ADDITIONAL TERMS AND CONDITIONS BY COUNTRY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herein shall have the meanings given to such terms in the Plan or the Award Terms, as the case may be.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This Appendix includes special terms and conditions applicable to Grantees who work and/or reside in the countries covered by the Appendix. These terms and conditions are in addition to or, if so indicated, in place of, the terms and conditions set forth in the Award Terms.</w:t>
      </w:r>
    </w:p>
    <w:p>
      <w:pPr>
        <w:spacing w:after="0" w:line="1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If Grantee is a citizen or resident of a country other than the one in which he or she is currently residing and/or working, transferred or transfers employment and/or residency after the Restricted Share Units were granted or is considered a resident of another country for local law purposes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Grantee is a “mobile employee”), the Company shall have the sole discretion to determine to what extent the special terms and conditions shall apply to Grantee.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Appendix also includes notifications relating to exchange control and other issues of which Grantee should be aware with respect to his or her participation in the Plan. The information is based on the exchange control, securities and other laws in effect in the countries to which this Appendix refers as of October 2018. Such laws are often complex and change frequently. As a result, the Company strongly recommends that Grantee not rely on the notifications herein as the only source of information relating to the consequences of participation in the Plan because the information may be out of date at the time Grantee vests in the Restricted Share Units or Vested Shares acquired under the Plan are sold.</w:t>
      </w:r>
    </w:p>
    <w:p>
      <w:pPr>
        <w:spacing w:after="0" w:line="1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the notifications are general in nature and may not apply to the particular situation of Grantee, and the Company is not in a position to assure Grantee of any particular result. Accordingly, Grantee should seek appropriate professional advice as to how the relevant laws in his or her country may apply to his or her situation. Finally, if Grantee is a mobile employee, the information contained herein may not be applicable to Grantee in the same manner.</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PROVISIONS APPLICABLE TO ALL GRANTEES WHO WORK AND/OR RESIDE OUTSIDE THE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Grant</w:t>
      </w:r>
      <w:r>
        <w:rPr>
          <w:rFonts w:ascii="Times New Roman" w:cs="Times New Roman" w:eastAsia="Times New Roman" w:hAnsi="Times New Roman"/>
          <w:sz w:val="18"/>
          <w:szCs w:val="18"/>
          <w:color w:val="auto"/>
        </w:rPr>
        <w:t>. By accepting the Award, Grantee acknowledges, understands, and agrees that:</w:t>
      </w:r>
    </w:p>
    <w:p>
      <w:pPr>
        <w:spacing w:after="0" w:line="229" w:lineRule="exact"/>
        <w:rPr>
          <w:sz w:val="20"/>
          <w:szCs w:val="20"/>
          <w:color w:val="auto"/>
        </w:rPr>
      </w:pPr>
    </w:p>
    <w:p>
      <w:pPr>
        <w:ind w:right="180" w:firstLine="255"/>
        <w:spacing w:after="0" w:line="282" w:lineRule="auto"/>
        <w:tabs>
          <w:tab w:leader="none" w:pos="65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it is discretionary in nature, and it may be modified, amended, suspended or terminated by the Company at any time, unless otherwise provided in the Plan and/or these Award Terms;</w:t>
      </w:r>
    </w:p>
    <w:p>
      <w:pPr>
        <w:spacing w:after="0" w:line="161" w:lineRule="exact"/>
        <w:rPr>
          <w:rFonts w:ascii="Times New Roman" w:cs="Times New Roman" w:eastAsia="Times New Roman" w:hAnsi="Times New Roman"/>
          <w:sz w:val="18"/>
          <w:szCs w:val="18"/>
          <w:color w:val="auto"/>
        </w:rPr>
      </w:pPr>
    </w:p>
    <w:p>
      <w:pPr>
        <w:ind w:right="200" w:firstLine="255"/>
        <w:spacing w:after="0" w:line="266" w:lineRule="auto"/>
        <w:tabs>
          <w:tab w:leader="none" w:pos="65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Restricted Share Units is exceptional, voluntary and occasional and does not create any contractual or other right to receive future grants of rights to receive Common Shares, or benefits in lieu of rights to receive Common Shares, even if rights to receive Common Shares have been granted in the past;</w:t>
      </w:r>
    </w:p>
    <w:p>
      <w:pPr>
        <w:spacing w:after="0" w:line="176" w:lineRule="exact"/>
        <w:rPr>
          <w:rFonts w:ascii="Times New Roman" w:cs="Times New Roman" w:eastAsia="Times New Roman" w:hAnsi="Times New Roman"/>
          <w:sz w:val="18"/>
          <w:szCs w:val="18"/>
          <w:color w:val="auto"/>
        </w:rPr>
      </w:pPr>
    </w:p>
    <w:p>
      <w:pPr>
        <w:ind w:left="660" w:hanging="405"/>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grants of rights to receive Common Shares, if any, will be at the sole discretion of the Company;</w:t>
      </w:r>
    </w:p>
    <w:p>
      <w:pPr>
        <w:spacing w:after="0" w:line="225" w:lineRule="exact"/>
        <w:rPr>
          <w:rFonts w:ascii="Times New Roman" w:cs="Times New Roman" w:eastAsia="Times New Roman" w:hAnsi="Times New Roman"/>
          <w:sz w:val="18"/>
          <w:szCs w:val="18"/>
          <w:color w:val="auto"/>
        </w:rPr>
      </w:pPr>
    </w:p>
    <w:p>
      <w:pPr>
        <w:ind w:left="660" w:hanging="405"/>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Grantee’s participation in the Plan is voluntary;</w:t>
      </w:r>
    </w:p>
    <w:p>
      <w:pPr>
        <w:spacing w:after="0" w:line="225" w:lineRule="exact"/>
        <w:rPr>
          <w:rFonts w:ascii="Times New Roman" w:cs="Times New Roman" w:eastAsia="Times New Roman" w:hAnsi="Times New Roman"/>
          <w:sz w:val="18"/>
          <w:szCs w:val="18"/>
          <w:color w:val="auto"/>
        </w:rPr>
      </w:pPr>
    </w:p>
    <w:p>
      <w:pPr>
        <w:jc w:val="both"/>
        <w:ind w:firstLine="255"/>
        <w:spacing w:after="0" w:line="261" w:lineRule="auto"/>
        <w:tabs>
          <w:tab w:leader="none" w:pos="65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Restricted Share Units and any Common Shares underlying the Restricted Share Units, and the income in respect of and the value of the same, are extraordinary items that do not constitute compensation of any kind for services of any kind rendered to the Company or the Employer, and are outside the scope of the employment agreement or service contract between Grantee and the Company, the Employer or any other entity in the Company Group, if any;</w:t>
      </w:r>
    </w:p>
    <w:p>
      <w:pPr>
        <w:spacing w:after="0" w:line="180" w:lineRule="exact"/>
        <w:rPr>
          <w:rFonts w:ascii="Times New Roman" w:cs="Times New Roman" w:eastAsia="Times New Roman" w:hAnsi="Times New Roman"/>
          <w:sz w:val="18"/>
          <w:szCs w:val="18"/>
          <w:color w:val="auto"/>
        </w:rPr>
      </w:pPr>
    </w:p>
    <w:p>
      <w:pPr>
        <w:ind w:right="160" w:firstLine="255"/>
        <w:spacing w:after="0" w:line="282" w:lineRule="auto"/>
        <w:tabs>
          <w:tab w:leader="none" w:pos="65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Share Units and any Common Shares underlying the Restricted Share Units, and the income in respect of and the value of the same, are not intended to replace any pension rights or compensation;</w:t>
      </w:r>
    </w:p>
    <w:p>
      <w:pPr>
        <w:spacing w:after="0" w:line="161" w:lineRule="exact"/>
        <w:rPr>
          <w:rFonts w:ascii="Times New Roman" w:cs="Times New Roman" w:eastAsia="Times New Roman" w:hAnsi="Times New Roman"/>
          <w:sz w:val="18"/>
          <w:szCs w:val="18"/>
          <w:color w:val="auto"/>
        </w:rPr>
      </w:pPr>
    </w:p>
    <w:p>
      <w:pPr>
        <w:ind w:right="80" w:firstLine="255"/>
        <w:spacing w:after="0" w:line="261" w:lineRule="auto"/>
        <w:tabs>
          <w:tab w:leader="none" w:pos="65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Share Units and any Common Shares underlying the Restricted Share Units, and the income in respect of and the value of the same, are not part of normal or expected compensation or salary for any purpose, including, without limitation, the calculation of any severance, resignation, termination, redundancy, dismissal, end of service payment, bonus, long-service award, leave-related payment, holiday pay, pension or retirement or welfare benefit or similar payments;</w:t>
      </w:r>
    </w:p>
    <w:p>
      <w:pPr>
        <w:spacing w:after="0" w:line="180" w:lineRule="exact"/>
        <w:rPr>
          <w:rFonts w:ascii="Times New Roman" w:cs="Times New Roman" w:eastAsia="Times New Roman" w:hAnsi="Times New Roman"/>
          <w:sz w:val="18"/>
          <w:szCs w:val="18"/>
          <w:color w:val="auto"/>
        </w:rPr>
      </w:pPr>
    </w:p>
    <w:p>
      <w:pPr>
        <w:ind w:firstLine="255"/>
        <w:spacing w:after="0" w:line="266" w:lineRule="auto"/>
        <w:tabs>
          <w:tab w:leader="none" w:pos="65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Share Unit grant and Grantee’s participation in the Plan will not be interpreted to form an employment or service contract or relationship with the Company and, furthermore, the Restricted Share Unit grant will not be interpreted to form an employment agreement or service contract or relationship with any other company in the Company Group;</w:t>
      </w:r>
    </w:p>
    <w:p>
      <w:pPr>
        <w:spacing w:after="0" w:line="176"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underlying Common Shares is unknown and cannot be predicted with certainty;</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173" w:name="page174"/>
    <w:bookmarkEnd w:id="173"/>
    <w:p>
      <w:pPr>
        <w:jc w:val="both"/>
        <w:ind w:right="20" w:firstLine="251"/>
        <w:spacing w:after="0" w:line="313" w:lineRule="auto"/>
        <w:tabs>
          <w:tab w:leader="none" w:pos="651"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agreed with the Company, the Restricted Share Units and the Common Shares subject to the Restricted Share Units, and the income and value of same, are not granted as consideration for, or in connection with, the service Grantee may provide as a director of any entity of Company Group;</w:t>
      </w:r>
    </w:p>
    <w:p>
      <w:pPr>
        <w:spacing w:after="0" w:line="138" w:lineRule="exact"/>
        <w:rPr>
          <w:rFonts w:ascii="Times New Roman" w:cs="Times New Roman" w:eastAsia="Times New Roman" w:hAnsi="Times New Roman"/>
          <w:sz w:val="17"/>
          <w:szCs w:val="17"/>
          <w:color w:val="auto"/>
        </w:rPr>
      </w:pPr>
    </w:p>
    <w:p>
      <w:pPr>
        <w:ind w:right="80" w:firstLine="251"/>
        <w:spacing w:after="0" w:line="261" w:lineRule="auto"/>
        <w:tabs>
          <w:tab w:leader="none" w:pos="64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Restricted Share Units resulting from termination of Grantee’s continuous service with the Company or the Employer (for any reason whatsoever and whether or not later found to be invalid or in breach of employment laws in the jurisdiction in which Grantee is employed or the terms of the employment agreement or service contract between Grantee and the Company, the Employer or any other entity in the Company Group, if any);</w:t>
      </w:r>
    </w:p>
    <w:p>
      <w:pPr>
        <w:spacing w:after="0" w:line="180" w:lineRule="exact"/>
        <w:rPr>
          <w:rFonts w:ascii="Times New Roman" w:cs="Times New Roman" w:eastAsia="Times New Roman" w:hAnsi="Times New Roman"/>
          <w:sz w:val="18"/>
          <w:szCs w:val="18"/>
          <w:color w:val="auto"/>
        </w:rPr>
      </w:pPr>
    </w:p>
    <w:p>
      <w:pPr>
        <w:ind w:firstLine="251"/>
        <w:spacing w:after="0" w:line="255" w:lineRule="auto"/>
        <w:tabs>
          <w:tab w:leader="none" w:pos="65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Committee determines otherwise, in the event of the termination of Grantee’s continuous service (for any reason whatsoever and whether or not later found to be invalid or in breach of employment laws in the jurisdiction in which Grantee is employed or the terms of the employment agreement or service contract between Grantee and the Company, the Employer or any other entity in the Company Group, if any), Grantee’s right to receive or vest in the Restricted Share Units under the Plan, if any, will terminate effective as of the date that Grantee is no longer actively employed and will not be extended by any notice period mandated under local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active employment would not include a period of “garden leave” or similar period pursuant to local law); the Committee shall have the exclusive discretion to determine when Grantee is no longer actively employed for purposes of Grantee’s Restricted Share Unit grant (including whether Grantee may still be considered actively employed while on a leave of absence);</w:t>
      </w:r>
    </w:p>
    <w:p>
      <w:pPr>
        <w:spacing w:after="0" w:line="189" w:lineRule="exact"/>
        <w:rPr>
          <w:rFonts w:ascii="Times New Roman" w:cs="Times New Roman" w:eastAsia="Times New Roman" w:hAnsi="Times New Roman"/>
          <w:sz w:val="18"/>
          <w:szCs w:val="18"/>
          <w:color w:val="auto"/>
        </w:rPr>
      </w:pPr>
    </w:p>
    <w:p>
      <w:pPr>
        <w:ind w:right="60" w:firstLine="251"/>
        <w:spacing w:after="0" w:line="282" w:lineRule="auto"/>
        <w:tabs>
          <w:tab w:leader="none" w:pos="65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providing any tax, legal or financial advice, nor is the Company making any recommendations regarding Grantee’s participation in the Plan, or Grantee’s acquisition or sale of the underlying Common Shares;</w:t>
      </w:r>
    </w:p>
    <w:p>
      <w:pPr>
        <w:spacing w:after="0" w:line="161" w:lineRule="exact"/>
        <w:rPr>
          <w:rFonts w:ascii="Times New Roman" w:cs="Times New Roman" w:eastAsia="Times New Roman" w:hAnsi="Times New Roman"/>
          <w:sz w:val="18"/>
          <w:szCs w:val="18"/>
          <w:color w:val="auto"/>
        </w:rPr>
      </w:pPr>
    </w:p>
    <w:p>
      <w:pPr>
        <w:ind w:right="100" w:firstLine="251"/>
        <w:spacing w:after="0" w:line="282" w:lineRule="auto"/>
        <w:tabs>
          <w:tab w:leader="none" w:pos="65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should consult with Grantee’s own personal tax, legal and financial advisors regarding Grantee’s participation in the Plan before taking any action related to the Plan;</w:t>
      </w:r>
    </w:p>
    <w:p>
      <w:pPr>
        <w:spacing w:after="0" w:line="161" w:lineRule="exact"/>
        <w:rPr>
          <w:rFonts w:ascii="Times New Roman" w:cs="Times New Roman" w:eastAsia="Times New Roman" w:hAnsi="Times New Roman"/>
          <w:sz w:val="18"/>
          <w:szCs w:val="18"/>
          <w:color w:val="auto"/>
        </w:rPr>
      </w:pPr>
    </w:p>
    <w:p>
      <w:pPr>
        <w:ind w:right="360" w:firstLine="251"/>
        <w:spacing w:after="0" w:line="266" w:lineRule="auto"/>
        <w:tabs>
          <w:tab w:leader="none" w:pos="65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Company in its discretion, the Restricted Share Units and the benefits evidenced by these Award Terms do not create any entitlement to have the Restricted Share Units or any such benefits transferred to, or assumed by, another company, nor be exchanged, cashed out or substituted for, in connection with any corporate transaction affecting the Common Shares; and</w:t>
      </w:r>
    </w:p>
    <w:p>
      <w:pPr>
        <w:spacing w:after="0" w:line="176" w:lineRule="exact"/>
        <w:rPr>
          <w:rFonts w:ascii="Times New Roman" w:cs="Times New Roman" w:eastAsia="Times New Roman" w:hAnsi="Times New Roman"/>
          <w:sz w:val="18"/>
          <w:szCs w:val="18"/>
          <w:color w:val="auto"/>
        </w:rPr>
      </w:pPr>
    </w:p>
    <w:p>
      <w:pPr>
        <w:ind w:right="40" w:firstLine="255"/>
        <w:spacing w:after="0" w:line="266" w:lineRule="auto"/>
        <w:tabs>
          <w:tab w:leader="none" w:pos="6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the Employer nor any other entity in the Company Group shall be liable for any foreign exchange rate fluctuation between Grantee’s local currency and the United States Dollar that may affect the value of the Restricted Share Units or of any amounts due to Grantee pursuant to the settlement of the Restricted Share Units or the subsequent sale of any Common Shares acquired upon settlement.</w:t>
      </w:r>
    </w:p>
    <w:p>
      <w:pPr>
        <w:spacing w:after="0" w:line="17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Foreign Asset/Account Reporting Requirements</w:t>
      </w:r>
      <w:r>
        <w:rPr>
          <w:rFonts w:ascii="Times New Roman" w:cs="Times New Roman" w:eastAsia="Times New Roman" w:hAnsi="Times New Roman"/>
          <w:sz w:val="18"/>
          <w:szCs w:val="18"/>
          <w:color w:val="auto"/>
        </w:rPr>
        <w:t>. Grantee acknowledges that there may be certain foreign asset and/or account reporting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may affect Grantee’s ability to</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74" w:name="page175"/>
    <w:bookmarkEnd w:id="174"/>
    <w:p>
      <w:pPr>
        <w:ind w:right="140"/>
        <w:spacing w:after="0" w:line="256" w:lineRule="auto"/>
        <w:rPr>
          <w:sz w:val="20"/>
          <w:szCs w:val="20"/>
          <w:color w:val="auto"/>
        </w:rPr>
      </w:pPr>
      <w:r>
        <w:rPr>
          <w:rFonts w:ascii="Times New Roman" w:cs="Times New Roman" w:eastAsia="Times New Roman" w:hAnsi="Times New Roman"/>
          <w:sz w:val="18"/>
          <w:szCs w:val="18"/>
          <w:color w:val="auto"/>
        </w:rPr>
        <w:t>acquire or hold Common Shares acquired under the Plan or cash received from participating in the Plan (including from any dividends paid on Common Shares acquired under the Plan) in a brokerage or bank account outside Grantee’s country of work and/or residence. Grantee may be required to report such accounts, assets or transactions to the tax or other authorities in his or her country. Grantee also may be required to repatriate sale proceeds or other funds received as a result of Grantee participation in the Plan to his or her country through a designated bank or broker within a certain time after receipt. Grantee acknowledges that it is his or her responsibility to be compliant with such regulations, and Grantee is advised to consult his or her personal legal advisor for any details.</w:t>
      </w:r>
    </w:p>
    <w:p>
      <w:pPr>
        <w:spacing w:after="0" w:line="18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Language</w:t>
      </w:r>
      <w:r>
        <w:rPr>
          <w:rFonts w:ascii="Times New Roman" w:cs="Times New Roman" w:eastAsia="Times New Roman" w:hAnsi="Times New Roman"/>
          <w:sz w:val="18"/>
          <w:szCs w:val="18"/>
          <w:color w:val="auto"/>
        </w:rPr>
        <w:t>. Grantee acknowledges that he or she is sufficiently proficient in English, or has consulted with an advisor who is sufficiently proficient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English, to understand the terms and conditions of these Award Terms. Furthermore, if the Grant Notice, these Award Terms or any other document related to the Plan has been translated into a language other than English and the meaning of the translated version is different than the English version then, by accepting the Award, Grantee acknowledges that the English version will control.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INFORMATION AND CONSENT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following provision applies to Grantees who work and/or reside outside the European Union/European Economic Area.</w:t>
      </w:r>
    </w:p>
    <w:p>
      <w:pPr>
        <w:spacing w:after="0" w:line="225" w:lineRule="exact"/>
        <w:rPr>
          <w:sz w:val="20"/>
          <w:szCs w:val="20"/>
          <w:color w:val="auto"/>
        </w:rPr>
      </w:pPr>
    </w:p>
    <w:p>
      <w:pPr>
        <w:jc w:val="both"/>
        <w:ind w:right="620"/>
        <w:spacing w:after="0" w:line="268" w:lineRule="auto"/>
        <w:rPr>
          <w:sz w:val="20"/>
          <w:szCs w:val="20"/>
          <w:color w:val="auto"/>
        </w:rPr>
      </w:pPr>
      <w:r>
        <w:rPr>
          <w:rFonts w:ascii="Times New Roman" w:cs="Times New Roman" w:eastAsia="Times New Roman" w:hAnsi="Times New Roman"/>
          <w:sz w:val="18"/>
          <w:szCs w:val="18"/>
          <w:b w:val="1"/>
          <w:bCs w:val="1"/>
          <w:color w:val="auto"/>
        </w:rPr>
        <w:t>Data Collection and Usage</w:t>
      </w:r>
      <w:r>
        <w:rPr>
          <w:rFonts w:ascii="Times New Roman" w:cs="Times New Roman" w:eastAsia="Times New Roman" w:hAnsi="Times New Roman"/>
          <w:sz w:val="18"/>
          <w:szCs w:val="18"/>
          <w:color w:val="auto"/>
        </w:rPr>
        <w:t>. Grantee hereby explicitly and unambiguously consents to the collection, use and transfer, in electronic or other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Grantee’s personal data as described in the Grant Notice and these Award Terms by and among, as applicable, the Employer or any other entity in the Company Group for the exclusive purpose of implementing, administering and managing Grantee’s participation in the Plan.</w:t>
      </w:r>
    </w:p>
    <w:p>
      <w:pPr>
        <w:spacing w:after="0" w:line="1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Data Processing. </w:t>
      </w:r>
      <w:r>
        <w:rPr>
          <w:rFonts w:ascii="Times New Roman" w:cs="Times New Roman" w:eastAsia="Times New Roman" w:hAnsi="Times New Roman"/>
          <w:sz w:val="18"/>
          <w:szCs w:val="18"/>
          <w:color w:val="auto"/>
        </w:rPr>
        <w:t>Grantee understands that the Company and the Employer may hold certain personal information about Grantee, including,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limitation, Grantee’s name, home address, email address and telephone number, date of birth, social insurance, passport or other identification number, salary, nationality, job title, any directorships held in any entity in the Company Group, any Common Shares owned, details of all Restricted Share Units or any other entitlement to the Common Shares or equivalent benefits awarded, canceled, purchased, exercised, vested, unvested or outstanding in Grantee’s favor (the “Data”), for the purpose of implementing, administering and managing the Plan.</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b w:val="1"/>
          <w:bCs w:val="1"/>
          <w:color w:val="auto"/>
        </w:rPr>
        <w:t>Stock Plan Administration, Data Transfer, Retention and Data Subject Rights</w:t>
      </w:r>
      <w:r>
        <w:rPr>
          <w:rFonts w:ascii="Times New Roman" w:cs="Times New Roman" w:eastAsia="Times New Roman" w:hAnsi="Times New Roman"/>
          <w:sz w:val="18"/>
          <w:szCs w:val="18"/>
          <w:color w:val="auto"/>
        </w:rPr>
        <w:t>. Grantee understands that the Data will be transferred to the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Administrator, which is assisting the Company with the implementation, administration and management of the Plan. Grantee understands that the recipients of the Data may be located in Grantee’s country of work and/or residence, or elsewhere, and that any recipient’s country may have different data privacy laws and protections than Grantee’s country of work and/or residence. Grantee understands that Grantee may request a list with the names and addresses of any potential recipients of the Data by contacting Grantee’s local human resources representative. Grantee authorizes the Company, the Equity Account Administrator and any other possible recipients which may assist the Company (presently or in the future) with implementing, administering and managing the Plan to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8" w:right="259" w:bottom="1440" w:gutter="0" w:footer="0" w:header="0"/>
        </w:sectPr>
      </w:pPr>
    </w:p>
    <w:bookmarkStart w:id="175" w:name="page176"/>
    <w:bookmarkEnd w:id="175"/>
    <w:p>
      <w:pPr>
        <w:ind w:right="160"/>
        <w:spacing w:after="0" w:line="254" w:lineRule="auto"/>
        <w:rPr>
          <w:sz w:val="20"/>
          <w:szCs w:val="20"/>
          <w:color w:val="auto"/>
        </w:rPr>
      </w:pPr>
      <w:r>
        <w:rPr>
          <w:rFonts w:ascii="Times New Roman" w:cs="Times New Roman" w:eastAsia="Times New Roman" w:hAnsi="Times New Roman"/>
          <w:sz w:val="18"/>
          <w:szCs w:val="18"/>
          <w:color w:val="auto"/>
        </w:rPr>
        <w:t>receive, possess, use, retain and transfer the Data, in electronic or other form, for the purpose of implementing, administering and managing Grantee’s participation in the Plan. Grantee understands that the Data will be held only as long as is necessary to implement, administer and manage Grantee’s participation in the Plan. Grantee understands that Grantee may, at any time, view Data, request additional information about the storage and processing of the Data, require any necessary amendments to the Data or refuse or withdraw the consents herein, in any case without cost, by contacting in writing Grantee’s local human resources representative. Further, Grantee understands that he or she is providing the consents herein on a purely voluntary basis. If Grantee does not consent, or if Grantee later seeks to revoke his or her consent, his or her employment status or service with the Employer will not be affected; the only consequence of refusing or withdrawing Grantee’s consent is that the Company would not be able to grant Restricted Share Units or other equity awards to Grantee or administer or maintain such awards. Therefore, Grantee understands that refusal or withdrawal of consent may affect Grantee’s ability to participate in the Plan. For more information on the consequences of Grantee’s refusal to consent or withdrawal of consent, Grantee understands that Grantee may contact Grantee’s local human resources representative.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following provision applies to Grantees who work and/or reside in the European Union/European Economic Area.</w:t>
      </w:r>
    </w:p>
    <w:p>
      <w:pPr>
        <w:spacing w:after="0" w:line="22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Data Collection and Usage</w:t>
      </w:r>
      <w:r>
        <w:rPr>
          <w:rFonts w:ascii="Times New Roman" w:cs="Times New Roman" w:eastAsia="Times New Roman" w:hAnsi="Times New Roman"/>
          <w:sz w:val="18"/>
          <w:szCs w:val="18"/>
          <w:color w:val="auto"/>
        </w:rPr>
        <w:t>. Pursuant to applicable data protection laws, Grantee is hereby notified that the Company collects, processes, uses and transfers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personally-identifiable information about Grantee for the exclusive legitimate purpose of granting Restricted Share Units and implementing, administering and managing Grantee’s participation in the Plan. Specifics of the data processing are described below.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Controller</w:t>
      </w:r>
      <w:r>
        <w:rPr>
          <w:rFonts w:ascii="Times New Roman" w:cs="Times New Roman" w:eastAsia="Times New Roman" w:hAnsi="Times New Roman"/>
          <w:sz w:val="18"/>
          <w:szCs w:val="18"/>
          <w:color w:val="auto"/>
        </w:rPr>
        <w:t>. The Company is the controller responsible for the processing of Grantee’s personal data in connection with the Plan.</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Personal Data Subject to Processing</w:t>
      </w:r>
      <w:r>
        <w:rPr>
          <w:rFonts w:ascii="Times New Roman" w:cs="Times New Roman" w:eastAsia="Times New Roman" w:hAnsi="Times New Roman"/>
          <w:sz w:val="18"/>
          <w:szCs w:val="18"/>
          <w:color w:val="auto"/>
        </w:rPr>
        <w:t>. The Company collects, processes and uses the following types of personal data about Grantee: name, home address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telephone number, email address, date of birth, social insurance, passport number or other identification number, salary, nationality, job title, any shares of stock or directorships held in any entity in the Company Group, details of all Restricted Share Units or any other entitlement to Common Shares awarded, canceled, settled, vested, unvested or outstanding in Grantee’s favor, which the Company receives from Grantee or the Employer (“Personal Data”).</w:t>
      </w:r>
    </w:p>
    <w:p>
      <w:pPr>
        <w:spacing w:after="0" w:line="17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Purposes and Legal Bases of Processing</w:t>
      </w:r>
      <w:r>
        <w:rPr>
          <w:rFonts w:ascii="Times New Roman" w:cs="Times New Roman" w:eastAsia="Times New Roman" w:hAnsi="Times New Roman"/>
          <w:sz w:val="18"/>
          <w:szCs w:val="18"/>
          <w:color w:val="auto"/>
        </w:rPr>
        <w:t>. The Company processes the Personal Data for the purpose of performing its contractual obligations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Terms, granting Restricted Share Units, implementing, administering and managing Grantee’s participation in the Plan and facilitating compliance with applicable tax and securities law. The legal basis for the processing of the Personal Data by the Company and the third-party service providers described below is the necessity of the data processing for the Company to perform its contractual obligations under the Award Terms and for the Company’s legitimate business interests of managing the Plan and generally administering employee equity awards.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6" w:name="page177"/>
    <w:bookmarkEnd w:id="176"/>
    <w:p>
      <w:pPr>
        <w:ind w:right="300"/>
        <w:spacing w:after="0" w:line="256" w:lineRule="auto"/>
        <w:rPr>
          <w:sz w:val="20"/>
          <w:szCs w:val="20"/>
          <w:color w:val="auto"/>
        </w:rPr>
      </w:pPr>
      <w:r>
        <w:rPr>
          <w:rFonts w:ascii="Times New Roman" w:cs="Times New Roman" w:eastAsia="Times New Roman" w:hAnsi="Times New Roman"/>
          <w:sz w:val="18"/>
          <w:szCs w:val="18"/>
          <w:b w:val="1"/>
          <w:bCs w:val="1"/>
          <w:color w:val="auto"/>
        </w:rPr>
        <w:t>Stock Plan Administration Service Providers</w:t>
      </w:r>
      <w:r>
        <w:rPr>
          <w:rFonts w:ascii="Times New Roman" w:cs="Times New Roman" w:eastAsia="Times New Roman" w:hAnsi="Times New Roman"/>
          <w:sz w:val="18"/>
          <w:szCs w:val="18"/>
          <w:color w:val="auto"/>
        </w:rPr>
        <w:t>. The Company transfers Personal Data to the Equity Account Administrator, an independent stock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with operations, relevant to the Company, in the United States, which assists the Company with the implementation, administration and management of the Plan. In the future, the Company may select a different service provider and may share Personal Data with such service providers. Grantee will be asked to agree on separate terms and data processing practices with the service provider, which is a condition of Grantee’s ability to participate in the Plan. Grantee’s Personal Data will only be accessible by those individuals requiring access to it for purposes of implementing, administering and operating Grantee’s participation in the Plan. Grantee understands that Grantee may request a list with the names and addresses of any potential recipients of Personal Data by contacting Grantee’s local human resources representative.</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International Data Transfers</w:t>
      </w:r>
      <w:r>
        <w:rPr>
          <w:rFonts w:ascii="Times New Roman" w:cs="Times New Roman" w:eastAsia="Times New Roman" w:hAnsi="Times New Roman"/>
          <w:sz w:val="18"/>
          <w:szCs w:val="18"/>
          <w:color w:val="auto"/>
        </w:rPr>
        <w:t>. The Company and its service providers, including, without limitation, the Equity Account Administrator, operate, relevant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in the United States, which means that it will be necessary for Personal Data to be transferred to, and processed in, the United States. Grantee understands and acknowledges that the United States is not subject to an unlimited adequacy finding by the European Commission and that Grantee’s Personal Data may not have an equivalent level of protection as compared to Grantee’s country of work and/or residence. To provide appropriate safeguards for the protection of Grantee’s Personal Data, the Personal Data is transferred to the Company based on data transfer and processing agreements implementing the EU Standard Contractual Clauses. Grantee may request a copy of the safeguards used to protect his or her Personal Data by contacting the Company at: employeeprivacy@activision.com.</w:t>
      </w:r>
    </w:p>
    <w:p>
      <w:pPr>
        <w:spacing w:after="0" w:line="18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Data Retention</w:t>
      </w:r>
      <w:r>
        <w:rPr>
          <w:rFonts w:ascii="Times New Roman" w:cs="Times New Roman" w:eastAsia="Times New Roman" w:hAnsi="Times New Roman"/>
          <w:sz w:val="18"/>
          <w:szCs w:val="18"/>
          <w:color w:val="auto"/>
        </w:rPr>
        <w:t>. The Company will use the Personal Data only as long as necessary to implement, administer and manage Grantee’s participation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or as required to comply with legal or regulatory obligations, including tax and securities laws. When the Company no longer needs the Personal Data, the Company will remove it from its systems. If the Company keeps data longer, it would be to satisfy legal or regulatory obligations and the Company’s legal basis would be relevant laws or regulations.</w:t>
      </w:r>
    </w:p>
    <w:p>
      <w:pPr>
        <w:spacing w:after="0" w:line="17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Data Subject Rights</w:t>
      </w:r>
      <w:r>
        <w:rPr>
          <w:rFonts w:ascii="Times New Roman" w:cs="Times New Roman" w:eastAsia="Times New Roman" w:hAnsi="Times New Roman"/>
          <w:sz w:val="18"/>
          <w:szCs w:val="18"/>
          <w:color w:val="auto"/>
        </w:rPr>
        <w:t>. To the extent provided by law, Grantee has the right to (i) inquire whether and what kind of Personal Data the Company holds about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Grantee feels its processing is inappropriate, (v) object, in certain circumstances, to the processing of Personal Data for legitimate interests, (vi) request portability of Personal Data that Grantee has actively or passively provided to the Company, where the processing of such Personal Data is based on consent or a contractual agreement with Grantee and is carried out by automated means, or (vii) lodge a complaint with the competent local data protection authority. To receive additional information regarding Grantee’s rights, raise any other questions regarding the practices described in the Award Terms or to exercise his or her rights, Grantee should contact the Company at: employeeprivacy@activision.com.</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177" w:name="page178"/>
    <w:bookmarkEnd w:id="177"/>
    <w:p>
      <w:pPr>
        <w:spacing w:after="0" w:line="256" w:lineRule="auto"/>
        <w:rPr>
          <w:sz w:val="20"/>
          <w:szCs w:val="20"/>
          <w:color w:val="auto"/>
        </w:rPr>
      </w:pPr>
      <w:r>
        <w:rPr>
          <w:rFonts w:ascii="Times New Roman" w:cs="Times New Roman" w:eastAsia="Times New Roman" w:hAnsi="Times New Roman"/>
          <w:sz w:val="18"/>
          <w:szCs w:val="18"/>
          <w:b w:val="1"/>
          <w:bCs w:val="1"/>
          <w:color w:val="auto"/>
        </w:rPr>
        <w:t>Contractual Requirement</w:t>
      </w:r>
      <w:r>
        <w:rPr>
          <w:rFonts w:ascii="Times New Roman" w:cs="Times New Roman" w:eastAsia="Times New Roman" w:hAnsi="Times New Roman"/>
          <w:sz w:val="18"/>
          <w:szCs w:val="18"/>
          <w:color w:val="auto"/>
        </w:rPr>
        <w:t>. Grantee’s provision of Personal Data and its processing as described above is a contractual requirement and a condition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Grantee’s ability to participate in the Plan. Grantee understands that, as a consequence of Grantee’s refusing to provide Personal Data, the Company may not be able to allow Grantee to participate in the Plan, grant Restricted Share Units to Grantee or administer or maintain such Restricted Share Units. However, Grantee’s participation in the Plan and his or her acceptance of the Award Terms are purely voluntary. While Grantee will not receive Restricted Share Units if he or she decides against participating in the Plan or providing Personal Data as described above, Grantee’s career and salary will not be affected in any way. For more information on the consequences of the refusal to provide Personal Data, Grantee may contact the Company at: employeeprivacy@activision.com.</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4" w:right="319" w:bottom="1440" w:gutter="0" w:footer="0" w:header="0"/>
        </w:sectPr>
      </w:pPr>
    </w:p>
    <w:bookmarkStart w:id="178" w:name="page179"/>
    <w:bookmarkEnd w:id="1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FOR ARGENTINA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SHARE UNIT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Securities Law Notification. </w:t>
      </w:r>
      <w:r>
        <w:rPr>
          <w:rFonts w:ascii="Times New Roman" w:cs="Times New Roman" w:eastAsia="Times New Roman" w:hAnsi="Times New Roman"/>
          <w:sz w:val="18"/>
          <w:szCs w:val="18"/>
          <w:color w:val="auto"/>
        </w:rPr>
        <w:t>The Restricted Share Units and the Common Shares acquired upon vesting are offered as a private transaction. This offering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subject to supervision by any Argentine governmental authority.</w:t>
      </w:r>
    </w:p>
    <w:p>
      <w:pPr>
        <w:spacing w:after="0" w:line="15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Exchange Control Notification. </w:t>
      </w:r>
      <w:r>
        <w:rPr>
          <w:rFonts w:ascii="Times New Roman" w:cs="Times New Roman" w:eastAsia="Times New Roman" w:hAnsi="Times New Roman"/>
          <w:sz w:val="18"/>
          <w:szCs w:val="18"/>
          <w:color w:val="auto"/>
        </w:rPr>
        <w:t>Grantee is solely responsible for complying with the exchange control rules that may apply in connection with Grantee’s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participation in the Plan and/or transfer of proceeds into Argentina. Prior to transferring proceeds into Argentina, Grantee should consult his or her local bank and/or exchange control advisor to confirm the exchange control rules and required documentation.</w:t>
      </w:r>
    </w:p>
    <w:p>
      <w:pPr>
        <w:spacing w:after="0" w:line="17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Foreign Asset/Account Reporting Notification. </w:t>
      </w:r>
      <w:r>
        <w:rPr>
          <w:rFonts w:ascii="Times New Roman" w:cs="Times New Roman" w:eastAsia="Times New Roman" w:hAnsi="Times New Roman"/>
          <w:sz w:val="18"/>
          <w:szCs w:val="18"/>
          <w:color w:val="auto"/>
        </w:rPr>
        <w:t>Grantee must report holdings of any equity interest in a foreign company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Common Shares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Plan) on his or her annual tax return each year.</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179" w:name="page180"/>
    <w:bookmarkEnd w:id="179"/>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APPENDIX FOR AUSTRALIA</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RESTRICTED SHARE UNIT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Australia Offer Document. </w:t>
      </w:r>
      <w:r>
        <w:rPr>
          <w:rFonts w:ascii="Times New Roman" w:cs="Times New Roman" w:eastAsia="Times New Roman" w:hAnsi="Times New Roman"/>
          <w:sz w:val="18"/>
          <w:szCs w:val="18"/>
          <w:color w:val="auto"/>
        </w:rPr>
        <w:t>The grant of Restricted Share Units under the Plan is intended to comply with the provisions of the Corporations Act 2001,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ASIC Regulatory Guide 49 and ASIC Class Order CO 14/1000. Additional details are set forth in the Australia Offer Document, which is provided with the Award Terms.</w:t>
      </w:r>
    </w:p>
    <w:p>
      <w:pPr>
        <w:spacing w:after="0" w:line="17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 xml:space="preserve">Tax Information. </w:t>
      </w:r>
      <w:r>
        <w:rPr>
          <w:rFonts w:ascii="Times New Roman" w:cs="Times New Roman" w:eastAsia="Times New Roman" w:hAnsi="Times New Roman"/>
          <w:sz w:val="18"/>
          <w:szCs w:val="18"/>
          <w:color w:val="auto"/>
        </w:rPr>
        <w:t>The Plan is a plan to which subdivision 83A-C of the Income Tax Assessment Act 1997 (Cth) applies (subject to conditions therein).</w:t>
      </w:r>
    </w:p>
    <w:p>
      <w:pPr>
        <w:spacing w:after="0" w:line="2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33" w:right="379" w:bottom="1440" w:gutter="0" w:footer="0" w:header="0"/>
        </w:sectPr>
      </w:pPr>
    </w:p>
    <w:bookmarkStart w:id="180" w:name="page181"/>
    <w:bookmarkEnd w:id="18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APPENDIX FOR BELGIUM</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RESTRICTED SHARE UNIT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Foreign Asset/Account Reporting Notification</w:t>
      </w:r>
      <w:r>
        <w:rPr>
          <w:rFonts w:ascii="Times New Roman" w:cs="Times New Roman" w:eastAsia="Times New Roman" w:hAnsi="Times New Roman"/>
          <w:sz w:val="18"/>
          <w:szCs w:val="18"/>
          <w:color w:val="auto"/>
        </w:rPr>
        <w:t>. Belgian residents are required to report any securities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Common Shares) held, or bank accounts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opened or maintained, outside Belgium on their annual tax returns. Belgian residents are also required to complete a separate report providing the National Bank of Belgium with details regarding any such account, including the account number, the name of the bank in which such is held and the country in which such account is located. The forms to complete the report are available on the website of the National Bank of Belgium.</w:t>
      </w:r>
    </w:p>
    <w:p>
      <w:pPr>
        <w:spacing w:after="0" w:line="17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Stock Exchange Tax Notification</w:t>
      </w:r>
      <w:r>
        <w:rPr>
          <w:rFonts w:ascii="Times New Roman" w:cs="Times New Roman" w:eastAsia="Times New Roman" w:hAnsi="Times New Roman"/>
          <w:sz w:val="18"/>
          <w:szCs w:val="18"/>
          <w:color w:val="auto"/>
        </w:rPr>
        <w:t>. From January 1, 2017, a stock exchange tax applies to transactions executed by a Belgian resident through a non-Belgian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intermediary, such as a U.S. broker. The stock exchange tax likely will apply when Common Shares acquired under the Plan are sold. Belgian residents should consult with a personal tax or financial advisor for additional details on their obligations with respect to the stock exchange tax.</w:t>
      </w:r>
    </w:p>
    <w:p>
      <w:pPr>
        <w:spacing w:after="0" w:line="17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Brokerage Account Tax Notification. </w:t>
      </w:r>
      <w:r>
        <w:rPr>
          <w:rFonts w:ascii="Times New Roman" w:cs="Times New Roman" w:eastAsia="Times New Roman" w:hAnsi="Times New Roman"/>
          <w:sz w:val="18"/>
          <w:szCs w:val="18"/>
          <w:color w:val="auto"/>
        </w:rPr>
        <w:t>A brokerage account tax applies to Belgian residents if the average annual value of securities (including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acquired under the Plan) held in a brokerage account exceeds certain thresholds. Belgian residents should consult with a personal tax or financial advisor for additional details on their obligations with respect to the brokerage account tax.</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APPENDIX FOR BRAZIL</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RESTRICTED SHARE UNIT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Compliance with Law. </w:t>
      </w:r>
      <w:r>
        <w:rPr>
          <w:rFonts w:ascii="Times New Roman" w:cs="Times New Roman" w:eastAsia="Times New Roman" w:hAnsi="Times New Roman"/>
          <w:sz w:val="18"/>
          <w:szCs w:val="18"/>
          <w:color w:val="auto"/>
        </w:rPr>
        <w:t>By accepting the Restricted Share Units, Grantee acknowledges that he or she agrees to comply with applicable Brazilian laws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pay any and all applicable taxes associated with Grantee’s participation in the Plan.</w:t>
      </w:r>
    </w:p>
    <w:p>
      <w:pPr>
        <w:spacing w:after="0" w:line="15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Nature of Company Restricted Share Unit Grants. </w:t>
      </w:r>
      <w:r>
        <w:rPr>
          <w:rFonts w:ascii="Times New Roman" w:cs="Times New Roman" w:eastAsia="Times New Roman" w:hAnsi="Times New Roman"/>
          <w:sz w:val="18"/>
          <w:szCs w:val="18"/>
          <w:color w:val="auto"/>
        </w:rPr>
        <w:t>By accepting the Restricted Share Units, Grantee agrees that (1) he or she is making an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decision, (2) the Common Shares will be issued to Grantee only if the vesting conditions are met and any necessary services are rendered by Grantee over the vesting period and (3) the value of the underlying Common Shares is not fixed and may increase or decrease in value over time without compensation to Grantee.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Exchange Control Notification. </w:t>
      </w:r>
      <w:r>
        <w:rPr>
          <w:rFonts w:ascii="Times New Roman" w:cs="Times New Roman" w:eastAsia="Times New Roman" w:hAnsi="Times New Roman"/>
          <w:sz w:val="18"/>
          <w:szCs w:val="18"/>
          <w:color w:val="auto"/>
        </w:rPr>
        <w:t>If Grantee is resident or domiciled in Brazil, he or she will be required to submit a declaration of assets and rights held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outside of Brazil to the Central Bank of Brazil if the aggregate value of such assets and rights equals or exceeds US$100,000. Assets and rights that must be reported include the Common Shares.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Tax on Financial Transaction (IOF)</w:t>
      </w:r>
      <w:r>
        <w:rPr>
          <w:rFonts w:ascii="Times New Roman" w:cs="Times New Roman" w:eastAsia="Times New Roman" w:hAnsi="Times New Roman"/>
          <w:sz w:val="18"/>
          <w:szCs w:val="18"/>
          <w:color w:val="auto"/>
        </w:rPr>
        <w:t>. Payments to foreign countries (including the payment of the exercise price) and repatriation of funds into Brazil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conversion between BRL and US$ associated with such fund transfers may be subject to the Tax on Financial Transactions. It is Grantee’s responsibility to comply with any applicable Tax on Financial Transactions arising from Grantee’s participation in the Plan. Grantee should consult with his or her personal tax advisor for additional details.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181" w:name="page182"/>
    <w:bookmarkEnd w:id="18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APPENDIX FOR CANADA</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RESTRICTED SHARE UNIT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Restricted Share Units Payable Only in Common Shares</w:t>
      </w:r>
      <w:r>
        <w:rPr>
          <w:rFonts w:ascii="Times New Roman" w:cs="Times New Roman" w:eastAsia="Times New Roman" w:hAnsi="Times New Roman"/>
          <w:sz w:val="18"/>
          <w:szCs w:val="18"/>
          <w:color w:val="auto"/>
        </w:rPr>
        <w:t>. The grant of Restricted Share Units does not provide any right for Grantee to receive a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and the Restricted Share Units are payable in Common Shares only.</w:t>
      </w:r>
    </w:p>
    <w:p>
      <w:pPr>
        <w:spacing w:after="0" w:line="15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Termination of Employment. </w:t>
      </w:r>
      <w:r>
        <w:rPr>
          <w:rFonts w:ascii="Times New Roman" w:cs="Times New Roman" w:eastAsia="Times New Roman" w:hAnsi="Times New Roman"/>
          <w:sz w:val="18"/>
          <w:szCs w:val="18"/>
          <w:color w:val="auto"/>
        </w:rPr>
        <w:t>Notwithstanding anything to the contrary in Section 3(b) of the Award Terms, unless the Committee determines otherwise,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event of the termination of Grantee’s continuous service (for any reason whatsoever, and whether or not later found to be invalid or in breach of employment laws in the jurisdiction in which Grantee is employed or the terms of Grantee’s employment agreement or service contract, if any), Grantee’s right to receive or vest in the Restricted Share Units under the Plan, if any, will terminate as of the date is the earliest of: (1) the date Grantee’s employment or service with the Company Group is terminated, (2) the date Grantee receives notice of termination of employment or service from the Employer or any other entity in the Company Group, and (3) the date Grantee is no longer actively employed or rendering services to the Company Group, regardless of any notice period or period of pay in lieu of such notice required under local law (including, but not limited to, statutory law, regulatory law and/or common law);</w:t>
      </w:r>
    </w:p>
    <w:p>
      <w:pPr>
        <w:spacing w:after="0" w:line="1"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the Committee shall have the exclusive discretion to determine when Grantee is no longer actively employed for purposes of the Restricted Share Units (including whether Grantee may still be considered actively employed while on a leave of absence).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following provisions will apply to Grantees who are residents of Quebec:</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Language Acknowledgment. </w:t>
      </w:r>
      <w:r>
        <w:rPr>
          <w:rFonts w:ascii="Times New Roman" w:cs="Times New Roman" w:eastAsia="Times New Roman" w:hAnsi="Times New Roman"/>
          <w:sz w:val="18"/>
          <w:szCs w:val="18"/>
          <w:color w:val="auto"/>
        </w:rPr>
        <w:t>The parties acknowledge that it is their express wish that the Award Terms, including this Appendix, as well as all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notices, and legal proceedings entered into, given or instituted pursuant hereto or relating directly or indirectly hereto, be drawn up in English.</w:t>
      </w:r>
    </w:p>
    <w:p>
      <w:pPr>
        <w:spacing w:after="0" w:line="15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Consentement relatif à la langue utilisée</w:t>
      </w:r>
      <w:r>
        <w:rPr>
          <w:rFonts w:ascii="Times New Roman" w:cs="Times New Roman" w:eastAsia="Times New Roman" w:hAnsi="Times New Roman"/>
          <w:sz w:val="18"/>
          <w:szCs w:val="18"/>
          <w:i w:val="1"/>
          <w:iCs w:val="1"/>
          <w:color w:val="auto"/>
        </w:rPr>
        <w:t>: Les parties reconnaissent avoir exigé la rédaction en anglais de cette annexe, la convention afférente, ainsi que 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tous documents, avis donnés et procédures judiciaires exécutés, donnés ou intentés en vertu de, ou liés directement ou indirectement aux présentes.</w:t>
      </w:r>
    </w:p>
    <w:p>
      <w:pPr>
        <w:spacing w:after="0" w:line="155" w:lineRule="exact"/>
        <w:rPr>
          <w:sz w:val="20"/>
          <w:szCs w:val="20"/>
          <w:color w:val="auto"/>
        </w:rPr>
      </w:pPr>
    </w:p>
    <w:p>
      <w:pPr>
        <w:ind w:right="10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Data Privacy Notice and Consent. </w:t>
      </w:r>
      <w:r>
        <w:rPr>
          <w:rFonts w:ascii="Times New Roman" w:cs="Times New Roman" w:eastAsia="Times New Roman" w:hAnsi="Times New Roman"/>
          <w:sz w:val="18"/>
          <w:szCs w:val="18"/>
          <w:color w:val="auto"/>
        </w:rPr>
        <w:t>This provision supplements the “Data Privacy Information and Consent for Grantees outside the European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Union/European Economic Area” Section of the Appendix:</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182" w:name="page183"/>
    <w:bookmarkEnd w:id="182"/>
    <w:p>
      <w:pPr>
        <w:ind w:right="40"/>
        <w:spacing w:after="0" w:line="261" w:lineRule="auto"/>
        <w:rPr>
          <w:sz w:val="20"/>
          <w:szCs w:val="20"/>
          <w:color w:val="auto"/>
        </w:rPr>
      </w:pPr>
      <w:r>
        <w:rPr>
          <w:rFonts w:ascii="Times New Roman" w:cs="Times New Roman" w:eastAsia="Times New Roman" w:hAnsi="Times New Roman"/>
          <w:sz w:val="18"/>
          <w:szCs w:val="18"/>
          <w:color w:val="auto"/>
        </w:rPr>
        <w:t>Grantee hereby authorizes the Company and the Company’s representatives to discuss with and obtain all relevant information from all personnel, professional or not, involved in the administration and operation of the Plan. Grantee further authorizes the Company Group, Equity Account Administrator and any other broker(s) designated by the Company to disclose and discuss the Plan with their respective advisors. Grantee further authorizes the Company Group to record such information and to keep such information Grantee’s employee file.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Securities Law Notification. </w:t>
      </w:r>
      <w:r>
        <w:rPr>
          <w:rFonts w:ascii="Times New Roman" w:cs="Times New Roman" w:eastAsia="Times New Roman" w:hAnsi="Times New Roman"/>
          <w:sz w:val="18"/>
          <w:szCs w:val="18"/>
          <w:color w:val="auto"/>
        </w:rPr>
        <w:t>Grantee is permitted to sell Common Shares acquired under the Plan through the Equity Account Administrator, provided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resale of Common Shares acquired under the Plan takes place outside of Canada through the facilities of a stock exchange on which the Common Shares are listed. The Common Shares are currently listed on the Nasdaq.</w:t>
      </w:r>
    </w:p>
    <w:p>
      <w:pPr>
        <w:spacing w:after="0" w:line="17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b w:val="1"/>
          <w:bCs w:val="1"/>
          <w:color w:val="auto"/>
        </w:rPr>
        <w:t>Foreign Asset/Account Reporting Notification</w:t>
      </w:r>
      <w:r>
        <w:rPr>
          <w:rFonts w:ascii="Times New Roman" w:cs="Times New Roman" w:eastAsia="Times New Roman" w:hAnsi="Times New Roman"/>
          <w:sz w:val="18"/>
          <w:szCs w:val="18"/>
          <w:color w:val="auto"/>
        </w:rPr>
        <w:t>. Foreign specified property held by Canadian residents must be reported annually on Form T1135 (Foreign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Verification Statement) if the total value of such foreign specified property exceeds C$100,000 at any time during the year. Foreign specified property includes Common Shares acquired under the Plan and may include the Restricted Share Units. The Restricted Share Units must be reported— generally at a nil cost—if the C$100,000 cost threshold is exceeded because of other foreign specified property Grantee holds. If Common Shares are acquired, their cost generally is the adjusted cost base (“ACB”) of the Common Shares. The ACB would normally equal the fair market value of the Common Shares at vesting, but if Grantee owns other shares of the Company’s common stock, this ACB may have to be averaged with the ACB of those other shares. If due, the form must be filed by April 30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the following year. Grantee should speak with a personal tax advisor to determine the scope of foreign property that must be considered for purposes of this requirement.</w:t>
      </w:r>
    </w:p>
    <w:p>
      <w:pPr>
        <w:spacing w:after="0" w:line="1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8" w:right="339" w:bottom="1440" w:gutter="0" w:footer="0" w:header="0"/>
        </w:sectPr>
      </w:pPr>
    </w:p>
    <w:bookmarkStart w:id="183" w:name="page184"/>
    <w:bookmarkEnd w:id="183"/>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APPENDIX FOR CHINA</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RESTRICTED SHARE UNIT AWARD TERMS</w:t>
      </w:r>
    </w:p>
    <w:p>
      <w:pPr>
        <w:spacing w:after="0" w:line="20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Exchange Control Notification. </w:t>
      </w:r>
      <w:r>
        <w:rPr>
          <w:rFonts w:ascii="Times New Roman" w:cs="Times New Roman" w:eastAsia="Times New Roman" w:hAnsi="Times New Roman"/>
          <w:sz w:val="18"/>
          <w:szCs w:val="18"/>
          <w:color w:val="auto"/>
        </w:rPr>
        <w:t>Grantee understands, acknowledges and agrees that certain exchange control restrictions may apply to Grantee’s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participation in the Plan, including to the remittance of funds into China of any sale proceeds or dividends paid on Common Shares acquired under the Plan. Grantee understands that it is his or her sole responsibility to comply with applicable exchange control restrictions in China.</w:t>
      </w:r>
    </w:p>
    <w:p>
      <w:pPr>
        <w:spacing w:after="0" w:line="17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333" w:right="399" w:bottom="1440" w:gutter="0" w:footer="0" w:header="0"/>
        </w:sectPr>
      </w:pPr>
    </w:p>
    <w:bookmarkStart w:id="184" w:name="page185"/>
    <w:bookmarkEnd w:id="18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FOR DENMARK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SHARE UNIT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Nature of Grant. </w:t>
      </w:r>
      <w:r>
        <w:rPr>
          <w:rFonts w:ascii="Times New Roman" w:cs="Times New Roman" w:eastAsia="Times New Roman" w:hAnsi="Times New Roman"/>
          <w:sz w:val="18"/>
          <w:szCs w:val="18"/>
          <w:color w:val="auto"/>
        </w:rPr>
        <w:t>This provision supplements the “Nature of Grant” Section of the Appendix:</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By participating in the Plan, Grantee acknowledges that he or she understands and agrees that the grant of the Restricted Share Units relates to future services to be performed and is not a bonus or compensation for past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Exchange Control Notification. </w:t>
      </w:r>
      <w:r>
        <w:rPr>
          <w:rFonts w:ascii="Times New Roman" w:cs="Times New Roman" w:eastAsia="Times New Roman" w:hAnsi="Times New Roman"/>
          <w:sz w:val="18"/>
          <w:szCs w:val="18"/>
          <w:color w:val="auto"/>
        </w:rPr>
        <w:t>The establishment of an account holding Common Shares or an account holding cash outside Denmark must be reported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Danish Tax Administration. The form which should be used in this respect may be obtained from a local bank. (Please note that these obligations are separate from and in addition to the securities/tax reporting obligations described below.)</w:t>
      </w:r>
    </w:p>
    <w:p>
      <w:pPr>
        <w:spacing w:after="0" w:line="17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Securities/Foreign Asset/Account Reporting Notification. </w:t>
      </w:r>
      <w:r>
        <w:rPr>
          <w:rFonts w:ascii="Times New Roman" w:cs="Times New Roman" w:eastAsia="Times New Roman" w:hAnsi="Times New Roman"/>
          <w:sz w:val="18"/>
          <w:szCs w:val="18"/>
          <w:color w:val="auto"/>
        </w:rPr>
        <w:t>Grantee must complete a “Form V” form in connection with the deposit of any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Common Shares acquired under the Plan) into a bank or brokerage account outside of Denmark. The form is available at the website of the Danish Tax Authorities. In connection with filing the Form V with the Danish Tax Authorities, the broker or bank where the securities are deposited (the “depositary”) may sign a statement according to which the depositary undertakes an obligation, without further request each year, to forward information concerning the Common Shares on an annual basis to the Danish Tax Authorities. However, if the depositary will not agree to sign such a statement, Grantee is personally responsible for submitting the required information as an attachment to his or her annual tax return.</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It is only necessary to submit a Form V form the first time securities are deposited with a specific depositary outside of Denmark. However, if the securities are transferred to a different depositary or if Grantee begins using a new depositary, a new Form V is required.</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Generally, the Form V must be submitted by the depositary no later than February 1 of the year following the calendar year to which the information relates. However, if Grantee is responsible for submitting this information, Grantee must submit the required information as an attachment to his or her annual tax return, whenever that is due.</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addition, if Grantee holds Common Shares or cash in an account outside Denmark, he or she is also required to report the existence of such an account to the Danish Tax by completing a “Form K” form and submitting it to the Danish Tax Authorities following the opening of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185" w:name="page186"/>
    <w:bookmarkEnd w:id="185"/>
    <w:p>
      <w:pPr>
        <w:spacing w:after="0" w:line="266" w:lineRule="auto"/>
        <w:rPr>
          <w:sz w:val="20"/>
          <w:szCs w:val="20"/>
          <w:color w:val="auto"/>
        </w:rPr>
      </w:pPr>
      <w:r>
        <w:rPr>
          <w:rFonts w:ascii="Times New Roman" w:cs="Times New Roman" w:eastAsia="Times New Roman" w:hAnsi="Times New Roman"/>
          <w:sz w:val="18"/>
          <w:szCs w:val="18"/>
          <w:color w:val="auto"/>
        </w:rPr>
        <w:t>account. The form is available at the website of the Danish Tax Authorities. A separate form must be submitted for each account held outside of Denmark that holds Common Shares or cash which are taxable in Denmark. The Form K requirement is in addition to the Form V requirement discussed above. Grantee should consult with his or her personal legal advisor to ensure compliance with the applicable requirements.</w:t>
      </w:r>
    </w:p>
    <w:p>
      <w:pPr>
        <w:spacing w:after="0" w:line="17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80"/>
          </w:cols>
          <w:pgMar w:left="240" w:top="337" w:right="479" w:bottom="1440" w:gutter="0" w:footer="0" w:header="0"/>
        </w:sectPr>
      </w:pPr>
    </w:p>
    <w:bookmarkStart w:id="186" w:name="page187"/>
    <w:bookmarkEnd w:id="186"/>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APPENDIX FOR FINLAND</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RESTRICTED SHARE UNIT AWARD TERMS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country-specific provisions.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3" w:right="1440" w:bottom="1440" w:gutter="0" w:footer="0" w:header="0"/>
        </w:sectPr>
      </w:pPr>
    </w:p>
    <w:bookmarkStart w:id="187" w:name="page188"/>
    <w:bookmarkEnd w:id="18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APPENDIX FOR FRANCE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RESTRICTED SHARE UNIT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Language Consent. </w:t>
      </w:r>
      <w:r>
        <w:rPr>
          <w:rFonts w:ascii="Times New Roman" w:cs="Times New Roman" w:eastAsia="Times New Roman" w:hAnsi="Times New Roman"/>
          <w:sz w:val="18"/>
          <w:szCs w:val="18"/>
          <w:color w:val="auto"/>
        </w:rPr>
        <w:t>By accepting the Award, Grantee confirms that he or she has read and understood the documents relating to the Restricted Share Units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Grant Notice, the Plan, and the Award Terms, including this Appendix) which were provided in the English language. Grantee accepts the terms of these documents accordingly.</w:t>
      </w:r>
    </w:p>
    <w:p>
      <w:pPr>
        <w:spacing w:after="0" w:line="17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Consentement relatif à la langue utilisée: </w:t>
      </w:r>
      <w:r>
        <w:rPr>
          <w:rFonts w:ascii="Times New Roman" w:cs="Times New Roman" w:eastAsia="Times New Roman" w:hAnsi="Times New Roman"/>
          <w:sz w:val="18"/>
          <w:szCs w:val="18"/>
          <w:i w:val="1"/>
          <w:iCs w:val="1"/>
          <w:color w:val="auto"/>
        </w:rPr>
        <w:t>En acceptant l’Attribution, le Bénéficiaire confirme qu’il ou qu’elle a lu et compris les documents afférents aux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Attributions Gratuites d’Actions (la Notification d’Attribution, le Plan et les Termes de l’Attribution, ainsi que la présente Annexe) qui sont produits en langue anglaise. Le Bénéficiaire accepte les termes de ces documents en connaissance de cause.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Foreign Asset/Account Reporting Notification. </w:t>
      </w:r>
      <w:r>
        <w:rPr>
          <w:rFonts w:ascii="Times New Roman" w:cs="Times New Roman" w:eastAsia="Times New Roman" w:hAnsi="Times New Roman"/>
          <w:sz w:val="18"/>
          <w:szCs w:val="18"/>
          <w:color w:val="auto"/>
        </w:rPr>
        <w:t>If Grantee retains Common Shares acquired under the Plan outside of France or maintains a foreign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Grantee is required to report such to the French tax authorities when filing his or her annual tax return. Further, French residents with foreign account balances exceeding €1,000,000 may have additional monthly reporting obligations.</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188" w:name="page189"/>
    <w:bookmarkEnd w:id="188"/>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APPENDIX FOR GERMANY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RESTRICTED SHARE UNIT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Exchange Control Notification. </w:t>
      </w:r>
      <w:r>
        <w:rPr>
          <w:rFonts w:ascii="Times New Roman" w:cs="Times New Roman" w:eastAsia="Times New Roman" w:hAnsi="Times New Roman"/>
          <w:sz w:val="18"/>
          <w:szCs w:val="18"/>
          <w:color w:val="auto"/>
        </w:rPr>
        <w:t>Cross-border payments in excess of €12,500 must be reported monthly to the German Federal Bank. No report is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payments less than €12,500. In case of payments in connection with securities (including proceeds realized upon the sale of Common Shares), the report must be made by the 5th day of the month following the month in which the payment was received. Effective from September 2013, the report must be filed electronically. The form of report (“</w:t>
      </w:r>
      <w:r>
        <w:rPr>
          <w:rFonts w:ascii="Times New Roman" w:cs="Times New Roman" w:eastAsia="Times New Roman" w:hAnsi="Times New Roman"/>
          <w:sz w:val="18"/>
          <w:szCs w:val="18"/>
          <w:i w:val="1"/>
          <w:iCs w:val="1"/>
          <w:color w:val="auto"/>
        </w:rPr>
        <w:t>Allgemeine Meldeportal Statistik</w:t>
      </w:r>
      <w:r>
        <w:rPr>
          <w:rFonts w:ascii="Times New Roman" w:cs="Times New Roman" w:eastAsia="Times New Roman" w:hAnsi="Times New Roman"/>
          <w:sz w:val="18"/>
          <w:szCs w:val="18"/>
          <w:color w:val="auto"/>
        </w:rPr>
        <w:t xml:space="preserve">”) can be accessed via the </w:t>
      </w:r>
      <w:r>
        <w:rPr>
          <w:rFonts w:ascii="Times New Roman" w:cs="Times New Roman" w:eastAsia="Times New Roman" w:hAnsi="Times New Roman"/>
          <w:sz w:val="18"/>
          <w:szCs w:val="18"/>
          <w:i w:val="1"/>
          <w:iCs w:val="1"/>
          <w:color w:val="auto"/>
        </w:rPr>
        <w:t>Bundesbank’s</w:t>
      </w:r>
      <w:r>
        <w:rPr>
          <w:rFonts w:ascii="Times New Roman" w:cs="Times New Roman" w:eastAsia="Times New Roman" w:hAnsi="Times New Roman"/>
          <w:sz w:val="18"/>
          <w:szCs w:val="18"/>
          <w:color w:val="auto"/>
        </w:rPr>
        <w:t xml:space="preserve"> website (www.bundesbank.de) and is available in both German and English. Grantee is responsible for satisfying the reporting obligation.</w:t>
      </w:r>
    </w:p>
    <w:p>
      <w:pPr>
        <w:spacing w:after="0" w:line="1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4" w:right="33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b w:val="1"/>
          <w:bCs w:val="1"/>
          <w:color w:val="auto"/>
        </w:rPr>
        <w:t>APPENDIX FOR HONG KONG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SHARE UNIT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Restricted Share Units Payable Only in Common Shares</w:t>
      </w:r>
      <w:r>
        <w:rPr>
          <w:rFonts w:ascii="Times New Roman" w:cs="Times New Roman" w:eastAsia="Times New Roman" w:hAnsi="Times New Roman"/>
          <w:sz w:val="18"/>
          <w:szCs w:val="18"/>
          <w:color w:val="auto"/>
        </w:rPr>
        <w:t>. The grant of Restricted Share Units does not provide any right for Grantee to receive a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and the Restricted Share Units are payable in Common Shares only.</w:t>
      </w:r>
    </w:p>
    <w:p>
      <w:pPr>
        <w:spacing w:after="0" w:line="15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Sale of Shares. </w:t>
      </w:r>
      <w:r>
        <w:rPr>
          <w:rFonts w:ascii="Times New Roman" w:cs="Times New Roman" w:eastAsia="Times New Roman" w:hAnsi="Times New Roman"/>
          <w:sz w:val="18"/>
          <w:szCs w:val="18"/>
          <w:color w:val="auto"/>
        </w:rPr>
        <w:t>In the event the Restricted Share Units vest within six months of the Date of Grant, Grantee agrees that he or she will not offer to the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otherwise dispose of, the Shares acquired prior to the six-month anniversary of the Date of Grant. Any Common Shares acquired under the Plan are accepted as a personal investment.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Securities Warning: </w:t>
      </w:r>
      <w:r>
        <w:rPr>
          <w:rFonts w:ascii="Times New Roman" w:cs="Times New Roman" w:eastAsia="Times New Roman" w:hAnsi="Times New Roman"/>
          <w:sz w:val="18"/>
          <w:szCs w:val="18"/>
          <w:i w:val="1"/>
          <w:iCs w:val="1"/>
          <w:color w:val="auto"/>
        </w:rPr>
        <w:t>The contents of this document have not been reviewed by any regulatory authority in Hong Kong. Grantee is advised to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caution in relation to the offer. If Grantee is in any doubt about any of the meaning or intent of anything contained in the Award Terms, the Plan or any other incidental communication materials distributed in connection with the Restricted Share Units, Grantee is advised to obtain independent professional advice. The Restricted Share Units and any Common Shares issued at vesting of the Restricted Share Units do not constitute a public offering of securities under Hong Kong law and are available only to employees of the Company Group. The Award Terms, including this Appendix, the Plan, the Grant Notice and other incidental communication materials (i) have not been prepared in accordance with and are not intended to constitute a “prospectus” for a public offering of securities under the applicable securities legislation in Hong Kong and (ii) any related documentation are intended only for the personal use of Grantee and may not be distributed to any other person.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FOR IRELAND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SHARE UNIT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Nature of Grant. </w:t>
      </w:r>
      <w:r>
        <w:rPr>
          <w:rFonts w:ascii="Times New Roman" w:cs="Times New Roman" w:eastAsia="Times New Roman" w:hAnsi="Times New Roman"/>
          <w:sz w:val="18"/>
          <w:szCs w:val="18"/>
          <w:color w:val="auto"/>
        </w:rPr>
        <w:t>This provision supplements the “Nature of Grant” of Grant Section of the Appendix:</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accepting the grant of the Restricted Share Units, Grantee acknowledges that he or she understands and agrees that the benefits received under the Plan will not be taken into account for any redundancy or unfair dismissal claim.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ind w:right="4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Director Notification Requirements. </w:t>
      </w:r>
      <w:r>
        <w:rPr>
          <w:rFonts w:ascii="Times New Roman" w:cs="Times New Roman" w:eastAsia="Times New Roman" w:hAnsi="Times New Roman"/>
          <w:sz w:val="18"/>
          <w:szCs w:val="18"/>
          <w:color w:val="auto"/>
        </w:rPr>
        <w:t>If Grantee is a director, shadow director or secretary of an Irish Subsidiary and Grantee’s aggregate shareholding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equals or exceeds 1% of the voting rights of the Company, Grantee must notify the Irish Subsidiary in writing within a certain time period of</w:t>
      </w:r>
    </w:p>
    <w:p>
      <w:pPr>
        <w:spacing w:after="0" w:line="1" w:lineRule="exact"/>
        <w:rPr>
          <w:sz w:val="20"/>
          <w:szCs w:val="20"/>
          <w:color w:val="auto"/>
        </w:rPr>
      </w:pPr>
    </w:p>
    <w:p>
      <w:pPr>
        <w:ind w:firstLine="8"/>
        <w:spacing w:after="0" w:line="254" w:lineRule="auto"/>
        <w:tabs>
          <w:tab w:leader="none" w:pos="21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or disposing of an interest in the Company (e.g., Restricted Share Units, Common Shares), (ii) becoming aware of the event giving rise to the notification requirement, or (iii) becoming a director or secretary if such an interest exists at the time. This notification requirement also applies with respect to the interests of a spouse or minor children (whose interests will be attributed to the director, shadow director or secretary, as the case may be). Grantee may contact Stock Plan Administration to obtain a sample form that can be used to satisfy this notification requirement.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90" w:name="page191"/>
    <w:bookmarkEnd w:id="19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FOR ITALY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SHARE UNIT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Plan Document Acknowledgment. </w:t>
      </w:r>
      <w:r>
        <w:rPr>
          <w:rFonts w:ascii="Times New Roman" w:cs="Times New Roman" w:eastAsia="Times New Roman" w:hAnsi="Times New Roman"/>
          <w:sz w:val="18"/>
          <w:szCs w:val="18"/>
          <w:color w:val="auto"/>
        </w:rPr>
        <w:t>In accepting the grant of Restricted Share Units, Grantee acknowledges that he or she has received a copy of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Award Terms (including this Appendix) and has reviewed the Plan and the Award Terms (including this Appendix) in their entirety and fully understand and accept all provisions of the Plan and the Award Terms (including this Appendix).</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Grantee further acknowledges that he or she has read and specifically and expressly approves the following sections of the Award Terms: Section 3 regarding “Termination of Employment;” Section 4 regarding “Tax Withholding;” Section 19 regarding the “Venue and Governing Law;” the “Nature of Grant” Section of the Appendix; the “Data Privacy Information and Consent for Grantees in the European Union/European Economic Area” Section of the Appendix; and the “Language” Section of the Appendix.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Foreign Asset/Account Reporting Notification. </w:t>
      </w:r>
      <w:r>
        <w:rPr>
          <w:rFonts w:ascii="Times New Roman" w:cs="Times New Roman" w:eastAsia="Times New Roman" w:hAnsi="Times New Roman"/>
          <w:sz w:val="18"/>
          <w:szCs w:val="18"/>
          <w:color w:val="auto"/>
        </w:rPr>
        <w:t>Grantee is required to report investments held abroad or foreign financial assets (e.g., cash,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Units, Common Shares) that may generate income taxable in Italy on an annual tax return (UNICO Form, RW Schedule) or on a special form if no tax return is due, irrespective of their value. The same reporting duties apply to Italian residents who, even if they do not directly hold investments abroad or foreign financial assets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cash, Restricted Share Units and Common Shares), are beneficial owners of the investment pursuant to Italian money laundering provisions. Grantee should consult his or her personal tax advisor for details regarding this requirement.</w:t>
      </w:r>
    </w:p>
    <w:p>
      <w:pPr>
        <w:spacing w:after="0" w:line="18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Foreign Financial Assets Tax Notification. </w:t>
      </w:r>
      <w:r>
        <w:rPr>
          <w:rFonts w:ascii="Times New Roman" w:cs="Times New Roman" w:eastAsia="Times New Roman" w:hAnsi="Times New Roman"/>
          <w:sz w:val="18"/>
          <w:szCs w:val="18"/>
          <w:color w:val="auto"/>
        </w:rPr>
        <w:t>The fair market value of any Common Shares held outside of Italy is subject to an annual foreign assets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fair market value for this purpose is the value of the Common Shares on the Nasdaq Stock Market, Inc. on December 31 of the year or, for shares disposed of during the course of the year, on the last day Grantee held the Common Shares (in such case, or when the Common Shares are acquired during the course of the year, the tax is levied in proportion to the actual days of holding over the calendar year). Grantee should consult with his or her personal tax advisor about the foreign financial assets tax.</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191" w:name="page192"/>
    <w:bookmarkEnd w:id="191"/>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APPENDIX FOR JAPAN</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RESTRICTED SHARE UNIT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Foreign Asset/Account Reporting Notification. </w:t>
      </w:r>
      <w:r>
        <w:rPr>
          <w:rFonts w:ascii="Times New Roman" w:cs="Times New Roman" w:eastAsia="Times New Roman" w:hAnsi="Times New Roman"/>
          <w:sz w:val="18"/>
          <w:szCs w:val="18"/>
          <w:color w:val="auto"/>
        </w:rPr>
        <w:t>Grantee will be required to report details of any assets (including any Common Shares acquired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held outside of Japan as of December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of each year, to the extent such assets have a total net fair market value exceeding ¥50,000,000. Such report will be due by March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the following year. Grantee should consult with his or her personal tax advisor as to whether the reporting obligation applies to Grantee and whether Grantee will be required to report details of any outstanding Restricted Share Units or Common Shares held by Grantee in the report.</w:t>
      </w:r>
    </w:p>
    <w:p>
      <w:pPr>
        <w:spacing w:after="0" w:line="2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33" w:right="379" w:bottom="1440" w:gutter="0" w:footer="0" w:header="0"/>
        </w:sectPr>
      </w:pPr>
    </w:p>
    <w:bookmarkStart w:id="192" w:name="page193"/>
    <w:bookmarkEnd w:id="19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APPENDIX FOR KOREA</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RESTRICTED SHARE UNIT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Foreign Asset/Account Reporting Notification. </w:t>
      </w:r>
      <w:r>
        <w:rPr>
          <w:rFonts w:ascii="Times New Roman" w:cs="Times New Roman" w:eastAsia="Times New Roman" w:hAnsi="Times New Roman"/>
          <w:sz w:val="18"/>
          <w:szCs w:val="18"/>
          <w:color w:val="auto"/>
        </w:rPr>
        <w:t>Korean residents must declare all foreign financial accounts (e.g., non-Korean bank accounts, brokerage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etc.) to the Korean tax authority and file a report with respect to such accounts if the value of such accounts exceeds KRW 500 million (or an equivalent amount in foreign currency). Grantee should consult with his or her personal tax advisor to determine how to value Grantee’s foreign accounts for purposes of this reporting requirement and whether Grantee is required to file a report with respect to such accounts.</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193" w:name="page194"/>
    <w:bookmarkEnd w:id="193"/>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APPENDIX FOR MALTA</w:t>
      </w:r>
    </w:p>
    <w:p>
      <w:pPr>
        <w:spacing w:after="0" w:line="22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RESTRICTED SHARE UNIT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Securities Law Notification. </w:t>
      </w:r>
      <w:r>
        <w:rPr>
          <w:rFonts w:ascii="Times New Roman" w:cs="Times New Roman" w:eastAsia="Times New Roman" w:hAnsi="Times New Roman"/>
          <w:sz w:val="18"/>
          <w:szCs w:val="18"/>
          <w:color w:val="auto"/>
        </w:rPr>
        <w:t>Neither the Company nor the Plan is registered in Malta and no investment services will be carried out in or from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Malta. The Plan will not be marketed in Malta and the Company is exempt from any investment service license requirements.</w:t>
      </w:r>
    </w:p>
    <w:p>
      <w:pPr>
        <w:spacing w:after="0" w:line="15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00"/>
          </w:cols>
          <w:pgMar w:left="240" w:top="334" w:right="759" w:bottom="1440" w:gutter="0" w:footer="0" w:header="0"/>
        </w:sectPr>
      </w:pPr>
    </w:p>
    <w:bookmarkStart w:id="194" w:name="page195"/>
    <w:bookmarkEnd w:id="19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APPENDIX FOR MEXICO</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RESTRICTED SHARE UNIT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Acknowledgement of the Award Terms. </w:t>
      </w:r>
      <w:r>
        <w:rPr>
          <w:rFonts w:ascii="Times New Roman" w:cs="Times New Roman" w:eastAsia="Times New Roman" w:hAnsi="Times New Roman"/>
          <w:sz w:val="18"/>
          <w:szCs w:val="18"/>
          <w:color w:val="auto"/>
        </w:rPr>
        <w:t>By accepting the Restricted Share Units, Grantee acknowledges that he or she has received a copy of the Plan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Award Terms, including this Appendix, which he or she has reviewed. Grantee further acknowledges that he or she accepts all the provisions of the Plan and the Award Terms, including this Appendix. Grantee also acknowledges that he or she has read and specifically and expressly approves the terms and conditions set forth in “Nature of Grant” Section of the Appendix, which clearly provide as follows:</w:t>
      </w:r>
    </w:p>
    <w:p>
      <w:pPr>
        <w:spacing w:after="0" w:line="181" w:lineRule="exact"/>
        <w:rPr>
          <w:sz w:val="20"/>
          <w:szCs w:val="20"/>
          <w:color w:val="auto"/>
        </w:rPr>
      </w:pPr>
    </w:p>
    <w:p>
      <w:pPr>
        <w:ind w:left="1320" w:hanging="664"/>
        <w:spacing w:after="0"/>
        <w:tabs>
          <w:tab w:leader="none" w:pos="13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Grantee’s participation in the Plan does not constitute an acquired right;</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and Grantee’s participation in it are offered by the Company on a wholly discretionary basis;</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Grantee’s participation in the Plan is voluntary; and</w:t>
      </w:r>
    </w:p>
    <w:p>
      <w:pPr>
        <w:spacing w:after="0" w:line="225"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any entity in the Company Group are not responsible for any decrease in the value of any Common Shares acquired upon settlement of the Restricted Share Units.</w:t>
      </w:r>
    </w:p>
    <w:p>
      <w:pPr>
        <w:spacing w:after="0" w:line="1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Labor Law Acknowledgement and Policy Statement. </w:t>
      </w:r>
      <w:r>
        <w:rPr>
          <w:rFonts w:ascii="Times New Roman" w:cs="Times New Roman" w:eastAsia="Times New Roman" w:hAnsi="Times New Roman"/>
          <w:sz w:val="18"/>
          <w:szCs w:val="18"/>
          <w:color w:val="auto"/>
        </w:rPr>
        <w:t>By accepting the Restricted Share Units, Grantee acknowledges that the Company with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offices at 3100 Ocean Park Boulevard, Santa Monica, California 90405, U.S.A., is solely responsible for the administration of the Plan. Grantee further acknowledges that his or her participation in the Plan, the grant of Restricted Share Units and any acquisition of Common Shares under the Plan do not constitute an employment relationship between Grantee and the Company because Grantee is participating in the Plan on a wholly commercial basis and his or her sole employer is Actibliz Mexico S. de RL de CV, Tihuatlan 41,602, San Jerónimo Aculco, Federal District, México (“Activision-Mexico”). Based on the foregoing, Grantee expressly acknowledges that the Plan and the benefits that he or she may derive from participation in the Plan do not establish any rights between Grantee and his or her employer, Activision-Mexico, and do not form part of the employment conditions and/or benefits provided by Activision-Mexico, and any modification of the Plan or its termination shall not constitute a change or impairment of the terms and conditions of Grantee’s employment.</w:t>
      </w:r>
    </w:p>
    <w:p>
      <w:pPr>
        <w:spacing w:after="0" w:line="18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Grantee further understands that his or her participation in the Plan is the result of a unilateral and discretionary decision of the Company and, therefore, the Company reserves the absolute right to amend and/or discontinue Grantee’s participation in the Plan at any time, without any liability to Grantee.</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B-26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3" w:right="319" w:bottom="1440" w:gutter="0" w:footer="0" w:header="0"/>
        </w:sectPr>
      </w:pPr>
    </w:p>
    <w:bookmarkStart w:id="195" w:name="page196"/>
    <w:bookmarkEnd w:id="195"/>
    <w:p>
      <w:pPr>
        <w:ind w:right="60"/>
        <w:spacing w:after="0" w:line="261" w:lineRule="auto"/>
        <w:rPr>
          <w:sz w:val="20"/>
          <w:szCs w:val="20"/>
          <w:color w:val="auto"/>
        </w:rPr>
      </w:pPr>
      <w:r>
        <w:rPr>
          <w:rFonts w:ascii="Times New Roman" w:cs="Times New Roman" w:eastAsia="Times New Roman" w:hAnsi="Times New Roman"/>
          <w:sz w:val="18"/>
          <w:szCs w:val="18"/>
          <w:color w:val="auto"/>
        </w:rPr>
        <w:t>Finally, Grantee hereby declares that he or she does not reserve to him or herself any action or right to bring any claim against the Company for any compensation or damages regarding any provision of the Plan or the benefits derived under the Plan, and that he or she therefore grants a full and broad release to the Company, its Subsidiaries, affiliates, branches, representation offices, shareholders, officers, agents or legal representatives, with respect to any claim that may arise.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SPANISH TRANSLATION</w:t>
      </w:r>
    </w:p>
    <w:p>
      <w:pPr>
        <w:spacing w:after="0" w:line="2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Reconicimiento de los terminos del otorgamiento de acciones. </w:t>
      </w:r>
      <w:r>
        <w:rPr>
          <w:rFonts w:ascii="Times New Roman" w:cs="Times New Roman" w:eastAsia="Times New Roman" w:hAnsi="Times New Roman"/>
          <w:sz w:val="18"/>
          <w:szCs w:val="18"/>
          <w:i w:val="1"/>
          <w:iCs w:val="1"/>
          <w:color w:val="auto"/>
        </w:rPr>
        <w:t>Al aceptar las Unidades de Acciones Restringidas, el Receptor reconoce que ha recibido una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copia del Plan y de los Términos del Otorgamiento de acciones, incluyendo este anexo, los cuales ha revisado. El Receptor también reconoce que acepta los términos del Plan y del Otorgamiento de Acciones, incluyendo este anexo. Así mismo el Receptor reconoce que ha leído y expresamente aprueba los términos y condiciones establecidas en la cláusula 1 del los Términos Generales para Receptores fuera de los Estados Unidos, las cuales claramente establecen lo siguiente:</w:t>
      </w:r>
    </w:p>
    <w:p>
      <w:pPr>
        <w:spacing w:after="0" w:line="182" w:lineRule="exact"/>
        <w:rPr>
          <w:sz w:val="20"/>
          <w:szCs w:val="20"/>
          <w:color w:val="auto"/>
        </w:rPr>
      </w:pPr>
    </w:p>
    <w:p>
      <w:pPr>
        <w:ind w:left="260" w:hanging="252"/>
        <w:spacing w:after="0"/>
        <w:tabs>
          <w:tab w:leader="none" w:pos="260" w:val="left"/>
        </w:tabs>
        <w:numPr>
          <w:ilvl w:val="0"/>
          <w:numId w:val="1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La participación del Receptor en el Plan no constituye un derecho adquirido</w:t>
      </w:r>
    </w:p>
    <w:p>
      <w:pPr>
        <w:spacing w:after="0" w:line="225"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El plan y la participación del Receptor en dicho Plan son ofrecidos por la Empresa en forma totalmente discrecional.</w:t>
      </w:r>
    </w:p>
    <w:p>
      <w:pPr>
        <w:spacing w:after="0" w:line="225"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La participación del Receptor en el Plan es voluntaria; y</w:t>
      </w:r>
    </w:p>
    <w:p>
      <w:pPr>
        <w:spacing w:after="0" w:line="225" w:lineRule="exact"/>
        <w:rPr>
          <w:rFonts w:ascii="Times New Roman" w:cs="Times New Roman" w:eastAsia="Times New Roman" w:hAnsi="Times New Roman"/>
          <w:sz w:val="18"/>
          <w:szCs w:val="18"/>
          <w:i w:val="1"/>
          <w:iCs w:val="1"/>
          <w:color w:val="auto"/>
        </w:rPr>
      </w:pPr>
    </w:p>
    <w:p>
      <w:pPr>
        <w:ind w:right="120" w:firstLine="8"/>
        <w:spacing w:after="0" w:line="284" w:lineRule="auto"/>
        <w:tabs>
          <w:tab w:leader="none" w:pos="255" w:val="left"/>
        </w:tabs>
        <w:numPr>
          <w:ilvl w:val="0"/>
          <w:numId w:val="1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La Empresa y cualquier empresa del Grupo de Empresas no son responsables por la reducción en el valor de las acciones comunes que sean adquiridas en virtud de las Unidades de Acciones Restringidas.</w:t>
      </w:r>
    </w:p>
    <w:p>
      <w:pPr>
        <w:spacing w:after="0" w:line="15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Política de Ley Laboral y Reconocimiento. </w:t>
      </w:r>
      <w:r>
        <w:rPr>
          <w:rFonts w:ascii="Times New Roman" w:cs="Times New Roman" w:eastAsia="Times New Roman" w:hAnsi="Times New Roman"/>
          <w:sz w:val="18"/>
          <w:szCs w:val="18"/>
          <w:i w:val="1"/>
          <w:iCs w:val="1"/>
          <w:color w:val="auto"/>
        </w:rPr>
        <w:t>Al aceptar el otorgamiento de adquisición de acciones y/o Restricted Share Units, el Receptor reconoce que la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Empresa, con domicilio ubicado en 310 Ocean Park Boulevard, Santa Mónica, California, 90405 U.S.A., es el único responsable para la administración de Plan y que su participación en los Plan y adquisición de acciones no constituye una relación de trabajo entre la Empresa y el Receptor, toda vez que su participación en el Plan es totalmente en base a una relación comercial entre mi único patrón Actibliz Mexico S. de RL de CV, Tihuatlan 41,602, San Jerónimo Aculco, Federal District, México (“Activision Mexico”) Derivado de lo anterior, el Receptor expresamente reconoce que el Plan y beneficios que pudieran derivar de su participación en el Plan no establece derechos entre su único patrón Activision Mexicoy el suscrito, no forman parte de sus condiciones y/o prestaciones de trabajo otorgadas por Ativision Mexico y cualquier modificación del Plan o su terminación no constituye un cambio o detrimento en los términos y condiciones de su relación de trabajo.</w:t>
      </w:r>
    </w:p>
    <w:p>
      <w:pPr>
        <w:spacing w:after="0" w:line="187" w:lineRule="exact"/>
        <w:rPr>
          <w:sz w:val="20"/>
          <w:szCs w:val="20"/>
          <w:color w:val="auto"/>
        </w:rPr>
      </w:pPr>
    </w:p>
    <w:p>
      <w:pPr>
        <w:jc w:val="both"/>
        <w:ind w:right="20"/>
        <w:spacing w:after="0" w:line="315" w:lineRule="auto"/>
        <w:rPr>
          <w:sz w:val="20"/>
          <w:szCs w:val="20"/>
          <w:color w:val="auto"/>
        </w:rPr>
      </w:pPr>
      <w:r>
        <w:rPr>
          <w:rFonts w:ascii="Times New Roman" w:cs="Times New Roman" w:eastAsia="Times New Roman" w:hAnsi="Times New Roman"/>
          <w:sz w:val="17"/>
          <w:szCs w:val="17"/>
          <w:i w:val="1"/>
          <w:iCs w:val="1"/>
          <w:color w:val="auto"/>
        </w:rPr>
        <w:t>Asimismo, el Receptor entiende que su participación en el Plan es resultado de una decisión unilateral y discrecional de la Empresa, por lo tanto la Empresa se reserva el derecho absoluto de modificar y/o discontinuar la participación de usted en cualquier momento y sin responsabilidad alguna frente al Receptor.</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96" w:name="page197"/>
    <w:bookmarkEnd w:id="196"/>
    <w:p>
      <w:pPr>
        <w:spacing w:after="0" w:line="261" w:lineRule="auto"/>
        <w:rPr>
          <w:sz w:val="20"/>
          <w:szCs w:val="20"/>
          <w:color w:val="auto"/>
        </w:rPr>
      </w:pPr>
      <w:r>
        <w:rPr>
          <w:rFonts w:ascii="Times New Roman" w:cs="Times New Roman" w:eastAsia="Times New Roman" w:hAnsi="Times New Roman"/>
          <w:sz w:val="18"/>
          <w:szCs w:val="18"/>
          <w:i w:val="1"/>
          <w:iCs w:val="1"/>
          <w:color w:val="auto"/>
        </w:rPr>
        <w:t>Finalmente, en este acto el Receptor declara que no se reserva acción o derecho alguno para presentar cualquier reclamación en contra de la Empresa por cualquier compensación o daño en relación con cualquier disposición del Plan o de los beneficios derivados del Plan y, por lo tanto, el Receptor otorga el más amplio y total finiquito a la Empresa, sus afiliadas, sucursales, oficinas de representación, accionistas, funcionarios, agentes o representantes en relación con cualquier reclamación que pudiera surgir.</w:t>
      </w:r>
    </w:p>
    <w:p>
      <w:pPr>
        <w:spacing w:after="0" w:line="18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B-28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335" w:right="419" w:bottom="1440" w:gutter="0" w:footer="0" w:header="0"/>
        </w:sectPr>
      </w:pPr>
    </w:p>
    <w:bookmarkStart w:id="197" w:name="page198"/>
    <w:bookmarkEnd w:id="19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APPENDIX FOR THE NETHERLANDS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RESTRICTED SHARE UNIT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Nature of Grant. </w:t>
      </w:r>
      <w:r>
        <w:rPr>
          <w:rFonts w:ascii="Times New Roman" w:cs="Times New Roman" w:eastAsia="Times New Roman" w:hAnsi="Times New Roman"/>
          <w:sz w:val="18"/>
          <w:szCs w:val="18"/>
          <w:color w:val="auto"/>
        </w:rPr>
        <w:t>This provision supplements the “Nature of Grant” Section of the Appendix:</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accepting the grant of the Restricted Share Units, Grantee acknowledges that the Restricted Share Units granted under the Plan are intended as an incentive for Grantee to remain employed with the Employer and are not intended as remuneration for labor performed.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198" w:name="page199"/>
    <w:bookmarkEnd w:id="198"/>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APPENDIX FOR NORWAY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RESTRICTED SHARE UNIT AWARD TERMS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country-specific provisions.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B-30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APPENDIX FOR POLAND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RESTRICTED SHARE UNIT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Exchange Control Notification</w:t>
      </w:r>
      <w:r>
        <w:rPr>
          <w:rFonts w:ascii="Times New Roman" w:cs="Times New Roman" w:eastAsia="Times New Roman" w:hAnsi="Times New Roman"/>
          <w:sz w:val="18"/>
          <w:szCs w:val="18"/>
          <w:color w:val="auto"/>
        </w:rPr>
        <w:t>. Polish residents holding foreign securities (including Common Shares acquired under the Plan) and maintaining accounts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abroad must report information to the National Bank of Poland on transactions and balances of the securities and cash deposited in such accounts if the value of such transactions or balances exceeds PLN 7,000,000. If required, the reports must be filed on a quarterly basis on special forms available on the website of the National Bank of Poland. In addition, if Grantee transfers funds into Poland in excess of a certain threshold (currently €15,000, unless the transfer of funds is considered to be connected with the business activity of an entrepreneur, in which case a lower threshold may apply) in connection with the sale of Common Shares under the Plan, the funds must be transferred via a bank account held at a bank in Poland. Grantee is required to retain the documents connected with a foreign exchange transaction for a period of five (5) years, as measured from the end of the year in which such transaction occurred.</w:t>
      </w:r>
    </w:p>
    <w:p>
      <w:pPr>
        <w:spacing w:after="0" w:line="1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B-31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3" w:right="339" w:bottom="1440" w:gutter="0" w:footer="0" w:header="0"/>
        </w:sectPr>
      </w:pPr>
    </w:p>
    <w:bookmarkStart w:id="199" w:name="page200"/>
    <w:bookmarkEnd w:id="1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FOR ROMANIA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SHARE UNIT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Exchange Control Notification. </w:t>
      </w:r>
      <w:r>
        <w:rPr>
          <w:rFonts w:ascii="Times New Roman" w:cs="Times New Roman" w:eastAsia="Times New Roman" w:hAnsi="Times New Roman"/>
          <w:sz w:val="18"/>
          <w:szCs w:val="18"/>
          <w:color w:val="auto"/>
        </w:rPr>
        <w:t>If Grantee deposits the proceeds from the sale of Restricted Share Units issued to him or her at vesting and settlement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Share Units or any cash dividends or dividend equivalent payments in a bank account in Romania, Grantee may be required to provide the Romanian bank with appropriate documentation explaining the source of the funds.</w:t>
      </w:r>
    </w:p>
    <w:p>
      <w:pPr>
        <w:spacing w:after="0" w:line="17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Grantee should consult his or her personal advisor to determine whether Grantee will be required to submit such documentation to the Romanian bank.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00" w:name="page201"/>
    <w:bookmarkEnd w:id="20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APPENDIX FOR SINGAPORE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RESTRICTED SHARE UNIT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Law Notification</w:t>
      </w:r>
      <w:r>
        <w:rPr>
          <w:rFonts w:ascii="Times New Roman" w:cs="Times New Roman" w:eastAsia="Times New Roman" w:hAnsi="Times New Roman"/>
          <w:sz w:val="18"/>
          <w:szCs w:val="18"/>
          <w:color w:val="auto"/>
        </w:rPr>
        <w:t>. The grant of the Restricted Share Units is being made pursuant to the “Qualifying Person exemption” under section 273(1)</w:t>
      </w:r>
    </w:p>
    <w:p>
      <w:pPr>
        <w:spacing w:after="0" w:line="31" w:lineRule="exact"/>
        <w:rPr>
          <w:sz w:val="20"/>
          <w:szCs w:val="20"/>
          <w:color w:val="auto"/>
        </w:rPr>
      </w:pPr>
    </w:p>
    <w:p>
      <w:pPr>
        <w:ind w:firstLine="8"/>
        <w:spacing w:after="0" w:line="250" w:lineRule="auto"/>
        <w:tabs>
          <w:tab w:leader="none" w:pos="22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and Futures Act (Chapter 289, 2006 Ed.) (the “SFA”). The Plan has not been and will not be lodged or registered as a prospectus with the Monetary Authority of Singapore. Grantee should note that the Restricted Share Units are subject to section 257 of the SFA and Grantee should not make</w:t>
      </w:r>
    </w:p>
    <w:p>
      <w:pPr>
        <w:ind w:right="60" w:firstLine="8"/>
        <w:spacing w:after="0" w:line="250" w:lineRule="auto"/>
        <w:tabs>
          <w:tab w:leader="none" w:pos="21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subsequent sale of Common Shares in Singapore or (ii) any offer of such subsequent sale of the Common Shares subject to the Restricted Share Units in Singapore, unless such sale or offer in is made (a) after six months of the Date of Grant, or (b) pursuant to the exemptions under Part XIII Division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Subdivision (4) (other than section 280) of the SFA.</w:t>
      </w:r>
    </w:p>
    <w:p>
      <w:pPr>
        <w:spacing w:after="0" w:line="203"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b w:val="1"/>
          <w:bCs w:val="1"/>
          <w:color w:val="auto"/>
        </w:rPr>
        <w:t>Chief Executive Officer and Director Notification Requirements</w:t>
      </w:r>
      <w:r>
        <w:rPr>
          <w:rFonts w:ascii="Times New Roman" w:cs="Times New Roman" w:eastAsia="Times New Roman" w:hAnsi="Times New Roman"/>
          <w:sz w:val="18"/>
          <w:szCs w:val="18"/>
          <w:color w:val="auto"/>
        </w:rPr>
        <w:t>. If Grantee is a chief executive officer, director of a Singapore Subsidiary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Grantee must notify the Singapore Subsidiary in writing within two business days of receiving or disposing of an interest (e.g., Restricted Share Units, Common Shares) in the Company or within two business days of becoming a director if such an interest exists at the time. This notification requirement also applies to an associate director and to a shadow director (i.e., an individual who is not on the board of directors but who has sufficient control so that the board of directors acts in accordance with the “directions and instructions” of the individual) of a Singapore Subsidiary or affiliate of the Company. Grantee may contact Stock Plan Administration to obtain a sample form that can be used to satisfy this notification requirement.</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201" w:name="page202"/>
    <w:bookmarkEnd w:id="20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APPENDIX FOR SPAIN</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RESTRICTED SHARE UNIT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Nature of Grant. </w:t>
      </w:r>
      <w:r>
        <w:rPr>
          <w:rFonts w:ascii="Times New Roman" w:cs="Times New Roman" w:eastAsia="Times New Roman" w:hAnsi="Times New Roman"/>
          <w:sz w:val="18"/>
          <w:szCs w:val="18"/>
          <w:color w:val="auto"/>
        </w:rPr>
        <w:t>This provision supplements the “Nature of Grant” Section of the Appendix: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accepting the Restricted Share Units, Grantee consents to participate in the Plan and acknowledges having received and read a copy of the Plan.</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Grantee understands that the Company has unilaterally, gratuitously and discretionally decided to grant Restricted Share Units under the Plan to individuals who may be employees of the Company or any other entity in the Company Group throughout the world. The decision is a limited decision that is entered into upon the express assumption and condition that any grant will not bind the Company or any other entity in the Company Group. Consequently, Grantee understands that the Restricted Share Units are granted on the assumption and condition that such Restricted Share Units and any Common Shares acquired under the Plan shall not become a part of any employment contract (either with the Company or any other entity in the Company Group) and shall not be considered a mandatory benefit, salary for any purposes (including severance compensation) or any other right whatsoever. In addition, Grantee understands that the Restricted Share Units would not granted but for the assumptions and conditions referred to above; thus, Grantee acknowledges and freely accepts that should any or all of the assumptions be mistaken or should any of the conditions not be met for any reason, then any grant of the Restricted Share Units shall be null and void.</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 the vesting of the Restricted Share Units is expressly conditioned on Grantee’s active employment, such that if Grantee’s employment or service terminates for any reason whatsoever, the Restricted Share Units cease vesting immediately effective on the date of termination of employment. This will be the case, for example, even if Grantee (1) is considered to be unfairly dismissed without good cause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subject to a “</w:t>
      </w:r>
      <w:r>
        <w:rPr>
          <w:rFonts w:ascii="Times New Roman" w:cs="Times New Roman" w:eastAsia="Times New Roman" w:hAnsi="Times New Roman"/>
          <w:sz w:val="18"/>
          <w:szCs w:val="18"/>
          <w:i w:val="1"/>
          <w:iCs w:val="1"/>
          <w:color w:val="auto"/>
        </w:rPr>
        <w:t>despido improcedente</w:t>
      </w:r>
      <w:r>
        <w:rPr>
          <w:rFonts w:ascii="Times New Roman" w:cs="Times New Roman" w:eastAsia="Times New Roman" w:hAnsi="Times New Roman"/>
          <w:sz w:val="18"/>
          <w:szCs w:val="18"/>
          <w:color w:val="auto"/>
        </w:rPr>
        <w:t>”); (2) is dismissed for disciplinary or objective reasons or due to a collective dismissal; (3) terminates service due to a change of work location, duties or any other employment or contractual condition; (4) terminates service due to the Company’s or any entity in the Company Group’s unilateral breach of contract; or</w:t>
      </w:r>
    </w:p>
    <w:p>
      <w:pPr>
        <w:spacing w:after="0" w:line="3" w:lineRule="exact"/>
        <w:rPr>
          <w:sz w:val="20"/>
          <w:szCs w:val="20"/>
          <w:color w:val="auto"/>
        </w:rPr>
      </w:pPr>
    </w:p>
    <w:p>
      <w:pPr>
        <w:ind w:firstLine="8"/>
        <w:spacing w:after="0" w:line="261" w:lineRule="auto"/>
        <w:tabs>
          <w:tab w:leader="none" w:pos="25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terminated from employment for any other reason whatsoever. Consequently, upon Grantee’s termination of employment for any of the above reasons, Grantee may automatically lose any rights to Restricted Share Units that were unvested on the date of termination.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Exchange Control Notification. </w:t>
      </w:r>
      <w:r>
        <w:rPr>
          <w:rFonts w:ascii="Times New Roman" w:cs="Times New Roman" w:eastAsia="Times New Roman" w:hAnsi="Times New Roman"/>
          <w:sz w:val="18"/>
          <w:szCs w:val="18"/>
          <w:color w:val="auto"/>
        </w:rPr>
        <w:t>The acquisition, ownership and sale of Common Shares under the Plan must be declared for statistical purposes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Spanish </w:t>
      </w:r>
      <w:r>
        <w:rPr>
          <w:rFonts w:ascii="Times New Roman" w:cs="Times New Roman" w:eastAsia="Times New Roman" w:hAnsi="Times New Roman"/>
          <w:sz w:val="18"/>
          <w:szCs w:val="18"/>
          <w:i w:val="1"/>
          <w:iCs w:val="1"/>
          <w:color w:val="auto"/>
        </w:rPr>
        <w:t>Dirección General de Comercio e Inversiones</w:t>
      </w:r>
      <w:r>
        <w:rPr>
          <w:rFonts w:ascii="Times New Roman" w:cs="Times New Roman" w:eastAsia="Times New Roman" w:hAnsi="Times New Roman"/>
          <w:sz w:val="18"/>
          <w:szCs w:val="18"/>
          <w:color w:val="auto"/>
        </w:rPr>
        <w:t xml:space="preserve"> (the “DGCI”), the Bureau for Commerce and Investments, which is a department of the Ministry of Economy and Competitiveness. Generally, the declaration must be made each</w:t>
      </w:r>
    </w:p>
    <w:p>
      <w:pPr>
        <w:spacing w:after="0" w:line="1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B-34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3" w:right="339" w:bottom="1440" w:gutter="0" w:footer="0" w:header="0"/>
        </w:sectPr>
      </w:pPr>
    </w:p>
    <w:bookmarkStart w:id="202" w:name="page203"/>
    <w:bookmarkEnd w:id="202"/>
    <w:p>
      <w:pPr>
        <w:ind w:right="160"/>
        <w:spacing w:after="0" w:line="235" w:lineRule="auto"/>
        <w:rPr>
          <w:sz w:val="20"/>
          <w:szCs w:val="20"/>
          <w:color w:val="auto"/>
        </w:rPr>
      </w:pPr>
      <w:r>
        <w:rPr>
          <w:rFonts w:ascii="Times New Roman" w:cs="Times New Roman" w:eastAsia="Times New Roman" w:hAnsi="Times New Roman"/>
          <w:sz w:val="18"/>
          <w:szCs w:val="18"/>
          <w:color w:val="auto"/>
        </w:rPr>
        <w:t>January for Common Shares owned as of December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of the prior year, by means of a D-6 form; however, if the value of the Common Shares acquired or sold exceeds €1,502,530 (or if Grantee holds 10% or more of the share capital of the Company or such other amount that would entitle Grantee to join the Company’s board of directors), the declaration must be filed also within one month of the acquisition or sale, as applicable.</w:t>
      </w:r>
    </w:p>
    <w:p>
      <w:pPr>
        <w:spacing w:after="0" w:line="20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Grantee is required to declare electronically to the Bank of Spain any securities accounts (including brokerage accounts held abroad), foreign instruments (including any Common Shares acquired under the Plan) and any transactions with non-Spanish residents (including any payments of Common Shares made to Grantee by the Company), depending on the amount of the transactions during the relevant year or the balances in such accounts as of December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of the relevant year. Generally, the report is required on an annual basis (by January 20 of each year). Grantee should consult with his or her personal advisor to ensure that Grantee is properly complying with his or her reporting obligations.</w:t>
      </w:r>
    </w:p>
    <w:p>
      <w:pPr>
        <w:spacing w:after="0" w:line="19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Foreign Asset/Account Reporting Notification. </w:t>
      </w:r>
      <w:r>
        <w:rPr>
          <w:rFonts w:ascii="Times New Roman" w:cs="Times New Roman" w:eastAsia="Times New Roman" w:hAnsi="Times New Roman"/>
          <w:sz w:val="18"/>
          <w:szCs w:val="18"/>
          <w:color w:val="auto"/>
        </w:rPr>
        <w:t>If Grantee holds rights or assets (e.g., Common Shares or cash held in a bank or brokerage account) outside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Spain with a value in excess of €50,000 per type of right or asset (e.g., Common Shares, cash, etc.) as of December 31 each year, Grantee is required to report certain information regarding such rights and assets on tax form 720. After such rights and/or assets are initially reported, the reporting obligation will only apply for subsequent years if the value of any previously-reported rights or assets increases by more than €20,000. If reporting is required, the reporting must be completed by the following March 31. Grantee should consult his or her personal tax advisor for details regarding this requirement.</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Securities Law Notification. </w:t>
      </w:r>
      <w:r>
        <w:rPr>
          <w:rFonts w:ascii="Times New Roman" w:cs="Times New Roman" w:eastAsia="Times New Roman" w:hAnsi="Times New Roman"/>
          <w:sz w:val="17"/>
          <w:szCs w:val="17"/>
          <w:color w:val="auto"/>
        </w:rPr>
        <w:t>The Restricted Share Units described in this document do not qualify as securities under Spanish regulations. No “offer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securities to the public,” within the meaning of Spanish law, has taken place or will take place in the Spanish territory. The Plan, the Award Terms (including this Appendix), and any other documents evidencing the award of Restricted Share Units have not been, nor will they be, registered with the </w:t>
      </w:r>
      <w:r>
        <w:rPr>
          <w:rFonts w:ascii="Times New Roman" w:cs="Times New Roman" w:eastAsia="Times New Roman" w:hAnsi="Times New Roman"/>
          <w:sz w:val="17"/>
          <w:szCs w:val="17"/>
          <w:i w:val="1"/>
          <w:iCs w:val="1"/>
          <w:color w:val="auto"/>
        </w:rPr>
        <w:t>Comisión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Nacional del Mercado de Valores </w:t>
      </w:r>
      <w:r>
        <w:rPr>
          <w:rFonts w:ascii="Times New Roman" w:cs="Times New Roman" w:eastAsia="Times New Roman" w:hAnsi="Times New Roman"/>
          <w:sz w:val="17"/>
          <w:szCs w:val="17"/>
          <w:color w:val="auto"/>
        </w:rPr>
        <w:t>(Spanish Securities Exchange Commission), and none of those documents constitutes a public offering prospectus.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8" w:right="259" w:bottom="1440" w:gutter="0" w:footer="0" w:header="0"/>
        </w:sectPr>
      </w:pPr>
    </w:p>
    <w:bookmarkStart w:id="203" w:name="page204"/>
    <w:bookmarkEnd w:id="203"/>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APPENDIX FOR SWEDEN</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RESTRICTED SHARE UNIT AWARD TERMS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country-specific provisions.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APPENDIX FOR SWITZERLAND</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RESTRICTED SHARE UNIT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Securities Law Notification. </w:t>
      </w:r>
      <w:r>
        <w:rPr>
          <w:rFonts w:ascii="Times New Roman" w:cs="Times New Roman" w:eastAsia="Times New Roman" w:hAnsi="Times New Roman"/>
          <w:sz w:val="18"/>
          <w:szCs w:val="18"/>
          <w:color w:val="auto"/>
        </w:rPr>
        <w:t>The offer of Restricted Share Units is not intended to be publicly offered in or from Switzerland. Because the offer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Share Units is considered a private offering, it is not subject to registration in Switzerland. Neither this document nor any other materials relating to the Restricted Share Units constitutes a prospectus as such term is understood pursuant to article 652a of the Swiss Code of Obligations, and neither this document nor any other materials relating to the Restricted Share Units may be publicly distributed nor otherwise made publicly available in Switzerland. Neither this document nor any other offering or marketing material relating to the Restricted Share Units has been or will be filed with, approved or supervised by any Swiss regulatory authority (in particular, the Swiss Financial Supervisory Authority (FINMA)).</w:t>
      </w:r>
    </w:p>
    <w:p>
      <w:pPr>
        <w:spacing w:after="0" w:line="1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33" w:right="379" w:bottom="1440" w:gutter="0" w:footer="0" w:header="0"/>
        </w:sectPr>
      </w:pPr>
    </w:p>
    <w:bookmarkStart w:id="204" w:name="page205"/>
    <w:bookmarkEnd w:id="20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APPENDIX FOR TAIWAN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RESTRICTED SHARE UNIT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Data Privacy Acknowledgement. </w:t>
      </w:r>
      <w:r>
        <w:rPr>
          <w:rFonts w:ascii="Times New Roman" w:cs="Times New Roman" w:eastAsia="Times New Roman" w:hAnsi="Times New Roman"/>
          <w:sz w:val="18"/>
          <w:szCs w:val="18"/>
          <w:color w:val="auto"/>
        </w:rPr>
        <w:t>Grantee hereby acknowledges that he or she has read and understands the terms regarding collection, processing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of Data contained in the “Data Privacy Information and Consent for Grantees outside the European Union/European Economic Area” Section of the Appendix and, by participating in the Plan, Grantee agrees to such terms. In this regard, upon request of the Company or the Employer, Grantee agrees to provide an executed data privacy consent form to the Employer or the Company (or any other agreements or consents that may be required by the Employer or the Company) that the Company and/or the Employer may deem necessary to obtain under the data privacy laws in Grantee’s country, either now or in the future. Grantee understands that he or she will not be able to participate in the Plan if he or she fails to execute any such consent or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Securities Law Notification. </w:t>
      </w:r>
      <w:r>
        <w:rPr>
          <w:rFonts w:ascii="Times New Roman" w:cs="Times New Roman" w:eastAsia="Times New Roman" w:hAnsi="Times New Roman"/>
          <w:sz w:val="18"/>
          <w:szCs w:val="18"/>
          <w:color w:val="auto"/>
        </w:rPr>
        <w:t>The offer of participation in the Plan is available only for employees of the Company Group. The offer of participation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is not a public offer of securities by a Taiwanese company.</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Exchange Control Notification. </w:t>
      </w:r>
      <w:r>
        <w:rPr>
          <w:rFonts w:ascii="Times New Roman" w:cs="Times New Roman" w:eastAsia="Times New Roman" w:hAnsi="Times New Roman"/>
          <w:sz w:val="18"/>
          <w:szCs w:val="18"/>
          <w:color w:val="auto"/>
        </w:rPr>
        <w:t>Grantee may acquire and remit foreign currency (including proceeds from the sale of Common Shares or the receipt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dividends paid on such Common Shares) into and out of Taiwan up to US$5,000,000 per year. If the transaction amount is TWD$500,000 or more in a single transaction, Grantee must submit a Foreign Exchange Transaction Form and provide supporting documentation to the satisfaction of the bank involved in the transaction. Grantee should consult his or her personal advisor to ensure compliance with any applicable exchange control laws in Taiwan.</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205" w:name="page206"/>
    <w:bookmarkEnd w:id="205"/>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APPENDIX FOR THE UNITED KINGDOM</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RESTRICTED SHARE UNIT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Tax Withholding and Payment. </w:t>
      </w:r>
      <w:r>
        <w:rPr>
          <w:rFonts w:ascii="Times New Roman" w:cs="Times New Roman" w:eastAsia="Times New Roman" w:hAnsi="Times New Roman"/>
          <w:sz w:val="18"/>
          <w:szCs w:val="18"/>
          <w:color w:val="auto"/>
        </w:rPr>
        <w:t>This section supplements Section 4 of the Award Terms: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Without limitation to Section 4 of the Award Terms, Grantee agrees that Grantee is liable for all Withholding Taxes and hereby covenants to pay all such Withholding Taxes, as and when requested by the Company or the Employer or by Her Majesty’s Revenue and Customs (“HMRC”) (or any other tax authority or any other relevant authority). Grantee also agrees to indemnify and keep indemnified the Company and the Employer against any Withholding Taxes that they are required to pay or withhold or have paid or will pay to HMRC (or any other tax authority or any other relevant authority) on Grantee’s behalf.</w:t>
      </w:r>
    </w:p>
    <w:p>
      <w:pPr>
        <w:spacing w:after="0" w:line="18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B-39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240" w:top="333" w:right="439" w:bottom="1440" w:gutter="0" w:footer="0" w:header="0"/>
        </w:sectPr>
      </w:pPr>
    </w:p>
    <w:bookmarkStart w:id="206" w:name="page207"/>
    <w:bookmarkEnd w:id="20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APPENDIX FOR THE UNITED STATES OF AMERICA</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RESTRICTED SHARE UNIT AWARD TERMS</w:t>
      </w:r>
    </w:p>
    <w:p>
      <w:pPr>
        <w:spacing w:after="0" w:line="207" w:lineRule="exact"/>
        <w:rPr>
          <w:sz w:val="20"/>
          <w:szCs w:val="20"/>
          <w:color w:val="auto"/>
        </w:rPr>
      </w:pPr>
    </w:p>
    <w:p>
      <w:pPr>
        <w:ind w:left="1300" w:hanging="64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40" w:hanging="635"/>
        <w:spacing w:after="0"/>
        <w:tabs>
          <w:tab w:leader="none" w:pos="19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Grantees only, the following terms shall have the meanings set forth below:</w:t>
      </w:r>
    </w:p>
    <w:p>
      <w:pPr>
        <w:spacing w:after="0" w:line="221" w:lineRule="exact"/>
        <w:rPr>
          <w:sz w:val="20"/>
          <w:szCs w:val="20"/>
          <w:color w:val="auto"/>
        </w:rPr>
      </w:pPr>
    </w:p>
    <w:p>
      <w:pPr>
        <w:ind w:right="160"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“Employment Violation” </w:t>
      </w:r>
      <w:r>
        <w:rPr>
          <w:rFonts w:ascii="Times New Roman" w:cs="Times New Roman" w:eastAsia="Times New Roman" w:hAnsi="Times New Roman"/>
          <w:sz w:val="18"/>
          <w:szCs w:val="18"/>
          <w:color w:val="auto"/>
        </w:rPr>
        <w:t>means any material breach by Grantee of his or her employment agreement with any entity in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for so long as the terms of such employment agreement shall apply to Grantee (with any breach of the post-termination obligations contained therein deemed to be material for purposes of this definition).</w:t>
      </w:r>
    </w:p>
    <w:p>
      <w:pPr>
        <w:spacing w:after="0" w:line="171" w:lineRule="exact"/>
        <w:rPr>
          <w:sz w:val="20"/>
          <w:szCs w:val="20"/>
          <w:color w:val="auto"/>
        </w:rPr>
      </w:pPr>
    </w:p>
    <w:p>
      <w:pPr>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“Look-back Period” </w:t>
      </w:r>
      <w:r>
        <w:rPr>
          <w:rFonts w:ascii="Times New Roman" w:cs="Times New Roman" w:eastAsia="Times New Roman" w:hAnsi="Times New Roman"/>
          <w:sz w:val="18"/>
          <w:szCs w:val="18"/>
          <w:color w:val="auto"/>
        </w:rPr>
        <w:t>means, with respect to any Employment Violation by Grantee, the period beginning on the date which is 12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date of such Employment Violation by Grantee and ending on the date of computation of the Recapture Amount with respect to such Employment Violation.</w:t>
      </w:r>
    </w:p>
    <w:p>
      <w:pPr>
        <w:spacing w:after="0" w:line="171"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“Recapture Amount” </w:t>
      </w:r>
      <w:r>
        <w:rPr>
          <w:rFonts w:ascii="Times New Roman" w:cs="Times New Roman" w:eastAsia="Times New Roman" w:hAnsi="Times New Roman"/>
          <w:sz w:val="18"/>
          <w:szCs w:val="18"/>
          <w:color w:val="auto"/>
        </w:rPr>
        <w:t>means, with respect to any Employment Violation by Grantee, the gross gain realized or unrealized by Grantee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vesting of Restricted Share Units or delivery or transfer of Vested Shares during the Look-back Period with respect to such Employment Violation, which gain shall be calculated as the sum of:</w:t>
      </w:r>
    </w:p>
    <w:p>
      <w:pPr>
        <w:spacing w:after="0" w:line="175" w:lineRule="exact"/>
        <w:rPr>
          <w:sz w:val="20"/>
          <w:szCs w:val="20"/>
          <w:color w:val="auto"/>
        </w:rPr>
      </w:pPr>
    </w:p>
    <w:p>
      <w:pPr>
        <w:ind w:left="660" w:firstLine="645"/>
        <w:spacing w:after="0" w:line="282" w:lineRule="auto"/>
        <w:tabs>
          <w:tab w:leader="none" w:pos="197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Grantee has received Vested Shares during such Look-back Period and sold any such Vested Shares, an amount equal to the sum of the sales price for all such Vested Shares; plus</w:t>
      </w:r>
    </w:p>
    <w:p>
      <w:pPr>
        <w:spacing w:after="0" w:line="161" w:lineRule="exact"/>
        <w:rPr>
          <w:rFonts w:ascii="Times New Roman" w:cs="Times New Roman" w:eastAsia="Times New Roman" w:hAnsi="Times New Roman"/>
          <w:sz w:val="18"/>
          <w:szCs w:val="18"/>
          <w:color w:val="auto"/>
        </w:rPr>
      </w:pPr>
    </w:p>
    <w:p>
      <w:pPr>
        <w:ind w:left="660" w:right="140" w:firstLine="645"/>
        <w:spacing w:after="0" w:line="256" w:lineRule="auto"/>
        <w:tabs>
          <w:tab w:leader="none" w:pos="198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Grantee has received Vested Shares during such Look-back Period and not sold all such Vested Shares, an amount equal to the product of (A) the greatest of the following: (1) the Market Value per Share of Common Shares on the date such Vested Shares were issued or transferred to Grantee, (2) the arithmetic average of the per share closing sales prices of Common Shares as reported on Nasdaq for the 30 trading day period ending on the trading day immediately preceding the date of the Company’s written notice of its exercise of its rights under Section 3 hereof, or (3) the arithmetic average of the per share closing sales prices of Common Shares as reported on Nasdaq for the 30 trading day period ending on the trading day immediately preceding the date of computation, times (B) the number of such Vested Shares which were not sold.</w:t>
      </w:r>
    </w:p>
    <w:p>
      <w:pPr>
        <w:spacing w:after="0" w:line="188" w:lineRule="exact"/>
        <w:rPr>
          <w:sz w:val="20"/>
          <w:szCs w:val="20"/>
          <w:color w:val="auto"/>
        </w:rPr>
      </w:pPr>
    </w:p>
    <w:p>
      <w:pPr>
        <w:ind w:right="460" w:firstLine="656"/>
        <w:spacing w:after="0" w:line="282" w:lineRule="auto"/>
        <w:tabs>
          <w:tab w:leader="none" w:pos="129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with Employment Agreement or Plan</w:t>
      </w:r>
      <w:r>
        <w:rPr>
          <w:rFonts w:ascii="Times New Roman" w:cs="Times New Roman" w:eastAsia="Times New Roman" w:hAnsi="Times New Roman"/>
          <w:sz w:val="18"/>
          <w:szCs w:val="18"/>
          <w:color w:val="auto"/>
        </w:rPr>
        <w:t>. In the event of any conflict between the terms of any employment agreement, service contract or offer letter between Grantee and any entity in the Company Group in effect at the time and the terms of the Grant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207" w:name="page208"/>
    <w:bookmarkEnd w:id="207"/>
    <w:p>
      <w:pPr>
        <w:jc w:val="both"/>
        <w:spacing w:after="0" w:line="266" w:lineRule="auto"/>
        <w:rPr>
          <w:sz w:val="20"/>
          <w:szCs w:val="20"/>
          <w:color w:val="auto"/>
        </w:rPr>
      </w:pPr>
      <w:r>
        <w:rPr>
          <w:rFonts w:ascii="Times New Roman" w:cs="Times New Roman" w:eastAsia="Times New Roman" w:hAnsi="Times New Roman"/>
          <w:sz w:val="18"/>
          <w:szCs w:val="18"/>
          <w:color w:val="auto"/>
        </w:rPr>
        <w:t>Notice or these Award Terms, the terms of the Grant Notice or these Award Terms, as the case may be, shall control. In the event of any conflict between the terms of any employment agreement, service contract or offer letter between Grantee and any entity in the Company Group in effect at the time and the terms of the Plan, the terms of the Plan shall control.</w:t>
      </w:r>
    </w:p>
    <w:p>
      <w:pPr>
        <w:spacing w:after="0" w:line="176" w:lineRule="exact"/>
        <w:rPr>
          <w:sz w:val="20"/>
          <w:szCs w:val="20"/>
          <w:color w:val="auto"/>
        </w:rPr>
      </w:pPr>
    </w:p>
    <w:p>
      <w:pPr>
        <w:ind w:right="20" w:firstLine="656"/>
        <w:spacing w:after="0" w:line="254" w:lineRule="auto"/>
        <w:tabs>
          <w:tab w:leader="none" w:pos="129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Violation</w:t>
      </w:r>
      <w:r>
        <w:rPr>
          <w:rFonts w:ascii="Times New Roman" w:cs="Times New Roman" w:eastAsia="Times New Roman" w:hAnsi="Times New Roman"/>
          <w:sz w:val="18"/>
          <w:szCs w:val="18"/>
          <w:color w:val="auto"/>
        </w:rPr>
        <w:t xml:space="preserve">. The terms of this Section 3 shall apply to the Restricted Share Units if Grantee is or becomes subject to an employment agreement with any entity in the Company Group. In the event of an Employment Violation, the Company shall have the right to require (a) the forfeiture by Grantee to the Company of any outstanding Restricted Share Units or Vested Shares which have yet to settle pursuant to Section 8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(b) payment by Grantee to the Company of the Recapture Amount with respect to such Employment Violation;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lieu of payment by Grantee to the Company of the Recapture Amount, Grantee, in his or her discretion, may tender to the Company the Vested Shares acquired during the Look-back Period with respect to such Employment Violation (without any consideration from the Company in exchange therefor). Any such forfeiture of Restricted Share Units and payment of the Recapture Amount, as the case may be, shall be in addition to, and not in lieu of, any other right or remedy available to the Company arising out of or in connection with such Employment Violation, including, without limitation, the right to terminate Grantee’s employment if not already terminated and to seek injunctive relief and additional monetary damages.</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B-41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8" w:right="29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tc>
      </w:tr>
      <w:tr>
        <w:trPr>
          <w:trHeight w:val="410"/>
        </w:trPr>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5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ACTIVISION BLIZZARD, INC.</w:t>
            </w:r>
          </w:p>
        </w:tc>
        <w:tc>
          <w:tcPr>
            <w:tcW w:w="1860" w:type="dxa"/>
            <w:vAlign w:val="bottom"/>
          </w:tcPr>
          <w:p>
            <w:pPr>
              <w:spacing w:after="0"/>
              <w:rPr>
                <w:sz w:val="24"/>
                <w:szCs w:val="24"/>
                <w:color w:val="auto"/>
              </w:rPr>
            </w:pPr>
          </w:p>
        </w:tc>
      </w:tr>
      <w:tr>
        <w:trPr>
          <w:trHeight w:val="238"/>
        </w:trPr>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2014 INCENTIVE PLAN</w:t>
            </w:r>
          </w:p>
        </w:tc>
        <w:tc>
          <w:tcPr>
            <w:tcW w:w="186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5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NOTICE OF STOCK OPTION AWARD</w:t>
            </w:r>
          </w:p>
        </w:tc>
        <w:tc>
          <w:tcPr>
            <w:tcW w:w="1860" w:type="dxa"/>
            <w:vAlign w:val="bottom"/>
          </w:tcPr>
          <w:p>
            <w:pPr>
              <w:spacing w:after="0"/>
              <w:rPr>
                <w:sz w:val="24"/>
                <w:szCs w:val="24"/>
                <w:color w:val="auto"/>
              </w:rPr>
            </w:pPr>
          </w:p>
        </w:tc>
      </w:tr>
      <w:tr>
        <w:trPr>
          <w:trHeight w:val="432"/>
        </w:trPr>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You have been awarded an option to purchase Common Shares of Activision Blizzard, Inc. (the “Company”), as follows:</w:t>
            </w:r>
          </w:p>
        </w:tc>
        <w:tc>
          <w:tcPr>
            <w:tcW w:w="1860" w:type="dxa"/>
            <w:vAlign w:val="bottom"/>
          </w:tcPr>
          <w:p>
            <w:pPr>
              <w:spacing w:after="0"/>
              <w:rPr>
                <w:sz w:val="24"/>
                <w:szCs w:val="24"/>
                <w:color w:val="auto"/>
              </w:rPr>
            </w:pPr>
          </w:p>
        </w:tc>
      </w:tr>
      <w:tr>
        <w:trPr>
          <w:trHeight w:val="432"/>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Your name: </w:t>
            </w:r>
            <w:r>
              <w:rPr>
                <w:rFonts w:ascii="Times New Roman" w:cs="Times New Roman" w:eastAsia="Times New Roman" w:hAnsi="Times New Roman"/>
                <w:sz w:val="18"/>
                <w:szCs w:val="18"/>
                <w:b w:val="1"/>
                <w:bCs w:val="1"/>
                <w:color w:val="auto"/>
              </w:rPr>
              <w:t>[</w:t>
            </w:r>
          </w:p>
        </w:tc>
        <w:tc>
          <w:tcPr>
            <w:tcW w:w="7520" w:type="dxa"/>
            <w:vAlign w:val="bottom"/>
          </w:tcPr>
          <w:p>
            <w:pPr>
              <w:spacing w:after="0"/>
              <w:rPr>
                <w:sz w:val="24"/>
                <w:szCs w:val="24"/>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32"/>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Total number of Shares purchasable upon exercise of the Stock Option awarded: </w:t>
            </w:r>
            <w:r>
              <w:rPr>
                <w:rFonts w:ascii="Times New Roman" w:cs="Times New Roman" w:eastAsia="Times New Roman" w:hAnsi="Times New Roman"/>
                <w:sz w:val="18"/>
                <w:szCs w:val="18"/>
                <w:b w:val="1"/>
                <w:bCs w:val="1"/>
                <w:color w:val="auto"/>
              </w:rPr>
              <w:t>[</w:t>
            </w: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32"/>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Price: US$</w:t>
            </w:r>
            <w:r>
              <w:rPr>
                <w:rFonts w:ascii="Times New Roman" w:cs="Times New Roman" w:eastAsia="Times New Roman" w:hAnsi="Times New Roman"/>
                <w:sz w:val="18"/>
                <w:szCs w:val="18"/>
                <w:b w:val="1"/>
                <w:bCs w:val="1"/>
                <w:color w:val="auto"/>
              </w:rPr>
              <w:t>[</w:t>
            </w:r>
          </w:p>
        </w:tc>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Share</w:t>
            </w:r>
          </w:p>
        </w:tc>
        <w:tc>
          <w:tcPr>
            <w:tcW w:w="1860" w:type="dxa"/>
            <w:vAlign w:val="bottom"/>
          </w:tcPr>
          <w:p>
            <w:pPr>
              <w:spacing w:after="0"/>
              <w:rPr>
                <w:sz w:val="24"/>
                <w:szCs w:val="24"/>
                <w:color w:val="auto"/>
              </w:rPr>
            </w:pPr>
          </w:p>
        </w:tc>
      </w:tr>
      <w:tr>
        <w:trPr>
          <w:trHeight w:val="432"/>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Date of Grant: </w:t>
            </w:r>
            <w:r>
              <w:rPr>
                <w:rFonts w:ascii="Times New Roman" w:cs="Times New Roman" w:eastAsia="Times New Roman" w:hAnsi="Times New Roman"/>
                <w:sz w:val="18"/>
                <w:szCs w:val="18"/>
                <w:b w:val="1"/>
                <w:bCs w:val="1"/>
                <w:color w:val="auto"/>
              </w:rPr>
              <w:t>[</w:t>
            </w:r>
          </w:p>
        </w:tc>
        <w:tc>
          <w:tcPr>
            <w:tcW w:w="7520" w:type="dxa"/>
            <w:vAlign w:val="bottom"/>
          </w:tcPr>
          <w:p>
            <w:pPr>
              <w:spacing w:after="0"/>
              <w:rPr>
                <w:sz w:val="24"/>
                <w:szCs w:val="24"/>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32"/>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Expiration Date: </w:t>
            </w:r>
            <w:r>
              <w:rPr>
                <w:rFonts w:ascii="Times New Roman" w:cs="Times New Roman" w:eastAsia="Times New Roman" w:hAnsi="Times New Roman"/>
                <w:sz w:val="18"/>
                <w:szCs w:val="18"/>
                <w:b w:val="1"/>
                <w:bCs w:val="1"/>
                <w:color w:val="auto"/>
              </w:rPr>
              <w:t>[</w:t>
            </w:r>
          </w:p>
        </w:tc>
        <w:tc>
          <w:tcPr>
            <w:tcW w:w="7520" w:type="dxa"/>
            <w:vAlign w:val="bottom"/>
          </w:tcPr>
          <w:p>
            <w:pPr>
              <w:spacing w:after="0"/>
              <w:rPr>
                <w:sz w:val="24"/>
                <w:szCs w:val="24"/>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32"/>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Grant ID: </w:t>
            </w:r>
            <w:r>
              <w:rPr>
                <w:rFonts w:ascii="Times New Roman" w:cs="Times New Roman" w:eastAsia="Times New Roman" w:hAnsi="Times New Roman"/>
                <w:sz w:val="18"/>
                <w:szCs w:val="18"/>
                <w:b w:val="1"/>
                <w:bCs w:val="1"/>
                <w:color w:val="auto"/>
              </w:rPr>
              <w:t>[</w:t>
            </w:r>
          </w:p>
        </w:tc>
        <w:tc>
          <w:tcPr>
            <w:tcW w:w="7520" w:type="dxa"/>
            <w:vAlign w:val="bottom"/>
          </w:tcPr>
          <w:p>
            <w:pPr>
              <w:spacing w:after="0"/>
              <w:rPr>
                <w:sz w:val="24"/>
                <w:szCs w:val="24"/>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98" w:lineRule="exact"/>
        <w:rPr>
          <w:sz w:val="20"/>
          <w:szCs w:val="20"/>
          <w:color w:val="auto"/>
        </w:rPr>
      </w:pPr>
    </w:p>
    <w:p>
      <w:pPr>
        <w:ind w:left="300" w:hanging="292"/>
        <w:spacing w:after="0"/>
        <w:tabs>
          <w:tab w:leader="none" w:pos="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Award of the Stock Option is governed by the terms and conditions set forth in:</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Notice of Stock Option Award;</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 Option Award Terms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2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Appendix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which may include special terms and conditions relating to your country of work and/or residence (the “</w:t>
      </w:r>
      <w:r>
        <w:rPr>
          <w:rFonts w:ascii="Times New Roman" w:cs="Times New Roman" w:eastAsia="Times New Roman" w:hAnsi="Times New Roman"/>
          <w:sz w:val="18"/>
          <w:szCs w:val="18"/>
          <w:u w:val="single" w:color="auto"/>
          <w:color w:val="auto"/>
        </w:rPr>
        <w:t>Appendix</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2014 Incentive Plan, the receipt of a copy of which you hereby acknowledge.</w:t>
      </w:r>
    </w:p>
    <w:p>
      <w:pPr>
        <w:spacing w:after="0" w:line="223" w:lineRule="exact"/>
        <w:rPr>
          <w:rFonts w:ascii="Times New Roman" w:cs="Times New Roman" w:eastAsia="Times New Roman" w:hAnsi="Times New Roman"/>
          <w:sz w:val="18"/>
          <w:szCs w:val="18"/>
          <w:color w:val="auto"/>
        </w:rPr>
      </w:pPr>
    </w:p>
    <w:p>
      <w:pPr>
        <w:ind w:left="340" w:right="120" w:hanging="332"/>
        <w:spacing w:after="0" w:line="261" w:lineRule="auto"/>
        <w:tabs>
          <w:tab w:leader="none" w:pos="30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Schedule for Vesting</w:t>
      </w:r>
      <w:r>
        <w:rPr>
          <w:rFonts w:ascii="Times New Roman" w:cs="Times New Roman" w:eastAsia="Times New Roman" w:hAnsi="Times New Roman"/>
          <w:sz w:val="18"/>
          <w:szCs w:val="18"/>
          <w:color w:val="auto"/>
        </w:rPr>
        <w:t>: Except as otherwise provided pursuant to the Stock Option Award Terms attached hereto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as supplemented, modified,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replaced by the special terms and conditions, if any, set forth under your country of work and/or residence in the Appendix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(together, the “</w:t>
      </w:r>
      <w:r>
        <w:rPr>
          <w:rFonts w:ascii="Times New Roman" w:cs="Times New Roman" w:eastAsia="Times New Roman" w:hAnsi="Times New Roman"/>
          <w:sz w:val="18"/>
          <w:szCs w:val="18"/>
          <w:u w:val="single" w:color="auto"/>
          <w:color w:val="auto"/>
        </w:rPr>
        <w:t>Award Terms</w:t>
      </w:r>
      <w:r>
        <w:rPr>
          <w:rFonts w:ascii="Times New Roman" w:cs="Times New Roman" w:eastAsia="Times New Roman" w:hAnsi="Times New Roman"/>
          <w:sz w:val="18"/>
          <w:szCs w:val="18"/>
          <w:color w:val="auto"/>
        </w:rPr>
        <w:t>”), the Stock Option awarded to you shall vest and become exercisable as follows, provided you remain continuously employed by the Company or one of its Subsidiaries through the applicable vesting date:</w:t>
      </w:r>
    </w:p>
    <w:p>
      <w:pPr>
        <w:spacing w:after="0" w:line="163"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1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Vesting</w:t>
            </w:r>
          </w:p>
        </w:tc>
        <w:tc>
          <w:tcPr>
            <w:tcW w:w="2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740" w:type="dxa"/>
            <w:vAlign w:val="bottom"/>
            <w:gridSpan w:val="2"/>
          </w:tcPr>
          <w:p>
            <w:pPr>
              <w:jc w:val="right"/>
              <w:ind w:right="1554"/>
              <w:spacing w:after="0"/>
              <w:rPr>
                <w:sz w:val="20"/>
                <w:szCs w:val="20"/>
                <w:color w:val="auto"/>
              </w:rPr>
            </w:pPr>
            <w:r>
              <w:rPr>
                <w:rFonts w:ascii="Times New Roman" w:cs="Times New Roman" w:eastAsia="Times New Roman" w:hAnsi="Times New Roman"/>
                <w:sz w:val="14"/>
                <w:szCs w:val="14"/>
                <w:b w:val="1"/>
                <w:bCs w:val="1"/>
                <w:color w:val="auto"/>
              </w:rPr>
              <w:t>No. of Shares Vesting at</w:t>
            </w:r>
          </w:p>
        </w:tc>
        <w:tc>
          <w:tcPr>
            <w:tcW w:w="0" w:type="dxa"/>
            <w:vAlign w:val="bottom"/>
          </w:tcPr>
          <w:p>
            <w:pPr>
              <w:spacing w:after="0"/>
              <w:rPr>
                <w:sz w:val="1"/>
                <w:szCs w:val="1"/>
                <w:color w:val="auto"/>
              </w:rPr>
            </w:pPr>
          </w:p>
        </w:tc>
      </w:tr>
      <w:tr>
        <w:trPr>
          <w:trHeight w:val="173"/>
        </w:trPr>
        <w:tc>
          <w:tcPr>
            <w:tcW w:w="1400" w:type="dxa"/>
            <w:vAlign w:val="bottom"/>
            <w:tcBorders>
              <w:bottom w:val="single" w:sz="8" w:color="auto"/>
            </w:tcBorders>
            <w:vMerge w:val="continue"/>
          </w:tcPr>
          <w:p>
            <w:pPr>
              <w:spacing w:after="0"/>
              <w:rPr>
                <w:sz w:val="15"/>
                <w:szCs w:val="15"/>
                <w:color w:val="auto"/>
              </w:rPr>
            </w:pPr>
          </w:p>
        </w:tc>
        <w:tc>
          <w:tcPr>
            <w:tcW w:w="278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9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tcPr>
          <w:p>
            <w:pPr>
              <w:jc w:val="right"/>
              <w:ind w:right="1894"/>
              <w:spacing w:after="0"/>
              <w:rPr>
                <w:sz w:val="20"/>
                <w:szCs w:val="20"/>
                <w:color w:val="auto"/>
              </w:rPr>
            </w:pPr>
            <w:r>
              <w:rPr>
                <w:rFonts w:ascii="Times New Roman" w:cs="Times New Roman" w:eastAsia="Times New Roman" w:hAnsi="Times New Roman"/>
                <w:sz w:val="14"/>
                <w:szCs w:val="14"/>
                <w:b w:val="1"/>
                <w:bCs w:val="1"/>
                <w:color w:val="auto"/>
                <w:w w:val="99"/>
              </w:rPr>
              <w:t>Vesting Date</w:t>
            </w:r>
          </w:p>
        </w:tc>
        <w:tc>
          <w:tcPr>
            <w:tcW w:w="0" w:type="dxa"/>
            <w:vAlign w:val="bottom"/>
          </w:tcPr>
          <w:p>
            <w:pPr>
              <w:spacing w:after="0"/>
              <w:rPr>
                <w:sz w:val="1"/>
                <w:szCs w:val="1"/>
                <w:color w:val="auto"/>
              </w:rPr>
            </w:pPr>
          </w:p>
        </w:tc>
      </w:tr>
      <w:tr>
        <w:trPr>
          <w:trHeight w:val="210"/>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780" w:type="dxa"/>
            <w:vAlign w:val="bottom"/>
            <w:shd w:val="clear" w:color="auto" w:fill="CCEEFF"/>
          </w:tcPr>
          <w:p>
            <w:pPr>
              <w:jc w:val="right"/>
              <w:ind w:right="21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760" w:type="dxa"/>
            <w:vAlign w:val="bottom"/>
            <w:shd w:val="clear" w:color="auto" w:fill="CCEEFF"/>
          </w:tcPr>
          <w:p>
            <w:pPr>
              <w:jc w:val="right"/>
              <w:ind w:right="1814"/>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780" w:type="dxa"/>
            <w:vAlign w:val="bottom"/>
          </w:tcPr>
          <w:p>
            <w:pPr>
              <w:jc w:val="right"/>
              <w:ind w:right="21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760" w:type="dxa"/>
            <w:vAlign w:val="bottom"/>
          </w:tcPr>
          <w:p>
            <w:pPr>
              <w:jc w:val="right"/>
              <w:ind w:right="1814"/>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780" w:type="dxa"/>
            <w:vAlign w:val="bottom"/>
            <w:shd w:val="clear" w:color="auto" w:fill="CCEEFF"/>
          </w:tcPr>
          <w:p>
            <w:pPr>
              <w:jc w:val="right"/>
              <w:ind w:right="21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760" w:type="dxa"/>
            <w:vAlign w:val="bottom"/>
            <w:shd w:val="clear" w:color="auto" w:fill="CCEEFF"/>
          </w:tcPr>
          <w:p>
            <w:pPr>
              <w:jc w:val="right"/>
              <w:ind w:right="1814"/>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right="400" w:hanging="332"/>
        <w:spacing w:after="0" w:line="286" w:lineRule="auto"/>
        <w:tabs>
          <w:tab w:leader="none" w:pos="30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sign and return to the Company this Notice of Stock Option Award, which bears an original signature on behalf of the Company. You are urged to do so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09" w:name="page210"/>
    <w:bookmarkEnd w:id="209"/>
    <w:p>
      <w:pPr>
        <w:ind w:left="300" w:hanging="292"/>
        <w:spacing w:after="0"/>
        <w:tabs>
          <w:tab w:leader="none" w:pos="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return the signed Notice of Stock Option Award to the Company at:</w:t>
      </w:r>
    </w:p>
    <w:p>
      <w:pPr>
        <w:spacing w:after="0" w:line="2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Activision Blizzard, Inc.</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3100 Ocean Park Boulevard</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Santa Monica, CA 90405</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Attn: Stock Plan Administration</w:t>
      </w:r>
    </w:p>
    <w:p>
      <w:pPr>
        <w:spacing w:after="0" w:line="207" w:lineRule="exact"/>
        <w:rPr>
          <w:sz w:val="20"/>
          <w:szCs w:val="20"/>
          <w:color w:val="auto"/>
        </w:rPr>
      </w:pPr>
    </w:p>
    <w:p>
      <w:pPr>
        <w:ind w:left="300" w:hanging="292"/>
        <w:spacing w:after="0"/>
        <w:tabs>
          <w:tab w:leader="none" w:pos="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Option is not intended to be an “incentive stock option,” as such term is defined in Section 422 of the Code.</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capitalized term used but not otherwise defined herein shall have the meaning ascribed to such term in the Award Terms.</w:t>
      </w:r>
    </w:p>
    <w:p>
      <w:pPr>
        <w:spacing w:after="0" w:line="221" w:lineRule="exact"/>
        <w:rPr>
          <w:rFonts w:ascii="Times New Roman" w:cs="Times New Roman" w:eastAsia="Times New Roman" w:hAnsi="Times New Roman"/>
          <w:sz w:val="18"/>
          <w:szCs w:val="18"/>
          <w:color w:val="auto"/>
        </w:rPr>
      </w:pPr>
    </w:p>
    <w:p>
      <w:pPr>
        <w:ind w:left="340" w:hanging="332"/>
        <w:spacing w:after="0" w:line="286" w:lineRule="auto"/>
        <w:tabs>
          <w:tab w:leader="none" w:pos="30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accepting the Award, you are deemed to be bound by the terms and conditions set forth in the 2014 Incentive Plan, this Notice of Stock Option Award and the Award Terms.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retain the enclosed duplicate copy of this Notice of Stock Option Award for your records.</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Brian Stolz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-127635</wp:posOffset>
            </wp:positionV>
            <wp:extent cx="361886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People Officer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17145</wp:posOffset>
            </wp:positionV>
            <wp:extent cx="319849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6">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ACCEPTED AND AGREED: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362775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30187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8">
                      <a:extLst>
                        <a:ext uri="{28A0092B-C50C-407E-A947-70E740481C1C}"/>
                      </a:extLst>
                    </a:blip>
                    <a:srcRect/>
                    <a:stretch>
                      <a:fillRect/>
                    </a:stretch>
                  </pic:blipFill>
                  <pic:spPr bwMode="auto">
                    <a:xfrm>
                      <a:off x="0" y="0"/>
                      <a:ext cx="301879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229870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60"/>
          </w:cols>
          <w:pgMar w:left="240" w:top="334" w:right="599" w:bottom="1440" w:gutter="0" w:footer="0" w:header="0"/>
        </w:sectPr>
      </w:pPr>
    </w:p>
    <w:bookmarkStart w:id="210" w:name="page211"/>
    <w:bookmarkEnd w:id="21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OPTION AWARD TERMS</w:t>
      </w:r>
    </w:p>
    <w:p>
      <w:pPr>
        <w:spacing w:after="0" w:line="229" w:lineRule="exact"/>
        <w:rPr>
          <w:sz w:val="20"/>
          <w:szCs w:val="20"/>
          <w:color w:val="auto"/>
        </w:rPr>
      </w:pPr>
    </w:p>
    <w:p>
      <w:pPr>
        <w:ind w:left="1300" w:hanging="644"/>
        <w:spacing w:after="0"/>
        <w:tabs>
          <w:tab w:leader="none" w:pos="13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40" w:hanging="635"/>
        <w:spacing w:after="0"/>
        <w:tabs>
          <w:tab w:leader="none" w:pos="194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Award Terms, the following terms shall have the meanings set forth below:</w:t>
      </w:r>
    </w:p>
    <w:p>
      <w:pPr>
        <w:spacing w:after="0" w:line="22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 xml:space="preserve">“Award” </w:t>
      </w:r>
      <w:r>
        <w:rPr>
          <w:rFonts w:ascii="Times New Roman" w:cs="Times New Roman" w:eastAsia="Times New Roman" w:hAnsi="Times New Roman"/>
          <w:sz w:val="18"/>
          <w:szCs w:val="18"/>
          <w:color w:val="auto"/>
        </w:rPr>
        <w:t>means the award described on the Grant Notice.</w:t>
      </w:r>
    </w:p>
    <w:p>
      <w:pPr>
        <w:spacing w:after="0" w:line="225" w:lineRule="exact"/>
        <w:rPr>
          <w:sz w:val="20"/>
          <w:szCs w:val="20"/>
          <w:color w:val="auto"/>
        </w:rPr>
      </w:pPr>
    </w:p>
    <w:p>
      <w:pPr>
        <w:ind w:firstLine="12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“Cause” </w:t>
      </w:r>
      <w:r>
        <w:rPr>
          <w:rFonts w:ascii="Times New Roman" w:cs="Times New Roman" w:eastAsia="Times New Roman" w:hAnsi="Times New Roman"/>
          <w:sz w:val="18"/>
          <w:szCs w:val="18"/>
          <w:color w:val="auto"/>
        </w:rPr>
        <w:t>(i) shall have the meaning given to such term in any employment agreement, service contract or offer letter between the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entity in the Company Group in effect at the time of the determination or (ii) if the Holder is not then party to any agreement or offer letter with any entity in the Company Group or any such agreement or offer letter does not contain a definition of “cause,” shall mean a good faith determination by the Company that the Holder (A) engaged in misconduct or gross negligence in the performance of his or her duties or willfully and continuously failed or refused to perform any duties reasonably requested in the course of his or her employment; (B) engaged in fraud, dishonesty, or any other conduct that causes, or has the potential to cause, harm to any entity in the Company Group, including its business reputation or financial condition; (C) violated any lawful directives or policies of the Company Group or any applicable laws, rules or regulations; (D) materially breached his or her employment agreement, service contract, proprietary information agreement or confidentiality agreement with any entity in the Company Group; (E) was convicted of, or pled guilty or no contest to, a felony or crime involving dishonesty or moral turpitude; or (F) breached his or her fiduciary duties to the Company Group.</w:t>
      </w:r>
    </w:p>
    <w:p>
      <w:pPr>
        <w:spacing w:after="0" w:line="182" w:lineRule="exact"/>
        <w:rPr>
          <w:sz w:val="20"/>
          <w:szCs w:val="20"/>
          <w:color w:val="auto"/>
        </w:rPr>
      </w:pPr>
    </w:p>
    <w:p>
      <w:pPr>
        <w:ind w:right="28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“Common Shares” </w:t>
      </w:r>
      <w:r>
        <w:rPr>
          <w:rFonts w:ascii="Times New Roman" w:cs="Times New Roman" w:eastAsia="Times New Roman" w:hAnsi="Times New Roman"/>
          <w:sz w:val="18"/>
          <w:szCs w:val="18"/>
          <w:color w:val="auto"/>
        </w:rPr>
        <w:t>means the shares of common stock, par value $0.000001 per share, of the Company or any security into which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Shares may be changed by reason of any transaction or event of the type referred to in Section 9 hereof.</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means Activision Blizzard, Inc. and any successor thereto.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“Company Group” </w:t>
      </w:r>
      <w:r>
        <w:rPr>
          <w:rFonts w:ascii="Times New Roman" w:cs="Times New Roman" w:eastAsia="Times New Roman" w:hAnsi="Times New Roman"/>
          <w:sz w:val="18"/>
          <w:szCs w:val="18"/>
          <w:color w:val="auto"/>
        </w:rPr>
        <w:t>means the Company and its Subsidiaries.</w:t>
      </w:r>
    </w:p>
    <w:p>
      <w:pPr>
        <w:spacing w:after="0" w:line="225" w:lineRule="exact"/>
        <w:rPr>
          <w:sz w:val="20"/>
          <w:szCs w:val="20"/>
          <w:color w:val="auto"/>
        </w:rPr>
      </w:pPr>
    </w:p>
    <w:p>
      <w:pPr>
        <w:ind w:right="16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“Company-Sponsored Equity Account” </w:t>
      </w:r>
      <w:r>
        <w:rPr>
          <w:rFonts w:ascii="Times New Roman" w:cs="Times New Roman" w:eastAsia="Times New Roman" w:hAnsi="Times New Roman"/>
          <w:sz w:val="18"/>
          <w:szCs w:val="18"/>
          <w:color w:val="auto"/>
        </w:rPr>
        <w:t>means an account that is created with the Equity Account Administrator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of the Company’s equity plans and programs, including the Plan.</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“Date of Grant” </w:t>
      </w:r>
      <w:r>
        <w:rPr>
          <w:rFonts w:ascii="Times New Roman" w:cs="Times New Roman" w:eastAsia="Times New Roman" w:hAnsi="Times New Roman"/>
          <w:sz w:val="18"/>
          <w:szCs w:val="18"/>
          <w:color w:val="auto"/>
        </w:rPr>
        <w:t>means the Date of Grant of the Award set forth on the Grant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“Disability” </w:t>
      </w:r>
      <w:r>
        <w:rPr>
          <w:rFonts w:ascii="Times New Roman" w:cs="Times New Roman" w:eastAsia="Times New Roman" w:hAnsi="Times New Roman"/>
          <w:sz w:val="18"/>
          <w:szCs w:val="18"/>
          <w:color w:val="auto"/>
        </w:rPr>
        <w:t>shall mean (i) the Holder is receiving benefits under any long-term disability plan of the Company Group then in effect or</w:t>
      </w:r>
    </w:p>
    <w:p>
      <w:pPr>
        <w:spacing w:after="0" w:line="31" w:lineRule="exact"/>
        <w:rPr>
          <w:sz w:val="20"/>
          <w:szCs w:val="20"/>
          <w:color w:val="auto"/>
        </w:rPr>
      </w:pPr>
    </w:p>
    <w:p>
      <w:pPr>
        <w:ind w:right="120" w:firstLine="8"/>
        <w:spacing w:after="0" w:line="255" w:lineRule="auto"/>
        <w:tabs>
          <w:tab w:leader="none" w:pos="26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is an employee who works and/or resides in the U.S. and is then party to an agreement or offer letter with any entity in the Company Group which contains a definition of “disability” or otherwise provides a method for determining whether the Holder is disabled, shall have the meaning given to such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Option Grant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color w:val="auto"/>
        </w:rPr>
        <w:t>term in, or otherwise be determined in accordance with, such employment agreement or offer letter.</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“Employer” </w:t>
      </w:r>
      <w:r>
        <w:rPr>
          <w:rFonts w:ascii="Times New Roman" w:cs="Times New Roman" w:eastAsia="Times New Roman" w:hAnsi="Times New Roman"/>
          <w:sz w:val="18"/>
          <w:szCs w:val="18"/>
          <w:color w:val="auto"/>
        </w:rPr>
        <w:t>means the Subsidiary of the Company which employs the Holder.</w:t>
      </w:r>
    </w:p>
    <w:p>
      <w:pPr>
        <w:spacing w:after="0" w:line="225" w:lineRule="exact"/>
        <w:rPr>
          <w:sz w:val="20"/>
          <w:szCs w:val="20"/>
          <w:color w:val="auto"/>
        </w:rPr>
      </w:pPr>
    </w:p>
    <w:p>
      <w:pPr>
        <w:ind w:right="12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“Equity Account Administrator” </w:t>
      </w:r>
      <w:r>
        <w:rPr>
          <w:rFonts w:ascii="Times New Roman" w:cs="Times New Roman" w:eastAsia="Times New Roman" w:hAnsi="Times New Roman"/>
          <w:sz w:val="18"/>
          <w:szCs w:val="18"/>
          <w:color w:val="auto"/>
        </w:rPr>
        <w:t>means the brokerage firm utilized by the Company from time to time to create and administer accounts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participants in the Company’s equity plans and programs, including the Plan.</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“Exercise Price” </w:t>
      </w:r>
      <w:r>
        <w:rPr>
          <w:rFonts w:ascii="Times New Roman" w:cs="Times New Roman" w:eastAsia="Times New Roman" w:hAnsi="Times New Roman"/>
          <w:sz w:val="18"/>
          <w:szCs w:val="18"/>
          <w:color w:val="auto"/>
        </w:rPr>
        <w:t>means the Exercise Price set forth on the Grant Notice.</w:t>
      </w:r>
    </w:p>
    <w:p>
      <w:pPr>
        <w:spacing w:after="0" w:line="225" w:lineRule="exact"/>
        <w:rPr>
          <w:sz w:val="20"/>
          <w:szCs w:val="20"/>
          <w:color w:val="auto"/>
        </w:rPr>
      </w:pPr>
    </w:p>
    <w:p>
      <w:pPr>
        <w:ind w:firstLine="12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“Exercise Rules and Regulations” </w:t>
      </w:r>
      <w:r>
        <w:rPr>
          <w:rFonts w:ascii="Times New Roman" w:cs="Times New Roman" w:eastAsia="Times New Roman" w:hAnsi="Times New Roman"/>
          <w:sz w:val="18"/>
          <w:szCs w:val="18"/>
          <w:color w:val="auto"/>
        </w:rPr>
        <w:t>means (i) (A) for employees who work and/or reside in the U.S., the Securities Act or any comparable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federal securities law and all applicable state securities laws, and (B) for employees who work and/or reside outside the U.S., any laws applicable to the Holder which subject him or her to insider trading restrictions and/or market abuse laws or otherwise affect his or her ability to accept, acquire, sell, attempt to sell or otherwise dispose of Common Shares, rights to Common Shares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Stock Options) or rights linked to the value of Common Shares during such times as he or she is considered to have “inside information” regarding the Company, (ii) the requirements of any securities exchange, securities association, market system or quotation system on which Common Shares are then traded or quoted, (iii) any restrictions on transfer imposed by the Company’s certificate of incorporation or bylaws, and (iv) any policy or procedure the Company has adopted with respect to the trading of its securities, in each case as in effect on the date of the intended transaction.</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“Expiration Date” </w:t>
      </w:r>
      <w:r>
        <w:rPr>
          <w:rFonts w:ascii="Times New Roman" w:cs="Times New Roman" w:eastAsia="Times New Roman" w:hAnsi="Times New Roman"/>
          <w:sz w:val="18"/>
          <w:szCs w:val="18"/>
          <w:color w:val="auto"/>
        </w:rPr>
        <w:t>means the Expiration Date set forth on the Grant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“Grant Notice” </w:t>
      </w:r>
      <w:r>
        <w:rPr>
          <w:rFonts w:ascii="Times New Roman" w:cs="Times New Roman" w:eastAsia="Times New Roman" w:hAnsi="Times New Roman"/>
          <w:sz w:val="18"/>
          <w:szCs w:val="18"/>
          <w:color w:val="auto"/>
        </w:rPr>
        <w:t>means the Notice of Stock Option Award to which the Award Terms are attached.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“Holder” </w:t>
      </w:r>
      <w:r>
        <w:rPr>
          <w:rFonts w:ascii="Times New Roman" w:cs="Times New Roman" w:eastAsia="Times New Roman" w:hAnsi="Times New Roman"/>
          <w:sz w:val="18"/>
          <w:szCs w:val="18"/>
          <w:color w:val="auto"/>
        </w:rPr>
        <w:t>means the recipient of the Award named on the Grant Notice.</w:t>
      </w:r>
    </w:p>
    <w:p>
      <w:pPr>
        <w:spacing w:after="0" w:line="225" w:lineRule="exact"/>
        <w:rPr>
          <w:sz w:val="20"/>
          <w:szCs w:val="20"/>
          <w:color w:val="auto"/>
        </w:rPr>
      </w:pPr>
    </w:p>
    <w:p>
      <w:pPr>
        <w:ind w:right="20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“Option” </w:t>
      </w:r>
      <w:r>
        <w:rPr>
          <w:rFonts w:ascii="Times New Roman" w:cs="Times New Roman" w:eastAsia="Times New Roman" w:hAnsi="Times New Roman"/>
          <w:sz w:val="18"/>
          <w:szCs w:val="18"/>
          <w:color w:val="auto"/>
        </w:rPr>
        <w:t>means the Stock Option to purchase Common Shares awarded to the Holder on the terms and conditions described in the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and these Award Terms.</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“Plan” </w:t>
      </w:r>
      <w:r>
        <w:rPr>
          <w:rFonts w:ascii="Times New Roman" w:cs="Times New Roman" w:eastAsia="Times New Roman" w:hAnsi="Times New Roman"/>
          <w:sz w:val="18"/>
          <w:szCs w:val="18"/>
          <w:color w:val="auto"/>
        </w:rPr>
        <w:t>means the Activision Blizzard, Inc. 2014 Incentive Plan, as amended from time to time.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means Section 409A of the Code and the guidance and regulations promulgated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“Securities Act” </w:t>
      </w:r>
      <w:r>
        <w:rPr>
          <w:rFonts w:ascii="Times New Roman" w:cs="Times New Roman" w:eastAsia="Times New Roman" w:hAnsi="Times New Roman"/>
          <w:sz w:val="18"/>
          <w:szCs w:val="18"/>
          <w:color w:val="auto"/>
        </w:rPr>
        <w:t>means the U.S. Securities Act of 1933,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“Shares” </w:t>
      </w:r>
      <w:r>
        <w:rPr>
          <w:rFonts w:ascii="Times New Roman" w:cs="Times New Roman" w:eastAsia="Times New Roman" w:hAnsi="Times New Roman"/>
          <w:sz w:val="18"/>
          <w:szCs w:val="18"/>
          <w:color w:val="auto"/>
        </w:rPr>
        <w:t>means the Common Shares purchasable upon exercise of the Stock Option.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“U.S.” </w:t>
      </w:r>
      <w:r>
        <w:rPr>
          <w:rFonts w:ascii="Times New Roman" w:cs="Times New Roman" w:eastAsia="Times New Roman" w:hAnsi="Times New Roman"/>
          <w:sz w:val="18"/>
          <w:szCs w:val="18"/>
          <w:color w:val="auto"/>
        </w:rPr>
        <w:t>means the United States of America.</w:t>
      </w:r>
    </w:p>
    <w:p>
      <w:pPr>
        <w:spacing w:after="0" w:line="225" w:lineRule="exact"/>
        <w:rPr>
          <w:sz w:val="20"/>
          <w:szCs w:val="20"/>
          <w:color w:val="auto"/>
        </w:rPr>
      </w:pPr>
    </w:p>
    <w:p>
      <w:pPr>
        <w:ind w:right="4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“Withholding Taxes” </w:t>
      </w:r>
      <w:r>
        <w:rPr>
          <w:rFonts w:ascii="Times New Roman" w:cs="Times New Roman" w:eastAsia="Times New Roman" w:hAnsi="Times New Roman"/>
          <w:sz w:val="18"/>
          <w:szCs w:val="18"/>
          <w:color w:val="auto"/>
        </w:rPr>
        <w:t>means any taxes, including, but not limited to, income tax, social insurance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U.S. social security and Medicare),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payroll tax, state and local income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2" w:name="page213"/>
    <w:bookmarkEnd w:id="212"/>
    <w:p>
      <w:pPr>
        <w:ind w:right="380"/>
        <w:spacing w:after="0" w:line="282" w:lineRule="auto"/>
        <w:rPr>
          <w:sz w:val="20"/>
          <w:szCs w:val="20"/>
          <w:color w:val="auto"/>
        </w:rPr>
      </w:pPr>
      <w:r>
        <w:rPr>
          <w:rFonts w:ascii="Times New Roman" w:cs="Times New Roman" w:eastAsia="Times New Roman" w:hAnsi="Times New Roman"/>
          <w:sz w:val="18"/>
          <w:szCs w:val="18"/>
          <w:color w:val="auto"/>
        </w:rPr>
        <w:t>taxes, fringe benefits tax, and payment on account, required or permitted under any applicable law to be withheld from amounts otherwise payable to the Holder.</w:t>
      </w:r>
    </w:p>
    <w:p>
      <w:pPr>
        <w:spacing w:after="0" w:line="162" w:lineRule="exact"/>
        <w:rPr>
          <w:sz w:val="20"/>
          <w:szCs w:val="20"/>
          <w:color w:val="auto"/>
        </w:rPr>
      </w:pPr>
    </w:p>
    <w:p>
      <w:pPr>
        <w:ind w:left="1960" w:hanging="655"/>
        <w:spacing w:after="0"/>
        <w:tabs>
          <w:tab w:leader="none" w:pos="1960"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capitalized term used but not otherwise defined herein shall have the meaning ascribed to such term in the Plan.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w:t>
      </w:r>
      <w:r>
        <w:rPr>
          <w:rFonts w:ascii="Times New Roman" w:cs="Times New Roman" w:eastAsia="Times New Roman" w:hAnsi="Times New Roman"/>
          <w:sz w:val="18"/>
          <w:szCs w:val="18"/>
          <w:color w:val="auto"/>
        </w:rPr>
        <w:t>. The Stock Option shall expire on the Expiration Date and, after such expiration, shall no longer be exercisable.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40" w:firstLine="1305"/>
        <w:spacing w:after="0" w:line="282" w:lineRule="auto"/>
        <w:tabs>
          <w:tab w:leader="none" w:pos="1942"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Except as otherwise set forth in these Award Terms, the Stock Option shall vest, and thereupon become exercisable, in accordance with the “Schedule for Vesting” set forth on the Grant Notice.</w:t>
      </w:r>
    </w:p>
    <w:p>
      <w:pPr>
        <w:spacing w:after="0" w:line="161" w:lineRule="exact"/>
        <w:rPr>
          <w:rFonts w:ascii="Times New Roman" w:cs="Times New Roman" w:eastAsia="Times New Roman" w:hAnsi="Times New Roman"/>
          <w:sz w:val="18"/>
          <w:szCs w:val="18"/>
          <w:color w:val="auto"/>
        </w:rPr>
      </w:pPr>
    </w:p>
    <w:p>
      <w:pPr>
        <w:ind w:right="380" w:firstLine="1305"/>
        <w:spacing w:after="0" w:line="266" w:lineRule="auto"/>
        <w:tabs>
          <w:tab w:leader="none" w:pos="1952"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Exercisable Only by the Holder</w:t>
      </w:r>
      <w:r>
        <w:rPr>
          <w:rFonts w:ascii="Times New Roman" w:cs="Times New Roman" w:eastAsia="Times New Roman" w:hAnsi="Times New Roman"/>
          <w:sz w:val="18"/>
          <w:szCs w:val="18"/>
          <w:color w:val="auto"/>
        </w:rPr>
        <w:t>. Except as otherwise permitted under the Plan or Section 11 hereof, the Stock Option may be exercised during the Holder’s lifetime only by the Holder or, in the event of the Holder’s legal incapacity to do so, by the Holder’s guardian or legal representative acting on behalf of the Holder in a fiduciary capacity under court supervision and/or applicable law.</w:t>
      </w:r>
    </w:p>
    <w:p>
      <w:pPr>
        <w:spacing w:after="0" w:line="176" w:lineRule="exact"/>
        <w:rPr>
          <w:rFonts w:ascii="Times New Roman" w:cs="Times New Roman" w:eastAsia="Times New Roman" w:hAnsi="Times New Roman"/>
          <w:sz w:val="18"/>
          <w:szCs w:val="18"/>
          <w:color w:val="auto"/>
        </w:rPr>
      </w:pPr>
    </w:p>
    <w:p>
      <w:pPr>
        <w:ind w:right="360" w:firstLine="1305"/>
        <w:spacing w:after="0" w:line="261" w:lineRule="auto"/>
        <w:tabs>
          <w:tab w:leader="none" w:pos="1955"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 for Exercise</w:t>
      </w:r>
      <w:r>
        <w:rPr>
          <w:rFonts w:ascii="Times New Roman" w:cs="Times New Roman" w:eastAsia="Times New Roman" w:hAnsi="Times New Roman"/>
          <w:sz w:val="18"/>
          <w:szCs w:val="18"/>
          <w:color w:val="auto"/>
        </w:rPr>
        <w:t>. The Stock Option may be exercised by the Holder as to all or any of the Shares as to which the Stock Option has vested (i) by following the procedures for exercise established by the Equity Account Administrator and posted on the Equity Account Administrator’s website from time to time or (ii) with the Company’s consent, by giving the Company written notice of exercise, in such form as may be prescribed by the Company from time to time, specifying the number of Shares to be purchased.</w:t>
      </w:r>
    </w:p>
    <w:p>
      <w:pPr>
        <w:spacing w:after="0" w:line="180" w:lineRule="exact"/>
        <w:rPr>
          <w:rFonts w:ascii="Times New Roman" w:cs="Times New Roman" w:eastAsia="Times New Roman" w:hAnsi="Times New Roman"/>
          <w:sz w:val="18"/>
          <w:szCs w:val="18"/>
          <w:color w:val="auto"/>
        </w:rPr>
      </w:pPr>
    </w:p>
    <w:p>
      <w:pPr>
        <w:ind w:firstLine="1305"/>
        <w:spacing w:after="0" w:line="267" w:lineRule="auto"/>
        <w:tabs>
          <w:tab w:leader="none" w:pos="1952" w:val="left"/>
        </w:tabs>
        <w:numPr>
          <w:ilvl w:val="2"/>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of Exercise Price</w:t>
      </w:r>
      <w:r>
        <w:rPr>
          <w:rFonts w:ascii="Times New Roman" w:cs="Times New Roman" w:eastAsia="Times New Roman" w:hAnsi="Times New Roman"/>
          <w:sz w:val="17"/>
          <w:szCs w:val="17"/>
          <w:color w:val="auto"/>
        </w:rPr>
        <w:t>. To be valid, any exercise of the Stock Option must be accompanied by full payment of the aggregate Exercise Price of the Shares being purchased. The Company shall determine the method or methods the Holder may use to make such payment, which may include any of the following: (i) by bank check or certified check or wire transfer of immediately available funds, (ii) if securities of the Company of the same class as the Shares are then traded or quoted on a national securities exchange, the Nasdaq Stock Market, Inc. or a national quotation system sponsored by the National Association of Securities Dealers, Inc., through the delivery of irrevocable written instructions, in a form acceptable to the Company, to the Equity Account Administrator (or, with the Company’s consent, such other brokerage firm as may be requested by the person exercising the Stock Option) to sell some or all of the Shares being purchased upon such exercise and to thereafter deliver promptly to the Company from the proceeds of such sale an amount in cash equal to the aggregate Exercise Price of the Shares being purchased, (iii) through the withholding of Shares otherwise deliverable upon exercise, (iv) for U.S. taxpayers only, by tendering previously owned shares (valued at their Market Value per Share as of the date of tender), or (v) any combination of (i), (ii),</w:t>
      </w:r>
    </w:p>
    <w:p>
      <w:pPr>
        <w:spacing w:after="0" w:line="5"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(for U.S. employees only) (iv) above or any other manner permitted pursuant to the Plan.</w:t>
      </w:r>
    </w:p>
    <w:p>
      <w:pPr>
        <w:spacing w:after="0" w:line="206"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In no event may the Stock Option be exercised for a fraction of a Share.</w:t>
      </w:r>
    </w:p>
    <w:p>
      <w:pPr>
        <w:spacing w:after="0" w:line="225" w:lineRule="exact"/>
        <w:rPr>
          <w:rFonts w:ascii="Times New Roman" w:cs="Times New Roman" w:eastAsia="Times New Roman" w:hAnsi="Times New Roman"/>
          <w:sz w:val="18"/>
          <w:szCs w:val="18"/>
          <w:color w:val="auto"/>
        </w:rPr>
      </w:pPr>
    </w:p>
    <w:p>
      <w:pPr>
        <w:ind w:right="480" w:firstLine="1305"/>
        <w:spacing w:after="0" w:line="282" w:lineRule="auto"/>
        <w:tabs>
          <w:tab w:leader="none" w:pos="1949"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Adjustment for Dividends or Other Rights</w:t>
      </w:r>
      <w:r>
        <w:rPr>
          <w:rFonts w:ascii="Times New Roman" w:cs="Times New Roman" w:eastAsia="Times New Roman" w:hAnsi="Times New Roman"/>
          <w:sz w:val="18"/>
          <w:szCs w:val="18"/>
          <w:color w:val="auto"/>
        </w:rPr>
        <w:t>. No adjustment shall be made for cash dividends or other rights for which the record date is prior to the date as of which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8" w:right="259" w:bottom="1440" w:gutter="0" w:footer="0" w:header="0"/>
        </w:sectPr>
      </w:pPr>
    </w:p>
    <w:bookmarkStart w:id="213" w:name="page214"/>
    <w:bookmarkEnd w:id="213"/>
    <w:p>
      <w:pPr>
        <w:ind w:right="560"/>
        <w:spacing w:after="0" w:line="282" w:lineRule="auto"/>
        <w:rPr>
          <w:sz w:val="20"/>
          <w:szCs w:val="20"/>
          <w:color w:val="auto"/>
        </w:rPr>
      </w:pPr>
      <w:r>
        <w:rPr>
          <w:rFonts w:ascii="Times New Roman" w:cs="Times New Roman" w:eastAsia="Times New Roman" w:hAnsi="Times New Roman"/>
          <w:sz w:val="18"/>
          <w:szCs w:val="18"/>
          <w:color w:val="auto"/>
        </w:rPr>
        <w:t>the issuance or transfer of Shares to the person entitled thereto has been evidenced on the books and records of the Company pursuant to clause (ii) of Section 3(g) hereof following exercise of the Stock Option.</w:t>
      </w:r>
    </w:p>
    <w:p>
      <w:pPr>
        <w:spacing w:after="0" w:line="162" w:lineRule="exact"/>
        <w:rPr>
          <w:sz w:val="20"/>
          <w:szCs w:val="20"/>
          <w:color w:val="auto"/>
        </w:rPr>
      </w:pPr>
    </w:p>
    <w:p>
      <w:pPr>
        <w:ind w:right="120" w:firstLine="1305"/>
        <w:spacing w:after="0" w:line="256" w:lineRule="auto"/>
        <w:tabs>
          <w:tab w:leader="none" w:pos="1965"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and Delivery of Shares</w:t>
      </w:r>
      <w:r>
        <w:rPr>
          <w:rFonts w:ascii="Times New Roman" w:cs="Times New Roman" w:eastAsia="Times New Roman" w:hAnsi="Times New Roman"/>
          <w:sz w:val="18"/>
          <w:szCs w:val="18"/>
          <w:color w:val="auto"/>
        </w:rPr>
        <w:t xml:space="preserve">. As soon as practicable (and, in any event, within 30 days) after the valid exercise of the Stock Option, the Company shall (i) effect the issuance or transfer of the Shares purchased upon such exercise, (ii) cause the issuance or transfer of such Shares to be evidenced on the books and records of the Company, and (iii) cause such Shares to be delivered to a Company-Sponsored Equity Account in the name of the person entitled to such Shares (or, with the Company’s consent, such other brokerage account as may be requested by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such Shares are subject to a legend as set forth in Section 14 hereof, the Company shall instead cause a certificate evidencing such Shares and bearing such legend to be delivered to the person entitled thereto.</w:t>
      </w:r>
    </w:p>
    <w:p>
      <w:pPr>
        <w:spacing w:after="0" w:line="187" w:lineRule="exact"/>
        <w:rPr>
          <w:rFonts w:ascii="Times New Roman" w:cs="Times New Roman" w:eastAsia="Times New Roman" w:hAnsi="Times New Roman"/>
          <w:sz w:val="18"/>
          <w:szCs w:val="18"/>
          <w:color w:val="auto"/>
        </w:rPr>
      </w:pPr>
    </w:p>
    <w:p>
      <w:pPr>
        <w:ind w:firstLine="1305"/>
        <w:spacing w:after="0" w:line="266" w:lineRule="auto"/>
        <w:tabs>
          <w:tab w:leader="none" w:pos="1952"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Exercise</w:t>
      </w:r>
      <w:r>
        <w:rPr>
          <w:rFonts w:ascii="Times New Roman" w:cs="Times New Roman" w:eastAsia="Times New Roman" w:hAnsi="Times New Roman"/>
          <w:sz w:val="18"/>
          <w:szCs w:val="18"/>
          <w:color w:val="auto"/>
        </w:rPr>
        <w:t>. If the Stock Option shall have been exercised with respect to less than all of the Shares purchasable upon exercise of the Stock Option, the Company shall make a notation in its books and records to reflect the partial exercise of the Stock Option and the number of Shares that thereafter remain available for purchase upon exercise of the Stock Option.</w:t>
      </w:r>
    </w:p>
    <w:p>
      <w:pPr>
        <w:spacing w:after="0" w:line="1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140" w:firstLine="1305"/>
        <w:spacing w:after="0" w:line="261" w:lineRule="auto"/>
        <w:tabs>
          <w:tab w:leader="none" w:pos="1942"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Unless the Committee determines otherwise, in the event that (a) the Holder’s employment is terminated by any entity in the Company Group for Cause or (b) if the Holder terminates his or her employment with the Company Group in breach of an employment agreement with any entity in the Company Group, as of the date of such termination of employment the Stock Option shall (i) cease to vest, if not then fully vested, (ii) no longer be exercisable, whether or not vested, and (iii) be immediately cancelled.</w:t>
      </w:r>
    </w:p>
    <w:p>
      <w:pPr>
        <w:spacing w:after="0" w:line="180" w:lineRule="exact"/>
        <w:rPr>
          <w:rFonts w:ascii="Times New Roman" w:cs="Times New Roman" w:eastAsia="Times New Roman" w:hAnsi="Times New Roman"/>
          <w:sz w:val="18"/>
          <w:szCs w:val="18"/>
          <w:color w:val="auto"/>
        </w:rPr>
      </w:pPr>
    </w:p>
    <w:p>
      <w:pPr>
        <w:ind w:firstLine="1305"/>
        <w:spacing w:after="0" w:line="276" w:lineRule="auto"/>
        <w:tabs>
          <w:tab w:leader="none" w:pos="1952" w:val="left"/>
        </w:tabs>
        <w:numPr>
          <w:ilvl w:val="2"/>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Death or Disability</w:t>
      </w:r>
      <w:r>
        <w:rPr>
          <w:rFonts w:ascii="Times New Roman" w:cs="Times New Roman" w:eastAsia="Times New Roman" w:hAnsi="Times New Roman"/>
          <w:sz w:val="17"/>
          <w:szCs w:val="17"/>
          <w:color w:val="auto"/>
        </w:rPr>
        <w:t>. Unless the Committee determines otherwise, in the event that the Holder dies while employed by any entity in the Company Group or the Holder’s employment with any entity in the Company Group is terminated due to the Holder’s Disability, the Stock Option shall</w:t>
      </w:r>
    </w:p>
    <w:p>
      <w:pPr>
        <w:ind w:left="220" w:hanging="212"/>
        <w:spacing w:after="0"/>
        <w:tabs>
          <w:tab w:leader="none" w:pos="2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to vest as of the date of the Holder’s death or the first date of the Holder’s Disability (as determined by the Committee), as the case may be, and</w:t>
      </w:r>
    </w:p>
    <w:p>
      <w:pPr>
        <w:spacing w:after="0" w:line="9" w:lineRule="exact"/>
        <w:rPr>
          <w:rFonts w:ascii="Times New Roman" w:cs="Times New Roman" w:eastAsia="Times New Roman" w:hAnsi="Times New Roman"/>
          <w:sz w:val="18"/>
          <w:szCs w:val="18"/>
          <w:color w:val="auto"/>
        </w:rPr>
      </w:pPr>
    </w:p>
    <w:p>
      <w:pPr>
        <w:ind w:right="120" w:firstLine="8"/>
        <w:spacing w:after="0" w:line="265" w:lineRule="auto"/>
        <w:tabs>
          <w:tab w:leader="none" w:pos="265"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vested as of the date of the Holder’s death or the first date of the Holder’s Disability, as the case may be, remain exercisable in accordance with these Award Terms until the earlier of (A) the first anniversary of the date of the Holder’s death or termination of employment, as the case may be, and</w:t>
      </w:r>
    </w:p>
    <w:p>
      <w:pPr>
        <w:ind w:right="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the Expiration Date, after which the Stock Option shall no longer be exercisable and shall be immediately cancelled. To the extent not vested as of the date of the Holder’s death or the first date of the Holder’s Disability, as the case may be, the Stock Option shall be immediately cancelled and shall no longer be exercisable.</w:t>
      </w:r>
    </w:p>
    <w:p>
      <w:pPr>
        <w:spacing w:after="0" w:line="186" w:lineRule="exact"/>
        <w:rPr>
          <w:rFonts w:ascii="Times New Roman" w:cs="Times New Roman" w:eastAsia="Times New Roman" w:hAnsi="Times New Roman"/>
          <w:sz w:val="17"/>
          <w:szCs w:val="17"/>
          <w:color w:val="auto"/>
        </w:rPr>
      </w:pPr>
    </w:p>
    <w:p>
      <w:pPr>
        <w:ind w:firstLine="1305"/>
        <w:spacing w:after="0" w:line="258" w:lineRule="auto"/>
        <w:tabs>
          <w:tab w:leader="none" w:pos="1955"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Unless the Committee determines otherwise, in the event that the Holder’s employment is terminated for any reason not addressed by Section 4(a) or 4(b) hereof, the Stock Option shall (i) cease to vest as of the date of such termination of employment and (ii) to the extent vested as of the date of such termination of employment, be exercisable in accordance with these Award Terms until the earlier of (A) (i) in the case of a termination by the Holder, the 30th day after the date of such termination of employment or (ii) in the case of a termination by the Company Group, the 90th day after the date of such termination of</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14" w:name="page215"/>
    <w:bookmarkEnd w:id="214"/>
    <w:p>
      <w:pPr>
        <w:ind w:right="20"/>
        <w:spacing w:after="0" w:line="258" w:lineRule="auto"/>
        <w:rPr>
          <w:sz w:val="20"/>
          <w:szCs w:val="20"/>
          <w:color w:val="auto"/>
        </w:rPr>
      </w:pPr>
      <w:r>
        <w:rPr>
          <w:rFonts w:ascii="Times New Roman" w:cs="Times New Roman" w:eastAsia="Times New Roman" w:hAnsi="Times New Roman"/>
          <w:sz w:val="18"/>
          <w:szCs w:val="18"/>
          <w:color w:val="auto"/>
        </w:rPr>
        <w:t>employment (or, in either case, if the Holder is prohibited from exercising the Stock Option during some or all of the 30-day or 90-day period, as the case may be, following such termination date because such exercise would not be in compliance with the Exercise Rules and Regulations, whatever later date may be determined in accordance with a Committee-approved policy) and (B) the Expiration Date, after which the Stock Option shall no longer be exercisable and shall be immediately cancelled. To the extent not vested as of the date of such termination of service, the Stock Option shall be immediately cancelled and shall no longer be exercisable.</w:t>
      </w:r>
    </w:p>
    <w:p>
      <w:pPr>
        <w:spacing w:after="0" w:line="184" w:lineRule="exact"/>
        <w:rPr>
          <w:sz w:val="20"/>
          <w:szCs w:val="20"/>
          <w:color w:val="auto"/>
        </w:rPr>
      </w:pPr>
    </w:p>
    <w:p>
      <w:pPr>
        <w:ind w:left="1300" w:hanging="644"/>
        <w:spacing w:after="0"/>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1305"/>
        <w:spacing w:after="0" w:line="254" w:lineRule="auto"/>
        <w:tabs>
          <w:tab w:leader="none" w:pos="1942"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Regardless of any action the Company or the Employer takes with respect to any Withholding Taxes related to the Holder’s participation in the Plan and legally applicable to the Holder, the Holder acknowledges that the ultimate liability for all Withholding Taxes is and remains the Holder’s responsibility and may exceed the amount, if any, actually withheld by the Company or the Employer. The Holder further acknowledges that the Company and/or the Employer (A) make no representations or undertakings regarding the treatment of any Withholding Taxes in connection with any aspect of the Stock Option, including, without limitation, the grant, vesting or exercise of the Stock Option, the subsequent sale of Shares acquired pursuant to such exercise and the receipt of any dividends; and (B) do not commit to and are under no obligation to structure the terms of the grant or any aspect of the Stock Option to reduce or eliminate the Holder’s liability for Withholding Taxes or achieve any particular tax result. Further, if the Holder is subject to tax in more than one jurisdiction, the Holder acknowledges that the Company and/or the Employer (or former employer, as applicable) may be required to withhold or account for Withholding Taxes in more than one jurisdiction. The Company shall have no obligation to deliver any Shares upon exercise of the Stock Option unless and until all Withholding Taxes contemplated by this Section 5 have been satisfied.</w:t>
      </w:r>
    </w:p>
    <w:p>
      <w:pPr>
        <w:spacing w:after="0" w:line="186" w:lineRule="exact"/>
        <w:rPr>
          <w:rFonts w:ascii="Times New Roman" w:cs="Times New Roman" w:eastAsia="Times New Roman" w:hAnsi="Times New Roman"/>
          <w:sz w:val="18"/>
          <w:szCs w:val="18"/>
          <w:color w:val="auto"/>
        </w:rPr>
      </w:pPr>
    </w:p>
    <w:p>
      <w:pPr>
        <w:ind w:firstLine="1305"/>
        <w:spacing w:after="0" w:line="253" w:lineRule="auto"/>
        <w:tabs>
          <w:tab w:leader="none" w:pos="1952"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determine the method or methods the Holder may use to satisfy any Withholding Taxes resulting from the exercise (in whole or in part) of the Stock Option, the issuance or transfer of any Shares upon exercise of the Stock Option or otherwise in connection with the Award at the time such Withholding Taxes become due, which may include any of the following: (i) by delivery to the Company of a bank check or certified check or wire transfer of immediately available funds; (ii) if securities of the Company of the same class as the Shares are then traded or quoted on a national securities exchange, the Nasdaq Stock Market, Inc. or a national quotation system sponsored by the National Association of Securities Dealers, Inc., through the delivery of irrevocable written instructions, in a form acceptable to the Company, to the Equity Account Administrator (or, with the Company’s consent, such other brokerage firm as may be requested by the person exercising the Stock Option) to sell some or all of the Shares being purchased upon such exercise and to thereafter deliver promptly to the Company from the proceeds of such sale an amount in cash equal to the aggregate amount of such Withholding Taxes; (iii) through the withholding of Shares otherwise deliverable upon exercise; or (iv) by any combination of (i), (ii) or (iii) above. Further, any entity in the Company Group shall have the right to require the Holder to satisfy any Withholding Taxes contemplated by this Section 5 by any of the aforementioned methods or by withholding from the Holder’s wages or other cash compensation.</w:t>
      </w:r>
    </w:p>
    <w:p>
      <w:pPr>
        <w:spacing w:after="0" w:line="192" w:lineRule="exact"/>
        <w:rPr>
          <w:rFonts w:ascii="Times New Roman" w:cs="Times New Roman" w:eastAsia="Times New Roman" w:hAnsi="Times New Roman"/>
          <w:sz w:val="18"/>
          <w:szCs w:val="18"/>
          <w:color w:val="auto"/>
        </w:rPr>
      </w:pPr>
    </w:p>
    <w:p>
      <w:pPr>
        <w:ind w:right="240" w:firstLine="1305"/>
        <w:spacing w:after="0" w:line="282" w:lineRule="auto"/>
        <w:tabs>
          <w:tab w:leader="none" w:pos="1955"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may withhold or account for Withholding Taxes contemplated by this Section 5 by reference to applicable withholding rates, including minimum or maximum applicable statutory rates in the Holder’s jurisdiction(s) of employment and/or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5" w:name="page216"/>
    <w:bookmarkEnd w:id="215"/>
    <w:p>
      <w:pPr>
        <w:spacing w:after="0" w:line="258" w:lineRule="auto"/>
        <w:rPr>
          <w:sz w:val="20"/>
          <w:szCs w:val="20"/>
          <w:color w:val="auto"/>
        </w:rPr>
      </w:pPr>
      <w:r>
        <w:rPr>
          <w:rFonts w:ascii="Times New Roman" w:cs="Times New Roman" w:eastAsia="Times New Roman" w:hAnsi="Times New Roman"/>
          <w:sz w:val="18"/>
          <w:szCs w:val="18"/>
          <w:color w:val="auto"/>
        </w:rPr>
        <w:t>residency,, and if the Company Group withholds more than the amount necessary to satisfy the liability, the Holder may receive a refund of any over-withheld amount in cash and will have no entitlement to the equivalent Shares. If the obligation for Withholding Taxes is satisfied by withholding in Shares, for tax purposes the Holder will be deemed to have been issued the full number of Shares, notwithstanding that a number of the Shares is held back solely for the purpose of paying the Withholding Taxes. No fractional Shares will be withheld or issued pursuant to the exercise of the Stock Option and the issuance of Withholding Taxes thereunder.</w:t>
      </w:r>
    </w:p>
    <w:p>
      <w:pPr>
        <w:spacing w:after="0" w:line="180" w:lineRule="exact"/>
        <w:rPr>
          <w:sz w:val="20"/>
          <w:szCs w:val="20"/>
          <w:color w:val="auto"/>
        </w:rPr>
      </w:pPr>
    </w:p>
    <w:p>
      <w:pPr>
        <w:ind w:right="220" w:firstLine="656"/>
        <w:spacing w:after="0" w:line="286" w:lineRule="auto"/>
        <w:tabs>
          <w:tab w:leader="none" w:pos="129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Deemed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By accepting the Award, the Holder is deemed to be bound by the terms and conditions set forth in the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Grant Notice and these Award Terms.</w:t>
      </w:r>
    </w:p>
    <w:p>
      <w:pPr>
        <w:spacing w:after="0" w:line="158" w:lineRule="exact"/>
        <w:rPr>
          <w:rFonts w:ascii="Times New Roman" w:cs="Times New Roman" w:eastAsia="Times New Roman" w:hAnsi="Times New Roman"/>
          <w:sz w:val="18"/>
          <w:szCs w:val="18"/>
          <w:color w:val="auto"/>
        </w:rPr>
      </w:pPr>
    </w:p>
    <w:p>
      <w:pPr>
        <w:ind w:right="160" w:firstLine="656"/>
        <w:spacing w:after="0" w:line="282" w:lineRule="auto"/>
        <w:tabs>
          <w:tab w:leader="none" w:pos="129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The Company shall at all times reserve for issuance or delivery upon exercise of the Stock Option such number of Common Shares as shall be required for issuance or delivery upon exercise thereof.</w:t>
      </w:r>
    </w:p>
    <w:p>
      <w:pPr>
        <w:spacing w:after="0" w:line="161" w:lineRule="exact"/>
        <w:rPr>
          <w:rFonts w:ascii="Times New Roman" w:cs="Times New Roman" w:eastAsia="Times New Roman" w:hAnsi="Times New Roman"/>
          <w:sz w:val="18"/>
          <w:szCs w:val="18"/>
          <w:color w:val="auto"/>
        </w:rPr>
      </w:pPr>
    </w:p>
    <w:p>
      <w:pPr>
        <w:ind w:right="40" w:firstLine="656"/>
        <w:spacing w:after="0" w:line="253" w:lineRule="auto"/>
        <w:tabs>
          <w:tab w:leader="none" w:pos="129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 Discretion</w:t>
      </w:r>
      <w:r>
        <w:rPr>
          <w:rFonts w:ascii="Times New Roman" w:cs="Times New Roman" w:eastAsia="Times New Roman" w:hAnsi="Times New Roman"/>
          <w:sz w:val="18"/>
          <w:szCs w:val="18"/>
          <w:color w:val="auto"/>
        </w:rPr>
        <w:t>. Except as may otherwise be provided in the Plan, the Committee shall have sole discretion to (a) interpret any provision of the Plan, the Grant Notice and these Award Terms, (b) make any determinations necessary or advisable for the administration of the Plan and the Award, and (c) waive any conditions or rights of the Company under the Award, the Grant Notice or these Award Terms. Without intending to limit the generality or effect of the foregoing, any decision or determination to be made by the Committee pursuant to these Award Terms, including whether to grant or withhold any consent, shall be made by the Committee in its sole and absolute discretion, subject only to the terms of the Plan. Subject to the terms of the Plan, the Committee may amend the terms of the Award prospectively or retroactively; however, no such amendment may materially and adversely affect the rights of the Holder taken as a whole without the Holder’s consent. Without intending to limit the generality or effect of the foregoing, the Committee may amend the terms of the Award (i) in recognition of unusual or nonrecurring events (including, without limitation, events described in Section 9 hereof) affecting any entity in the Company Group or any of the Company’s other affiliates or the financial statements of any entity in the Company Group or any of the Company’s other affiliates, (ii) in response to changes in applicable laws, regulations or accounting principles and interpretations thereof, or (iii) to prevent the Award from becoming subject to Section 409A.</w:t>
      </w:r>
    </w:p>
    <w:p>
      <w:pPr>
        <w:spacing w:after="0" w:line="192" w:lineRule="exact"/>
        <w:rPr>
          <w:rFonts w:ascii="Times New Roman" w:cs="Times New Roman" w:eastAsia="Times New Roman" w:hAnsi="Times New Roman"/>
          <w:sz w:val="18"/>
          <w:szCs w:val="18"/>
          <w:color w:val="auto"/>
        </w:rPr>
      </w:pPr>
    </w:p>
    <w:p>
      <w:pPr>
        <w:ind w:right="80" w:firstLine="656"/>
        <w:spacing w:after="0" w:line="255" w:lineRule="auto"/>
        <w:tabs>
          <w:tab w:leader="none" w:pos="129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Notwithstanding anything to the contrary contained herein, pursuant to Section 12 of the Plan, the Committee will make or provide for such adjustments to the Award as are equitably required to prevent dilution or enlargement of the rights of the Holder that otherwise would result from (a) any stock dividend, extraordinary dividend, stock split, combination of shares, recapitalization or other change in the capital structure of the Company, (b) any change of control, merger, consolidation, spin-off, split-off,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 alternative consideration (including, without limitation, cash), if any, as it may determine to be equitable in the circumstances and may require in connection therewith the surrender of the Award.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16" w:name="page217"/>
    <w:bookmarkEnd w:id="216"/>
    <w:p>
      <w:pPr>
        <w:ind w:left="-20" w:right="80" w:firstLine="656"/>
        <w:spacing w:after="0" w:line="254" w:lineRule="auto"/>
        <w:tabs>
          <w:tab w:leader="none" w:pos="127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and Listing</w:t>
      </w:r>
      <w:r>
        <w:rPr>
          <w:rFonts w:ascii="Times New Roman" w:cs="Times New Roman" w:eastAsia="Times New Roman" w:hAnsi="Times New Roman"/>
          <w:sz w:val="18"/>
          <w:szCs w:val="18"/>
          <w:color w:val="auto"/>
        </w:rPr>
        <w:t>. Notwithstanding anything to the contrary contained herein, the Stock Option may not be exercised, and the Stock Option and Shares purchasable upon exercise of the Stock Option may not be purchased, sold, assigned, transferred, pledged, hypothecated or otherwise disposed of or encumbered in any way, unless such transaction is in compliance with all Exercise Rules and Regulations. The Company is under no obligation to register, qualify or list, or maintain the registration, qualification or listing of the Stock Option or Shares with the U.S. Securities and Exchange Commission, any state securities commission or any securities exchange, securities association, market system or quotation system to effect such compliance. The Holder shall make such representations and furnish such information as may be appropriate to permit the Company, in light of the then existence or non-existence of an effective registration statement under the Securities Act, relating to the Stock Option or Shares, to issue or transfer the Stock Option or Shares in compliance with the provisions of that or any comparable federal securities law and all applicable state securities laws. The Company shall have the right, but not the obligation, to register the issuance or resale of the Stock Option or Shares under the Securities Act or any comparable federal securities law or applicable state securities law.</w:t>
      </w:r>
    </w:p>
    <w:p>
      <w:pPr>
        <w:spacing w:after="0" w:line="186" w:lineRule="exact"/>
        <w:rPr>
          <w:rFonts w:ascii="Times New Roman" w:cs="Times New Roman" w:eastAsia="Times New Roman" w:hAnsi="Times New Roman"/>
          <w:sz w:val="18"/>
          <w:szCs w:val="18"/>
          <w:color w:val="auto"/>
        </w:rPr>
      </w:pPr>
    </w:p>
    <w:p>
      <w:pPr>
        <w:ind w:left="-20" w:right="100" w:firstLine="656"/>
        <w:spacing w:after="0" w:line="256" w:lineRule="auto"/>
        <w:tabs>
          <w:tab w:leader="none" w:pos="126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xml:space="preserve">. Subject to the terms of the Plan, and only with the Company’s consent, the Holder may transfer all or part of the Stock Option for estate planning purposes or pursuant to a domestic relations order (or a comparable order under applicable local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transferee shall be bound by all of the terms and conditions of the Plan, the Grant Notice and these Award Terms and shall execute an agreement in form and substance satisfactory to the Company in connection with such transfer;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Holder will remain bound by the terms and conditions of the Plan, the Grant Notice and these Award Terms. Except as otherwise permitted under the Plan or this Section 11, the Stock Option shall not be transferable by the Holder other than by will or the laws of descent and distribution.</w:t>
      </w:r>
    </w:p>
    <w:p>
      <w:pPr>
        <w:spacing w:after="0" w:line="187" w:lineRule="exact"/>
        <w:rPr>
          <w:rFonts w:ascii="Times New Roman" w:cs="Times New Roman" w:eastAsia="Times New Roman" w:hAnsi="Times New Roman"/>
          <w:sz w:val="18"/>
          <w:szCs w:val="18"/>
          <w:color w:val="auto"/>
        </w:rPr>
      </w:pPr>
    </w:p>
    <w:p>
      <w:pPr>
        <w:ind w:left="1280" w:hanging="644"/>
        <w:spacing w:after="0"/>
        <w:tabs>
          <w:tab w:leader="none" w:pos="12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Applicable Laws and Regulations and Company Policies and Procedures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300" w:firstLine="1305"/>
        <w:spacing w:after="0" w:line="266" w:lineRule="auto"/>
        <w:tabs>
          <w:tab w:leader="none" w:pos="1922"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is responsible for complying with (i) any federal, state, and local tax, social insurance, national insurance contributions, payroll tax, payment on account or other tax liabilities applicable to the Holder in connection with the Award and (ii) all Exercise Rules and Regulations.</w:t>
      </w:r>
    </w:p>
    <w:p>
      <w:pPr>
        <w:spacing w:after="0" w:line="176" w:lineRule="exact"/>
        <w:rPr>
          <w:rFonts w:ascii="Times New Roman" w:cs="Times New Roman" w:eastAsia="Times New Roman" w:hAnsi="Times New Roman"/>
          <w:sz w:val="18"/>
          <w:szCs w:val="18"/>
          <w:color w:val="auto"/>
        </w:rPr>
      </w:pPr>
    </w:p>
    <w:p>
      <w:pPr>
        <w:ind w:left="-20" w:firstLine="1305"/>
        <w:spacing w:after="0" w:line="266" w:lineRule="auto"/>
        <w:tabs>
          <w:tab w:leader="none" w:pos="1932"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is subject to the terms and conditions of any policy requiring or permitting the Company to recover any gains realized by the Holder in connection with the Award, including, without limitation, the Policy on Recoupment of Performance-Based Compensation Related to Certain Financial Restatements.</w:t>
      </w:r>
    </w:p>
    <w:p>
      <w:pPr>
        <w:spacing w:after="0" w:line="172" w:lineRule="exact"/>
        <w:rPr>
          <w:rFonts w:ascii="Times New Roman" w:cs="Times New Roman" w:eastAsia="Times New Roman" w:hAnsi="Times New Roman"/>
          <w:sz w:val="18"/>
          <w:szCs w:val="18"/>
          <w:color w:val="auto"/>
        </w:rPr>
      </w:pPr>
    </w:p>
    <w:p>
      <w:pPr>
        <w:ind w:left="-20" w:right="640" w:firstLine="1305"/>
        <w:spacing w:after="0" w:line="286" w:lineRule="auto"/>
        <w:tabs>
          <w:tab w:leader="none" w:pos="1935"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Award is subject to the terms and conditions of the Executive Stock Ownership Guidelines and the limitations contained therein on the ability of the Holder to transfer any Common Shares.]</w:t>
      </w: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182689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9" w:lineRule="exact"/>
        <w:rPr>
          <w:sz w:val="20"/>
          <w:szCs w:val="20"/>
          <w:color w:val="auto"/>
        </w:rPr>
      </w:pPr>
    </w:p>
    <w:p>
      <w:pPr>
        <w:ind w:left="5560" w:right="1420" w:hanging="4924"/>
        <w:spacing w:after="0" w:line="532" w:lineRule="auto"/>
        <w:tabs>
          <w:tab w:leader="none" w:pos="94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in agreements memorializing awards to executive officers to which the Executive Stock Ownership Guidelines apply.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-92075</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83" w:lineRule="exact"/>
        <w:rPr>
          <w:sz w:val="20"/>
          <w:szCs w:val="20"/>
          <w:color w:val="auto"/>
        </w:rPr>
      </w:pPr>
    </w:p>
    <w:p>
      <w:pPr>
        <w:ind w:left="-20" w:right="20" w:firstLine="656"/>
        <w:spacing w:after="0" w:line="254" w:lineRule="auto"/>
        <w:tabs>
          <w:tab w:leader="none" w:pos="1272"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xml:space="preserve">. As the Exercise Price is equal to the fair market value of a Share on the Date of Grant, payments contemplated with respect to the Award are intended to be exempt from Section 409A, and all provisions of the Plan, the Grant Notice and these Award Terms shall be construed and interpreted in a manner consistent with the requirements for avoiding taxes or penalties under Section 409A. Notwithstanding the foregoing, (a) nothing in the Plan, the Grant Notice and these Award Terms shall guarantee that the Award is not subject to taxes or penalties under Section 409A and (b) if any provision of the Plan, the Grant Notice or these Award Terms would, in the reasonable, good faith judgment of the Company, result or likely result in the imposition on the Holder or any other person of taxes, interest or penalties under Section 409A, the Committee may, in its sole discretion, modify the terms of the Plan, the Grant Notice or these Award Terms, without the consent of the Holder, in the manner that the Committee may reasonably and in good faith determine to be necessary or advisable to avoid the imposition of such taxes, interest or penalties;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Section 13 does not create an obligation on the part of the Committee or the Company to make any such modification, and in no event shall the Company be liable for the payment of or gross up in connection with any taxes, interest or penalties owed by the Holder pursuant to Section 409A.</w:t>
      </w:r>
    </w:p>
    <w:p>
      <w:pPr>
        <w:spacing w:after="0" w:line="186" w:lineRule="exact"/>
        <w:rPr>
          <w:rFonts w:ascii="Times New Roman" w:cs="Times New Roman" w:eastAsia="Times New Roman" w:hAnsi="Times New Roman"/>
          <w:sz w:val="18"/>
          <w:szCs w:val="18"/>
          <w:color w:val="auto"/>
        </w:rPr>
      </w:pPr>
    </w:p>
    <w:p>
      <w:pPr>
        <w:ind w:left="-20" w:right="40" w:firstLine="656"/>
        <w:spacing w:after="0" w:line="282" w:lineRule="auto"/>
        <w:tabs>
          <w:tab w:leader="none" w:pos="1272"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The Company may, if determined by it based on the advice of counsel to be appropriate, cause any certificate evidencing Shares to bear a legend substantially as follows:</w:t>
      </w:r>
    </w:p>
    <w:p>
      <w:pPr>
        <w:spacing w:after="0" w:line="162" w:lineRule="exact"/>
        <w:rPr>
          <w:sz w:val="20"/>
          <w:szCs w:val="20"/>
          <w:color w:val="auto"/>
        </w:rPr>
      </w:pPr>
    </w:p>
    <w:p>
      <w:pPr>
        <w:ind w:left="640" w:right="260"/>
        <w:spacing w:after="0" w:line="266" w:lineRule="auto"/>
        <w:rPr>
          <w:sz w:val="20"/>
          <w:szCs w:val="20"/>
          <w:color w:val="auto"/>
        </w:rPr>
      </w:pPr>
      <w:r>
        <w:rPr>
          <w:rFonts w:ascii="Times New Roman" w:cs="Times New Roman" w:eastAsia="Times New Roman" w:hAnsi="Times New Roman"/>
          <w:sz w:val="18"/>
          <w:szCs w:val="18"/>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pacing w:after="0" w:line="176" w:lineRule="exact"/>
        <w:rPr>
          <w:sz w:val="20"/>
          <w:szCs w:val="20"/>
          <w:color w:val="auto"/>
        </w:rPr>
      </w:pPr>
    </w:p>
    <w:p>
      <w:pPr>
        <w:ind w:left="-20" w:right="220" w:firstLine="656"/>
        <w:spacing w:after="0" w:line="266" w:lineRule="auto"/>
        <w:tabs>
          <w:tab w:leader="none" w:pos="127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Employment</w:t>
      </w:r>
      <w:r>
        <w:rPr>
          <w:rFonts w:ascii="Times New Roman" w:cs="Times New Roman" w:eastAsia="Times New Roman" w:hAnsi="Times New Roman"/>
          <w:sz w:val="18"/>
          <w:szCs w:val="18"/>
          <w:color w:val="auto"/>
        </w:rPr>
        <w:t>. Nothing contained in the Grant Notice or these Award Terms shall create a right to employment with the Employer or any other entity in the Company Group and shall not interfere with the ability of the Employer to retire, request the resignation of or terminate the Holder’s employment or service relationship at any time.</w:t>
      </w:r>
    </w:p>
    <w:p>
      <w:pPr>
        <w:spacing w:after="0" w:line="176" w:lineRule="exact"/>
        <w:rPr>
          <w:rFonts w:ascii="Times New Roman" w:cs="Times New Roman" w:eastAsia="Times New Roman" w:hAnsi="Times New Roman"/>
          <w:sz w:val="18"/>
          <w:szCs w:val="18"/>
          <w:color w:val="auto"/>
        </w:rPr>
      </w:pPr>
    </w:p>
    <w:p>
      <w:pPr>
        <w:ind w:left="-20" w:right="60" w:firstLine="656"/>
        <w:spacing w:after="0" w:line="266" w:lineRule="auto"/>
        <w:tabs>
          <w:tab w:leader="none" w:pos="127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w:t>
      </w:r>
      <w:r>
        <w:rPr>
          <w:rFonts w:ascii="Times New Roman" w:cs="Times New Roman" w:eastAsia="Times New Roman" w:hAnsi="Times New Roman"/>
          <w:sz w:val="18"/>
          <w:szCs w:val="18"/>
          <w:color w:val="auto"/>
        </w:rPr>
        <w:t>. No holder of the Stock Option shall, by virtue of the Grant Notice or these Award Terms, be entitled to any right of a stockholder of the Company, either at law or in equity, and the rights of any such holder are limited to those expressed, and are not enforceable against the Company except to the extent set forth, in the Plan, the Grant Notice or these Award Terms.</w:t>
      </w:r>
    </w:p>
    <w:p>
      <w:pPr>
        <w:spacing w:after="0" w:line="176" w:lineRule="exact"/>
        <w:rPr>
          <w:rFonts w:ascii="Times New Roman" w:cs="Times New Roman" w:eastAsia="Times New Roman" w:hAnsi="Times New Roman"/>
          <w:sz w:val="18"/>
          <w:szCs w:val="18"/>
          <w:color w:val="auto"/>
        </w:rPr>
      </w:pPr>
    </w:p>
    <w:p>
      <w:pPr>
        <w:ind w:left="-20" w:right="280" w:firstLine="656"/>
        <w:spacing w:after="0" w:line="266" w:lineRule="auto"/>
        <w:tabs>
          <w:tab w:leader="none" w:pos="127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76" w:lineRule="exact"/>
        <w:rPr>
          <w:rFonts w:ascii="Times New Roman" w:cs="Times New Roman" w:eastAsia="Times New Roman" w:hAnsi="Times New Roman"/>
          <w:sz w:val="18"/>
          <w:szCs w:val="18"/>
          <w:color w:val="auto"/>
        </w:rPr>
      </w:pPr>
    </w:p>
    <w:p>
      <w:pPr>
        <w:ind w:left="1280" w:hanging="644"/>
        <w:spacing w:after="0"/>
        <w:tabs>
          <w:tab w:leader="none" w:pos="12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Venue and Governing Law</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60" w:firstLine="1305"/>
        <w:spacing w:after="0" w:line="266" w:lineRule="auto"/>
        <w:tabs>
          <w:tab w:leader="none" w:pos="1922"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litigating any dispute that arises directly or indirectly from the relationship of the parties evidenced by the grant of the Stock Option or these Award Terms, the parties submit and consent to the exclusive jurisdiction of the State of California and agree that such litigation shall be conducted only in the courts of Los Angeles County, California, 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37" w:right="239" w:bottom="0" w:gutter="0" w:footer="0" w:header="0"/>
        </w:sectPr>
      </w:pPr>
    </w:p>
    <w:bookmarkStart w:id="217" w:name="page218"/>
    <w:bookmarkEnd w:id="217"/>
    <w:p>
      <w:pPr>
        <w:ind w:right="360"/>
        <w:spacing w:after="0" w:line="282" w:lineRule="auto"/>
        <w:rPr>
          <w:sz w:val="20"/>
          <w:szCs w:val="20"/>
          <w:color w:val="auto"/>
        </w:rPr>
      </w:pPr>
      <w:r>
        <w:rPr>
          <w:rFonts w:ascii="Times New Roman" w:cs="Times New Roman" w:eastAsia="Times New Roman" w:hAnsi="Times New Roman"/>
          <w:sz w:val="18"/>
          <w:szCs w:val="18"/>
          <w:color w:val="auto"/>
        </w:rPr>
        <w:t>the federal courts of the United States for the Central District of California and no other courts, regardless of where the grant of the Stock Option is made and/or to be performed.</w:t>
      </w:r>
    </w:p>
    <w:p>
      <w:pPr>
        <w:spacing w:after="0" w:line="162" w:lineRule="exact"/>
        <w:rPr>
          <w:sz w:val="20"/>
          <w:szCs w:val="20"/>
          <w:color w:val="auto"/>
        </w:rPr>
      </w:pPr>
    </w:p>
    <w:p>
      <w:pPr>
        <w:ind w:right="180" w:firstLine="1305"/>
        <w:spacing w:after="0" w:line="313" w:lineRule="auto"/>
        <w:tabs>
          <w:tab w:leader="none" w:pos="1952"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U.S. federal law does not otherwise control, the validity, interpretation, performance and enforcement of the Grant Notice and these Award Terms shall be governed by the laws of the State of Delaware, without giving effect to principles of conflicts of laws thereof.</w:t>
      </w:r>
    </w:p>
    <w:p>
      <w:pPr>
        <w:spacing w:after="0" w:line="138" w:lineRule="exact"/>
        <w:rPr>
          <w:rFonts w:ascii="Times New Roman" w:cs="Times New Roman" w:eastAsia="Times New Roman" w:hAnsi="Times New Roman"/>
          <w:sz w:val="17"/>
          <w:szCs w:val="17"/>
          <w:color w:val="auto"/>
        </w:rPr>
      </w:pPr>
    </w:p>
    <w:p>
      <w:pPr>
        <w:ind w:right="120" w:firstLine="656"/>
        <w:spacing w:after="0" w:line="266" w:lineRule="auto"/>
        <w:tabs>
          <w:tab w:leader="none" w:pos="1292"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provisions of the Grant Notice and these Award Terms shall be binding upon and inure to the benefit of the Company, its successors and assigns, and the Holder and, to the extent applicable, the Holder’s permitted assigns under Section 3(b) hereof and the Holder’s estate or beneficiaries as determined by will or the laws of descent and distribution.</w:t>
      </w:r>
    </w:p>
    <w:p>
      <w:pPr>
        <w:spacing w:after="0" w:line="1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Notices and Other Documents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305"/>
        <w:spacing w:after="0" w:line="261" w:lineRule="auto"/>
        <w:tabs>
          <w:tab w:leader="none" w:pos="1942"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document which the Holder may be required or permitted to deliver to the Company pursuant to or in connection with the Grant Notice or these Award Terms shall be in writing, and may be delivered personally or by mail, postage prepaid, or overnight courier, addressed to the Company, at its office at 3100 Ocean Park Boulevard, Santa Monica, California 90405, U.S.A., Attn: Stock Plan Administration, or such other address as the Company by notice to the Holder may designate in writing from time to time. Notices shall be effective upon delivery.</w:t>
      </w:r>
    </w:p>
    <w:p>
      <w:pPr>
        <w:spacing w:after="0" w:line="180" w:lineRule="exact"/>
        <w:rPr>
          <w:rFonts w:ascii="Times New Roman" w:cs="Times New Roman" w:eastAsia="Times New Roman" w:hAnsi="Times New Roman"/>
          <w:sz w:val="18"/>
          <w:szCs w:val="18"/>
          <w:color w:val="auto"/>
        </w:rPr>
      </w:pPr>
    </w:p>
    <w:p>
      <w:pPr>
        <w:ind w:right="20" w:firstLine="1305"/>
        <w:spacing w:after="0" w:line="255" w:lineRule="auto"/>
        <w:tabs>
          <w:tab w:leader="none" w:pos="1952"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document which the Company may be required or permitted to deliver to the Holder pursuant to or in connection with the Grant Notice or these Award Terms shall be in writing, and may be delivered personally or by mail, postage prepaid, or overnight courier, addressed to the Holder at the address shown on any employment agreement, service contract or offer letter between the Holder and any entity in the Company Group in effect at the time, or such other address as the Holder by notice to the Company may designate in writing from time to time. The Company may also, in its sole discretion, deliver any such document to the Holder electronically via an e-mail to the Holder at his or her Company-provided email address or through a notice delivered to such e-mail address that such document is available on a website established and maintained on behalf of the Company or a third party designated by the Company, including, without limitation, the Equity Account Administrator. Notices shall be effective upon delivery.</w:t>
      </w:r>
    </w:p>
    <w:p>
      <w:pPr>
        <w:spacing w:after="0" w:line="185" w:lineRule="exact"/>
        <w:rPr>
          <w:rFonts w:ascii="Times New Roman" w:cs="Times New Roman" w:eastAsia="Times New Roman" w:hAnsi="Times New Roman"/>
          <w:sz w:val="18"/>
          <w:szCs w:val="18"/>
          <w:color w:val="auto"/>
        </w:rPr>
      </w:pPr>
    </w:p>
    <w:p>
      <w:pPr>
        <w:ind w:right="340" w:firstLine="656"/>
        <w:spacing w:after="0" w:line="282" w:lineRule="auto"/>
        <w:tabs>
          <w:tab w:leader="none" w:pos="1292"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with Plan</w:t>
      </w:r>
      <w:r>
        <w:rPr>
          <w:rFonts w:ascii="Times New Roman" w:cs="Times New Roman" w:eastAsia="Times New Roman" w:hAnsi="Times New Roman"/>
          <w:sz w:val="18"/>
          <w:szCs w:val="18"/>
          <w:color w:val="auto"/>
        </w:rPr>
        <w:t>. In the event of any conflict between the terms the Grant Notice or these Award Terms and the terms of the Plan, the terms of the Plan shall control.</w:t>
      </w:r>
    </w:p>
    <w:p>
      <w:pPr>
        <w:spacing w:after="0" w:line="161" w:lineRule="exact"/>
        <w:rPr>
          <w:rFonts w:ascii="Times New Roman" w:cs="Times New Roman" w:eastAsia="Times New Roman" w:hAnsi="Times New Roman"/>
          <w:sz w:val="18"/>
          <w:szCs w:val="18"/>
          <w:color w:val="auto"/>
        </w:rPr>
      </w:pPr>
    </w:p>
    <w:p>
      <w:pPr>
        <w:ind w:firstLine="656"/>
        <w:spacing w:after="0" w:line="258" w:lineRule="auto"/>
        <w:tabs>
          <w:tab w:leader="none" w:pos="1292"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Appendix</w:t>
      </w:r>
      <w:r>
        <w:rPr>
          <w:rFonts w:ascii="Times New Roman" w:cs="Times New Roman" w:eastAsia="Times New Roman" w:hAnsi="Times New Roman"/>
          <w:sz w:val="18"/>
          <w:szCs w:val="18"/>
          <w:color w:val="auto"/>
        </w:rPr>
        <w:t>. Notwithstanding anything to the contrary contained herein, the Stock Option shall be subject to any special terms and conditions set forth in the Appendix for the Holder’s country of work and/or residence, which constitute a part of these Award Terms. Moreover, if the Holder relocates his or her work and/or residence to one of the countries included in the Appendix, the special terms and conditions for such country will apply to the Holder, to the extent the Company determines that the application of such terms and conditions is necessary or advisable in order to comply with applicable local law or facilitate the administration of the Plan.</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8" w:right="259" w:bottom="1440" w:gutter="0" w:footer="0" w:header="0"/>
        </w:sectPr>
      </w:pPr>
    </w:p>
    <w:bookmarkStart w:id="218" w:name="page219"/>
    <w:bookmarkEnd w:id="218"/>
    <w:p>
      <w:pPr>
        <w:ind w:left="-40" w:right="40" w:firstLine="656"/>
        <w:spacing w:after="0" w:line="261" w:lineRule="auto"/>
        <w:tabs>
          <w:tab w:leader="none" w:pos="125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Imposition of Other Requirements</w:t>
      </w:r>
      <w:r>
        <w:rPr>
          <w:rFonts w:ascii="Times New Roman" w:cs="Times New Roman" w:eastAsia="Times New Roman" w:hAnsi="Times New Roman"/>
          <w:sz w:val="18"/>
          <w:szCs w:val="18"/>
          <w:color w:val="auto"/>
        </w:rPr>
        <w:t>. The Company reserves the right to impose other requirements on the Holder’s participation in the Plan, on the Stock Option and on any Shares acquired under the Plan, to the extent the Company determines it is necessary or advisable in order to comply with applicable local law or facilitate the administration of the Plan, and to require the Holder to sign any additional agreements or undertakings that may be necessary to accomplish the foregoing.</w:t>
      </w:r>
    </w:p>
    <w:p>
      <w:pPr>
        <w:spacing w:after="0" w:line="180" w:lineRule="exact"/>
        <w:rPr>
          <w:rFonts w:ascii="Times New Roman" w:cs="Times New Roman" w:eastAsia="Times New Roman" w:hAnsi="Times New Roman"/>
          <w:sz w:val="18"/>
          <w:szCs w:val="18"/>
          <w:color w:val="auto"/>
        </w:rPr>
      </w:pPr>
    </w:p>
    <w:p>
      <w:pPr>
        <w:ind w:left="-40" w:firstLine="656"/>
        <w:spacing w:after="0" w:line="266" w:lineRule="auto"/>
        <w:tabs>
          <w:tab w:leader="none" w:pos="125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Holder acknowledges that a waiver by the Company of a breach of any provision of these Award Terms shall not operate or be construed as a waiver of any other provision of these Award Terms, or of any subsequent breach by the Holder or any other holder of an equity award from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83820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80" w:top="337" w:right="279" w:bottom="1440" w:gutter="0" w:footer="0" w:header="0"/>
        </w:sectPr>
      </w:pPr>
    </w:p>
    <w:bookmarkStart w:id="219" w:name="page220"/>
    <w:bookmarkEnd w:id="219"/>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APPENDIX</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STOCK OPTION AWARD TERMS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ADDITIONAL TERMS AND CONDITIONS BY COUNTRY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herein shall have the meanings given to such terms in the Plan or the Award Terms, as the case may be.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This Appendix includes special terms and conditions applicable to Holders who work and/or reside in the countries covered by the Appendix. These terms and conditions are in addition to or, if so indicated, in place of, the terms and conditions set forth in the Award Terms.</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If the Holder is a citizen or resident of a country other than the one in which he or she is currently residing and/or working, transferred or transfers employment and/or residency after the Stock Option was granted or is considered a resident of another country for local law purposes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Holder is a “mobile employee”), the Company shall have the sole discretion to determine to what extent the special terms and conditions shall apply to the 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Appendix also includes notifications relating to exchange control and other issues of which the Holder should be aware with respect to his or her participation in the Plan. The information is based on the exchange control, securities and other laws in effect in the countries to which this Appendix refers as of October 2018. Such laws are often complex and change frequently. As a result, the Company strongly recommends that the Holder not rely on the notifications herein as the only source of information relating to the consequences of participation in the Plan because the information may be out of date at the time Shares are purchased upon exercise of the Stock Option or Shares purchased under the Plan are sold.</w:t>
      </w:r>
    </w:p>
    <w:p>
      <w:pPr>
        <w:spacing w:after="0" w:line="1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the notifications are general in nature and may not apply to the particular situation of the Holder, and the Company is not in a position to assure the Holder of any particular result. Accordingly, each Holder should seek appropriate professional advice as to how the relevant laws in his or her country may apply to his or her situation. Finally, if the Holder is a mobile employee, the information contained herein may not be applicable to the Holder in the same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33" w:right="37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PROVISIONS APPLICABLE TO ALL HOLDERS WHO WORK AND/OR RESIDE OUTSIDE THE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Grant</w:t>
      </w:r>
      <w:r>
        <w:rPr>
          <w:rFonts w:ascii="Times New Roman" w:cs="Times New Roman" w:eastAsia="Times New Roman" w:hAnsi="Times New Roman"/>
          <w:sz w:val="18"/>
          <w:szCs w:val="18"/>
          <w:color w:val="auto"/>
        </w:rPr>
        <w:t>. By accepting the Stock Option, the Holder acknowledges, understands, and agrees that:</w:t>
      </w:r>
    </w:p>
    <w:p>
      <w:pPr>
        <w:spacing w:after="0" w:line="229" w:lineRule="exact"/>
        <w:rPr>
          <w:sz w:val="20"/>
          <w:szCs w:val="20"/>
          <w:color w:val="auto"/>
        </w:rPr>
      </w:pPr>
    </w:p>
    <w:p>
      <w:pPr>
        <w:ind w:left="660" w:right="200" w:hanging="328"/>
        <w:spacing w:after="0" w:line="282" w:lineRule="auto"/>
        <w:tabs>
          <w:tab w:leader="none" w:pos="66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it is discretionary in nature, and it may be modified, amended, suspended or terminated by the Company at any time, unless otherwise provided in the Plan and/or these Award Terms;</w:t>
      </w:r>
    </w:p>
    <w:p>
      <w:pPr>
        <w:spacing w:after="0" w:line="16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Stock Option is exceptional, voluntary and occasional and does not create any contractual or other right to receive future grants of rights to purchase Common Shares, or benefits in lieu of grants of rights to purchase Common Shares, even if grants of rights to purchase Common Shares have been granted in the past;</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grants of rights to purchase Common Shares, if any, will be at the sole discretion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participation in the Plan is voluntary;</w:t>
      </w:r>
    </w:p>
    <w:p>
      <w:pPr>
        <w:spacing w:after="0" w:line="225" w:lineRule="exact"/>
        <w:rPr>
          <w:rFonts w:ascii="Times New Roman" w:cs="Times New Roman" w:eastAsia="Times New Roman" w:hAnsi="Times New Roman"/>
          <w:sz w:val="18"/>
          <w:szCs w:val="18"/>
          <w:color w:val="auto"/>
        </w:rPr>
      </w:pPr>
    </w:p>
    <w:p>
      <w:pPr>
        <w:jc w:val="both"/>
        <w:ind w:left="660" w:right="60" w:hanging="328"/>
        <w:spacing w:after="0" w:line="261" w:lineRule="auto"/>
        <w:tabs>
          <w:tab w:leader="none" w:pos="66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Stock Option and any Shares acquired under the Plan and the income in respect of and the value of the same are extraordinary items that do not constitute compensation of any kind for services of any kind rendered to the Company or the Employer, and which are outside the scope of the employment agreement or service contract between the Holder and the Company, the Employer or any other entity in the Company Group, if any;</w:t>
      </w:r>
    </w:p>
    <w:p>
      <w:pPr>
        <w:spacing w:after="0" w:line="180"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Option and any Shares acquired under the Plan and the income in respect of and the value of the same are not intended to replace any pension rights or compensation;</w:t>
      </w:r>
    </w:p>
    <w:p>
      <w:pPr>
        <w:spacing w:after="0" w:line="161" w:lineRule="exact"/>
        <w:rPr>
          <w:rFonts w:ascii="Times New Roman" w:cs="Times New Roman" w:eastAsia="Times New Roman" w:hAnsi="Times New Roman"/>
          <w:sz w:val="18"/>
          <w:szCs w:val="18"/>
          <w:color w:val="auto"/>
        </w:rPr>
      </w:pPr>
    </w:p>
    <w:p>
      <w:pPr>
        <w:ind w:left="660" w:hanging="328"/>
        <w:spacing w:after="0" w:line="261" w:lineRule="auto"/>
        <w:tabs>
          <w:tab w:leader="none" w:pos="66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Option and any Shares acquired under the Plan, and the income in respect of and the value of the same, are not part of normal or expected compensation or salary for any purpose, including, without limitation, the calculation of any severance, resignation, termination, redundancy, dismissal, end of service payment, bonus, long-service award, leave-related payment, holiday pay, pension or retirement or welfare benefit or similar payments;</w:t>
      </w:r>
    </w:p>
    <w:p>
      <w:pPr>
        <w:spacing w:after="0" w:line="180"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6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Option grant and the Holder’s participation in the Plan will not be interpreted to form an employment or service contract or relationship with the Company and, furthermore, the Stock Option grant will not be interpreted to form an employment agreement or service contract or relationship with any other company in the Company Group;</w:t>
      </w:r>
    </w:p>
    <w:p>
      <w:pPr>
        <w:spacing w:after="0" w:line="176"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underlying Shares is unknown and cannot be predicted with certainty;</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221" w:name="page222"/>
    <w:bookmarkEnd w:id="221"/>
    <w:p>
      <w:pPr>
        <w:ind w:left="408" w:hanging="408"/>
        <w:spacing w:after="0"/>
        <w:tabs>
          <w:tab w:leader="none" w:pos="40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underlying Shares do not increase in value, the Stock Option will have no value;</w:t>
      </w:r>
    </w:p>
    <w:p>
      <w:pPr>
        <w:spacing w:after="0" w:line="225" w:lineRule="exact"/>
        <w:rPr>
          <w:rFonts w:ascii="Times New Roman" w:cs="Times New Roman" w:eastAsia="Times New Roman" w:hAnsi="Times New Roman"/>
          <w:sz w:val="18"/>
          <w:szCs w:val="18"/>
          <w:color w:val="auto"/>
        </w:rPr>
      </w:pPr>
    </w:p>
    <w:p>
      <w:pPr>
        <w:ind w:left="408" w:right="240" w:hanging="408"/>
        <w:spacing w:after="0" w:line="282" w:lineRule="auto"/>
        <w:tabs>
          <w:tab w:leader="none" w:pos="40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exercises the Stock Option and obtains Shares, the value of those Shares acquired upon exercise may increase or decrease in value, even below the Exercise Price;</w:t>
      </w:r>
    </w:p>
    <w:p>
      <w:pPr>
        <w:spacing w:after="0" w:line="161" w:lineRule="exact"/>
        <w:rPr>
          <w:rFonts w:ascii="Times New Roman" w:cs="Times New Roman" w:eastAsia="Times New Roman" w:hAnsi="Times New Roman"/>
          <w:sz w:val="18"/>
          <w:szCs w:val="18"/>
          <w:color w:val="auto"/>
        </w:rPr>
      </w:pPr>
    </w:p>
    <w:p>
      <w:pPr>
        <w:ind w:left="408" w:hanging="408"/>
        <w:spacing w:after="0" w:line="282" w:lineRule="auto"/>
        <w:tabs>
          <w:tab w:leader="none" w:pos="41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with the Company, the Stock Option and the Shares subject to the Stock Option, and the income and value of same, are not granted as consideration for, or in connection with, the service the Holder may provide as a director of any entity of Company Group;</w:t>
      </w:r>
    </w:p>
    <w:p>
      <w:pPr>
        <w:spacing w:after="0" w:line="161" w:lineRule="exact"/>
        <w:rPr>
          <w:rFonts w:ascii="Times New Roman" w:cs="Times New Roman" w:eastAsia="Times New Roman" w:hAnsi="Times New Roman"/>
          <w:sz w:val="18"/>
          <w:szCs w:val="18"/>
          <w:color w:val="auto"/>
        </w:rPr>
      </w:pPr>
    </w:p>
    <w:p>
      <w:pPr>
        <w:ind w:left="408" w:right="240" w:hanging="408"/>
        <w:spacing w:after="0" w:line="261" w:lineRule="auto"/>
        <w:tabs>
          <w:tab w:leader="none" w:pos="41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Stock Option resulting from termination of the Holder’s continuous service with the Company or the Employer (for any reason whatsoever, whether or not later found to be invalid or in breach of employment laws in the jurisdiction in which the Holder is employed or the terms of the employment agreement or service contract between the Holder and the Company, the Employer or any other entity in the Company Group, if any);</w:t>
      </w:r>
    </w:p>
    <w:p>
      <w:pPr>
        <w:spacing w:after="0" w:line="180" w:lineRule="exact"/>
        <w:rPr>
          <w:rFonts w:ascii="Times New Roman" w:cs="Times New Roman" w:eastAsia="Times New Roman" w:hAnsi="Times New Roman"/>
          <w:sz w:val="18"/>
          <w:szCs w:val="18"/>
          <w:color w:val="auto"/>
        </w:rPr>
      </w:pPr>
    </w:p>
    <w:p>
      <w:pPr>
        <w:ind w:left="408" w:hanging="408"/>
        <w:spacing w:after="0" w:line="253" w:lineRule="auto"/>
        <w:tabs>
          <w:tab w:leader="none" w:pos="41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Committee determines otherwise, in the event of the termination of the Holder’s continuous service (regardless of the reason for such termination and whether or not later found to be invalid or in breach of employment laws in the jurisdiction in which the Holder is employed or the terms of the employment agreement or service contract between the Holder and the Company, the Employer or any other entity in the Company Group, if any), the Holder’s right to receive or vest in the Stock Option under the Plan, if any, will terminate effective as of the date that the Holder is no longer actively employed and will not be extended by any notice period mandated under local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active employment would not include a period of “garden leave” or similar period pursuant to local law); furthermore, in the event of the termination of the Holder’s continuous service (regardless of the reason for such termination and whether or not later found to be invalid or in breach of employment laws in the jurisdiction in which the Holder is employed or the terms of the Holder’s employment agreement or service contract, if any), the Holder’s right to exercise the Stock Option after termination of the Holder’s continuous service, if any, will be measured by the date of termination of the Holder’s active employment and will not be extended by any notice period mandated under local law; the Committee shall have the exclusive discretion to determine when the Holder is no longer actively employed for purposes of the Holder’s Stock Option grant (including whether the Holder may still be considered actively employed while on a leave of absence);</w:t>
      </w:r>
    </w:p>
    <w:p>
      <w:pPr>
        <w:spacing w:after="0" w:line="190" w:lineRule="exact"/>
        <w:rPr>
          <w:rFonts w:ascii="Times New Roman" w:cs="Times New Roman" w:eastAsia="Times New Roman" w:hAnsi="Times New Roman"/>
          <w:sz w:val="18"/>
          <w:szCs w:val="18"/>
          <w:color w:val="auto"/>
        </w:rPr>
      </w:pPr>
    </w:p>
    <w:p>
      <w:pPr>
        <w:ind w:left="408" w:right="680" w:hanging="408"/>
        <w:spacing w:after="0" w:line="282" w:lineRule="auto"/>
        <w:tabs>
          <w:tab w:leader="none" w:pos="41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providing any tax, legal or financial advice, nor is the Company making any recommendations regarding the Holder’s participation in the Plan, or the Holder’s acquisition or sale of the underlying Shares;</w:t>
      </w:r>
    </w:p>
    <w:p>
      <w:pPr>
        <w:spacing w:after="0" w:line="162" w:lineRule="exact"/>
        <w:rPr>
          <w:sz w:val="20"/>
          <w:szCs w:val="20"/>
          <w:color w:val="auto"/>
        </w:rPr>
      </w:pPr>
    </w:p>
    <w:p>
      <w:pPr>
        <w:jc w:val="center"/>
        <w:ind w:right="252"/>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83820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28"/>
          </w:cols>
          <w:pgMar w:left="572" w:top="337" w:right="299" w:bottom="1440" w:gutter="0" w:footer="0" w:header="0"/>
        </w:sectPr>
      </w:pPr>
    </w:p>
    <w:bookmarkStart w:id="222" w:name="page223"/>
    <w:bookmarkEnd w:id="222"/>
    <w:p>
      <w:pPr>
        <w:ind w:left="740" w:right="220" w:hanging="408"/>
        <w:spacing w:after="0" w:line="282" w:lineRule="auto"/>
        <w:tabs>
          <w:tab w:leader="none" w:pos="74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should consult with the Holder’s own personal tax, legal and financial advisors regarding the Holder’s participation in the Plan before taking any action related to the Plan;</w:t>
      </w:r>
    </w:p>
    <w:p>
      <w:pPr>
        <w:spacing w:after="0" w:line="161" w:lineRule="exact"/>
        <w:rPr>
          <w:rFonts w:ascii="Times New Roman" w:cs="Times New Roman" w:eastAsia="Times New Roman" w:hAnsi="Times New Roman"/>
          <w:sz w:val="18"/>
          <w:szCs w:val="18"/>
          <w:color w:val="auto"/>
        </w:rPr>
      </w:pPr>
    </w:p>
    <w:p>
      <w:pPr>
        <w:ind w:left="740" w:right="80" w:hanging="408"/>
        <w:spacing w:after="0" w:line="266" w:lineRule="auto"/>
        <w:tabs>
          <w:tab w:leader="none" w:pos="74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Company in its discretion, the Stock Option and the benefits evidenced by these Award Terms do not create any entitlement to have the Stock Option or any such benefits transferred to, or assumed by, another company, nor be exchanged, cashed out or substituted for, in connection with any corporate transaction affecting the Shares; and</w:t>
      </w:r>
    </w:p>
    <w:p>
      <w:pPr>
        <w:spacing w:after="0" w:line="176" w:lineRule="exact"/>
        <w:rPr>
          <w:rFonts w:ascii="Times New Roman" w:cs="Times New Roman" w:eastAsia="Times New Roman" w:hAnsi="Times New Roman"/>
          <w:sz w:val="18"/>
          <w:szCs w:val="18"/>
          <w:color w:val="auto"/>
        </w:rPr>
      </w:pPr>
    </w:p>
    <w:p>
      <w:pPr>
        <w:ind w:left="740" w:hanging="408"/>
        <w:spacing w:after="0" w:line="266" w:lineRule="auto"/>
        <w:tabs>
          <w:tab w:leader="none" w:pos="74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the Employer nor any other entity in the Company Group shall be liable for any foreign exchange rate fluctuation between the Holder’s local currency and the United States Dollar that may affect the value of the Stock Option or of any amounts due to the Holder pursuant to the exercise of the Stock Option or the subsequent sale of any Shares acquired upon exercise.</w:t>
      </w:r>
    </w:p>
    <w:p>
      <w:pPr>
        <w:spacing w:after="0" w:line="1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Foreign Asset/Account Reporting Requirements. </w:t>
      </w:r>
      <w:r>
        <w:rPr>
          <w:rFonts w:ascii="Times New Roman" w:cs="Times New Roman" w:eastAsia="Times New Roman" w:hAnsi="Times New Roman"/>
          <w:sz w:val="18"/>
          <w:szCs w:val="18"/>
          <w:color w:val="auto"/>
        </w:rPr>
        <w:t>The Holder acknowledges that there may be certain foreign asset and/or account reporting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may affect the Holder’s ability to acquire or hold Shares acquired under the Plan or cash received from participating in the Plan (including from any dividends paid on Shares acquired under the Plan) in a brokerage or bank account outside the Holder’s country of work and/or residence. The Holder may be required to report such accounts, assets or transactions to the tax or other authorities in his or her country. The Holder also may be required to repatriate sale proceeds or other funds received as a result of the Holder’s participation in the Plan to his or her country through a designated bank or broker within a certain time after receipt. The Holder acknowledges that it is his or her responsibility to be compliant with such regulations, and the Holder is advised to consult his or her personal legal advisor for any details.</w:t>
      </w:r>
    </w:p>
    <w:p>
      <w:pPr>
        <w:spacing w:after="0" w:line="18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Language</w:t>
      </w:r>
      <w:r>
        <w:rPr>
          <w:rFonts w:ascii="Times New Roman" w:cs="Times New Roman" w:eastAsia="Times New Roman" w:hAnsi="Times New Roman"/>
          <w:sz w:val="18"/>
          <w:szCs w:val="18"/>
          <w:color w:val="auto"/>
        </w:rPr>
        <w:t>. The Holder acknowledges that he or she is sufficiently proficient in English, or has consulted with an advisor who is sufficiently proficient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English, to understand the terms and conditions of these Award Terms. Furthermore, if the Grant Notice, these Award Terms or any other document related to the Plan has been translated into a language other than English and the meaning of the translated version is different than the English version then, by accepting the Award, the Holder acknowledges that the English version will control.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INFORMATION AND CONSENT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following provision applies to Holders who work and/or reside outside the European Union/European Economic Area.</w:t>
      </w:r>
    </w:p>
    <w:p>
      <w:pPr>
        <w:spacing w:after="0" w:line="22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Data Collection and Usage</w:t>
      </w:r>
      <w:r>
        <w:rPr>
          <w:rFonts w:ascii="Times New Roman" w:cs="Times New Roman" w:eastAsia="Times New Roman" w:hAnsi="Times New Roman"/>
          <w:sz w:val="18"/>
          <w:szCs w:val="18"/>
          <w:color w:val="auto"/>
        </w:rPr>
        <w:t>. The Holder hereby explicitly and unambiguously consents to the collection, use and transfer, in electronic or other form,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personal data as described in the Grant Notice and these Award Terms by and among, as applicable, the Employer or any other entity in the Company Group for the exclusive purpose of implementing, administering and managing the Holder’s participation in the Plan.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23" w:name="page224"/>
    <w:bookmarkEnd w:id="223"/>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Data Processing. </w:t>
      </w:r>
      <w:r>
        <w:rPr>
          <w:rFonts w:ascii="Times New Roman" w:cs="Times New Roman" w:eastAsia="Times New Roman" w:hAnsi="Times New Roman"/>
          <w:sz w:val="18"/>
          <w:szCs w:val="18"/>
          <w:color w:val="auto"/>
        </w:rPr>
        <w:t>The Holder understands that the Company and the Employer may hold certain personal information about the Holder, including,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limitation, the Holder’s name, home address, email address and telephone number, date of birth, social insurance, passport or other identification number, salary, nationality, job title, any directorships held in any entity in the Company Group, any Shares owned, details of all options or any other entitlement to Shares or equivalent benefits awarded, canceled, purchased, exercised, vested, unvested or outstanding in the Holder’s favor (the “Data”), for the purpose of implementing, administering and managing the Plan.</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color w:val="auto"/>
        </w:rPr>
        <w:t>Stock Plan Administration, Data Transfer, Retention and Data Subject Rights</w:t>
      </w:r>
      <w:r>
        <w:rPr>
          <w:rFonts w:ascii="Times New Roman" w:cs="Times New Roman" w:eastAsia="Times New Roman" w:hAnsi="Times New Roman"/>
          <w:sz w:val="18"/>
          <w:szCs w:val="18"/>
          <w:color w:val="auto"/>
        </w:rPr>
        <w:t>. The Holder understands that the Data will be transferred to the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Administrator, which is assisting the Company with the implementation, administration and management of the Plan. The Holder understands that the recipients of the Data may be located in the Holder’s country of work and/or residence, or elsewhere, and that any recipient’s country may have different data privacy laws and protections than the Holder’s country of work and/or residence. The Holder understands that the Holder may request a list with the names and addresses of any potential recipients of the Data by contacting the Holder’s local human resources representative. The Holder authorizes the Company, the Equity Account Administrator and any other possible recipients which may assist the Company (presently or in the future) with implementing, administering and managing the Plan to receive, possess, use, retain and transfer the Data, in electronic or other form, for the purpose of implementing, administering and managing the Holder’s participation in the Plan. The Holder understands that Data will be held only as long as is necessary to implement, administer and manage the Holder’s participation in the Plan. The Holder understands that the Holder may, at any time, view the Data, request additional information about the storage and processing of the Data, require any necessary amendments to the Data or refuse or withdraw the consents herein, in any case without cost, by contacting in writing the Holder’s local human resources representative. Further, the Holder understands that he or she is providing the consents herein on a purely voluntary basis. If the Holder does not consent, or if the Holder later seeks to revoke his or her consent, his or her employment status or service with the Employer will not be affected; the only consequence of refusing or withdrawing the Holder’s consent is that the Company would not be able to grant the Holder Stock Options or other equity awards or administer or maintain such awards. Therefore, the Holder understands that refusal or withdrawal of consent may affect the Holder’s ability to participate in the Plan. For more information on the consequences of the Holder’s refusal to consent or withdrawal of consent, the Holder understands that the Holder may contact the Holder’s local human resources representative.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following provision applies to Holders who work and/or reside in the European Union/European Economic Area.</w:t>
      </w:r>
    </w:p>
    <w:p>
      <w:pPr>
        <w:spacing w:after="0" w:line="225" w:lineRule="exact"/>
        <w:rPr>
          <w:sz w:val="20"/>
          <w:szCs w:val="20"/>
          <w:color w:val="auto"/>
        </w:rPr>
      </w:pPr>
    </w:p>
    <w:p>
      <w:pPr>
        <w:jc w:val="both"/>
        <w:ind w:right="480"/>
        <w:spacing w:after="0" w:line="268" w:lineRule="auto"/>
        <w:rPr>
          <w:sz w:val="20"/>
          <w:szCs w:val="20"/>
          <w:color w:val="auto"/>
        </w:rPr>
      </w:pPr>
      <w:r>
        <w:rPr>
          <w:rFonts w:ascii="Times New Roman" w:cs="Times New Roman" w:eastAsia="Times New Roman" w:hAnsi="Times New Roman"/>
          <w:sz w:val="18"/>
          <w:szCs w:val="18"/>
          <w:b w:val="1"/>
          <w:bCs w:val="1"/>
          <w:color w:val="auto"/>
        </w:rPr>
        <w:t>Data Collection and Usage</w:t>
      </w:r>
      <w:r>
        <w:rPr>
          <w:rFonts w:ascii="Times New Roman" w:cs="Times New Roman" w:eastAsia="Times New Roman" w:hAnsi="Times New Roman"/>
          <w:sz w:val="18"/>
          <w:szCs w:val="18"/>
          <w:color w:val="auto"/>
        </w:rPr>
        <w:t>. Pursuant to applicable data protection laws, the Holder is hereby notified that the Company collects, processes, uses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transfers certain personally-identifiable information about the Holder for the exclusive legitimate purpose of granting Stock Options and implementing, administering and managing the Holder’s participation in the Plan. Specifics of the data processing are described below.</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color w:val="auto"/>
        </w:rPr>
        <w:t>Controller</w:t>
      </w:r>
      <w:r>
        <w:rPr>
          <w:rFonts w:ascii="Times New Roman" w:cs="Times New Roman" w:eastAsia="Times New Roman" w:hAnsi="Times New Roman"/>
          <w:sz w:val="18"/>
          <w:szCs w:val="18"/>
          <w:color w:val="auto"/>
        </w:rPr>
        <w:t>. The Company is the controller responsible for the processing of the Holder’s personal data in connection with the Plan.</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Personal Data Subject to Processing</w:t>
      </w:r>
      <w:r>
        <w:rPr>
          <w:rFonts w:ascii="Times New Roman" w:cs="Times New Roman" w:eastAsia="Times New Roman" w:hAnsi="Times New Roman"/>
          <w:sz w:val="18"/>
          <w:szCs w:val="18"/>
          <w:color w:val="auto"/>
        </w:rPr>
        <w:t>. The Company collects, processes and uses the following types of personal data about the Holder: name, home address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telephone number, email address, date of birth, social insurance, passport number or other identification number, salary, nationality, job title, any shares of stock or directorships held in any entity in the Company Group, details of all Stock Options or any other entitlement to Shares awarded, canceled, settled, vested, unvested or outstanding in the Holder’s favor, which the Company receives from the Holder or the Employer (“Personal Data”).</w:t>
      </w:r>
    </w:p>
    <w:p>
      <w:pPr>
        <w:spacing w:after="0" w:line="17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Purposes and Legal Bases of Processing</w:t>
      </w:r>
      <w:r>
        <w:rPr>
          <w:rFonts w:ascii="Times New Roman" w:cs="Times New Roman" w:eastAsia="Times New Roman" w:hAnsi="Times New Roman"/>
          <w:sz w:val="18"/>
          <w:szCs w:val="18"/>
          <w:color w:val="auto"/>
        </w:rPr>
        <w:t>. The Company processes the Personal Data for the purpose of performing its contractual obligations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Terms, granting Stock Options, implementing, administering and managing the Holder’s participation in the Plan and facilitating compliance with applicable tax and securities law. The legal basis for the processing of the Personal Data by the Company and the third-party service providers described below is the necessity of the data processing for the Company to perform its contractual obligations under the Award Terms and for the Company’s legitimate business interests of managing the Plan and generally administering employee equity awards.</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Stock Plan Administration Service Providers</w:t>
      </w:r>
      <w:r>
        <w:rPr>
          <w:rFonts w:ascii="Times New Roman" w:cs="Times New Roman" w:eastAsia="Times New Roman" w:hAnsi="Times New Roman"/>
          <w:sz w:val="18"/>
          <w:szCs w:val="18"/>
          <w:color w:val="auto"/>
        </w:rPr>
        <w:t>. The Company transfers Personal Data to the Equity Account Administrator, an independent stock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with operations, relevant to the Company, in the United States, which assists the Company with the implementation, administration and management of the Plan. In the future, the Company may select a different service provider and may share Personal Data with such service providers. The Holder will be asked to agree on separate terms and data processing practices with the service provider, which is a condition of the Holder’s ability to participate in the Plan. The Holder’s Personal Data will only be accessible by those individuals requiring access to it for purposes of implementing, administering and operating the Holder’s participation in the Plan. The Holder understands that the Holder may request a list with the names and addresses of any potential recipients of Personal Data by contacting the Holder’s local human resources representative.</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International Data Transfers</w:t>
      </w:r>
      <w:r>
        <w:rPr>
          <w:rFonts w:ascii="Times New Roman" w:cs="Times New Roman" w:eastAsia="Times New Roman" w:hAnsi="Times New Roman"/>
          <w:sz w:val="18"/>
          <w:szCs w:val="18"/>
          <w:color w:val="auto"/>
        </w:rPr>
        <w:t>. The Company and its service providers, including, without limitation, the Equity Account Administrator, operate, relevant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in the United States, which means that it will be necessary for Personal Data to be transferred to, and processed in, the United States. The Holder understands and acknowledges that the United States is not subject to an unlimited adequacy finding by the European Commission and that the Holder’s Personal Data may not have an equivalent level of protection as compared to the Holder’s country of work and/or residence. To provide appropriate safeguards for the protection of the Holder’s Personal Data, the Personal Data is transferred to the Company based on data transfer and processing agreements implementing the EU Standard Contractual Clauses. The Holder may request a copy of the safeguards used to protect his or her Personal Data by contacting the Company at: employeeprivacy@activision.com.</w:t>
      </w:r>
    </w:p>
    <w:p>
      <w:pPr>
        <w:spacing w:after="0" w:line="18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Data Retention</w:t>
      </w:r>
      <w:r>
        <w:rPr>
          <w:rFonts w:ascii="Times New Roman" w:cs="Times New Roman" w:eastAsia="Times New Roman" w:hAnsi="Times New Roman"/>
          <w:sz w:val="18"/>
          <w:szCs w:val="18"/>
          <w:color w:val="auto"/>
        </w:rPr>
        <w:t>. The Company will use the Personal Data only as long as necessary to implement, administer and manage the Holder’s participation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or as required to comply with legal or regulatory obligations, including tax and securities laws. When the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25" w:name="page226"/>
    <w:bookmarkEnd w:id="225"/>
    <w:p>
      <w:pPr>
        <w:ind w:right="120"/>
        <w:spacing w:after="0" w:line="282" w:lineRule="auto"/>
        <w:rPr>
          <w:sz w:val="20"/>
          <w:szCs w:val="20"/>
          <w:color w:val="auto"/>
        </w:rPr>
      </w:pPr>
      <w:r>
        <w:rPr>
          <w:rFonts w:ascii="Times New Roman" w:cs="Times New Roman" w:eastAsia="Times New Roman" w:hAnsi="Times New Roman"/>
          <w:sz w:val="18"/>
          <w:szCs w:val="18"/>
          <w:color w:val="auto"/>
        </w:rPr>
        <w:t>Company no longer needs the Personal Data, the Company will remove it from its systems. If the Company keeps data longer, it would be to satisfy legal or regulatory obligations and the Company’s legal basis would be relevant laws or regulations.</w:t>
      </w:r>
    </w:p>
    <w:p>
      <w:pPr>
        <w:spacing w:after="0" w:line="15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Data Subject Rights</w:t>
      </w:r>
      <w:r>
        <w:rPr>
          <w:rFonts w:ascii="Times New Roman" w:cs="Times New Roman" w:eastAsia="Times New Roman" w:hAnsi="Times New Roman"/>
          <w:sz w:val="18"/>
          <w:szCs w:val="18"/>
          <w:color w:val="auto"/>
        </w:rPr>
        <w:t>. To the extent provided by law, the Holder has the right to (i) inquire whether and what kind of Personal Data the Company holds about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the Holder feels its processing is inappropriate, (v) object, in certain circumstances, to the processing of Personal Data for legitimate interests, (vi) request portability of Personal Data that the Holder has actively or passively provided to the Company, where the processing of such Personal Data is based on consent or a contractual agreement with the Holder and is carried out by automated means, or (vii) lodge a complaint with the competent local data protection authority. To receive additional information regarding the Holder’s rights, raise any other questions regarding the practices described in the Award Terms or to exercise his or her rights, the Holder should contact the Company at: employeeprivacy@activision.com.</w:t>
      </w:r>
    </w:p>
    <w:p>
      <w:pPr>
        <w:spacing w:after="0" w:line="18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Contractual Requirement</w:t>
      </w:r>
      <w:r>
        <w:rPr>
          <w:rFonts w:ascii="Times New Roman" w:cs="Times New Roman" w:eastAsia="Times New Roman" w:hAnsi="Times New Roman"/>
          <w:sz w:val="18"/>
          <w:szCs w:val="18"/>
          <w:color w:val="auto"/>
        </w:rPr>
        <w:t>. The Holder’s provision of Personal Data and its processing as described above is a contractual requirement and a condition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ability to participate in the Plan. The Holder understands that, as a consequence of the Holder’s refusing to provide Personal Data, the Company may not be able to allow the Holder to participate in the Plan, grant Stock Options to the Holder or administer or maintain such Stock Options. However, the Holder’s participation in the Plan and his or her acceptance of the Award Terms are purely voluntary. While the Holder will not receive Stock Options if he or she decides against participating in the Plan or providing Personal Data as described above, the Holder’s career and salary will not be affected in any way. For more information on the consequences of the refusal to provide Personal Data, the Holder may contact the Company at: employeeprivacy@activision.com.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FOR ARGENTINA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OPTION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Securities Law Notification. </w:t>
      </w:r>
      <w:r>
        <w:rPr>
          <w:rFonts w:ascii="Times New Roman" w:cs="Times New Roman" w:eastAsia="Times New Roman" w:hAnsi="Times New Roman"/>
          <w:sz w:val="18"/>
          <w:szCs w:val="18"/>
          <w:color w:val="auto"/>
        </w:rPr>
        <w:t>The Stock Option and any Shares acquired upon exercise are offered as a private transaction. This offering is not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supervision by any Argentine governmental authority.</w:t>
      </w:r>
    </w:p>
    <w:p>
      <w:pPr>
        <w:spacing w:after="0" w:line="15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Exchange Control Notification. </w:t>
      </w:r>
      <w:r>
        <w:rPr>
          <w:rFonts w:ascii="Times New Roman" w:cs="Times New Roman" w:eastAsia="Times New Roman" w:hAnsi="Times New Roman"/>
          <w:sz w:val="18"/>
          <w:szCs w:val="18"/>
          <w:color w:val="auto"/>
        </w:rPr>
        <w:t>Depending upon the method of exercise chosen for the Stock Option, the Holder may be subject to restrictions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purchase and/or transfer of U.S. dollars pursuant to Argentine currency exchange regulations. The Company reserves the right to restrict the methods of exercise if required under Argentine laws.</w:t>
      </w:r>
    </w:p>
    <w:p>
      <w:pPr>
        <w:spacing w:after="0" w:line="173"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The Holder is solely responsible for complying with the exchange control rules that may apply in connection with the Holder’s participation in the Plan and/or transfer of proceeds into Argentina. Prior to transferring proceeds into Argentina, the Holder should consult his or her local bank and/or exchange control advisor to confirm the exchange control rules and required documentation.</w:t>
      </w:r>
    </w:p>
    <w:p>
      <w:pPr>
        <w:spacing w:after="0" w:line="1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Foreign Asset/Account Reporting Notification. </w:t>
      </w:r>
      <w:r>
        <w:rPr>
          <w:rFonts w:ascii="Times New Roman" w:cs="Times New Roman" w:eastAsia="Times New Roman" w:hAnsi="Times New Roman"/>
          <w:sz w:val="18"/>
          <w:szCs w:val="18"/>
          <w:color w:val="auto"/>
        </w:rPr>
        <w:t>The Holder must report holdings of any equity interest in a foreign company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Shares acquired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on his or her annual tax return each year.</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6" w:name="page227"/>
    <w:bookmarkEnd w:id="22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APPENDIX FOR AUSTRALIA</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STOCK OPTION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Securities Law Notification. </w:t>
      </w:r>
      <w:r>
        <w:rPr>
          <w:rFonts w:ascii="Times New Roman" w:cs="Times New Roman" w:eastAsia="Times New Roman" w:hAnsi="Times New Roman"/>
          <w:sz w:val="18"/>
          <w:szCs w:val="18"/>
          <w:color w:val="auto"/>
        </w:rPr>
        <w:t>If the Holder exercises the Stock Option and subsequently offers the Shares purchased upon exercise for sale to a person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entity resident in Australia, the offer may be subject to disclosure requirements under Australian law and the Holder should obtain legal advice regarding any applicable disclosure obligations prior to making any such offer.</w:t>
      </w:r>
    </w:p>
    <w:p>
      <w:pPr>
        <w:spacing w:after="0" w:line="17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Exchange Control Notification. </w:t>
      </w:r>
      <w:r>
        <w:rPr>
          <w:rFonts w:ascii="Times New Roman" w:cs="Times New Roman" w:eastAsia="Times New Roman" w:hAnsi="Times New Roman"/>
          <w:sz w:val="18"/>
          <w:szCs w:val="18"/>
          <w:color w:val="auto"/>
        </w:rPr>
        <w:t>Exchange control reporting is required for cash transactions exceeding A$10,000 and all international fund transfers.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Australian bank assisting with the transaction will file the report for the Holder. If there is no Australian bank involved in the transfer, the Holder will be required to file the report him/herself.</w:t>
      </w:r>
    </w:p>
    <w:p>
      <w:pPr>
        <w:spacing w:after="0" w:line="17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Tax Information</w:t>
      </w:r>
      <w:r>
        <w:rPr>
          <w:rFonts w:ascii="Times New Roman" w:cs="Times New Roman" w:eastAsia="Times New Roman" w:hAnsi="Times New Roman"/>
          <w:sz w:val="18"/>
          <w:szCs w:val="18"/>
          <w:color w:val="auto"/>
        </w:rPr>
        <w:t>. The Plan is a plan to which subdivision 83A-C of the Income Tax Assessment Act 1997 (Cth) applies (subject to conditions therein).</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3" w:right="319" w:bottom="1440" w:gutter="0" w:footer="0" w:header="0"/>
        </w:sectPr>
      </w:pPr>
    </w:p>
    <w:bookmarkStart w:id="227" w:name="page228"/>
    <w:bookmarkEnd w:id="227"/>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APPENDIX FOR BRAZIL</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STOCK OPTION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Compliance with Law. </w:t>
      </w:r>
      <w:r>
        <w:rPr>
          <w:rFonts w:ascii="Times New Roman" w:cs="Times New Roman" w:eastAsia="Times New Roman" w:hAnsi="Times New Roman"/>
          <w:sz w:val="18"/>
          <w:szCs w:val="18"/>
          <w:color w:val="auto"/>
        </w:rPr>
        <w:t>By accepting the Stock Option, the Holder acknowledges that he or she agrees to comply with applicable Brazilian laws and to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and all applicable taxes associated with the Holder’s participation in the Plan, including the exercise of the Stock Option, the receipt of any dividends, and the sale of Shares acquired under the Plan.</w:t>
      </w:r>
    </w:p>
    <w:p>
      <w:pPr>
        <w:spacing w:after="0" w:line="171"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Nature of Company Stock Option Grants. </w:t>
      </w:r>
      <w:r>
        <w:rPr>
          <w:rFonts w:ascii="Times New Roman" w:cs="Times New Roman" w:eastAsia="Times New Roman" w:hAnsi="Times New Roman"/>
          <w:sz w:val="18"/>
          <w:szCs w:val="18"/>
          <w:color w:val="auto"/>
        </w:rPr>
        <w:t>By accepting the Stock Option, the Holder agrees that (1) he or she is making an investment decision, (2)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will be issued to the Holder only if the vesting conditions are met and any necessary services are rendered by the Holder over the vesting period and (3) the value of the underlying Shares is not fixed and may increase or decrease in value over time without compensation to the Holder.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Exchange Control Notification</w:t>
      </w:r>
      <w:r>
        <w:rPr>
          <w:rFonts w:ascii="Times New Roman" w:cs="Times New Roman" w:eastAsia="Times New Roman" w:hAnsi="Times New Roman"/>
          <w:sz w:val="18"/>
          <w:szCs w:val="18"/>
          <w:color w:val="auto"/>
        </w:rPr>
        <w:t>. If the Holder is resident or domiciled in Brazil, he or she will be required to submit a declaration of assets and rights held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outside of Brazil to the Central Bank of Brazil if the aggregate value of such assets and rights equals or exceeds US$100,000. Assets and rights that must be reported include any Shares acquired under the Plan.</w:t>
      </w:r>
    </w:p>
    <w:p>
      <w:pPr>
        <w:spacing w:after="0" w:line="17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Tax on Financial Transaction (IOF)</w:t>
      </w:r>
      <w:r>
        <w:rPr>
          <w:rFonts w:ascii="Times New Roman" w:cs="Times New Roman" w:eastAsia="Times New Roman" w:hAnsi="Times New Roman"/>
          <w:sz w:val="18"/>
          <w:szCs w:val="18"/>
          <w:color w:val="auto"/>
        </w:rPr>
        <w:t>. Payments to foreign countries (including the payment of the Exercise Price) and repatriation of funds into Brazil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conversion between BRL and US$ associated with such fund transfers may be subject to the Tax on Financial Transactions. It is the Holder’s responsibility to comply with any applicable Tax on Financial Transactions arising from the Holder’s participation in the Plan. The Holder should consult with his or her personal tax advisor for additional details.</w:t>
      </w:r>
    </w:p>
    <w:p>
      <w:pPr>
        <w:spacing w:after="0" w:line="1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33" w:right="379" w:bottom="1440" w:gutter="0" w:footer="0" w:header="0"/>
        </w:sectPr>
      </w:pPr>
    </w:p>
    <w:bookmarkStart w:id="228" w:name="page229"/>
    <w:bookmarkEnd w:id="22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APPENDIX FOR CANADA</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 OPTION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Form of Payment. </w:t>
      </w:r>
      <w:r>
        <w:rPr>
          <w:rFonts w:ascii="Times New Roman" w:cs="Times New Roman" w:eastAsia="Times New Roman" w:hAnsi="Times New Roman"/>
          <w:sz w:val="18"/>
          <w:szCs w:val="18"/>
          <w:color w:val="auto"/>
        </w:rPr>
        <w:t>The Holder is prohibited from surrendering Shares that he or she already owns or attesting to the ownership of Shares to pay the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or any Withholding Taxes in connection with the Stock Option.</w:t>
      </w:r>
    </w:p>
    <w:p>
      <w:pPr>
        <w:spacing w:after="0" w:line="15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Termination of Employment. </w:t>
      </w:r>
      <w:r>
        <w:rPr>
          <w:rFonts w:ascii="Times New Roman" w:cs="Times New Roman" w:eastAsia="Times New Roman" w:hAnsi="Times New Roman"/>
          <w:sz w:val="18"/>
          <w:szCs w:val="18"/>
          <w:color w:val="auto"/>
        </w:rPr>
        <w:t>Notwithstanding anything to the contrary in Section 4(c) of the Award Terms, unless the Committee determines otherwise,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event of the termination of the Holder’s continuous service (regardless of the reason for such termination and whether or not later found to be invalid or in breach of employment laws in the jurisdiction in which the Holder is employed or the terms of the Holder’s employment agreement or service contract, if any), vesting will terminate and the period remaining to exercise the Stock Option will be measured effective as of the date that is the earliest of: (1) the date the Holder’s employment or service with the Company Group is terminated, (2) the date the Holder receives notice of termination of employment or service from the Employer or any other entity in the Company Group, and (3) the date the Holder is no longer actively employed or rendering services to the Company Group, regardless of any notice period or period of pay in lieu of such notice required under local law(including, but not limited to, statutory law, regulatory law and/or common law); the Committee shall have the exclusive discretion to determine when the Holder is no longer actively employed for purposes of the Stock Option (including whether the Holder may still be considered actively employed while on a leave of absence).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following provisions will apply to Holders who are residents of Quebec:</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Language Acknowledgement. </w:t>
      </w:r>
      <w:r>
        <w:rPr>
          <w:rFonts w:ascii="Times New Roman" w:cs="Times New Roman" w:eastAsia="Times New Roman" w:hAnsi="Times New Roman"/>
          <w:sz w:val="18"/>
          <w:szCs w:val="18"/>
          <w:color w:val="auto"/>
        </w:rPr>
        <w:t>The parties acknowledge that it is their express wish that the Award Terms, including this Appendix, as well as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notices, and legal proceedings entered into, given or instituted pursuant hereto or relating directly or indirectly hereto, be drawn up in English.</w:t>
      </w:r>
    </w:p>
    <w:p>
      <w:pPr>
        <w:spacing w:after="0" w:line="15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Consentement relatif à la langue utilisée</w:t>
      </w:r>
      <w:r>
        <w:rPr>
          <w:rFonts w:ascii="Times New Roman" w:cs="Times New Roman" w:eastAsia="Times New Roman" w:hAnsi="Times New Roman"/>
          <w:sz w:val="18"/>
          <w:szCs w:val="18"/>
          <w:i w:val="1"/>
          <w:iCs w:val="1"/>
          <w:color w:val="auto"/>
        </w:rPr>
        <w:t>: Les parties reconnaissent avoir exigé la rédaction en anglais de cette annexe, la convention afférente, ainsi que 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tous documents, avis donnés et procédures judiciaires, exécutés, donnés ou intentés en vertu de, ou liés directement ou indirectement aux présentes.</w:t>
      </w:r>
    </w:p>
    <w:p>
      <w:pPr>
        <w:spacing w:after="0" w:line="155" w:lineRule="exact"/>
        <w:rPr>
          <w:sz w:val="20"/>
          <w:szCs w:val="20"/>
          <w:color w:val="auto"/>
        </w:rPr>
      </w:pPr>
    </w:p>
    <w:p>
      <w:pPr>
        <w:ind w:right="1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Data Privacy Notice and Consent. </w:t>
      </w:r>
      <w:r>
        <w:rPr>
          <w:rFonts w:ascii="Times New Roman" w:cs="Times New Roman" w:eastAsia="Times New Roman" w:hAnsi="Times New Roman"/>
          <w:sz w:val="18"/>
          <w:szCs w:val="18"/>
          <w:color w:val="auto"/>
        </w:rPr>
        <w:t>This provision supplements the “Data Privacy Information and Consent for Holders outside the European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Union/European Economic Area” Section of the Appendix:</w:t>
      </w:r>
    </w:p>
    <w:p>
      <w:pPr>
        <w:spacing w:after="0" w:line="15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Holder hereby authorizes the Company and the Company’s representatives to discuss with and obtain all relevant information from all personnel, professional or not, involved in the administration and operation of the Plan. The Holder further authorizes the Company Group,</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229" w:name="page230"/>
    <w:bookmarkEnd w:id="229"/>
    <w:p>
      <w:pPr>
        <w:spacing w:after="0" w:line="282" w:lineRule="auto"/>
        <w:rPr>
          <w:sz w:val="20"/>
          <w:szCs w:val="20"/>
          <w:color w:val="auto"/>
        </w:rPr>
      </w:pPr>
      <w:r>
        <w:rPr>
          <w:rFonts w:ascii="Times New Roman" w:cs="Times New Roman" w:eastAsia="Times New Roman" w:hAnsi="Times New Roman"/>
          <w:sz w:val="18"/>
          <w:szCs w:val="18"/>
          <w:color w:val="auto"/>
        </w:rPr>
        <w:t>Equity Account Administrator and any other broker(s) designated by the Company to disclose and discuss the Plan with their respective advisors. The Holder further authorizes the Company Group to record such information and to keep such information in the Holder’s employee file.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Securities Law Notification. </w:t>
      </w:r>
      <w:r>
        <w:rPr>
          <w:rFonts w:ascii="Times New Roman" w:cs="Times New Roman" w:eastAsia="Times New Roman" w:hAnsi="Times New Roman"/>
          <w:sz w:val="18"/>
          <w:szCs w:val="18"/>
          <w:color w:val="auto"/>
        </w:rPr>
        <w:t>The Holder is permitted to sell Shares acquired under the Plan through the Equity Account Administrator, provided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resale of Shares acquired under the Plan takes place outside of Canada through the facilities of a stock exchange on which the Shares are listed. The Shares are currently listed on the Nasdaq.</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Foreign Asset/Account Reporting Notification. </w:t>
      </w:r>
      <w:r>
        <w:rPr>
          <w:rFonts w:ascii="Times New Roman" w:cs="Times New Roman" w:eastAsia="Times New Roman" w:hAnsi="Times New Roman"/>
          <w:sz w:val="18"/>
          <w:szCs w:val="18"/>
          <w:color w:val="auto"/>
        </w:rPr>
        <w:t>Foreign specified property (including Shares) held by Canadian residents must be reported annually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T1135 (Foreign Income Verification Statement) if the total value of such foreign specified property exceeds C$100,000 at any time during the year. Foreign specified property includes Shares acquired under the Plan and may include the Stock Option. The Stock Option must be reported—generally at a nil cost—if the C$100,000 cost threshold is exceeded because of other foreign specified property the Holder holds. If Shares are acquired, their cost generally is the adjusted cost base (“ACB”) of the Shares. The ACB would normally equal the fair market value of the Shares at exercise, but if the Holder owns other shares of the Company’s common stock, this ACB may have to be averaged with the ACB of those other shares. If due, the form must be filed by</w:t>
      </w:r>
    </w:p>
    <w:p>
      <w:pPr>
        <w:spacing w:after="0" w:line="4" w:lineRule="exact"/>
        <w:rPr>
          <w:sz w:val="20"/>
          <w:szCs w:val="20"/>
          <w:color w:val="auto"/>
        </w:rPr>
      </w:pPr>
    </w:p>
    <w:p>
      <w:pPr>
        <w:ind w:right="140"/>
        <w:spacing w:after="0" w:line="219" w:lineRule="auto"/>
        <w:rPr>
          <w:sz w:val="20"/>
          <w:szCs w:val="20"/>
          <w:color w:val="auto"/>
        </w:rPr>
      </w:pPr>
      <w:r>
        <w:rPr>
          <w:rFonts w:ascii="Times New Roman" w:cs="Times New Roman" w:eastAsia="Times New Roman" w:hAnsi="Times New Roman"/>
          <w:sz w:val="18"/>
          <w:szCs w:val="18"/>
          <w:color w:val="auto"/>
        </w:rPr>
        <w:t>April 30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the following year. The Holder should speak with a personal tax advisor to determine the scope of foreign property that must be considered for purposes of this requirement.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30" w:name="page231"/>
    <w:bookmarkEnd w:id="23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APPENDIX FOR CHINA</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STOCK OPTION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Exchange Control Notification. </w:t>
      </w:r>
      <w:r>
        <w:rPr>
          <w:rFonts w:ascii="Times New Roman" w:cs="Times New Roman" w:eastAsia="Times New Roman" w:hAnsi="Times New Roman"/>
          <w:sz w:val="18"/>
          <w:szCs w:val="18"/>
          <w:color w:val="auto"/>
        </w:rPr>
        <w:t>The Holder understands, acknowledges and agrees that certain exchange control restrictions may apply to the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participation in the Plan, including to the remittance of funds out of China to pay the Exercise Price and the remittance into China of any sale proceeds or dividends paid on Shares acquired under the Plan. The Holder understands that it is his or her sole responsibility to comply with applicable exchange control restrictions in China.</w:t>
      </w:r>
    </w:p>
    <w:p>
      <w:pPr>
        <w:spacing w:after="0" w:line="1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3" w:right="319" w:bottom="1440" w:gutter="0" w:footer="0" w:header="0"/>
        </w:sectPr>
      </w:pPr>
    </w:p>
    <w:bookmarkStart w:id="231" w:name="page232"/>
    <w:bookmarkEnd w:id="231"/>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APPENDIX FOR DENMARK</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STOCK OPTION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Nature of Grant. </w:t>
      </w:r>
      <w:r>
        <w:rPr>
          <w:rFonts w:ascii="Times New Roman" w:cs="Times New Roman" w:eastAsia="Times New Roman" w:hAnsi="Times New Roman"/>
          <w:sz w:val="18"/>
          <w:szCs w:val="18"/>
          <w:color w:val="auto"/>
        </w:rPr>
        <w:t>This provision supplements the “Nature of Grant” Section of the Appendix:</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By participating in the Plan, the Holder acknowledges that he or she understands and agrees that the grant of the Option relates to future services to be performed and is not a bonus or compensation for past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jc w:val="both"/>
        <w:ind w:right="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Exchange Control Notification. </w:t>
      </w:r>
      <w:r>
        <w:rPr>
          <w:rFonts w:ascii="Times New Roman" w:cs="Times New Roman" w:eastAsia="Times New Roman" w:hAnsi="Times New Roman"/>
          <w:sz w:val="18"/>
          <w:szCs w:val="18"/>
          <w:color w:val="auto"/>
        </w:rPr>
        <w:t>The establishment of an account holding Shares or an account holding cash outside Denmark must be reported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Danish Tax Administration. The form which should be used in this respect may be obtained from a local bank. (Please note that these obligations are separate from and in addition to the securities/tax reporting obligations described below.)</w:t>
      </w:r>
    </w:p>
    <w:p>
      <w:pPr>
        <w:spacing w:after="0" w:line="17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Securities/Foreign Asset/Account Reporting Notification. </w:t>
      </w:r>
      <w:r>
        <w:rPr>
          <w:rFonts w:ascii="Times New Roman" w:cs="Times New Roman" w:eastAsia="Times New Roman" w:hAnsi="Times New Roman"/>
          <w:sz w:val="18"/>
          <w:szCs w:val="18"/>
          <w:color w:val="auto"/>
        </w:rPr>
        <w:t>The Holder must complete a “Form V” form in connection with the deposit of any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Shares acquired under the Plan) into a bank or brokerage account outside of Denmark. The form is available at the website of the Danish Tax Authorities. In connection with filing the Form V with the Danish Tax Authorities, the broker or bank where the securities are deposited (the “depositary”) may sign a statement according to which the depositary undertakes an obligation, without further request each year, to forward information concerning the Shares on an annual basis to the Danish Tax Authorities. However, if the depositary will not agree to sign such a statement, the Holder is personally responsible for submitting the required information as an attachment to his or her annual tax return.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only necessary to submit a Form V form the first time securities are deposited with a specific depositary outside of Denmark. However, if the securities are transferred to a different depositary or if the Holder begins using a new depositary, a new Form V is required.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the Form V must be submitted by the depositary no later than February 1 of the year following the calendar year to which the information relates. However, if the Holder is responsible for submitting this information, the Holder must submit the required information as an attachment to his or her annual tax return, whenever that is due.</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if the Holder holds Shares or cash in an account outside Denmark, he or she is also required to report the existence of such an account to the Danish Tax by completing a “Form K” form and submitting it to the Danish Tax Authorities following the opening of the account. The form is available at the website of the Danish Tax Authorities. A separate form must be</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333" w:right="399" w:bottom="1440" w:gutter="0" w:footer="0" w:header="0"/>
        </w:sectPr>
      </w:pPr>
    </w:p>
    <w:bookmarkStart w:id="232" w:name="page233"/>
    <w:bookmarkEnd w:id="232"/>
    <w:p>
      <w:pPr>
        <w:ind w:right="220"/>
        <w:spacing w:after="0" w:line="266" w:lineRule="auto"/>
        <w:rPr>
          <w:sz w:val="20"/>
          <w:szCs w:val="20"/>
          <w:color w:val="auto"/>
        </w:rPr>
      </w:pPr>
      <w:r>
        <w:rPr>
          <w:rFonts w:ascii="Times New Roman" w:cs="Times New Roman" w:eastAsia="Times New Roman" w:hAnsi="Times New Roman"/>
          <w:sz w:val="18"/>
          <w:szCs w:val="18"/>
          <w:color w:val="auto"/>
        </w:rPr>
        <w:t>submitted for each account held outside of Denmark that holds Shares or cash which are taxable in Denmark. The Form K requirement is in addition to the Form V requirement discussed above. The Holder should consult with his or her personal legal advisor to ensure compliance with the applicable requirements.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the Holder uses the full cashless method of exercise, whereby upon exercise of the Stock Option, the Holder immediately sells all of the Shares being purchased upon such exercise through a brokerage firm acceptable to the Company and the proceeds of such sale, less an amount in cash equal to the Exercise Price for the Shares being so purchased, any Withholding Taxes and any brokers’ fees or commissions, are remitted to the Holder, the Holder will not be required to file a Form V because he or she will not hold any Shares from such exercise thereafter. However, if the Holder opens a deposit account with a foreign broker or bank to hold the remaining cash proceeds of such sale, he or she will be required to file a Form K, as described above. These obligations are separate from and in addition to the obligations described above.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3" w:name="page234"/>
    <w:bookmarkEnd w:id="233"/>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APPENDIX FOR FINLAND</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STOCK OPTION AWARD TERMS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country-specific provisions.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3" w:right="1440" w:bottom="1440" w:gutter="0" w:footer="0" w:header="0"/>
        </w:sectPr>
      </w:pPr>
    </w:p>
    <w:bookmarkStart w:id="234" w:name="page235"/>
    <w:bookmarkEnd w:id="23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APPENDIX FOR FRANCE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STOCK OPTION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Language Consent. </w:t>
      </w:r>
      <w:r>
        <w:rPr>
          <w:rFonts w:ascii="Times New Roman" w:cs="Times New Roman" w:eastAsia="Times New Roman" w:hAnsi="Times New Roman"/>
          <w:sz w:val="18"/>
          <w:szCs w:val="18"/>
          <w:color w:val="auto"/>
        </w:rPr>
        <w:t>By accepting the Award, the Holder confirms that he or she has read and understood the documents relating to the Stock Option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Notice, the Plan, and the Award Terms, including this Appendix) which were provided in the English language. The Holder accepts the terms of these documents accordingly.</w:t>
      </w:r>
    </w:p>
    <w:p>
      <w:pPr>
        <w:spacing w:after="0" w:line="17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Consentement relatif à la langue utilisée: </w:t>
      </w:r>
      <w:r>
        <w:rPr>
          <w:rFonts w:ascii="Times New Roman" w:cs="Times New Roman" w:eastAsia="Times New Roman" w:hAnsi="Times New Roman"/>
          <w:sz w:val="18"/>
          <w:szCs w:val="18"/>
          <w:i w:val="1"/>
          <w:iCs w:val="1"/>
          <w:color w:val="auto"/>
        </w:rPr>
        <w:t>En acceptant l’Attribution, le Titulaire confirme qu’il ou qu’elle a lu et compris les documents afférents à l’Option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(la Notification d’Attribution, le Plan et les Termes de l’Attribution, ainsi que la présente Annexe) qui sont produits en langue anglaise. Le Titulaire accepte les termes de ces documents en connaissance de cause.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Foreign Asset/Account Reporting Notification. </w:t>
      </w:r>
      <w:r>
        <w:rPr>
          <w:rFonts w:ascii="Times New Roman" w:cs="Times New Roman" w:eastAsia="Times New Roman" w:hAnsi="Times New Roman"/>
          <w:sz w:val="18"/>
          <w:szCs w:val="18"/>
          <w:color w:val="auto"/>
        </w:rPr>
        <w:t>If the Holder retains Shares acquired under the Plan outside of France or maintains a foreign bank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is required to report such to the French tax authorities when filing his or her annual tax return. Further, French residents with foreign account balances exceeding €1,000,000 may have additional monthly reporting obligations.</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APPENDIX FOR GERMANY</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STOCK OPTION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Exchange Control Notification. </w:t>
      </w:r>
      <w:r>
        <w:rPr>
          <w:rFonts w:ascii="Times New Roman" w:cs="Times New Roman" w:eastAsia="Times New Roman" w:hAnsi="Times New Roman"/>
          <w:sz w:val="18"/>
          <w:szCs w:val="18"/>
          <w:color w:val="auto"/>
        </w:rPr>
        <w:t>Cross-border payments in excess of €12,500 must be reported monthly to the German Federal Bank. No report is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payments less than €12,500. In case of payments in connection with securities (including proceeds realized upon the sale of Shares), the report must be made by the 5th day of the month following the month in which the payment was received. Effective from September 2013, the report must be filed electronically. The form of report (“</w:t>
      </w:r>
      <w:r>
        <w:rPr>
          <w:rFonts w:ascii="Times New Roman" w:cs="Times New Roman" w:eastAsia="Times New Roman" w:hAnsi="Times New Roman"/>
          <w:sz w:val="18"/>
          <w:szCs w:val="18"/>
          <w:i w:val="1"/>
          <w:iCs w:val="1"/>
          <w:color w:val="auto"/>
        </w:rPr>
        <w:t>Allgemeine Meldeportal Statistik</w:t>
      </w:r>
      <w:r>
        <w:rPr>
          <w:rFonts w:ascii="Times New Roman" w:cs="Times New Roman" w:eastAsia="Times New Roman" w:hAnsi="Times New Roman"/>
          <w:sz w:val="18"/>
          <w:szCs w:val="18"/>
          <w:color w:val="auto"/>
        </w:rPr>
        <w:t xml:space="preserve">”) can be accessed via the </w:t>
      </w:r>
      <w:r>
        <w:rPr>
          <w:rFonts w:ascii="Times New Roman" w:cs="Times New Roman" w:eastAsia="Times New Roman" w:hAnsi="Times New Roman"/>
          <w:sz w:val="18"/>
          <w:szCs w:val="18"/>
          <w:i w:val="1"/>
          <w:iCs w:val="1"/>
          <w:color w:val="auto"/>
        </w:rPr>
        <w:t>Bundesbank’s</w:t>
      </w:r>
      <w:r>
        <w:rPr>
          <w:rFonts w:ascii="Times New Roman" w:cs="Times New Roman" w:eastAsia="Times New Roman" w:hAnsi="Times New Roman"/>
          <w:sz w:val="18"/>
          <w:szCs w:val="18"/>
          <w:color w:val="auto"/>
        </w:rPr>
        <w:t xml:space="preserve"> website (www.bundesbank.de) and is available in both German and English. The Holder is responsible for satisfying the reporting obligation.</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235" w:name="page236"/>
    <w:bookmarkEnd w:id="23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APPENDIX FOR HONG KONG</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 OPTION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Sale of Shares. </w:t>
      </w:r>
      <w:r>
        <w:rPr>
          <w:rFonts w:ascii="Times New Roman" w:cs="Times New Roman" w:eastAsia="Times New Roman" w:hAnsi="Times New Roman"/>
          <w:sz w:val="18"/>
          <w:szCs w:val="18"/>
          <w:color w:val="auto"/>
        </w:rPr>
        <w:t>In the event the Stock Option vests and is exercised within six months of the Date of Grant, the Holder agrees that he or she will not offer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public, or otherwise dispose of, the Shares acquired prior to the six-month anniversary of the Date of Grant. Any Shares acquired under the Plan are accepted as a personal investment.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Securities Warning: </w:t>
      </w:r>
      <w:r>
        <w:rPr>
          <w:rFonts w:ascii="Times New Roman" w:cs="Times New Roman" w:eastAsia="Times New Roman" w:hAnsi="Times New Roman"/>
          <w:sz w:val="18"/>
          <w:szCs w:val="18"/>
          <w:i w:val="1"/>
          <w:iCs w:val="1"/>
          <w:color w:val="auto"/>
        </w:rPr>
        <w:t>The contents of this document have not been reviewed by any regulatory authority in Hong Kong. The Holder is advised to exercise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 in relation to the offer. If the Holder is in any doubt about any of the meaning or intent of anything contained in the Award Terms, the Plan or any</w:t>
      </w:r>
    </w:p>
    <w:p>
      <w:pPr>
        <w:spacing w:after="0" w:line="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other incidental communication materials distributed in connection with the Stock Option, the Holder is advised to obtain independent professional advice. The Stock Option and any Shares issued pursuant to the Stock Option do not constitute a public offering of securities under Hong Kong law and are available only to employees of the Company Group. The Award Terms, including this Appendix, the Plan, the Grant Notice and other incidental communication materials (i) have not been prepared in accordance with and are not intended to constitute a “prospectus” for a public offering of securities under the applicable securities legislation in Hong Kong and (ii) any related documentation are intended only for the personal use of the Holder and may not be distributed to any other person.</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236" w:name="page237"/>
    <w:bookmarkEnd w:id="23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APPENDIX FOR IRELAND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STOCK OPTION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Nature of Grant. </w:t>
      </w:r>
      <w:r>
        <w:rPr>
          <w:rFonts w:ascii="Times New Roman" w:cs="Times New Roman" w:eastAsia="Times New Roman" w:hAnsi="Times New Roman"/>
          <w:sz w:val="18"/>
          <w:szCs w:val="18"/>
          <w:color w:val="auto"/>
        </w:rPr>
        <w:t>This provision supplements the “Nature of Grant” Section of the Appendix:</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accepting the grant of the Stock Option, the Holder acknowledges that he or she understands and agrees that the benefits received under the Plan will not be taken into account for any redundancy or unfair dismissal claim.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Director Notification Requirements. </w:t>
      </w:r>
      <w:r>
        <w:rPr>
          <w:rFonts w:ascii="Times New Roman" w:cs="Times New Roman" w:eastAsia="Times New Roman" w:hAnsi="Times New Roman"/>
          <w:sz w:val="18"/>
          <w:szCs w:val="18"/>
          <w:color w:val="auto"/>
        </w:rPr>
        <w:t>If the Holder is a director, shadow director or secretary of an Irish Subsidiary and the Holder’s aggregate shareholding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equals or exceeds 1% of the voting rights of the Company, the Holder must notify the Irish Subsidiary in writing within a certain time period of</w:t>
      </w:r>
    </w:p>
    <w:p>
      <w:pPr>
        <w:spacing w:after="0" w:line="1" w:lineRule="exact"/>
        <w:rPr>
          <w:sz w:val="20"/>
          <w:szCs w:val="20"/>
          <w:color w:val="auto"/>
        </w:rPr>
      </w:pPr>
    </w:p>
    <w:p>
      <w:pPr>
        <w:ind w:left="220" w:hanging="212"/>
        <w:spacing w:after="0"/>
        <w:tabs>
          <w:tab w:leader="none" w:pos="2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or disposing of an interest in the Company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Stock Options, Shares), (ii) becoming aware of the event giving rise to the notification</w:t>
      </w:r>
    </w:p>
    <w:p>
      <w:pPr>
        <w:spacing w:after="0" w:line="9" w:lineRule="exact"/>
        <w:rPr>
          <w:rFonts w:ascii="Times New Roman" w:cs="Times New Roman" w:eastAsia="Times New Roman" w:hAnsi="Times New Roman"/>
          <w:sz w:val="18"/>
          <w:szCs w:val="18"/>
          <w:color w:val="auto"/>
        </w:rPr>
      </w:pPr>
    </w:p>
    <w:p>
      <w:pPr>
        <w:ind w:right="1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or (iii) becoming a director or secretary if such an interest exists at the time. This notification requirement also applies with respect to the interests of a spouse or minor children (whose interests will be attributed to the director, shadow director or secretary, as the case may be). The Holder may contact Stock Plan Administration to obtain a sample form that can be used to satisfy this notification requirement.</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237" w:name="page238"/>
    <w:bookmarkEnd w:id="237"/>
    <w:p>
      <w:pPr>
        <w:jc w:val="center"/>
        <w:spacing w:after="0"/>
        <w:rPr>
          <w:sz w:val="20"/>
          <w:szCs w:val="20"/>
          <w:color w:val="auto"/>
        </w:rPr>
      </w:pPr>
      <w:r>
        <w:rPr>
          <w:rFonts w:ascii="Times New Roman" w:cs="Times New Roman" w:eastAsia="Times New Roman" w:hAnsi="Times New Roman"/>
          <w:sz w:val="18"/>
          <w:szCs w:val="18"/>
          <w:b w:val="1"/>
          <w:bCs w:val="1"/>
          <w:color w:val="auto"/>
        </w:rPr>
        <w:t>APPENDIX FOR ITALY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Cashless Exercise Restriction. </w:t>
      </w:r>
      <w:r>
        <w:rPr>
          <w:rFonts w:ascii="Times New Roman" w:cs="Times New Roman" w:eastAsia="Times New Roman" w:hAnsi="Times New Roman"/>
          <w:sz w:val="18"/>
          <w:szCs w:val="18"/>
          <w:color w:val="auto"/>
        </w:rPr>
        <w:t>Notwithstanding any provision of the Award Terms to the contrary, due to regulatory requirements in Italy, the Holder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pay the Exercise Price by a full cashless method of exercise, whereby upon exercise of the Stock Option, the Holder immediately sells all of the Shares being purchased upon such exercise through a brokerage firm acceptable to the Company and the proceeds of such sale, less an amount in cash equal to the Exercise Price for the Shares being so purchased, any Withholding Taxes and any brokers’ fees or commissions, are remitted to the Holder. The Company reserves the right to provide the Holder with additional methods of exercise depending on local developments.</w:t>
      </w:r>
    </w:p>
    <w:p>
      <w:pPr>
        <w:spacing w:after="0" w:line="180"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Plan Document Acknowledgment. </w:t>
      </w:r>
      <w:r>
        <w:rPr>
          <w:rFonts w:ascii="Times New Roman" w:cs="Times New Roman" w:eastAsia="Times New Roman" w:hAnsi="Times New Roman"/>
          <w:sz w:val="18"/>
          <w:szCs w:val="18"/>
          <w:color w:val="auto"/>
        </w:rPr>
        <w:t>In accepting the grant of the Stock Option, the Holder acknowledges that he or she has received a copy of the Plan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Award Terms (including this Appendix) and has reviewed the Plan and the Award Terms (including this Appendix) in their entirety and fully understand and accept all provisions of the Plan and the Award Terms (including this Appendix).</w:t>
      </w:r>
    </w:p>
    <w:p>
      <w:pPr>
        <w:spacing w:after="0" w:line="17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Holder further acknowledges that he or she has read and specifically and expressly approves the following sections of the Award Terms: Section 4 regarding “Termination of Employment;” Section 5 regarding “Tax Withholding;” Section 18 regarding the “Governing Law and Venue;” the “Nature of Grant” Section of the Appendix; the “Data Privacy Information and Consent for Holders in the European Union/European Economic Area” Section of the Appendix; and the “Language” Section of the Appendix.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Foreign Asset/Account Reporting Notification. </w:t>
      </w:r>
      <w:r>
        <w:rPr>
          <w:rFonts w:ascii="Times New Roman" w:cs="Times New Roman" w:eastAsia="Times New Roman" w:hAnsi="Times New Roman"/>
          <w:sz w:val="18"/>
          <w:szCs w:val="18"/>
          <w:color w:val="auto"/>
        </w:rPr>
        <w:t>The Holder is required to report investments held abroad or foreign financial assets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cash, Shares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Options) that may generate income taxable in Italy on an annual tax return (UNICO Form, RW Schedule) or on a special form if no tax return is due, irrespective of their value. The same reporting duties apply to Italian residents who, even if they do not directly hold investments abroad or foreign financial assets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cash, Shares, Stock Options), are beneficial owners of the investment pursuant to Italian money laundering provisions. The Holder should consult his or her personal tax advisor for details regarding this requirement.</w:t>
      </w:r>
    </w:p>
    <w:p>
      <w:pPr>
        <w:spacing w:after="0" w:line="18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Foreign Financial Assets Tax Notification. </w:t>
      </w:r>
      <w:r>
        <w:rPr>
          <w:rFonts w:ascii="Times New Roman" w:cs="Times New Roman" w:eastAsia="Times New Roman" w:hAnsi="Times New Roman"/>
          <w:sz w:val="18"/>
          <w:szCs w:val="18"/>
          <w:color w:val="auto"/>
        </w:rPr>
        <w:t>The fair market value of any Common Shares held outside of Italy is subject to an annual foreign assets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fair market value for this purpose is the value of the Common Shares on the Nasdaq Stock Market, Inc. on December 31 of the year or, for shares disposed of during the course of the year, on the last day the Holder held the Common Shares (in such case, or when the Common Shares are acquired during the course of</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38" w:name="page239"/>
    <w:bookmarkEnd w:id="238"/>
    <w:p>
      <w:pPr>
        <w:spacing w:after="0" w:line="282" w:lineRule="auto"/>
        <w:rPr>
          <w:sz w:val="20"/>
          <w:szCs w:val="20"/>
          <w:color w:val="auto"/>
        </w:rPr>
      </w:pPr>
      <w:r>
        <w:rPr>
          <w:rFonts w:ascii="Times New Roman" w:cs="Times New Roman" w:eastAsia="Times New Roman" w:hAnsi="Times New Roman"/>
          <w:sz w:val="18"/>
          <w:szCs w:val="18"/>
          <w:color w:val="auto"/>
        </w:rPr>
        <w:t>the year, the tax is levied in proportion to the actual days of holding over the calendar year). The Holder should consult with his or her personal tax advisor about the foreign financial assets tax.</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240" w:top="337" w:right="439" w:bottom="1440" w:gutter="0" w:footer="0" w:header="0"/>
        </w:sectPr>
      </w:pPr>
    </w:p>
    <w:bookmarkStart w:id="239" w:name="page240"/>
    <w:bookmarkEnd w:id="23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APPENDIX FOR JAPAN</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STOCK OPTION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jc w:val="both"/>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Exchange Control Notification. </w:t>
      </w:r>
      <w:r>
        <w:rPr>
          <w:rFonts w:ascii="Times New Roman" w:cs="Times New Roman" w:eastAsia="Times New Roman" w:hAnsi="Times New Roman"/>
          <w:sz w:val="18"/>
          <w:szCs w:val="18"/>
          <w:color w:val="auto"/>
        </w:rPr>
        <w:t>If the Holder is a Japanese resident and acquires Shares valued at more than ¥100,000,000 in a single transaction,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must file a Securities Acquisition Report with the Ministry of Finance through the Bank of Japan within 20 days of the purchase of such Shares.</w:t>
      </w:r>
    </w:p>
    <w:p>
      <w:pPr>
        <w:spacing w:after="0" w:line="159" w:lineRule="exact"/>
        <w:rPr>
          <w:sz w:val="20"/>
          <w:szCs w:val="20"/>
          <w:color w:val="auto"/>
        </w:rPr>
      </w:pPr>
    </w:p>
    <w:p>
      <w:pPr>
        <w:ind w:right="140"/>
        <w:spacing w:after="0" w:line="204" w:lineRule="auto"/>
        <w:rPr>
          <w:sz w:val="20"/>
          <w:szCs w:val="20"/>
          <w:color w:val="auto"/>
        </w:rPr>
      </w:pPr>
      <w:r>
        <w:rPr>
          <w:rFonts w:ascii="Times New Roman" w:cs="Times New Roman" w:eastAsia="Times New Roman" w:hAnsi="Times New Roman"/>
          <w:sz w:val="18"/>
          <w:szCs w:val="18"/>
          <w:color w:val="auto"/>
        </w:rPr>
        <w:t>In addition, if the Holder is a Japanese resident and pays more than ¥30,000,000 in a single transaction for the purchase of Shares upon the exercise of the Stock Option, the Holder must file a Payment Report with the Ministry of Finance through the Bank of Japan by the 20</w:t>
      </w:r>
      <w:r>
        <w:rPr>
          <w:rFonts w:ascii="Times New Roman" w:cs="Times New Roman" w:eastAsia="Times New Roman" w:hAnsi="Times New Roman"/>
          <w:sz w:val="36"/>
          <w:szCs w:val="36"/>
          <w:color w:val="auto"/>
          <w:vertAlign w:val="superscript"/>
        </w:rPr>
        <w:t>th</w:t>
      </w:r>
      <w:r>
        <w:rPr>
          <w:rFonts w:ascii="Times New Roman" w:cs="Times New Roman" w:eastAsia="Times New Roman" w:hAnsi="Times New Roman"/>
          <w:sz w:val="18"/>
          <w:szCs w:val="18"/>
          <w:color w:val="auto"/>
        </w:rPr>
        <w:t xml:space="preserve"> day of the month following the month in which the payment was made. The precise reporting requirements vary depending on whether or not the relevant payment is made through a bank in Japan.</w:t>
      </w:r>
    </w:p>
    <w:p>
      <w:pPr>
        <w:spacing w:after="0" w:line="20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 Payment Report is required independently from a Securities Acquisition Report. Therefore, if the total amount that the Holder pays upon a one-time transaction for exercising the Stock Option and purchasing Shares exceeds ¥100,000,000, then the Holder must file both a Payment Report and a Securities Acquisition Report.</w:t>
      </w:r>
    </w:p>
    <w:p>
      <w:pPr>
        <w:spacing w:after="0" w:line="172"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Foreign Asset/Account Reporting Notification. </w:t>
      </w:r>
      <w:r>
        <w:rPr>
          <w:rFonts w:ascii="Times New Roman" w:cs="Times New Roman" w:eastAsia="Times New Roman" w:hAnsi="Times New Roman"/>
          <w:sz w:val="18"/>
          <w:szCs w:val="18"/>
          <w:color w:val="auto"/>
        </w:rPr>
        <w:t>The Holder will be required to report details of any assets (including any Shares acquired under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outside of Japan as of December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of each year, to the extent such assets have a total net fair market value exceeding ¥50,000,000. Such report will be due by March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the following year. The Holder should consult with his or her personal tax advisor as to whether the reporting obligation applies to the Holder and whether the Holder will be required to report details of any outstanding Stock Options or Shares held by the Holder in the report.</w:t>
      </w:r>
    </w:p>
    <w:p>
      <w:pPr>
        <w:spacing w:after="0" w:line="2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240" w:name="page241"/>
    <w:bookmarkEnd w:id="24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APPENDIX FOR KOREA</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STOCK OPTION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Exchange Control Notification. </w:t>
      </w:r>
      <w:r>
        <w:rPr>
          <w:rFonts w:ascii="Times New Roman" w:cs="Times New Roman" w:eastAsia="Times New Roman" w:hAnsi="Times New Roman"/>
          <w:sz w:val="18"/>
          <w:szCs w:val="18"/>
          <w:color w:val="auto"/>
        </w:rPr>
        <w:t>If the Holder remits funds out of Korea to pay the Exercise Price, the remittance of funds must be confirmed by a foreign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bank in Korea. This confirmation is not necessary if the Holder pays the Exercise Price through an arrangement with a broker approved by the Company whereby payment of the Exercise Price is accomplished with the proceeds of the sale of Shares, because in this case there is no remittance of funds out of Korea.</w:t>
      </w:r>
    </w:p>
    <w:p>
      <w:pPr>
        <w:spacing w:after="0" w:line="17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Foreign Asset/Account Reporting Notification. </w:t>
      </w:r>
      <w:r>
        <w:rPr>
          <w:rFonts w:ascii="Times New Roman" w:cs="Times New Roman" w:eastAsia="Times New Roman" w:hAnsi="Times New Roman"/>
          <w:sz w:val="18"/>
          <w:szCs w:val="18"/>
          <w:color w:val="auto"/>
        </w:rPr>
        <w:t>Korean residents must declare all foreign financial accounts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non-Korean bank accounts, brokerage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etc.) to the Korean tax authority and file a report with respect to such accounts if the value of such accounts exceeds KRW 500 million (or an equivalent amount in foreign currency). The Holder should consult with his or her personal tax advisor to determine how to value the Holder’s foreign accounts for purposes of this reporting requirement and whether the Holder is required to file a report with respect to such accounts.</w:t>
      </w:r>
    </w:p>
    <w:p>
      <w:pPr>
        <w:spacing w:after="0" w:line="1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B-24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3" w:right="319" w:bottom="1440" w:gutter="0" w:footer="0" w:header="0"/>
        </w:sectPr>
      </w:pPr>
    </w:p>
    <w:bookmarkStart w:id="241" w:name="page242"/>
    <w:bookmarkEnd w:id="24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APPENDIX FOR MEXICO</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 OPTION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Acknowledgement of the Award Terms. </w:t>
      </w:r>
      <w:r>
        <w:rPr>
          <w:rFonts w:ascii="Times New Roman" w:cs="Times New Roman" w:eastAsia="Times New Roman" w:hAnsi="Times New Roman"/>
          <w:sz w:val="18"/>
          <w:szCs w:val="18"/>
          <w:color w:val="auto"/>
        </w:rPr>
        <w:t>By accepting the Stock Option, the Holder acknowledges that he or she has received a copy of the Plan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Terms, including this Appendix, which he or she has reviewed. The Holder further acknowledges that he or she accepts all the provisions of the Plan and the Award Terms, including this Appendix. The Holder also acknowledges that he or she has read and specifically and expressly approves the terms and conditions set forth in the “Nature of Grant” Section of the Appendix, which clearly provide as follows:</w:t>
      </w:r>
    </w:p>
    <w:p>
      <w:pPr>
        <w:spacing w:after="0" w:line="181" w:lineRule="exact"/>
        <w:rPr>
          <w:sz w:val="20"/>
          <w:szCs w:val="20"/>
          <w:color w:val="auto"/>
        </w:rPr>
      </w:pPr>
    </w:p>
    <w:p>
      <w:pPr>
        <w:ind w:left="1320" w:hanging="664"/>
        <w:spacing w:after="0"/>
        <w:tabs>
          <w:tab w:leader="none" w:pos="13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participation in the Plan does not constitute an acquired right;</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and the Holder’s participation in it are offered by the Company on a wholly discretionary basis;</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participation in the Plan is voluntary; and</w:t>
      </w:r>
    </w:p>
    <w:p>
      <w:pPr>
        <w:spacing w:after="0" w:line="225" w:lineRule="exact"/>
        <w:rPr>
          <w:rFonts w:ascii="Times New Roman" w:cs="Times New Roman" w:eastAsia="Times New Roman" w:hAnsi="Times New Roman"/>
          <w:sz w:val="18"/>
          <w:szCs w:val="18"/>
          <w:color w:val="auto"/>
        </w:rPr>
      </w:pPr>
    </w:p>
    <w:p>
      <w:pPr>
        <w:ind w:left="1300" w:right="680" w:hanging="644"/>
        <w:spacing w:after="0" w:line="282" w:lineRule="auto"/>
        <w:tabs>
          <w:tab w:leader="none" w:pos="1307"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any entity in the Company Group are not responsible for any decrease in the value of any Shares acquired upon settlement of the Stock Option.</w:t>
      </w:r>
    </w:p>
    <w:p>
      <w:pPr>
        <w:spacing w:after="0" w:line="1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Labor Law Acknowledgement and Policy Statement. </w:t>
      </w:r>
      <w:r>
        <w:rPr>
          <w:rFonts w:ascii="Times New Roman" w:cs="Times New Roman" w:eastAsia="Times New Roman" w:hAnsi="Times New Roman"/>
          <w:sz w:val="18"/>
          <w:szCs w:val="18"/>
          <w:color w:val="auto"/>
        </w:rPr>
        <w:t>By accepting the Stock Option, the Holder acknowledges that the Company, with registered offices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3100 Ocean Park Boulevard, Santa Monica, California 90405, U.S.A., is solely responsible for the administration of the Plan. The Holder further acknowledges that his or her participation in the Plan, the grant of the Stock Option and any acquisition of Shares under the Plan do not constitute an employment relationship between the Holder and the Company because the Holder is participating in the Plan on a wholly commercial basis and his or her sole employer is Actibliz Mexico S. de RL de CV, Tihuatlan 41,602, San Jerónimo Aculco, Federal District, México (“Activision-Mexico”). Based on the foregoing, the Holder expressly acknowledges that the Plan and the benefits that he or she may derive from participation in the Plan do not establish any rights between the Holder and his or her employer, Activision-Mexico, and do not form part of the employment conditions and/or benefits provided by Activision-Mexico, and any modification of the Plan or its termination shall not constitute a change or impairment of the terms and conditions of the Holder’s employment.</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242" w:name="page243"/>
    <w:bookmarkEnd w:id="242"/>
    <w:p>
      <w:pPr>
        <w:ind w:right="140"/>
        <w:spacing w:after="0" w:line="313" w:lineRule="auto"/>
        <w:rPr>
          <w:sz w:val="20"/>
          <w:szCs w:val="20"/>
          <w:color w:val="auto"/>
        </w:rPr>
      </w:pPr>
      <w:r>
        <w:rPr>
          <w:rFonts w:ascii="Times New Roman" w:cs="Times New Roman" w:eastAsia="Times New Roman" w:hAnsi="Times New Roman"/>
          <w:sz w:val="17"/>
          <w:szCs w:val="17"/>
          <w:color w:val="auto"/>
        </w:rPr>
        <w:t>The Holder further understands that his or her participation in the Plan is the result of a unilateral and discretionary decision of the Company and, therefore, the Company reserves the absolute right to amend and/or discontinue the Holder’s participation in the Plan at any time, without any liability to the Holder.</w:t>
      </w:r>
    </w:p>
    <w:p>
      <w:pPr>
        <w:spacing w:after="0" w:line="13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Finally, the Holder hereby declares that he or she does not reserve to him or herself any action or right to bring any claim against the Company for any compensation or damages regarding any provision of the Plan or the benefits derived under the Plan, and that he or she therefore grants a full and broad release to the Company, its Subsidiaries, affiliates, branches, representation offices, shareholders, officers, agents or legal representatives, with respect to any claim that may arise.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SPANISH TRANSLATION</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Reconicimiento de los terminos del otorgamiento de acciones. </w:t>
      </w:r>
      <w:r>
        <w:rPr>
          <w:rFonts w:ascii="Times New Roman" w:cs="Times New Roman" w:eastAsia="Times New Roman" w:hAnsi="Times New Roman"/>
          <w:sz w:val="17"/>
          <w:szCs w:val="17"/>
          <w:i w:val="1"/>
          <w:iCs w:val="1"/>
          <w:color w:val="auto"/>
        </w:rPr>
        <w:t>Al aceptar las Opciones Acciones, el Tenedor reconoce que ha recibido una copia del Plan 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de los Términos del Otorgamiento de acciones, incluyendo este anexo, los cuales ha revisado. El Tenedor también reconoce que acepta los términos del Plan y del Otorgamiento de Acciones, incluyendo este anexo. Así mismo el Tenedor reconoce que ha leído y expresamente aprueba los términos y condiciones establecidas en la cláusula 1 de los Términos Generales para Tenedores fuera de los Estados Unidos, las cuales claramente establecen lo siguiente:</w:t>
      </w:r>
    </w:p>
    <w:p>
      <w:pPr>
        <w:spacing w:after="0" w:line="164" w:lineRule="exact"/>
        <w:rPr>
          <w:sz w:val="20"/>
          <w:szCs w:val="20"/>
          <w:color w:val="auto"/>
        </w:rPr>
      </w:pPr>
    </w:p>
    <w:p>
      <w:pPr>
        <w:ind w:left="260" w:hanging="252"/>
        <w:spacing w:after="0"/>
        <w:tabs>
          <w:tab w:leader="none" w:pos="260" w:val="left"/>
        </w:tabs>
        <w:numPr>
          <w:ilvl w:val="0"/>
          <w:numId w:val="1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La participación del Tenedor en el Plan no constituye un derecho adquirido</w:t>
      </w:r>
    </w:p>
    <w:p>
      <w:pPr>
        <w:spacing w:after="0" w:line="225"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El plan y la participación del Tenedor en dicho Plan son ofrecidos por la Empresa en forma totalmente discrecional.</w:t>
      </w:r>
    </w:p>
    <w:p>
      <w:pPr>
        <w:spacing w:after="0" w:line="225"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La participación del Tenedor en el Plan es voluntaria; y</w:t>
      </w:r>
    </w:p>
    <w:p>
      <w:pPr>
        <w:spacing w:after="0" w:line="225" w:lineRule="exact"/>
        <w:rPr>
          <w:rFonts w:ascii="Times New Roman" w:cs="Times New Roman" w:eastAsia="Times New Roman" w:hAnsi="Times New Roman"/>
          <w:sz w:val="18"/>
          <w:szCs w:val="18"/>
          <w:i w:val="1"/>
          <w:iCs w:val="1"/>
          <w:color w:val="auto"/>
        </w:rPr>
      </w:pPr>
    </w:p>
    <w:p>
      <w:pPr>
        <w:ind w:right="100" w:firstLine="8"/>
        <w:spacing w:after="0" w:line="284" w:lineRule="auto"/>
        <w:tabs>
          <w:tab w:leader="none" w:pos="255" w:val="left"/>
        </w:tabs>
        <w:numPr>
          <w:ilvl w:val="0"/>
          <w:numId w:val="1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La Empresa y cualquier empresa del Grupo de Empresas no son responsables por la reducción en el valor de las acciones comunes que sean adquiridas en virtud de las Opciones Accionarias.</w:t>
      </w:r>
    </w:p>
    <w:p>
      <w:pPr>
        <w:spacing w:after="0" w:line="1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Política de Ley Laboral y Reconocimiento</w:t>
      </w:r>
      <w:r>
        <w:rPr>
          <w:rFonts w:ascii="Times New Roman" w:cs="Times New Roman" w:eastAsia="Times New Roman" w:hAnsi="Times New Roman"/>
          <w:sz w:val="18"/>
          <w:szCs w:val="18"/>
          <w:i w:val="1"/>
          <w:iCs w:val="1"/>
          <w:color w:val="auto"/>
        </w:rPr>
        <w:t>. Al aceptar las Opciones Accionarias, el Tenedor expresamente reconoce que la Empresa, con domicilio ubicado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en 310 Ocean Park Boulevard, Santa Mónica, California, 90405 U.S.A., es el único responsable para la administración de Plan y que su participación en los Plan y adquisición de acciones no constituye una relación de trabajo entre la Empresa y el Tenedor, toda vez que su participación en el Plan es totalmente en base a una relación comercial entre mi único patrón Actibliz Mexico S. de RL de CV, Tihuatlan 41,602, San Jerónimo Aculco, Federal District, México (“Activision Mexico”) Derivado de lo anterior, el Tenedor expresamente reconoce que el Plan y beneficios que pudieran derivar de su participación en el Plan no establecen derechos entre mi único patrón Activision Mexico y el suscrito, no forman parte de mis condiciones y/o prestaciones de trabajo otorgadas por Ativision Mexico y cualquier modificación del Plan o su terminación no constituye un cambio o detrimento en los términos y condiciones de mi relación de trabajo.</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8" w:right="299" w:bottom="1440" w:gutter="0" w:footer="0" w:header="0"/>
        </w:sectPr>
      </w:pPr>
    </w:p>
    <w:bookmarkStart w:id="243" w:name="page244"/>
    <w:bookmarkEnd w:id="243"/>
    <w:p>
      <w:pPr>
        <w:jc w:val="both"/>
        <w:ind w:right="140"/>
        <w:spacing w:after="0" w:line="315" w:lineRule="auto"/>
        <w:rPr>
          <w:sz w:val="20"/>
          <w:szCs w:val="20"/>
          <w:color w:val="auto"/>
        </w:rPr>
      </w:pPr>
      <w:r>
        <w:rPr>
          <w:rFonts w:ascii="Times New Roman" w:cs="Times New Roman" w:eastAsia="Times New Roman" w:hAnsi="Times New Roman"/>
          <w:sz w:val="17"/>
          <w:szCs w:val="17"/>
          <w:i w:val="1"/>
          <w:iCs w:val="1"/>
          <w:color w:val="auto"/>
        </w:rPr>
        <w:t>Asimismo, el Tenedor entiende que su participación en el Plan es resultado de una decisión unilateral y discrecional de la Empresa, por lo tanto la Empresa se reserva el derecho absoluto de modificar y/o discontinuar la participación de usted en cualquier momento y sin responsabilidad alguna frente al Tenedor.</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Finalmente, en este acto el Tenedor declara que no se reserva acción o derecho alguno para presentar cualquier reclamación en contra de la Empresa por cualquier compensación o daño en relación con cualquier disposición del Plan o de los beneficios derivados del Plan y, por lo tanto, usted otorga el más amplio y total finiquito a la Empresa, sus afiliadas, sucursales, oficinas de representación, accionistas, funcionarios, agentes o representantes en relación con cualquier reclamación que pudiera surgir.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FOR THE NETHERLANDS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OPTION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Nature of Grant. </w:t>
      </w:r>
      <w:r>
        <w:rPr>
          <w:rFonts w:ascii="Times New Roman" w:cs="Times New Roman" w:eastAsia="Times New Roman" w:hAnsi="Times New Roman"/>
          <w:sz w:val="18"/>
          <w:szCs w:val="18"/>
          <w:color w:val="auto"/>
        </w:rPr>
        <w:t>This provision supplements the “Nature of Grant” Section of the Appendix:</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accepting the grant of the Stock Option, the Holder acknowledges that the Stock Option granted under the Plan is intended as an incentive for the Holder to remain employed with the Employer and is not intended as remuneration for labor performed.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244" w:name="page245"/>
    <w:bookmarkEnd w:id="244"/>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APPENDIX FOR NORWAY</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STOCK OPTION AWARD TERMS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country-specific provisions.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4" w:right="1440" w:bottom="1440" w:gutter="0" w:footer="0" w:header="0"/>
        </w:sectPr>
      </w:pPr>
    </w:p>
    <w:bookmarkStart w:id="245" w:name="page246"/>
    <w:bookmarkEnd w:id="24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APPENDIX FOR POLAND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 OPTION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Exchange Control Notification</w:t>
      </w:r>
      <w:r>
        <w:rPr>
          <w:rFonts w:ascii="Times New Roman" w:cs="Times New Roman" w:eastAsia="Times New Roman" w:hAnsi="Times New Roman"/>
          <w:sz w:val="18"/>
          <w:szCs w:val="18"/>
          <w:color w:val="auto"/>
        </w:rPr>
        <w:t>. Polish residents holding foreign securities (including Shares acquired under the Plan) and maintaining accounts abroad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must report information to the National Bank of Poland on transactions and balances of the securities and cash deposited in such accounts if the value of such transactions or balances exceeds PLN 7,000,000. If required, the reports must be filed on a quarterly basis on special forms available on the website of the National Bank of Poland. In addition, if the Holder transfers funds into Poland in excess of a certain threshold (currently €15,000, unless the transfer of funds is considered to be connected with the business activity of an entrepreneur, in which case a lower threshold may apply) in connection with the sale of Shares under the Plan, the funds must be transferred via a bank account held at a bank in Poland. The Holder is required to retain the documents connected with a foreign exchange transaction for a period of five (5) years, as measured from the end of the year in which such transaction occurred.</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246" w:name="page247"/>
    <w:bookmarkEnd w:id="24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APPENDIX FOR ROMANIA</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STOCK OPTION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Exchange Control Notification. </w:t>
      </w:r>
      <w:r>
        <w:rPr>
          <w:rFonts w:ascii="Times New Roman" w:cs="Times New Roman" w:eastAsia="Times New Roman" w:hAnsi="Times New Roman"/>
          <w:sz w:val="18"/>
          <w:szCs w:val="18"/>
          <w:color w:val="auto"/>
        </w:rPr>
        <w:t>If the Holder deposits the proceeds from the sale of Shares issued to him or her at exercise of the Stock Option or any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dividends or dividend equivalent payments in a bank account in Romania, the Holder may be required to provide the Romanian bank with appropriate documentation explaining the source of the funds.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Holder should consult his or her personal advisor to determine whether the Holder will be required to submit such documentation to the Romanian bank.</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B-31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3" w:right="319" w:bottom="1440" w:gutter="0" w:footer="0" w:header="0"/>
        </w:sectPr>
      </w:pPr>
    </w:p>
    <w:bookmarkStart w:id="247" w:name="page248"/>
    <w:bookmarkEnd w:id="2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FOR SINGAPORE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OPTION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Securities Law Notification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grant of the Stock Option is being made pursuant to the “Qualifying Person exemption” under section 273(1)(f)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and Futures Act (Chapter 289, 2006 Ed.) (the “SFA”). The Plan has not been and will not be lodged or registered as a prospectus with the Monetary Authority of Singapore. The Holder should note that the Stock Option is subject to section 257 of the SFA and the Holder should not make (i) any subsequent sale of Shares in Singapore or (ii) any offer of such subsequent sale of Shares subject to the Stock Option in Singapore, unless such sale or offer in is made (a) after six months of the Date of Grant, or (b) pursuant to the exemptions under Part XIII Division (1) Subdivision (4) (other than section 280) of the SFA.</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Chief Executive Officer and Director Notification Requirements. </w:t>
      </w:r>
      <w:r>
        <w:rPr>
          <w:rFonts w:ascii="Times New Roman" w:cs="Times New Roman" w:eastAsia="Times New Roman" w:hAnsi="Times New Roman"/>
          <w:sz w:val="18"/>
          <w:szCs w:val="18"/>
          <w:color w:val="auto"/>
        </w:rPr>
        <w:t>If the Holder is a chief executive officer, director of a Singapore Subsidiary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the Holder must notify the Singapore Subsidiary in writing within two business days of: (i) receiving or disposing of an interest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Stock Options, Shares) in the Company (ii) any change in a previously disclosed interest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exercise of Stock Options, Shares, etc.) or (iii) becoming a director if such an interest exists at the time. This notification requirement also applies to an associate director and to a shadow director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 individual who is not on the board of directors but who has sufficient control so that the board of directors acts in accordance with the “directions and instructions” of the individual) of a Singapore Subsidiary or affiliate of the Company. The Holder may contact Stock Plan Administration to obtain a sample form that can be used to satisfy this notification requirement.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48" w:name="page249"/>
    <w:bookmarkEnd w:id="248"/>
    <w:p>
      <w:pPr>
        <w:jc w:val="center"/>
        <w:spacing w:after="0"/>
        <w:rPr>
          <w:sz w:val="20"/>
          <w:szCs w:val="20"/>
          <w:color w:val="auto"/>
        </w:rPr>
      </w:pPr>
      <w:r>
        <w:rPr>
          <w:rFonts w:ascii="Times New Roman" w:cs="Times New Roman" w:eastAsia="Times New Roman" w:hAnsi="Times New Roman"/>
          <w:sz w:val="18"/>
          <w:szCs w:val="18"/>
          <w:b w:val="1"/>
          <w:bCs w:val="1"/>
          <w:color w:val="auto"/>
        </w:rPr>
        <w:t>APPENDIX FOR SPAIN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Nature of Grant. </w:t>
      </w:r>
      <w:r>
        <w:rPr>
          <w:rFonts w:ascii="Times New Roman" w:cs="Times New Roman" w:eastAsia="Times New Roman" w:hAnsi="Times New Roman"/>
          <w:sz w:val="18"/>
          <w:szCs w:val="18"/>
          <w:color w:val="auto"/>
        </w:rPr>
        <w:t>This provision supplements the “Nature of Grant” Section of the Appendix: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accepting the Stock Option, the Holder consents to participate in the Plan and acknowledges having received and read a copy of the Plan.</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Holder understands that the Company has unilaterally, gratuitously and discretionally decided to grant an Option under the Plan to individuals who may be employees of the Company or any other entity in the Company Group throughout the world. The decision is a limited decision that is entered into upon the express assumption and condition that any grant will not bind the Company or any other entity in the Company Group. Consequently, the Holder understands that the Stock Option is granted on the assumption and condition that such Option and any Shares acquired upon exercise of the Stock Option shall not become a part of any employment contract (either with the Company or any other entity in the Company Group) and shall not be considered a mandatory benefit, salary for any purposes (including severance compensation) or any other right whatsoever. In addition, the Holder understands that the Stock Option would not granted but for the assumptions and conditions referred to above; thus, the Holder acknowledges and freely accepts that should any or all of the assumptions be mistaken or should any of the conditions not be met for any reason, then any grant of the Stock Option shall be null and void.</w:t>
      </w:r>
    </w:p>
    <w:p>
      <w:pPr>
        <w:spacing w:after="0" w:line="18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Further, the vesting of the Stock Options is expressly conditioned on the Holder’s active employment, such that if the Holder’s employment or service terminates for any reason whatsoever, the Stock Options cease vesting immediately effective on the date of termination of employment. This will be the case, for example, even if the Holder (1) is considered to be unfairly dismissed without good cause (i.e., subject to a “</w:t>
      </w:r>
      <w:r>
        <w:rPr>
          <w:rFonts w:ascii="Times New Roman" w:cs="Times New Roman" w:eastAsia="Times New Roman" w:hAnsi="Times New Roman"/>
          <w:sz w:val="18"/>
          <w:szCs w:val="18"/>
          <w:i w:val="1"/>
          <w:iCs w:val="1"/>
          <w:color w:val="auto"/>
        </w:rPr>
        <w:t>despido improcedente</w:t>
      </w:r>
      <w:r>
        <w:rPr>
          <w:rFonts w:ascii="Times New Roman" w:cs="Times New Roman" w:eastAsia="Times New Roman" w:hAnsi="Times New Roman"/>
          <w:sz w:val="18"/>
          <w:szCs w:val="18"/>
          <w:color w:val="auto"/>
        </w:rPr>
        <w:t>”); (2) is dismissed for disciplinary or objective reasons or due to a collective dismissal; (3) terminates service due to a change of work location, duties or any other employment or contractual condition; (4) terminates service due to the Company’s or any entity in the Company Group’s unilateral breach of contract; or (5) is terminated from employment for any other reason whatsoever. Consequently, upon the Holder’s termination of employment for any of the above reasons, the Holder may automatically lose any rights to Stock Options that were unvested on the date of termination.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Exchange Control Notification. </w:t>
      </w:r>
      <w:r>
        <w:rPr>
          <w:rFonts w:ascii="Times New Roman" w:cs="Times New Roman" w:eastAsia="Times New Roman" w:hAnsi="Times New Roman"/>
          <w:sz w:val="18"/>
          <w:szCs w:val="18"/>
          <w:color w:val="auto"/>
        </w:rPr>
        <w:t>The acquisition, ownership and sale of Shares under the Plan must be declared for statistical purposes to the Spanish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Dirección General de Comercio e Inversiones </w:t>
      </w:r>
      <w:r>
        <w:rPr>
          <w:rFonts w:ascii="Times New Roman" w:cs="Times New Roman" w:eastAsia="Times New Roman" w:hAnsi="Times New Roman"/>
          <w:sz w:val="18"/>
          <w:szCs w:val="18"/>
          <w:color w:val="auto"/>
        </w:rPr>
        <w:t>(the “DGCI”), the Bureau for Commerce and Investments, which is a department of the Ministry of Economy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Competitiveness. Generally, the declaration must be made each January for Shares owned as of December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of the prior year, by means of a D-6 form; however, if the value of the Shares acquired or sold exceeds €1,502,530 (or if the Holder holds 10% or more of the share capital of the Company or such other amount that would entitle the Holder to join the Company’s board of directors), the declaration must be filed also within one month of the acquisition or sale, as applicable.</w:t>
      </w:r>
    </w:p>
    <w:p>
      <w:pPr>
        <w:spacing w:after="0" w:line="19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Holder is required to declare electronically to the Bank of Spain any securities accounts (including brokerage accounts held abroad), and foreign instruments (including any Shares acquired under the Plan) and any transactions with non-Spanish residents (including any payments of Shares made to the Holder by the Company) depending on the amount of the transactions during the relevant year or the balances in such accounts as of December 31 of the relevant year. Generally, the report is required on an annual basis (by January 20 of each year). The Holder should consult with his or her personal advisor to ensure that the Holder are properly complying with his or her reporting obligations.</w:t>
      </w:r>
    </w:p>
    <w:p>
      <w:pPr>
        <w:spacing w:after="0" w:line="18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Foreign Asset/Account Reporting Notification. </w:t>
      </w:r>
      <w:r>
        <w:rPr>
          <w:rFonts w:ascii="Times New Roman" w:cs="Times New Roman" w:eastAsia="Times New Roman" w:hAnsi="Times New Roman"/>
          <w:sz w:val="18"/>
          <w:szCs w:val="18"/>
          <w:color w:val="auto"/>
        </w:rPr>
        <w:t>If the Holder holds rights or assets (e.g., Shares or cash held in a bank or brokerage account) outside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Spain with a value in excess of €50,000 per type of right or asset (e.g., Shares, cash, etc.) as of December 31 each year, the Holder is required to report certain information regarding such rights and assets on tax form 720. After such rights and/or assets are initially reported, the reporting obligation will only apply for subsequent years if the value of any previously-reported rights or assets increases by more than €20,000. If reporting is required, the reporting must be completed by the following March 31. The Holder should consult his or her personal tax advisor for details regarding this requirement.</w:t>
      </w:r>
    </w:p>
    <w:p>
      <w:pPr>
        <w:spacing w:after="0" w:line="18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Securities Law Notification. </w:t>
      </w:r>
      <w:r>
        <w:rPr>
          <w:rFonts w:ascii="Times New Roman" w:cs="Times New Roman" w:eastAsia="Times New Roman" w:hAnsi="Times New Roman"/>
          <w:sz w:val="18"/>
          <w:szCs w:val="18"/>
          <w:color w:val="auto"/>
        </w:rPr>
        <w:t>The Stock Options described in this document do not qualify as securities under Spanish regulations. No “offer of securities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public,” within the meaning of Spanish law, has taken place or will take place in the Spanish territory. The Plan, the Award Terms (including this Appendix), and any other documents evidencing the award of Stock Options have not been, nor will they be, registered with the </w:t>
      </w:r>
      <w:r>
        <w:rPr>
          <w:rFonts w:ascii="Times New Roman" w:cs="Times New Roman" w:eastAsia="Times New Roman" w:hAnsi="Times New Roman"/>
          <w:sz w:val="18"/>
          <w:szCs w:val="18"/>
          <w:i w:val="1"/>
          <w:iCs w:val="1"/>
          <w:color w:val="auto"/>
        </w:rPr>
        <w:t>Comisión Nacional del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Mercado de Valores </w:t>
      </w:r>
      <w:r>
        <w:rPr>
          <w:rFonts w:ascii="Times New Roman" w:cs="Times New Roman" w:eastAsia="Times New Roman" w:hAnsi="Times New Roman"/>
          <w:sz w:val="18"/>
          <w:szCs w:val="18"/>
          <w:color w:val="auto"/>
        </w:rPr>
        <w:t>(Spanish Securities Exchange Commission), and none of those documents constitutes a public offering prospectus.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FOR SWEDEN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OPTION AWARD TERMS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country-specific provisions.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50" w:name="page251"/>
    <w:bookmarkEnd w:id="25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APPENDIX FOR SWITZERLAND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STOCK OPTION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Securities Law Notification. </w:t>
      </w:r>
      <w:r>
        <w:rPr>
          <w:rFonts w:ascii="Times New Roman" w:cs="Times New Roman" w:eastAsia="Times New Roman" w:hAnsi="Times New Roman"/>
          <w:sz w:val="18"/>
          <w:szCs w:val="18"/>
          <w:color w:val="auto"/>
        </w:rPr>
        <w:t>The offer of participation in the Plan is not intended to be publicly offered in or from Switzerland. Because the offer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participation in the Plan is considered a private offering, it is not subject to registration in Switzerland. Neither this document nor any other materials relating to the Stock Option constitutes a prospectus as such term is understood pursuant to article 652a of the Swiss Code of Obligations, and neither this document nor any other materials relating to the Stock Option may be publicly distributed nor otherwise made publicly available in Switzerland. Neither this document nor any other offering or marketing material relating to the Stock Option has been or will be filed with, approved or supervised by any Swiss regulatory authority (in particular, the Swiss Financial Supervisory Authority (FINMA)).</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251" w:name="page252"/>
    <w:bookmarkEnd w:id="25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APPENDIX FOR TAIWAN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STOCK OPTION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Data Privacy Acknowledgement. </w:t>
      </w:r>
      <w:r>
        <w:rPr>
          <w:rFonts w:ascii="Times New Roman" w:cs="Times New Roman" w:eastAsia="Times New Roman" w:hAnsi="Times New Roman"/>
          <w:sz w:val="18"/>
          <w:szCs w:val="18"/>
          <w:color w:val="auto"/>
        </w:rPr>
        <w:t>The Holder hereby acknowledges that he or she has read and understands the terms regarding collection, processing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of Data contained in the Data Privacy Information and Consent for Holders outside the European Union/European Economic Area Section of the Appendix and, by participating in the Plan, the Holder agrees to such terms. In this regard, upon request of the Company or the Employer, the Holder agrees to provide an executed data privacy consent form to the Employer or the Company (or any other agreements or consents that may be required by the Employer or the Company) that the Company and/or the Employer may deem necessary to obtain under the data privacy laws in the Holder’s country, either now or in the future. The Holder understands that he or she will not be able to participate in the Plan if he or she fails to execute any such consent or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Securities Law Notification. </w:t>
      </w:r>
      <w:r>
        <w:rPr>
          <w:rFonts w:ascii="Times New Roman" w:cs="Times New Roman" w:eastAsia="Times New Roman" w:hAnsi="Times New Roman"/>
          <w:sz w:val="18"/>
          <w:szCs w:val="18"/>
          <w:color w:val="auto"/>
        </w:rPr>
        <w:t>The offer of participation in the Plan is available only for employees of the Company Group. The offer of participation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is not a public offer of securities by a Taiwanese company.</w:t>
      </w:r>
    </w:p>
    <w:p>
      <w:pPr>
        <w:spacing w:after="0" w:line="15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Exchange Control Notification. </w:t>
      </w:r>
      <w:r>
        <w:rPr>
          <w:rFonts w:ascii="Times New Roman" w:cs="Times New Roman" w:eastAsia="Times New Roman" w:hAnsi="Times New Roman"/>
          <w:sz w:val="18"/>
          <w:szCs w:val="18"/>
          <w:color w:val="auto"/>
        </w:rPr>
        <w:t>The Holder may acquire and remit foreign currency (including proceeds from the sale of Shares or the receipt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dividends paid on such Shares) into and out of Taiwan up to US$5,000,000 per year. If the transaction amount is TWD$500,000 or more in a single transaction, the Holder must submit a Foreign Exchange Transaction Form and provide supporting documentation to the satisfaction of the bank involved in the transaction. The Holder should consult his or her personal advisor to ensure compliance with any applicable exchange control laws in Taiwan.</w:t>
      </w:r>
    </w:p>
    <w:p>
      <w:pPr>
        <w:spacing w:after="0" w:line="1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33" w:right="359" w:bottom="1440" w:gutter="0" w:footer="0" w:header="0"/>
        </w:sectPr>
      </w:pPr>
    </w:p>
    <w:bookmarkStart w:id="252" w:name="page253"/>
    <w:bookmarkEnd w:id="25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APPENDIX FOR THE UNITED KINGDOM</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 OPTION AWARD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Tax Withholding and Payment. </w:t>
      </w:r>
      <w:r>
        <w:rPr>
          <w:rFonts w:ascii="Times New Roman" w:cs="Times New Roman" w:eastAsia="Times New Roman" w:hAnsi="Times New Roman"/>
          <w:sz w:val="18"/>
          <w:szCs w:val="18"/>
          <w:color w:val="auto"/>
        </w:rPr>
        <w:t>This section supplements Section 5 of the Award Terms: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Without limitation to Section 5 of the Award Terms, the Holder agrees that the Holder is liable for all Withholding Taxes and hereby covenants to pay all such Withholding Taxes, as and when requested by the Company or the Employer or by Her Majesty’s Revenue and Customs (“HMRC”) (or any other tax authority or any other relevant authority). The Holder also agrees to indemnify, and keep indemnified, the Company and the Employer against any Withholding Taxes that they are required to pay or withhold or have paid or will pay to HMRC (or any other tax authority or any other relevant authority) on the Holder’s behalf.</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253" w:name="page254"/>
    <w:bookmarkEnd w:id="2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FOR THE UNITED STATES OF AMERICA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TERMS AND CONDITIONS OF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OPTION AWARD TERMS</w:t>
      </w:r>
    </w:p>
    <w:p>
      <w:pPr>
        <w:spacing w:after="0" w:line="207" w:lineRule="exact"/>
        <w:rPr>
          <w:sz w:val="20"/>
          <w:szCs w:val="20"/>
          <w:color w:val="auto"/>
        </w:rPr>
      </w:pPr>
    </w:p>
    <w:p>
      <w:pPr>
        <w:ind w:left="1300" w:hanging="644"/>
        <w:spacing w:after="0"/>
        <w:tabs>
          <w:tab w:leader="none" w:pos="13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40" w:hanging="635"/>
        <w:spacing w:after="0"/>
        <w:tabs>
          <w:tab w:leader="none" w:pos="19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Holders only, the following terms shall have the meanings set forth below:</w:t>
      </w:r>
    </w:p>
    <w:p>
      <w:pPr>
        <w:spacing w:after="0" w:line="221" w:lineRule="exact"/>
        <w:rPr>
          <w:sz w:val="20"/>
          <w:szCs w:val="20"/>
          <w:color w:val="auto"/>
        </w:rPr>
      </w:pPr>
    </w:p>
    <w:p>
      <w:pPr>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“Employment Violation” </w:t>
      </w:r>
      <w:r>
        <w:rPr>
          <w:rFonts w:ascii="Times New Roman" w:cs="Times New Roman" w:eastAsia="Times New Roman" w:hAnsi="Times New Roman"/>
          <w:sz w:val="18"/>
          <w:szCs w:val="18"/>
          <w:color w:val="auto"/>
        </w:rPr>
        <w:t>means any material breach by the Holder of his or her employment agreement with any entity in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for so long as the terms of such employment agreement shall apply to the Holder (with any breach of the post-termination obligations contained therein deemed to be material for purposes of this definition).</w:t>
      </w:r>
    </w:p>
    <w:p>
      <w:pPr>
        <w:spacing w:after="0" w:line="171" w:lineRule="exact"/>
        <w:rPr>
          <w:sz w:val="20"/>
          <w:szCs w:val="20"/>
          <w:color w:val="auto"/>
        </w:rPr>
      </w:pPr>
    </w:p>
    <w:p>
      <w:pPr>
        <w:ind w:right="20"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“Look-back Period” </w:t>
      </w:r>
      <w:r>
        <w:rPr>
          <w:rFonts w:ascii="Times New Roman" w:cs="Times New Roman" w:eastAsia="Times New Roman" w:hAnsi="Times New Roman"/>
          <w:sz w:val="18"/>
          <w:szCs w:val="18"/>
          <w:color w:val="auto"/>
        </w:rPr>
        <w:t>means, with respect to any Employment Violation by the Holder, the period beginning on the date which is 12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date of such Employment Violation by the Holder and ending on the date of computation of the Recapture Amount with respect to such Employment Violation.</w:t>
      </w:r>
    </w:p>
    <w:p>
      <w:pPr>
        <w:spacing w:after="0" w:line="171" w:lineRule="exact"/>
        <w:rPr>
          <w:sz w:val="20"/>
          <w:szCs w:val="20"/>
          <w:color w:val="auto"/>
        </w:rPr>
      </w:pPr>
    </w:p>
    <w:p>
      <w:pPr>
        <w:jc w:val="both"/>
        <w:ind w:right="60" w:firstLine="1297"/>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“Recapture Amount” </w:t>
      </w:r>
      <w:r>
        <w:rPr>
          <w:rFonts w:ascii="Times New Roman" w:cs="Times New Roman" w:eastAsia="Times New Roman" w:hAnsi="Times New Roman"/>
          <w:sz w:val="17"/>
          <w:szCs w:val="17"/>
          <w:color w:val="auto"/>
        </w:rPr>
        <w:t>means, with respect to any Employment Violation by the Holder, the gross gain realized or unrealized by the Holder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all exercises of the Stock Option during the Look-back Period with respect to such Employment Violation, which gain shall be calculated as the sum of:</w:t>
      </w:r>
    </w:p>
    <w:p>
      <w:pPr>
        <w:spacing w:after="0" w:line="136" w:lineRule="exact"/>
        <w:rPr>
          <w:sz w:val="20"/>
          <w:szCs w:val="20"/>
          <w:color w:val="auto"/>
        </w:rPr>
      </w:pPr>
    </w:p>
    <w:p>
      <w:pPr>
        <w:ind w:left="660" w:right="20" w:firstLine="645"/>
        <w:spacing w:after="0" w:line="266" w:lineRule="auto"/>
        <w:tabs>
          <w:tab w:leader="none" w:pos="1978"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has exercised any portion of the Stock Option during such Look-back Period and sold any of the Shares acquired on exercise thereafter, an amount equal to (A) the sum of the sales price for all such Shares sold minus (B) the aggregate Exercise Price for such Shares; plus</w:t>
      </w:r>
    </w:p>
    <w:p>
      <w:pPr>
        <w:spacing w:after="0" w:line="176" w:lineRule="exact"/>
        <w:rPr>
          <w:rFonts w:ascii="Times New Roman" w:cs="Times New Roman" w:eastAsia="Times New Roman" w:hAnsi="Times New Roman"/>
          <w:sz w:val="18"/>
          <w:szCs w:val="18"/>
          <w:color w:val="auto"/>
        </w:rPr>
      </w:pPr>
    </w:p>
    <w:p>
      <w:pPr>
        <w:ind w:left="660" w:right="20" w:firstLine="645"/>
        <w:spacing w:after="0" w:line="255" w:lineRule="auto"/>
        <w:tabs>
          <w:tab w:leader="none" w:pos="1987"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has exercised any portion of the Stock Option during such Look-back Period and not sold all of the Shares acquired on exercise thereafter, an amount equal to the product of (A) the greatest of the following, minus the Exercise Price: (1) the Market Value per Share of Common Shares on the date of exercise, (2) the arithmetic average of the per share closing sales prices of Common Shares as reported on Nasdaq for the 30 trading day period ending on the trading day immediately preceding the date of the Company’s written notice of its exercise of its rights under Section 3 hereof, or (3) the arithmetic average of the per share closing sales prices of Common Shares as reported on Nasdaq for the 30 trading day period ending on the trading day immediately preceding the date of computation times (B) the number of Shares as to which the Stock Option was exercised and which were not sold.</w:t>
      </w:r>
    </w:p>
    <w:p>
      <w:pPr>
        <w:spacing w:after="0" w:line="189" w:lineRule="exact"/>
        <w:rPr>
          <w:rFonts w:ascii="Times New Roman" w:cs="Times New Roman" w:eastAsia="Times New Roman" w:hAnsi="Times New Roman"/>
          <w:sz w:val="18"/>
          <w:szCs w:val="18"/>
          <w:color w:val="auto"/>
        </w:rPr>
      </w:pPr>
    </w:p>
    <w:p>
      <w:pPr>
        <w:ind w:right="500" w:firstLine="656"/>
        <w:spacing w:after="0" w:line="282" w:lineRule="auto"/>
        <w:tabs>
          <w:tab w:leader="none" w:pos="129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with Employment Agreement or Plan</w:t>
      </w:r>
      <w:r>
        <w:rPr>
          <w:rFonts w:ascii="Times New Roman" w:cs="Times New Roman" w:eastAsia="Times New Roman" w:hAnsi="Times New Roman"/>
          <w:sz w:val="18"/>
          <w:szCs w:val="18"/>
          <w:color w:val="auto"/>
        </w:rPr>
        <w:t>. In the event of any conflict between the terms of any employment agreement, service contract or offer letter between the Holder and any entity in the Company Group in effect at the time and the terms of the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54" w:name="page255"/>
    <w:bookmarkEnd w:id="254"/>
    <w:p>
      <w:pPr>
        <w:ind w:right="80"/>
        <w:spacing w:after="0" w:line="266" w:lineRule="auto"/>
        <w:rPr>
          <w:sz w:val="20"/>
          <w:szCs w:val="20"/>
          <w:color w:val="auto"/>
        </w:rPr>
      </w:pPr>
      <w:r>
        <w:rPr>
          <w:rFonts w:ascii="Times New Roman" w:cs="Times New Roman" w:eastAsia="Times New Roman" w:hAnsi="Times New Roman"/>
          <w:sz w:val="18"/>
          <w:szCs w:val="18"/>
          <w:color w:val="auto"/>
        </w:rPr>
        <w:t>Notice or these Award Terms, the terms of the Grant Notice or these Award Terms, as the case may be, shall control. In the event of any conflict between the terms of any employment agreement, service contract or offer letter between the Holder and any entity in the Company Group in effect at the time and the terms of the Plan, the terms of the Plan shall control.</w:t>
      </w:r>
    </w:p>
    <w:p>
      <w:pPr>
        <w:spacing w:after="0" w:line="176" w:lineRule="exact"/>
        <w:rPr>
          <w:sz w:val="20"/>
          <w:szCs w:val="20"/>
          <w:color w:val="auto"/>
        </w:rPr>
      </w:pPr>
    </w:p>
    <w:p>
      <w:pPr>
        <w:ind w:firstLine="656"/>
        <w:spacing w:after="0" w:line="254" w:lineRule="auto"/>
        <w:tabs>
          <w:tab w:leader="none" w:pos="129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Violation</w:t>
      </w:r>
      <w:r>
        <w:rPr>
          <w:rFonts w:ascii="Times New Roman" w:cs="Times New Roman" w:eastAsia="Times New Roman" w:hAnsi="Times New Roman"/>
          <w:sz w:val="18"/>
          <w:szCs w:val="18"/>
          <w:color w:val="auto"/>
        </w:rPr>
        <w:t xml:space="preserve">. The terms of this Section 3 shall apply to the Stock Option if the Holder is or becomes subject to an employment agreement with any entity in the Company Group. In the event of an Employment Violation, the Company shall have the right to require (a) the termination and cancellation of the Stock Option, whether vested or unvested, and (b) payment by the Holder to the Company of the Recapture Amount with respect to such Employment Violation;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lieu of payment by the Holder to the Company of the Recapture Amount, the Holder, in his or her discretion, may tender to the Company the Shares acquired upon exercise of the Stock Option during the Look-back Period with respect to such Employment Violation (without any consideration from the Company in exchange therefor). Any such termination of the Stock Option and payment of the Recapture Amount, as the case may be, shall be in addition to, and not in lieu of, any other right or remedy available to the Company arising out of or in connection with such Employment Violation, including, without limitation, the right to terminate the Holder’s employment if not already terminated and to seek injunctive relief and additional monetary damages.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55" w:name="page256"/>
    <w:bookmarkEnd w:id="255"/>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EMPLOYMENT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entered into as of the date signed by the Employer, between Activision Blizzard,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Activision Blizzard</w:t>
      </w:r>
      <w:r>
        <w:rPr>
          <w:rFonts w:ascii="Times New Roman" w:cs="Times New Roman" w:eastAsia="Times New Roman" w:hAnsi="Times New Roman"/>
          <w:sz w:val="18"/>
          <w:szCs w:val="18"/>
          <w:color w:val="auto"/>
        </w:rPr>
        <w:t>” and, together with its subsidiaries, the “</w:t>
      </w:r>
      <w:r>
        <w:rPr>
          <w:rFonts w:ascii="Times New Roman" w:cs="Times New Roman" w:eastAsia="Times New Roman" w:hAnsi="Times New Roman"/>
          <w:sz w:val="18"/>
          <w:szCs w:val="18"/>
          <w:b w:val="1"/>
          <w:bCs w:val="1"/>
          <w:i w:val="1"/>
          <w:iCs w:val="1"/>
          <w:color w:val="auto"/>
        </w:rPr>
        <w:t>Activision Blizzard Group</w:t>
      </w:r>
      <w:r>
        <w:rPr>
          <w:rFonts w:ascii="Times New Roman" w:cs="Times New Roman" w:eastAsia="Times New Roman" w:hAnsi="Times New Roman"/>
          <w:sz w:val="18"/>
          <w:szCs w:val="18"/>
          <w:color w:val="auto"/>
        </w:rPr>
        <w:t>”), and Dennis Durkin (“</w:t>
      </w:r>
      <w:r>
        <w:rPr>
          <w:rFonts w:ascii="Times New Roman" w:cs="Times New Roman" w:eastAsia="Times New Roman" w:hAnsi="Times New Roman"/>
          <w:sz w:val="18"/>
          <w:szCs w:val="18"/>
          <w:b w:val="1"/>
          <w:bCs w:val="1"/>
          <w:i w:val="1"/>
          <w:iCs w:val="1"/>
          <w:color w:val="auto"/>
        </w:rPr>
        <w:t>you</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Employer desires to employ you, and you desire to be so employed by the Employer, on the terms and subject to the conditions set forth in this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premises and the mutual promises set forth in this Agreement, the Employer and you hereby agree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p>
      <w:pPr>
        <w:ind w:left="660" w:hanging="652"/>
        <w:spacing w:after="0"/>
        <w:tabs>
          <w:tab w:leader="none" w:pos="66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 of Employment</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The term of your employment under this Agreement (the “</w:t>
      </w: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shall commence as of January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2019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and shall continue in effect until terminated in accordance with Section 9 (below) of this Agreement. All obligations and rights under this Agreement shall immediately lapse upon termination except as set forth in Section 11(s).</w:t>
      </w:r>
    </w:p>
    <w:p>
      <w:pPr>
        <w:spacing w:after="0" w:line="171" w:lineRule="exact"/>
        <w:rPr>
          <w:sz w:val="20"/>
          <w:szCs w:val="20"/>
          <w:color w:val="auto"/>
        </w:rPr>
      </w:pPr>
    </w:p>
    <w:p>
      <w:pPr>
        <w:ind w:left="660" w:hanging="652"/>
        <w:spacing w:after="0"/>
        <w:tabs>
          <w:tab w:leader="none" w:pos="66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Compensation</w:t>
      </w:r>
    </w:p>
    <w:p>
      <w:pPr>
        <w:spacing w:after="0" w:line="229" w:lineRule="exact"/>
        <w:rPr>
          <w:rFonts w:ascii="Times New Roman" w:cs="Times New Roman" w:eastAsia="Times New Roman" w:hAnsi="Times New Roman"/>
          <w:sz w:val="18"/>
          <w:szCs w:val="18"/>
          <w:b w:val="1"/>
          <w:bCs w:val="1"/>
          <w:color w:val="auto"/>
        </w:rPr>
      </w:pPr>
    </w:p>
    <w:p>
      <w:pPr>
        <w:ind w:left="80" w:right="120" w:firstLine="657"/>
        <w:spacing w:after="0" w:line="282" w:lineRule="auto"/>
        <w:tabs>
          <w:tab w:leader="none" w:pos="1374"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Agreement, in full consideration for all rights and services provided by you under this Agreement, during the Term you shall receive only the compensation set forth in this Section 2.</w:t>
      </w:r>
    </w:p>
    <w:p>
      <w:pPr>
        <w:spacing w:after="0" w:line="157" w:lineRule="exact"/>
        <w:rPr>
          <w:rFonts w:ascii="Times New Roman" w:cs="Times New Roman" w:eastAsia="Times New Roman" w:hAnsi="Times New Roman"/>
          <w:sz w:val="18"/>
          <w:szCs w:val="18"/>
          <w:color w:val="auto"/>
        </w:rPr>
      </w:pPr>
    </w:p>
    <w:p>
      <w:pPr>
        <w:ind w:left="80" w:right="280" w:firstLine="657"/>
        <w:spacing w:after="0" w:line="268" w:lineRule="auto"/>
        <w:tabs>
          <w:tab w:leader="none" w:pos="1384"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on the Effective Date, you shall receive an annual base salary (“</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 of $900,000, which shall be paid in accordance with the Employer’s payroll policies. Your Base Salary shall be reviewed periodically and may be increased by an amount determined by the Employer, in its sole and absolute discretion.</w:t>
      </w:r>
    </w:p>
    <w:p>
      <w:pPr>
        <w:spacing w:after="0" w:line="170" w:lineRule="exact"/>
        <w:rPr>
          <w:rFonts w:ascii="Times New Roman" w:cs="Times New Roman" w:eastAsia="Times New Roman" w:hAnsi="Times New Roman"/>
          <w:sz w:val="18"/>
          <w:szCs w:val="18"/>
          <w:color w:val="auto"/>
        </w:rPr>
      </w:pPr>
    </w:p>
    <w:p>
      <w:pPr>
        <w:ind w:left="80" w:firstLine="657"/>
        <w:spacing w:after="0" w:line="256" w:lineRule="auto"/>
        <w:tabs>
          <w:tab w:leader="none" w:pos="1387"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eligible to receive an annual discretionary bonus (the “</w:t>
      </w:r>
      <w:r>
        <w:rPr>
          <w:rFonts w:ascii="Times New Roman" w:cs="Times New Roman" w:eastAsia="Times New Roman" w:hAnsi="Times New Roman"/>
          <w:sz w:val="18"/>
          <w:szCs w:val="18"/>
          <w:b w:val="1"/>
          <w:bCs w:val="1"/>
          <w:i w:val="1"/>
          <w:iCs w:val="1"/>
          <w:color w:val="auto"/>
        </w:rPr>
        <w:t>Annual Bonus</w:t>
      </w:r>
      <w:r>
        <w:rPr>
          <w:rFonts w:ascii="Times New Roman" w:cs="Times New Roman" w:eastAsia="Times New Roman" w:hAnsi="Times New Roman"/>
          <w:sz w:val="18"/>
          <w:szCs w:val="18"/>
          <w:color w:val="auto"/>
        </w:rPr>
        <w:t>”). Your target Annual Bonus for each calendar year will be one hundred and fifty percent (150%) of your Base Salary. In all instances, the actual amount of the Annual Bonus, if any, shall be determined by the Employer, in its sole and absolute discretion, and may be based on, among other things, your base salary and target bonus, your overall performance and the performance of the Employer and the Activision Blizzard Group. The Annual Bonus, if any, will be paid (in cash or equity, with the form of payment at the Employer’s election) at the same time bonuses for that year are generally paid or delivered to other executives, as determined by the Employer in its discretion. Except as otherwise provided in this Agreement, you must remain continuously employed by the Activision Blizzard Group through the date on which an Annual Bonus, if any, is paid or vested to be eligible to receive such Annual Bonus.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56" w:name="page257"/>
    <w:bookmarkEnd w:id="256"/>
    <w:p>
      <w:pPr>
        <w:ind w:left="1300" w:hanging="646"/>
        <w:spacing w:after="0"/>
        <w:tabs>
          <w:tab w:leader="none" w:pos="13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approval of the Compensation Committee of the Board of Directors of Activision Blizzard (the “</w:t>
      </w:r>
      <w:r>
        <w:rPr>
          <w:rFonts w:ascii="Times New Roman" w:cs="Times New Roman" w:eastAsia="Times New Roman" w:hAnsi="Times New Roman"/>
          <w:sz w:val="18"/>
          <w:szCs w:val="18"/>
          <w:b w:val="1"/>
          <w:bCs w:val="1"/>
          <w:i w:val="1"/>
          <w:iCs w:val="1"/>
          <w:color w:val="auto"/>
        </w:rPr>
        <w:t>Compensation</w:t>
      </w:r>
    </w:p>
    <w:p>
      <w:pPr>
        <w:spacing w:after="0" w:line="3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Activision Blizzard will grant to you equity awards with a total target grant value of $11,250,000 (and a total grant value of $14,062,500, if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Maximum PSU Grant Value (as defined below) and the 2019 Maximum EPS PSU Grant Value (as defined below) were achieved) as follows:</w:t>
      </w:r>
    </w:p>
    <w:p>
      <w:pPr>
        <w:spacing w:after="0" w:line="180" w:lineRule="exact"/>
        <w:rPr>
          <w:sz w:val="20"/>
          <w:szCs w:val="20"/>
          <w:color w:val="auto"/>
        </w:rPr>
      </w:pPr>
    </w:p>
    <w:p>
      <w:pPr>
        <w:ind w:left="1880" w:right="20" w:hanging="655"/>
        <w:spacing w:after="0" w:line="253" w:lineRule="auto"/>
        <w:tabs>
          <w:tab w:leader="none" w:pos="190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Activision Blizzard shall grant to you performance-vesting restricted share units which represent the conditional right to receive shares of Activision Blizzard’s common stock (the “</w:t>
      </w:r>
      <w:r>
        <w:rPr>
          <w:rFonts w:ascii="Times New Roman" w:cs="Times New Roman" w:eastAsia="Times New Roman" w:hAnsi="Times New Roman"/>
          <w:sz w:val="18"/>
          <w:szCs w:val="18"/>
          <w:b w:val="1"/>
          <w:bCs w:val="1"/>
          <w:i w:val="1"/>
          <w:iCs w:val="1"/>
          <w:color w:val="auto"/>
        </w:rPr>
        <w:t>2019 Performance Share Units</w:t>
      </w:r>
      <w:r>
        <w:rPr>
          <w:rFonts w:ascii="Times New Roman" w:cs="Times New Roman" w:eastAsia="Times New Roman" w:hAnsi="Times New Roman"/>
          <w:sz w:val="18"/>
          <w:szCs w:val="18"/>
          <w:color w:val="auto"/>
        </w:rPr>
        <w:t xml:space="preserve">”), with a target value at the time of grant of approximately $7,500,000 (the </w:t>
      </w:r>
      <w:r>
        <w:rPr>
          <w:rFonts w:ascii="Times New Roman" w:cs="Times New Roman" w:eastAsia="Times New Roman" w:hAnsi="Times New Roman"/>
          <w:sz w:val="18"/>
          <w:szCs w:val="18"/>
          <w:b w:val="1"/>
          <w:bCs w:val="1"/>
          <w:i w:val="1"/>
          <w:iCs w:val="1"/>
          <w:color w:val="auto"/>
        </w:rPr>
        <w:t>“2019 Target PSU Grant Value”</w:t>
      </w:r>
      <w:r>
        <w:rPr>
          <w:rFonts w:ascii="Times New Roman" w:cs="Times New Roman" w:eastAsia="Times New Roman" w:hAnsi="Times New Roman"/>
          <w:sz w:val="18"/>
          <w:szCs w:val="18"/>
          <w:color w:val="auto"/>
        </w:rPr>
        <w:t>). The actual number of 2019 Performance Share Units awarded to you on the grant date shall be equal to the 2019 Target PSU Grant Value divided by the official per share closing price of Activision Blizzard’s common stock on the effective date of the grant, as reported by NASDAQ (the “</w:t>
      </w:r>
      <w:r>
        <w:rPr>
          <w:rFonts w:ascii="Times New Roman" w:cs="Times New Roman" w:eastAsia="Times New Roman" w:hAnsi="Times New Roman"/>
          <w:sz w:val="18"/>
          <w:szCs w:val="18"/>
          <w:b w:val="1"/>
          <w:bCs w:val="1"/>
          <w:i w:val="1"/>
          <w:iCs w:val="1"/>
          <w:color w:val="auto"/>
        </w:rPr>
        <w:t>Grant Date Price</w:t>
      </w:r>
      <w:r>
        <w:rPr>
          <w:rFonts w:ascii="Times New Roman" w:cs="Times New Roman" w:eastAsia="Times New Roman" w:hAnsi="Times New Roman"/>
          <w:sz w:val="18"/>
          <w:szCs w:val="18"/>
          <w:color w:val="auto"/>
        </w:rPr>
        <w:t>”) (it being recognized that if the maximum performance objectives are met for all of the 2019 Performance Share Units, the value of the shares received upon vesting for all of the 2019 Performance Share Units would have been $9,375,000 at the time of grant of the 2019 Performance Share Units, representing 125% of the 2019 Target PSU Grant Value (the “</w:t>
      </w:r>
      <w:r>
        <w:rPr>
          <w:rFonts w:ascii="Times New Roman" w:cs="Times New Roman" w:eastAsia="Times New Roman" w:hAnsi="Times New Roman"/>
          <w:sz w:val="18"/>
          <w:szCs w:val="18"/>
          <w:b w:val="1"/>
          <w:bCs w:val="1"/>
          <w:i w:val="1"/>
          <w:iCs w:val="1"/>
          <w:color w:val="auto"/>
        </w:rPr>
        <w:t>2019 Maximum PSU Grant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Value</w:t>
      </w:r>
      <w:r>
        <w:rPr>
          <w:rFonts w:ascii="Times New Roman" w:cs="Times New Roman" w:eastAsia="Times New Roman" w:hAnsi="Times New Roman"/>
          <w:sz w:val="18"/>
          <w:szCs w:val="18"/>
          <w:color w:val="auto"/>
        </w:rPr>
        <w:t>”)). The number of 2019 Performance Share Units awarded shall be rounded to the nearest whole number and shall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determined by the Compensation Committee in its sole discretion, and Activision Blizzard retains the discretion to modify the methodology for such calculations as needed. Subject to your remaining employed by the Activision Blizzard Group through the applicable vesting dates, the actual number of shares of Activision Blizzard’s common stock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that shall be received on each of the applicable vesting dates is determined as follows:</w:t>
      </w:r>
    </w:p>
    <w:p>
      <w:pPr>
        <w:spacing w:after="0" w:line="184" w:lineRule="exact"/>
        <w:rPr>
          <w:rFonts w:ascii="Times New Roman" w:cs="Times New Roman" w:eastAsia="Times New Roman" w:hAnsi="Times New Roman"/>
          <w:sz w:val="18"/>
          <w:szCs w:val="18"/>
          <w:color w:val="auto"/>
        </w:rPr>
      </w:pPr>
    </w:p>
    <w:p>
      <w:pPr>
        <w:ind w:left="2520" w:right="20" w:hanging="647"/>
        <w:spacing w:after="0" w:line="255" w:lineRule="auto"/>
        <w:tabs>
          <w:tab w:leader="none" w:pos="251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One-half of the 2019 Performance Share Units (the “</w:t>
      </w:r>
      <w:r>
        <w:rPr>
          <w:rFonts w:ascii="Times New Roman" w:cs="Times New Roman" w:eastAsia="Times New Roman" w:hAnsi="Times New Roman"/>
          <w:sz w:val="18"/>
          <w:szCs w:val="18"/>
          <w:b w:val="1"/>
          <w:bCs w:val="1"/>
          <w:i w:val="1"/>
          <w:iCs w:val="1"/>
          <w:color w:val="auto"/>
        </w:rPr>
        <w:t>First Tranche 2019 Performance Share Units</w:t>
      </w:r>
      <w:r>
        <w:rPr>
          <w:rFonts w:ascii="Times New Roman" w:cs="Times New Roman" w:eastAsia="Times New Roman" w:hAnsi="Times New Roman"/>
          <w:sz w:val="18"/>
          <w:szCs w:val="18"/>
          <w:color w:val="auto"/>
        </w:rPr>
        <w:t>”) shall vest on March 30, 2020, if, and only if, the Compensation Committee determines that non-GAAP operating income (calculated in the same manner as the 2019 AOP OI Objective (as defined below)) for 2019 for Activision Blizzard (“</w:t>
      </w:r>
      <w:r>
        <w:rPr>
          <w:rFonts w:ascii="Times New Roman" w:cs="Times New Roman" w:eastAsia="Times New Roman" w:hAnsi="Times New Roman"/>
          <w:sz w:val="18"/>
          <w:szCs w:val="18"/>
          <w:b w:val="1"/>
          <w:bCs w:val="1"/>
          <w:i w:val="1"/>
          <w:iCs w:val="1"/>
          <w:color w:val="auto"/>
        </w:rPr>
        <w:t>2019 OI</w:t>
      </w:r>
      <w:r>
        <w:rPr>
          <w:rFonts w:ascii="Times New Roman" w:cs="Times New Roman" w:eastAsia="Times New Roman" w:hAnsi="Times New Roman"/>
          <w:sz w:val="18"/>
          <w:szCs w:val="18"/>
          <w:color w:val="auto"/>
        </w:rPr>
        <w:t>”) is 85% or more of the annual operating plan operating income objective established by the Board of Directors for 2019 (the “</w:t>
      </w:r>
      <w:r>
        <w:rPr>
          <w:rFonts w:ascii="Times New Roman" w:cs="Times New Roman" w:eastAsia="Times New Roman" w:hAnsi="Times New Roman"/>
          <w:sz w:val="18"/>
          <w:szCs w:val="18"/>
          <w:b w:val="1"/>
          <w:bCs w:val="1"/>
          <w:i w:val="1"/>
          <w:iCs w:val="1"/>
          <w:color w:val="auto"/>
        </w:rPr>
        <w:t>2019 AOP OI Objective</w:t>
      </w:r>
      <w:r>
        <w:rPr>
          <w:rFonts w:ascii="Times New Roman" w:cs="Times New Roman" w:eastAsia="Times New Roman" w:hAnsi="Times New Roman"/>
          <w:sz w:val="18"/>
          <w:szCs w:val="18"/>
          <w:color w:val="auto"/>
        </w:rPr>
        <w:t>”). If the 2019 OI is less than 85% of the 2019 AOP OI Objective, then the First Tranche 2019 Performance Share Units will not vest and shall be forfeited. If the 2019 OI is 85% or more of the 2019 AOP OI Objective, the number of Shares that shall be received with regard to the First Tranche 2019 Performance Share Units on the applicable vesting date shall be equal to the product of: (1) the number of First Tranche 2019 Performance Share Units; and (2) the ratio of the 2019 OI to the 2019 AOP OI Objective, up to a maximum of 125%.</w:t>
      </w:r>
    </w:p>
    <w:p>
      <w:pPr>
        <w:spacing w:after="0" w:line="1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83820</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320" w:top="333" w:right="259" w:bottom="1440" w:gutter="0" w:footer="0" w:header="0"/>
        </w:sectPr>
      </w:pPr>
    </w:p>
    <w:bookmarkStart w:id="257" w:name="page258"/>
    <w:bookmarkEnd w:id="257"/>
    <w:p>
      <w:pPr>
        <w:ind w:left="1400" w:hanging="647"/>
        <w:spacing w:after="0" w:line="255" w:lineRule="auto"/>
        <w:tabs>
          <w:tab w:leader="none" w:pos="140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One-fourth of the 2019 Performance Share Units (the “</w:t>
      </w:r>
      <w:r>
        <w:rPr>
          <w:rFonts w:ascii="Times New Roman" w:cs="Times New Roman" w:eastAsia="Times New Roman" w:hAnsi="Times New Roman"/>
          <w:sz w:val="18"/>
          <w:szCs w:val="18"/>
          <w:b w:val="1"/>
          <w:bCs w:val="1"/>
          <w:i w:val="1"/>
          <w:iCs w:val="1"/>
          <w:color w:val="auto"/>
        </w:rPr>
        <w:t>Second Tranche 2019 Performance Share Units</w:t>
      </w:r>
      <w:r>
        <w:rPr>
          <w:rFonts w:ascii="Times New Roman" w:cs="Times New Roman" w:eastAsia="Times New Roman" w:hAnsi="Times New Roman"/>
          <w:sz w:val="18"/>
          <w:szCs w:val="18"/>
          <w:color w:val="auto"/>
        </w:rPr>
        <w:t>”) shall vest on March 30, 2021, if, and only if, the Compensation Committee determines that non-GAAP operating income (calculated in the same manner as the 2020 AOP OI Objective (as defined below)) for 2020 for Activision Blizzard (“</w:t>
      </w:r>
      <w:r>
        <w:rPr>
          <w:rFonts w:ascii="Times New Roman" w:cs="Times New Roman" w:eastAsia="Times New Roman" w:hAnsi="Times New Roman"/>
          <w:sz w:val="18"/>
          <w:szCs w:val="18"/>
          <w:b w:val="1"/>
          <w:bCs w:val="1"/>
          <w:i w:val="1"/>
          <w:iCs w:val="1"/>
          <w:color w:val="auto"/>
        </w:rPr>
        <w:t>2020 OI</w:t>
      </w:r>
      <w:r>
        <w:rPr>
          <w:rFonts w:ascii="Times New Roman" w:cs="Times New Roman" w:eastAsia="Times New Roman" w:hAnsi="Times New Roman"/>
          <w:sz w:val="18"/>
          <w:szCs w:val="18"/>
          <w:color w:val="auto"/>
        </w:rPr>
        <w:t>”) is 85% or more of the annual operating plan operating income objective established by the Board of Directors for 2020 (the “</w:t>
      </w:r>
      <w:r>
        <w:rPr>
          <w:rFonts w:ascii="Times New Roman" w:cs="Times New Roman" w:eastAsia="Times New Roman" w:hAnsi="Times New Roman"/>
          <w:sz w:val="18"/>
          <w:szCs w:val="18"/>
          <w:b w:val="1"/>
          <w:bCs w:val="1"/>
          <w:i w:val="1"/>
          <w:iCs w:val="1"/>
          <w:color w:val="auto"/>
        </w:rPr>
        <w:t>2020 AOP OI Objective</w:t>
      </w:r>
      <w:r>
        <w:rPr>
          <w:rFonts w:ascii="Times New Roman" w:cs="Times New Roman" w:eastAsia="Times New Roman" w:hAnsi="Times New Roman"/>
          <w:sz w:val="18"/>
          <w:szCs w:val="18"/>
          <w:color w:val="auto"/>
        </w:rPr>
        <w:t>”). If the 2020 OI is less than 85% of the 2020 AOP OI Objective, then the Second Tranche 2019 Performance Share Units will not vest and shall be forfeited. If the 2020 OI is 85% or more of the 2020 AOP OI Objective, the number of Shares that shall be received with regard to the Second Tranche 2019 Performance Share Units on the applicable vesting date shall be equal to the product of: (1) the number of Second Tranche 2019 Performance Share Units; and (2) the ratio of the 2020 OI to the 2020 AOP OI Objective, up to a maximum of 125%.</w:t>
      </w:r>
    </w:p>
    <w:p>
      <w:pPr>
        <w:spacing w:after="0" w:line="181" w:lineRule="exact"/>
        <w:rPr>
          <w:rFonts w:ascii="Times New Roman" w:cs="Times New Roman" w:eastAsia="Times New Roman" w:hAnsi="Times New Roman"/>
          <w:sz w:val="18"/>
          <w:szCs w:val="18"/>
          <w:color w:val="auto"/>
        </w:rPr>
      </w:pPr>
    </w:p>
    <w:p>
      <w:pPr>
        <w:ind w:left="1400" w:hanging="647"/>
        <w:spacing w:after="0" w:line="254" w:lineRule="auto"/>
        <w:tabs>
          <w:tab w:leader="none" w:pos="1403"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One-fourth of the 2019 Performance Share Units (the “</w:t>
      </w:r>
      <w:r>
        <w:rPr>
          <w:rFonts w:ascii="Times New Roman" w:cs="Times New Roman" w:eastAsia="Times New Roman" w:hAnsi="Times New Roman"/>
          <w:sz w:val="18"/>
          <w:szCs w:val="18"/>
          <w:b w:val="1"/>
          <w:bCs w:val="1"/>
          <w:i w:val="1"/>
          <w:iCs w:val="1"/>
          <w:color w:val="auto"/>
        </w:rPr>
        <w:t>Third Tranche 2019 Performance Share Units</w:t>
      </w:r>
      <w:r>
        <w:rPr>
          <w:rFonts w:ascii="Times New Roman" w:cs="Times New Roman" w:eastAsia="Times New Roman" w:hAnsi="Times New Roman"/>
          <w:sz w:val="18"/>
          <w:szCs w:val="18"/>
          <w:color w:val="auto"/>
        </w:rPr>
        <w:t>”) shall vest on March 30, 2021, if, and only if, the Compensation Committee determines that non-GAAP operating income (calculated in the same manner as the 2020 AOP Division OI Objective (as defined below)) for 2020 for the Emerging Businesses Division (“</w:t>
      </w:r>
      <w:r>
        <w:rPr>
          <w:rFonts w:ascii="Times New Roman" w:cs="Times New Roman" w:eastAsia="Times New Roman" w:hAnsi="Times New Roman"/>
          <w:sz w:val="18"/>
          <w:szCs w:val="18"/>
          <w:b w:val="1"/>
          <w:bCs w:val="1"/>
          <w:i w:val="1"/>
          <w:iCs w:val="1"/>
          <w:color w:val="auto"/>
        </w:rPr>
        <w:t>2020 Division OI</w:t>
      </w:r>
      <w:r>
        <w:rPr>
          <w:rFonts w:ascii="Times New Roman" w:cs="Times New Roman" w:eastAsia="Times New Roman" w:hAnsi="Times New Roman"/>
          <w:sz w:val="18"/>
          <w:szCs w:val="18"/>
          <w:color w:val="auto"/>
        </w:rPr>
        <w:t>”) is 85% or more of the annual operating plan operating income objective established by the Board of Directors for 2020 for the Emerging Businesses Division (the “</w:t>
      </w:r>
      <w:r>
        <w:rPr>
          <w:rFonts w:ascii="Times New Roman" w:cs="Times New Roman" w:eastAsia="Times New Roman" w:hAnsi="Times New Roman"/>
          <w:sz w:val="18"/>
          <w:szCs w:val="18"/>
          <w:b w:val="1"/>
          <w:bCs w:val="1"/>
          <w:i w:val="1"/>
          <w:iCs w:val="1"/>
          <w:color w:val="auto"/>
        </w:rPr>
        <w:t>2020 AOP Division OI Objective</w:t>
      </w:r>
      <w:r>
        <w:rPr>
          <w:rFonts w:ascii="Times New Roman" w:cs="Times New Roman" w:eastAsia="Times New Roman" w:hAnsi="Times New Roman"/>
          <w:sz w:val="18"/>
          <w:szCs w:val="18"/>
          <w:color w:val="auto"/>
        </w:rPr>
        <w:t>”). If the 2020 Division OI is less than 85% of the 2020 AOP Division OI Objective, then the Third Tranche 2019 Performance Share Units will not vest and shall be forfeited. If the 2020 Division OI is 85% or more of the 2020 AOP Division OI Objective, the number of Shares that shall be received with regard to the Third Tranche 2019 Performance Share Units on the applicable vesting date shall be equal to the product of: (1) the number of Third Tranche 2019 Performance Share Units; and (2) the ratio of the 2020 Division OI to the 2020 AOP Division OI Objective, up to a maximum of 125%.</w:t>
      </w:r>
    </w:p>
    <w:p>
      <w:pPr>
        <w:spacing w:after="0" w:line="190" w:lineRule="exact"/>
        <w:rPr>
          <w:rFonts w:ascii="Times New Roman" w:cs="Times New Roman" w:eastAsia="Times New Roman" w:hAnsi="Times New Roman"/>
          <w:sz w:val="18"/>
          <w:szCs w:val="18"/>
          <w:color w:val="auto"/>
        </w:rPr>
      </w:pPr>
    </w:p>
    <w:p>
      <w:pPr>
        <w:ind w:left="760" w:hanging="655"/>
        <w:spacing w:after="0" w:line="256" w:lineRule="auto"/>
        <w:tabs>
          <w:tab w:leader="none" w:pos="79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Activision Blizzard shall grant to you performance-vesting restricted share units which represent the conditional right to receive shares of Activision Blizzard’s common stock (the “</w:t>
      </w:r>
      <w:r>
        <w:rPr>
          <w:rFonts w:ascii="Times New Roman" w:cs="Times New Roman" w:eastAsia="Times New Roman" w:hAnsi="Times New Roman"/>
          <w:sz w:val="18"/>
          <w:szCs w:val="18"/>
          <w:b w:val="1"/>
          <w:bCs w:val="1"/>
          <w:i w:val="1"/>
          <w:iCs w:val="1"/>
          <w:color w:val="auto"/>
        </w:rPr>
        <w:t>2019 EPS Performance Share Units</w:t>
      </w:r>
      <w:r>
        <w:rPr>
          <w:rFonts w:ascii="Times New Roman" w:cs="Times New Roman" w:eastAsia="Times New Roman" w:hAnsi="Times New Roman"/>
          <w:sz w:val="18"/>
          <w:szCs w:val="18"/>
          <w:color w:val="auto"/>
        </w:rPr>
        <w:t xml:space="preserve">”), with a target value at the time of grant of approximately $3,750,000 (the </w:t>
      </w:r>
      <w:r>
        <w:rPr>
          <w:rFonts w:ascii="Times New Roman" w:cs="Times New Roman" w:eastAsia="Times New Roman" w:hAnsi="Times New Roman"/>
          <w:sz w:val="18"/>
          <w:szCs w:val="18"/>
          <w:b w:val="1"/>
          <w:bCs w:val="1"/>
          <w:i w:val="1"/>
          <w:iCs w:val="1"/>
          <w:color w:val="auto"/>
        </w:rPr>
        <w:t>“2019 Target EPS PSU Grant Value”</w:t>
      </w:r>
      <w:r>
        <w:rPr>
          <w:rFonts w:ascii="Times New Roman" w:cs="Times New Roman" w:eastAsia="Times New Roman" w:hAnsi="Times New Roman"/>
          <w:sz w:val="18"/>
          <w:szCs w:val="18"/>
          <w:color w:val="auto"/>
        </w:rPr>
        <w:t>). The actual number of 2019 EPS Performance Share Units awarded to you on the grant date shall be equal to the 2019 Target EPS PSU Grant Value divided by the Grant Date Price (it being recognized that if the maximum performance objectives are met for all of the 2019 EPS Performance Share Units, the value of the shares</w:t>
      </w:r>
    </w:p>
    <w:p>
      <w:pPr>
        <w:spacing w:after="0" w:line="18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80"/>
          </w:cols>
          <w:pgMar w:left="1440" w:top="333" w:right="279" w:bottom="1440" w:gutter="0" w:footer="0" w:header="0"/>
        </w:sectPr>
      </w:pPr>
    </w:p>
    <w:bookmarkStart w:id="258" w:name="page259"/>
    <w:bookmarkEnd w:id="258"/>
    <w:p>
      <w:pPr>
        <w:ind w:left="1960" w:right="40"/>
        <w:spacing w:after="0" w:line="255" w:lineRule="auto"/>
        <w:rPr>
          <w:sz w:val="20"/>
          <w:szCs w:val="20"/>
          <w:color w:val="auto"/>
        </w:rPr>
      </w:pPr>
      <w:r>
        <w:rPr>
          <w:rFonts w:ascii="Times New Roman" w:cs="Times New Roman" w:eastAsia="Times New Roman" w:hAnsi="Times New Roman"/>
          <w:sz w:val="18"/>
          <w:szCs w:val="18"/>
          <w:color w:val="auto"/>
        </w:rPr>
        <w:t>received upon vesting for all of the 2019 EPS Performance Share Units would have been $4,687,500 at the time of grant of the 2019 EPS Performance Share Units, representing 125% of the 2019 Target EPS PSU Grant Value (the “</w:t>
      </w:r>
      <w:r>
        <w:rPr>
          <w:rFonts w:ascii="Times New Roman" w:cs="Times New Roman" w:eastAsia="Times New Roman" w:hAnsi="Times New Roman"/>
          <w:sz w:val="18"/>
          <w:szCs w:val="18"/>
          <w:b w:val="1"/>
          <w:bCs w:val="1"/>
          <w:i w:val="1"/>
          <w:iCs w:val="1"/>
          <w:color w:val="auto"/>
        </w:rPr>
        <w:t>2019 Maximum EPS PSU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Grant Value</w:t>
      </w:r>
      <w:r>
        <w:rPr>
          <w:rFonts w:ascii="Times New Roman" w:cs="Times New Roman" w:eastAsia="Times New Roman" w:hAnsi="Times New Roman"/>
          <w:sz w:val="18"/>
          <w:szCs w:val="18"/>
          <w:color w:val="auto"/>
        </w:rPr>
        <w:t>”)). The number of 2019 EPS Performance Share Units awarded shall be rounded to the nearest whole number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be determined by the Compensation Committee in its sole discretion, and Activision Blizzard retains the discretion to modify the methodology for such calculations as needed. Subject to your remaining employed by the Activision Blizzard Group through the applicable vesting dates, the actual number of Shares that shall be received on the applicable vesting date is determined as follows:</w:t>
      </w:r>
    </w:p>
    <w:p>
      <w:pPr>
        <w:spacing w:after="0" w:line="189" w:lineRule="exact"/>
        <w:rPr>
          <w:sz w:val="20"/>
          <w:szCs w:val="20"/>
          <w:color w:val="auto"/>
        </w:rPr>
      </w:pPr>
    </w:p>
    <w:p>
      <w:pPr>
        <w:ind w:left="2600" w:right="80" w:hanging="647"/>
        <w:spacing w:after="0" w:line="254" w:lineRule="auto"/>
        <w:tabs>
          <w:tab w:leader="none" w:pos="259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2019 EPS Performance Share Units shall vest on March 30, 2021, if, and only if, the Compensation Committee determines that non-GAAP earnings per share objective (calculated in the same manner as the 2020 EPS Objective (as defined below)) for 2020 for Activision Blizzard (“</w:t>
      </w:r>
      <w:r>
        <w:rPr>
          <w:rFonts w:ascii="Times New Roman" w:cs="Times New Roman" w:eastAsia="Times New Roman" w:hAnsi="Times New Roman"/>
          <w:sz w:val="18"/>
          <w:szCs w:val="18"/>
          <w:b w:val="1"/>
          <w:bCs w:val="1"/>
          <w:i w:val="1"/>
          <w:iCs w:val="1"/>
          <w:color w:val="auto"/>
        </w:rPr>
        <w:t>2020 EPS</w:t>
      </w:r>
      <w:r>
        <w:rPr>
          <w:rFonts w:ascii="Times New Roman" w:cs="Times New Roman" w:eastAsia="Times New Roman" w:hAnsi="Times New Roman"/>
          <w:sz w:val="18"/>
          <w:szCs w:val="18"/>
          <w:color w:val="auto"/>
        </w:rPr>
        <w:t>”) is 90% or more of the annual operating plan non-GAAP earnings per share (calculated in the same manner as the 2020 EPS Objective (as defined below)) established by the Board of Directors for Activision Blizzard for 2020 (the “</w:t>
      </w:r>
      <w:r>
        <w:rPr>
          <w:rFonts w:ascii="Times New Roman" w:cs="Times New Roman" w:eastAsia="Times New Roman" w:hAnsi="Times New Roman"/>
          <w:sz w:val="18"/>
          <w:szCs w:val="18"/>
          <w:b w:val="1"/>
          <w:bCs w:val="1"/>
          <w:i w:val="1"/>
          <w:iCs w:val="1"/>
          <w:color w:val="auto"/>
        </w:rPr>
        <w:t>2020 EPS Objective</w:t>
      </w:r>
      <w:r>
        <w:rPr>
          <w:rFonts w:ascii="Times New Roman" w:cs="Times New Roman" w:eastAsia="Times New Roman" w:hAnsi="Times New Roman"/>
          <w:sz w:val="18"/>
          <w:szCs w:val="18"/>
          <w:color w:val="auto"/>
        </w:rPr>
        <w:t>”). If the 2020 EPS is less than 90% of the 2020 EPS Objective, then the 2019 EPS Performance Share Units will not vest and shall be forfeited. If the 2020 EPS is 90% or more of the 2020 EPS Objective, the number of Shares that shall be received with regard to the 2019 EPS Performance Share Units on the vesting date shall be equal to the product of: (1) the number of 2019 EPS Performance Share Units; and (2) the ratio of the 2020 EPS to the 2020 EPS Objective, up to a maximum of 125%.</w:t>
      </w:r>
    </w:p>
    <w:p>
      <w:pPr>
        <w:spacing w:after="0" w:line="189"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Prior to the vesting of any portion of the 2019 Performance Share Units, Activision Blizzard, in its sole discretion, may adjust the performance objective for the relevant fiscal year(s) by substituting the OI and AOP OI Objective of a different or additional business unit for that of your original business unit or by prorating or otherwise combining the OI and AOP OI Objective of the applicable business units, in each case for purposes of determining whether or not the conditions of the unvested 2019 Performance Share Units have been satisfied.</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Collectively, the 2019 Performance Share Units and the 2019 EPS Performance Share Units shall be referred to as the “</w:t>
      </w:r>
      <w:r>
        <w:rPr>
          <w:rFonts w:ascii="Times New Roman" w:cs="Times New Roman" w:eastAsia="Times New Roman" w:hAnsi="Times New Roman"/>
          <w:sz w:val="18"/>
          <w:szCs w:val="18"/>
          <w:b w:val="1"/>
          <w:bCs w:val="1"/>
          <w:i w:val="1"/>
          <w:iCs w:val="1"/>
          <w:color w:val="auto"/>
        </w:rPr>
        <w:t>2019 Equity Awards</w:t>
      </w:r>
      <w:r>
        <w:rPr>
          <w:rFonts w:ascii="Times New Roman" w:cs="Times New Roman" w:eastAsia="Times New Roman" w:hAnsi="Times New Roman"/>
          <w:sz w:val="18"/>
          <w:szCs w:val="18"/>
          <w:color w:val="auto"/>
        </w:rPr>
        <w:t>”. You acknowledge that the grant of 2019 Equity Awards pursuant to this Section 2(d) is expressly conditioned upon approval by the Compensation Committee and that the Compensation Committee has discretion to approve or disapprove the grants and/or to determine and make modifications to the terms of the grants. The 2019 Equity Awards shall be subject to all terms of the equity incentive plan pursuant to which they are granted (the “</w:t>
      </w:r>
      <w:r>
        <w:rPr>
          <w:rFonts w:ascii="Times New Roman" w:cs="Times New Roman" w:eastAsia="Times New Roman" w:hAnsi="Times New Roman"/>
          <w:sz w:val="18"/>
          <w:szCs w:val="18"/>
          <w:b w:val="1"/>
          <w:bCs w:val="1"/>
          <w:i w:val="1"/>
          <w:iCs w:val="1"/>
          <w:color w:val="auto"/>
        </w:rPr>
        <w:t>Incentive Plan</w:t>
      </w:r>
      <w:r>
        <w:rPr>
          <w:rFonts w:ascii="Times New Roman" w:cs="Times New Roman" w:eastAsia="Times New Roman" w:hAnsi="Times New Roman"/>
          <w:sz w:val="18"/>
          <w:szCs w:val="18"/>
          <w:color w:val="auto"/>
        </w:rPr>
        <w:t>”), Activision Blizzard’s standard forms of award agreement, and, in the event that Activision Blizzard determines that you are an Executive Officer within the meaning of the Executive Ownership Guidelines of Activision Blizzard (as defined by the Securities Exchange Act of 1934, as amended), the Employer’s Executive Stock Ownership</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8" w:right="259" w:bottom="1440" w:gutter="0" w:footer="0" w:header="0"/>
        </w:sectPr>
      </w:pPr>
    </w:p>
    <w:bookmarkStart w:id="259" w:name="page260"/>
    <w:bookmarkEnd w:id="259"/>
    <w:p>
      <w:pPr>
        <w:ind w:right="40"/>
        <w:spacing w:after="0" w:line="261" w:lineRule="auto"/>
        <w:rPr>
          <w:sz w:val="20"/>
          <w:szCs w:val="20"/>
          <w:color w:val="auto"/>
        </w:rPr>
      </w:pPr>
      <w:r>
        <w:rPr>
          <w:rFonts w:ascii="Times New Roman" w:cs="Times New Roman" w:eastAsia="Times New Roman" w:hAnsi="Times New Roman"/>
          <w:sz w:val="18"/>
          <w:szCs w:val="18"/>
          <w:color w:val="auto"/>
        </w:rPr>
        <w:t>Guidelines (including, but not limited to, all of the limitations on equity awards described therein) which are attached as Exhibit C, will apply. In the event of a conflict between this Agreement and the terms of the Incentive Plan or award agreements, the Incentive Plan or the award agreements, as applicable, shall govern. These 2019 Equity Awards, if and when approved by the Compensation Committee, shall be in addition to any previous equity incentive awards made to you.</w:t>
      </w:r>
    </w:p>
    <w:p>
      <w:pPr>
        <w:spacing w:after="0" w:line="180" w:lineRule="exact"/>
        <w:rPr>
          <w:sz w:val="20"/>
          <w:szCs w:val="20"/>
          <w:color w:val="auto"/>
        </w:rPr>
      </w:pPr>
    </w:p>
    <w:p>
      <w:pPr>
        <w:ind w:left="80" w:right="20" w:firstLine="654"/>
        <w:spacing w:after="0" w:line="273" w:lineRule="auto"/>
        <w:tabs>
          <w:tab w:leader="none" w:pos="1387" w:val="left"/>
        </w:tabs>
        <w:numPr>
          <w:ilvl w:val="1"/>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three weeks of the Effective Date, the Employer will provide you with a sign on bonus in the amount of $3,750,000 (less applicable taxes). This bonus will not be fully earned by you until you have completed employment under this Agreement until December 31, 2019. As such, should your employment with the Employer terminate pursuant to Section 9(a) or due to your resignation pursuant to Section 9(b) prior to December 31, 2019, you agree to repay the Employer 100% of this bonus on or within 60 days of the termination of your employment. If (x) you remain employed by the Activision Blizzard Group through December 31, 2019 or (y) your employment terminates prior to December 31, 2019 for any reason other than for Cause (as defined in Section 9(a)) or due to your resignation, then the bonus shall be fully earned and you will not have to repay any portion of the bonus. The fact that you are receiving this bonus and the terms under which you will be required to repay the bonus in no way affect your other obligations under this Agreement.</w:t>
      </w:r>
    </w:p>
    <w:p>
      <w:pPr>
        <w:spacing w:after="0" w:line="168" w:lineRule="exact"/>
        <w:rPr>
          <w:rFonts w:ascii="Times New Roman" w:cs="Times New Roman" w:eastAsia="Times New Roman" w:hAnsi="Times New Roman"/>
          <w:sz w:val="17"/>
          <w:szCs w:val="17"/>
          <w:color w:val="auto"/>
        </w:rPr>
      </w:pPr>
    </w:p>
    <w:p>
      <w:pPr>
        <w:ind w:left="660" w:hanging="652"/>
        <w:spacing w:after="0"/>
        <w:tabs>
          <w:tab w:leader="none" w:pos="66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Title; Location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shall serve as Chief Financial Officer of Activision Blizzard and the President of its Emerging Businesses Division. Your principal place of</w:t>
      </w:r>
    </w:p>
    <w:p>
      <w:pPr>
        <w:spacing w:after="0" w:line="27"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 xml:space="preserve">business initially shall be the Employer’s headquarters in Santa Monica, California;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you acknowledge and agree that you may be required to travel from time to time for business reasons.</w:t>
      </w:r>
    </w:p>
    <w:p>
      <w:pPr>
        <w:spacing w:after="0" w:line="176" w:lineRule="exact"/>
        <w:rPr>
          <w:sz w:val="20"/>
          <w:szCs w:val="20"/>
          <w:color w:val="auto"/>
        </w:rPr>
      </w:pPr>
    </w:p>
    <w:p>
      <w:pPr>
        <w:ind w:left="660" w:hanging="652"/>
        <w:spacing w:after="0"/>
        <w:tabs>
          <w:tab w:leader="none" w:pos="6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Duties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You shall report directly to the Employer’s Chief Executive Officer (or, after meaningful consultation between the Employer’s Chief Executive Officer or his designee and you such other executive of the Activision Blizzard Group as may be determined from time to time by it in its discretion) and shall have such duties commensurate with your position as may be assigned to you from time to time by the Employer’s Chief Executive Officer (or, as applicable, such other executive designated by the Employer). You are also required to read, review and observe all of the Activision Blizzard Group’s policies, procedures, rules and regulations in effect from time to time during the Term that apply to employees of the Employer, including, without limitation, the Code of Conduct, as amended from time to time. You shall devote your full-time working time to the performance of your duties hereunder, shall faithfully serve the Employer, shall in all respects conform to and comply with the lawful directions and instructions given to you by the Employer’s Chief Executive Officer (or such other executive of the Activision Blizzard Group as may be determined from time to time by the Employer in its sole and absolute discretion) and shall use your best efforts to promote and serve the interests of the Activision Blizzard Group. Further, you shall at all times place the Employer’s interests above your own, not take any actions that would conflict with the Employer’s interests and shall perform all your duties for the Employer with the highest duty of care. Further, you shall not, directly or indirectly, render services of any kind to any other person or organization, whether on your own behalf or on behalf of others, without the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0" w:name="page261"/>
    <w:bookmarkEnd w:id="260"/>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 xml:space="preserve">consent of the Employer’s Chief Executive Officer or otherwise engage in activities that would interfere with your faithful and diligent performance of your duties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you may serve on civic or charitable boards or engage in charitable activities without remuneration if doing so is not inconsistent with, or adverse to, your employment hereunder.</w:t>
      </w:r>
    </w:p>
    <w:p>
      <w:pPr>
        <w:spacing w:after="0" w:line="172" w:lineRule="exact"/>
        <w:rPr>
          <w:sz w:val="20"/>
          <w:szCs w:val="20"/>
          <w:color w:val="auto"/>
        </w:rPr>
      </w:pPr>
    </w:p>
    <w:p>
      <w:pPr>
        <w:ind w:left="660" w:hanging="652"/>
        <w:spacing w:after="0"/>
        <w:tabs>
          <w:tab w:leader="none" w:pos="66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Expenses</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To the extent you incur necessary and reasonable travel or other business expenses in the course of your employment, you shall be reimbursed for such expenses, upon presentation of written documentation in accordance with the Employer’s policies in effect from time to time.</w:t>
      </w:r>
    </w:p>
    <w:p>
      <w:pPr>
        <w:spacing w:after="0" w:line="158" w:lineRule="exact"/>
        <w:rPr>
          <w:sz w:val="20"/>
          <w:szCs w:val="20"/>
          <w:color w:val="auto"/>
        </w:rPr>
      </w:pPr>
    </w:p>
    <w:p>
      <w:pPr>
        <w:ind w:left="660" w:hanging="652"/>
        <w:spacing w:after="0"/>
        <w:tabs>
          <w:tab w:leader="none" w:pos="66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Benefits</w:t>
      </w:r>
    </w:p>
    <w:p>
      <w:pPr>
        <w:spacing w:after="0" w:line="229" w:lineRule="exact"/>
        <w:rPr>
          <w:rFonts w:ascii="Times New Roman" w:cs="Times New Roman" w:eastAsia="Times New Roman" w:hAnsi="Times New Roman"/>
          <w:sz w:val="18"/>
          <w:szCs w:val="18"/>
          <w:b w:val="1"/>
          <w:bCs w:val="1"/>
          <w:color w:val="auto"/>
        </w:rPr>
      </w:pPr>
    </w:p>
    <w:p>
      <w:pPr>
        <w:ind w:left="80" w:right="20" w:firstLine="657"/>
        <w:spacing w:after="0" w:line="255" w:lineRule="auto"/>
        <w:tabs>
          <w:tab w:leader="none" w:pos="1374"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be eligible to participate in all health, welfare, retirement, pension, life insurance, disability, perquisite and similar plans, programs and arrangements generally available to executives of the Employer from time to time during the Term, subject to the then-prevailing terms, conditions and eligibility requirements of each such plan, program, or arrangement. In addition to the foregoing benefits, Employer will provide you during the Term, at Employer’s expense, with a supplemental term life insurance policy with a face amount of $3,000,000 through a carrier of Employer’s choice (the “</w:t>
      </w:r>
      <w:r>
        <w:rPr>
          <w:rFonts w:ascii="Times New Roman" w:cs="Times New Roman" w:eastAsia="Times New Roman" w:hAnsi="Times New Roman"/>
          <w:sz w:val="18"/>
          <w:szCs w:val="18"/>
          <w:b w:val="1"/>
          <w:bCs w:val="1"/>
          <w:i w:val="1"/>
          <w:iCs w:val="1"/>
          <w:color w:val="auto"/>
        </w:rPr>
        <w:t>Target Face Amount</w:t>
      </w:r>
      <w:r>
        <w:rPr>
          <w:rFonts w:ascii="Times New Roman" w:cs="Times New Roman" w:eastAsia="Times New Roman" w:hAnsi="Times New Roman"/>
          <w:sz w:val="18"/>
          <w:szCs w:val="18"/>
          <w:color w:val="auto"/>
        </w:rPr>
        <w:t>”), subject to your insurability. If it is determined that you are insurable at a higher cost than a healthy individual of like age, the face amount of such insurance coverage will be reduced to the maximum face amount of coverage that may be obtained for the cost of coverage of the Target Face Amount for such healthy individual.</w:t>
      </w:r>
    </w:p>
    <w:p>
      <w:pPr>
        <w:spacing w:after="0" w:line="189" w:lineRule="exact"/>
        <w:rPr>
          <w:rFonts w:ascii="Times New Roman" w:cs="Times New Roman" w:eastAsia="Times New Roman" w:hAnsi="Times New Roman"/>
          <w:sz w:val="18"/>
          <w:szCs w:val="18"/>
          <w:color w:val="auto"/>
        </w:rPr>
      </w:pPr>
    </w:p>
    <w:p>
      <w:pPr>
        <w:ind w:left="80" w:right="100" w:firstLine="657"/>
        <w:spacing w:after="0" w:line="266" w:lineRule="auto"/>
        <w:tabs>
          <w:tab w:leader="none" w:pos="1384"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expressly agree and acknowledge that, after the termination of your employment, you shall not be entitled to any additional benefits, except as specifically provided in this Agreement and the benefit plans in which you participate during the Term, and subject in each case to the then-prevailing terms and conditions of each such plan.</w:t>
      </w:r>
    </w:p>
    <w:p>
      <w:pPr>
        <w:spacing w:after="0" w:line="17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Vacation and Paid Holidays</w:t>
      </w:r>
    </w:p>
    <w:p>
      <w:pPr>
        <w:spacing w:after="0" w:line="229" w:lineRule="exact"/>
        <w:rPr>
          <w:rFonts w:ascii="Times New Roman" w:cs="Times New Roman" w:eastAsia="Times New Roman" w:hAnsi="Times New Roman"/>
          <w:sz w:val="18"/>
          <w:szCs w:val="18"/>
          <w:b w:val="1"/>
          <w:bCs w:val="1"/>
          <w:color w:val="auto"/>
        </w:rPr>
      </w:pPr>
    </w:p>
    <w:p>
      <w:pPr>
        <w:ind w:left="80" w:firstLine="657"/>
        <w:spacing w:after="0" w:line="261" w:lineRule="auto"/>
        <w:tabs>
          <w:tab w:leader="none" w:pos="1374"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will generally be entitled to paid vacation days in accordance with the normal vacation policies of the Employer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you will be entitled to take and accrue no less than twenty (20) paid vacation days per year, unless your vacation accrual balance exceeds the Employer’s then-current maximum accrual cap, in which case you shall cease accruing vacation leave until your accrual balance has fallen below the cap again.</w:t>
      </w:r>
    </w:p>
    <w:p>
      <w:pPr>
        <w:spacing w:after="0" w:line="180" w:lineRule="exact"/>
        <w:rPr>
          <w:rFonts w:ascii="Times New Roman" w:cs="Times New Roman" w:eastAsia="Times New Roman" w:hAnsi="Times New Roman"/>
          <w:sz w:val="18"/>
          <w:szCs w:val="18"/>
          <w:color w:val="auto"/>
        </w:rPr>
      </w:pPr>
    </w:p>
    <w:p>
      <w:pPr>
        <w:ind w:left="1400" w:hanging="663"/>
        <w:spacing w:after="0"/>
        <w:tabs>
          <w:tab w:leader="none" w:pos="140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be entitled to all paid holidays allowed by the Employer to its full-time employees in the United States.</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Protection of the Employer’s Interests</w:t>
      </w:r>
    </w:p>
    <w:p>
      <w:pPr>
        <w:spacing w:after="0" w:line="225" w:lineRule="exact"/>
        <w:rPr>
          <w:rFonts w:ascii="Times New Roman" w:cs="Times New Roman" w:eastAsia="Times New Roman" w:hAnsi="Times New Roman"/>
          <w:sz w:val="18"/>
          <w:szCs w:val="18"/>
          <w:b w:val="1"/>
          <w:bCs w:val="1"/>
          <w:color w:val="auto"/>
        </w:rPr>
      </w:pPr>
    </w:p>
    <w:p>
      <w:pPr>
        <w:ind w:left="80" w:right="40" w:firstLine="657"/>
        <w:spacing w:after="0" w:line="262" w:lineRule="auto"/>
        <w:tabs>
          <w:tab w:leader="none" w:pos="1374"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Duty of Loyalty. </w:t>
      </w:r>
      <w:r>
        <w:rPr>
          <w:rFonts w:ascii="Times New Roman" w:cs="Times New Roman" w:eastAsia="Times New Roman" w:hAnsi="Times New Roman"/>
          <w:sz w:val="18"/>
          <w:szCs w:val="18"/>
          <w:color w:val="auto"/>
        </w:rPr>
        <w:t>During the Term, you will owe a “</w:t>
      </w:r>
      <w:r>
        <w:rPr>
          <w:rFonts w:ascii="Times New Roman" w:cs="Times New Roman" w:eastAsia="Times New Roman" w:hAnsi="Times New Roman"/>
          <w:sz w:val="18"/>
          <w:szCs w:val="18"/>
          <w:b w:val="1"/>
          <w:bCs w:val="1"/>
          <w:i w:val="1"/>
          <w:iCs w:val="1"/>
          <w:color w:val="auto"/>
        </w:rPr>
        <w:t>Duty of Loyalty</w:t>
      </w:r>
      <w:r>
        <w:rPr>
          <w:rFonts w:ascii="Times New Roman" w:cs="Times New Roman" w:eastAsia="Times New Roman" w:hAnsi="Times New Roman"/>
          <w:sz w:val="18"/>
          <w:szCs w:val="18"/>
          <w:color w:val="auto"/>
        </w:rPr>
        <w:t>” to the Employer, which includes, but is not limited to, you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competing in any manner, whether directly or indirectly, as a principal, employee, agent, owner, or otherwise, with any entity in the Activision Blizzard Group;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this Section 8(a) will limit your right to own up to five percent (5%) of any of the debt or equity securities of any business</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61" w:name="page262"/>
    <w:bookmarkEnd w:id="261"/>
    <w:p>
      <w:pPr>
        <w:ind w:left="72" w:right="260"/>
        <w:spacing w:after="0" w:line="282" w:lineRule="auto"/>
        <w:rPr>
          <w:sz w:val="20"/>
          <w:szCs w:val="20"/>
          <w:color w:val="auto"/>
        </w:rPr>
      </w:pPr>
      <w:r>
        <w:rPr>
          <w:rFonts w:ascii="Times New Roman" w:cs="Times New Roman" w:eastAsia="Times New Roman" w:hAnsi="Times New Roman"/>
          <w:sz w:val="18"/>
          <w:szCs w:val="18"/>
          <w:color w:val="auto"/>
        </w:rPr>
        <w:t>organization that is then required to file reports with the Securities and Exchange Commission pursuant to Section 13 or 15(d) of the Securities Exchange Act of 1934, as amended.</w:t>
      </w:r>
    </w:p>
    <w:p>
      <w:pPr>
        <w:spacing w:after="0" w:line="158" w:lineRule="exact"/>
        <w:rPr>
          <w:sz w:val="20"/>
          <w:szCs w:val="20"/>
          <w:color w:val="auto"/>
        </w:rPr>
      </w:pPr>
    </w:p>
    <w:p>
      <w:pPr>
        <w:ind w:left="-8" w:right="160" w:firstLine="656"/>
        <w:spacing w:after="0" w:line="272" w:lineRule="auto"/>
        <w:tabs>
          <w:tab w:leader="none" w:pos="1296"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Property of the Activision Blizzard Group. </w:t>
      </w:r>
      <w:r>
        <w:rPr>
          <w:rFonts w:ascii="Times New Roman" w:cs="Times New Roman" w:eastAsia="Times New Roman" w:hAnsi="Times New Roman"/>
          <w:sz w:val="17"/>
          <w:szCs w:val="17"/>
          <w:color w:val="auto"/>
        </w:rPr>
        <w:t>All rights worldwide with respect to any and all intellectual or other property of any nature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produced, created or suggested by you, whether on your own time or not, alone or with others, during the term of your employment or resulting from your services which (i) relate in any manner at the time of conception or reduction to practice to the actual or demonstrably anticipated business of the Activision Blizzard Group, (ii) result from or are suggested by any task assigned to you or any work performed by you on behalf of the Activision Blizzard Group,</w:t>
      </w:r>
    </w:p>
    <w:p>
      <w:pPr>
        <w:ind w:left="-8" w:right="180" w:firstLine="8"/>
        <w:spacing w:after="0" w:line="252" w:lineRule="auto"/>
        <w:tabs>
          <w:tab w:leader="none" w:pos="307"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created using the time or resources of the Activision Blizzard Group, or (iv) are based on any property owned or idea conceived by the Activision Blizzard Group, shall be deemed to be a work made for hire and shall be the sole and exclusive property of the Activision Blizzard Group. You agree to execute, acknowledge and deliver to the Employer, at the Employer’s request, such further documents, including copyright and patent assignments, as the Employer finds appropriate to evidence the Activision Blizzard Group’s rights in such property. Your agreement to assign to the Activision Blizzard Group any of your rights as set forth in this Section 8(b) shall not apply to any invention that qualifies fully under the provisions of California Labor Code Section 2870, where no equipment, supplies, facility or trade secret information of the Activision Blizzard Group was used, where the invention was developed entirely upon your own time, where the invention does not relate to the Activision Blizzard Group’s business, and where the invention does not result from any work performed by you for the Activision Blizzard Group.</w:t>
      </w:r>
    </w:p>
    <w:p>
      <w:pPr>
        <w:spacing w:after="0" w:line="183" w:lineRule="exact"/>
        <w:rPr>
          <w:rFonts w:ascii="Times New Roman" w:cs="Times New Roman" w:eastAsia="Times New Roman" w:hAnsi="Times New Roman"/>
          <w:sz w:val="18"/>
          <w:szCs w:val="18"/>
          <w:color w:val="auto"/>
        </w:rPr>
      </w:pPr>
    </w:p>
    <w:p>
      <w:pPr>
        <w:ind w:left="72" w:firstLine="657"/>
        <w:spacing w:after="0" w:line="254" w:lineRule="auto"/>
        <w:tabs>
          <w:tab w:leader="none" w:pos="1379" w:val="left"/>
        </w:tabs>
        <w:numPr>
          <w:ilvl w:val="2"/>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Confidentiality. </w:t>
      </w:r>
      <w:r>
        <w:rPr>
          <w:rFonts w:ascii="Times New Roman" w:cs="Times New Roman" w:eastAsia="Times New Roman" w:hAnsi="Times New Roman"/>
          <w:sz w:val="18"/>
          <w:szCs w:val="18"/>
          <w:color w:val="auto"/>
        </w:rPr>
        <w:t>You acknowledge, and the Employer agrees, that during your employment you will have access to and become informed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confidential and proprietary information concerning the Activision Blizzard Group. During your employment and at all times following the termination of your employment, confidential or proprietary information of any entity in the Activision Blizzard Group shall not be used by you or disclosed or made available by you to any person except as required in the course of your employment with the Activision Blizzard Group or as otherwise provided for in the Employee Confidential Information Agreement attached as Exhibit A hereto (the “</w:t>
      </w:r>
      <w:r>
        <w:rPr>
          <w:rFonts w:ascii="Times New Roman" w:cs="Times New Roman" w:eastAsia="Times New Roman" w:hAnsi="Times New Roman"/>
          <w:sz w:val="18"/>
          <w:szCs w:val="18"/>
          <w:b w:val="1"/>
          <w:bCs w:val="1"/>
          <w:i w:val="1"/>
          <w:iCs w:val="1"/>
          <w:color w:val="auto"/>
        </w:rPr>
        <w:t>Confidential Information Agreement</w:t>
      </w:r>
      <w:r>
        <w:rPr>
          <w:rFonts w:ascii="Times New Roman" w:cs="Times New Roman" w:eastAsia="Times New Roman" w:hAnsi="Times New Roman"/>
          <w:sz w:val="18"/>
          <w:szCs w:val="18"/>
          <w:color w:val="auto"/>
        </w:rPr>
        <w:t>”). Upon the termination of your employment (or at any time on the Employer’s request), you shall return to the Activision Blizzard Group all such information that exists, whether in electronic, written, or other form (and all copies or extracts thereof) under your control and shall not retain such information in any form, including without limitation on any devices, disks or other media. Without limiting the generality of the foregoing, you acknowledge signing and delivering to the Employer the Confidential Information Agreement as of the Effective Date and you agree that all terms and conditions contained in such agreement, and all of your obligations and commitments provided for in such agreement, shall be deemed, and hereby are, incorporated into this Agreement as if set forth in full herein.</w:t>
      </w:r>
    </w:p>
    <w:p>
      <w:pPr>
        <w:spacing w:after="0" w:line="186" w:lineRule="exact"/>
        <w:rPr>
          <w:rFonts w:ascii="Times New Roman" w:cs="Times New Roman" w:eastAsia="Times New Roman" w:hAnsi="Times New Roman"/>
          <w:sz w:val="18"/>
          <w:szCs w:val="18"/>
          <w:color w:val="auto"/>
        </w:rPr>
      </w:pPr>
    </w:p>
    <w:p>
      <w:pPr>
        <w:ind w:left="72" w:right="180" w:firstLine="654"/>
        <w:spacing w:after="0" w:line="262" w:lineRule="auto"/>
        <w:tabs>
          <w:tab w:leader="none" w:pos="1376" w:val="left"/>
        </w:tabs>
        <w:numPr>
          <w:ilvl w:val="2"/>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Return of Property and Resignation from Office. </w:t>
      </w:r>
      <w:r>
        <w:rPr>
          <w:rFonts w:ascii="Times New Roman" w:cs="Times New Roman" w:eastAsia="Times New Roman" w:hAnsi="Times New Roman"/>
          <w:sz w:val="18"/>
          <w:szCs w:val="18"/>
          <w:color w:val="auto"/>
        </w:rPr>
        <w:t>You acknowledge that, upon termination of your employment for any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whatsoever (or at any time on the Employer’s request), you will promptly deliver to the Activision Blizzard Group or surrender to the Activision Blizzard Group’s representative all property of any entity in the Activision Blizzard Group, including, without limitation, all documents and other materials (and all copies thereof) relating to the Activision Blizzard Group’s business, all identification and access cards, all contact lists</w:t>
      </w:r>
    </w:p>
    <w:p>
      <w:pPr>
        <w:spacing w:after="0" w:line="18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37" w:right="259" w:bottom="1440" w:gutter="0" w:footer="0" w:header="0"/>
        </w:sectPr>
      </w:pPr>
    </w:p>
    <w:bookmarkStart w:id="262" w:name="page263"/>
    <w:bookmarkEnd w:id="262"/>
    <w:p>
      <w:pPr>
        <w:spacing w:after="0" w:line="255" w:lineRule="auto"/>
        <w:rPr>
          <w:sz w:val="20"/>
          <w:szCs w:val="20"/>
          <w:color w:val="auto"/>
        </w:rPr>
      </w:pPr>
      <w:r>
        <w:rPr>
          <w:rFonts w:ascii="Times New Roman" w:cs="Times New Roman" w:eastAsia="Times New Roman" w:hAnsi="Times New Roman"/>
          <w:sz w:val="18"/>
          <w:szCs w:val="18"/>
          <w:color w:val="auto"/>
        </w:rPr>
        <w:t>and third party business cards however and wherever preserved, and any equipment provided by any entity in the Activision Blizzard Group, including, without limitation, computers, telephones, personal digital assistants, memory cards and similar devices that you possess or have in your custody or under your control. You will cooperate with the Activision Blizzard Group by participating in interviews to share any knowledge you may have regarding the Activision Blizzard Group’s intellectual or other property with personnel designated by the Activision Blizzard Group. You also agree to resign from any office held by you within the Activision Blizzard Group immediately upon termination of your employment for any reason whatsoever (or at any time on the Employer’s request) and you irrevocably appoint any person designated as the Activision Blizzard Group’s representative at that time as your delegate to effect such resignation.</w:t>
      </w:r>
    </w:p>
    <w:p>
      <w:pPr>
        <w:spacing w:after="0" w:line="185" w:lineRule="exact"/>
        <w:rPr>
          <w:sz w:val="20"/>
          <w:szCs w:val="20"/>
          <w:color w:val="auto"/>
        </w:rPr>
      </w:pPr>
    </w:p>
    <w:p>
      <w:pPr>
        <w:ind w:left="1320" w:hanging="663"/>
        <w:spacing w:after="0"/>
        <w:tabs>
          <w:tab w:leader="none" w:pos="132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Covenant Not to Solicit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880" w:right="80" w:hanging="655"/>
        <w:spacing w:after="0" w:line="276" w:lineRule="auto"/>
        <w:tabs>
          <w:tab w:leader="none" w:pos="1901"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your employment, you shall not, at any time or for any reason, either alone or jointly, with or on behalf of others, whether as principal, partner, agent, representative, equity holder, director, employee, consultant or otherwise, directly or indirectly:</w:t>
      </w:r>
    </w:p>
    <w:p>
      <w:pPr>
        <w:ind w:left="188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offer employment to, or solicit the employment or engagement of, or otherwise entice away from the employment or engagement of the Activision Blizzard Group, either for your own account or for any other person, firm or company, any person employed or otherwise engaged by any entity in the Activision Blizzard Group, whether or not such person would commit any breach of a contract by reason of his or her leaving the service of the Activision Blizzard Group; or (b) solicit, induce or entice any client, customer, contractor, licensor, agent, supplier, partner or other business relationship of any entity in the Activision Blizzard Group to terminate, discontinue, renegotiate or otherwise cease or modify its relationship with the Activision Blizzard Group.</w:t>
      </w:r>
    </w:p>
    <w:p>
      <w:pPr>
        <w:spacing w:after="0" w:line="175" w:lineRule="exact"/>
        <w:rPr>
          <w:sz w:val="20"/>
          <w:szCs w:val="20"/>
          <w:color w:val="auto"/>
        </w:rPr>
      </w:pPr>
    </w:p>
    <w:p>
      <w:pPr>
        <w:ind w:left="1880" w:right="80" w:hanging="655"/>
        <w:spacing w:after="0" w:line="256" w:lineRule="auto"/>
        <w:tabs>
          <w:tab w:leader="none" w:pos="1911"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two (2) years following the termination of your employment for any reason whatsoever, you shall not, at any time or for any reason, either alone or jointly, with or on behalf of others, whether as principal, partner, agent, representative, equity holder, director, employee, consultant or otherwise, directly or indirectly solicit the employment or engagement of, either for your own account or for any other person, firm or company, any person employed or otherwise engaged by any entity in the Activision Blizzard Group, whether or not such person would commit any breach of a contract by reason of his or her leaving the service of the Activision Blizzard Group.</w:t>
      </w:r>
    </w:p>
    <w:p>
      <w:pPr>
        <w:spacing w:after="0" w:line="187" w:lineRule="exact"/>
        <w:rPr>
          <w:rFonts w:ascii="Times New Roman" w:cs="Times New Roman" w:eastAsia="Times New Roman" w:hAnsi="Times New Roman"/>
          <w:sz w:val="18"/>
          <w:szCs w:val="18"/>
          <w:color w:val="auto"/>
        </w:rPr>
      </w:pPr>
    </w:p>
    <w:p>
      <w:pPr>
        <w:ind w:left="1880" w:right="20" w:hanging="655"/>
        <w:spacing w:after="0" w:line="261" w:lineRule="auto"/>
        <w:tabs>
          <w:tab w:leader="none" w:pos="19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your employment and at all times following the termination of your employment for any reason whatsoever, you shall not, at any time or for any reason, use the confidential, trade secret information of the Activision Blizzard Group or any other unlawful means to directly or indirectly solicit, induce or entice any client, customer, contractor, licensor, agent, supplier, partner or other business relationship of any entity in the Activision Blizzard</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83820</wp:posOffset>
            </wp:positionV>
            <wp:extent cx="72675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320" w:top="337" w:right="279" w:bottom="1440" w:gutter="0" w:footer="0" w:header="0"/>
        </w:sectPr>
      </w:pPr>
    </w:p>
    <w:bookmarkStart w:id="263" w:name="page264"/>
    <w:bookmarkEnd w:id="263"/>
    <w:p>
      <w:pPr>
        <w:ind w:left="1952"/>
        <w:spacing w:after="0"/>
        <w:rPr>
          <w:sz w:val="20"/>
          <w:szCs w:val="20"/>
          <w:color w:val="auto"/>
        </w:rPr>
      </w:pPr>
      <w:r>
        <w:rPr>
          <w:rFonts w:ascii="Times New Roman" w:cs="Times New Roman" w:eastAsia="Times New Roman" w:hAnsi="Times New Roman"/>
          <w:sz w:val="18"/>
          <w:szCs w:val="18"/>
          <w:color w:val="auto"/>
        </w:rPr>
        <w:t>Group to terminate, discontinue, renegotiate or otherwise cease or modify its relationship with the Activision Blizzard Group.</w:t>
      </w:r>
    </w:p>
    <w:p>
      <w:pPr>
        <w:spacing w:after="0" w:line="225" w:lineRule="exact"/>
        <w:rPr>
          <w:sz w:val="20"/>
          <w:szCs w:val="20"/>
          <w:color w:val="auto"/>
        </w:rPr>
      </w:pPr>
    </w:p>
    <w:p>
      <w:pPr>
        <w:ind w:left="1952" w:right="100" w:hanging="655"/>
        <w:spacing w:after="0" w:line="261" w:lineRule="auto"/>
        <w:tabs>
          <w:tab w:leader="none" w:pos="1969" w:val="left"/>
        </w:tabs>
        <w:numPr>
          <w:ilvl w:val="2"/>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expressly acknowledge and agree that the restrictions contained in this Section 8(e) are reasonably tailored to protect the Activision Blizzard Group’s confidential information and trade secrets and to ensure that you do not violate your Duty of Loyalty or any other fiduciary duty to the Employer, and are reasonable in all circumstances in scope, duration and all other respects. The provisions of this Section 8(e) shall survive the expiration or earlier termination of this Agreement.</w:t>
      </w:r>
    </w:p>
    <w:p>
      <w:pPr>
        <w:spacing w:after="0" w:line="176"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of Employment</w:t>
      </w:r>
    </w:p>
    <w:p>
      <w:pPr>
        <w:spacing w:after="0" w:line="225" w:lineRule="exact"/>
        <w:rPr>
          <w:rFonts w:ascii="Times New Roman" w:cs="Times New Roman" w:eastAsia="Times New Roman" w:hAnsi="Times New Roman"/>
          <w:sz w:val="18"/>
          <w:szCs w:val="18"/>
          <w:b w:val="1"/>
          <w:bCs w:val="1"/>
          <w:color w:val="auto"/>
        </w:rPr>
      </w:pPr>
    </w:p>
    <w:p>
      <w:pPr>
        <w:ind w:left="1372" w:hanging="643"/>
        <w:spacing w:after="0"/>
        <w:tabs>
          <w:tab w:leader="none" w:pos="1372"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the Employer for Cause.</w:t>
      </w:r>
    </w:p>
    <w:p>
      <w:pPr>
        <w:spacing w:after="0" w:line="229" w:lineRule="exact"/>
        <w:rPr>
          <w:rFonts w:ascii="Times New Roman" w:cs="Times New Roman" w:eastAsia="Times New Roman" w:hAnsi="Times New Roman"/>
          <w:sz w:val="18"/>
          <w:szCs w:val="18"/>
          <w:color w:val="auto"/>
        </w:rPr>
      </w:pPr>
    </w:p>
    <w:p>
      <w:pPr>
        <w:ind w:left="1952" w:hanging="655"/>
        <w:spacing w:after="0" w:line="254" w:lineRule="auto"/>
        <w:tabs>
          <w:tab w:leader="none" w:pos="1973"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(and, without notice, unless provided for below in Section 9(a)(ii) below), the Employer may terminate your employment for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which shall mean a reasonable and good-faith determination by the Employer that you (i) engaged in gross negligence in the performance of your duties or willfully and continuously failed or refused to perform any duties reasonably requested in the course of your employment; (ii) engaged in fraud, dishonesty, or any other serious misconduct that causes or has the potential to cause, harm to any entity in the Activision Blizzard Group, including its business or reputation; (iii) materially violated any lawful directives or policies of the Activision Blizzard Group or any laws, rules or regulations applicable to your employment with the Activision Blizzard Group; (iv) materially breached this Agreement; (v) materially breached any proprietary information or confidentiality agreement with any entity in the Activision Blizzard Group; (vi) were convicted of, or pled guilty or no contest to, a felony or crime involving dishonesty or moral turpitude; or (vii) materially breached your fiduciary duties to the Activision Blizzard Group.</w:t>
      </w:r>
    </w:p>
    <w:p>
      <w:pPr>
        <w:spacing w:after="0" w:line="186" w:lineRule="exact"/>
        <w:rPr>
          <w:rFonts w:ascii="Times New Roman" w:cs="Times New Roman" w:eastAsia="Times New Roman" w:hAnsi="Times New Roman"/>
          <w:sz w:val="18"/>
          <w:szCs w:val="18"/>
          <w:color w:val="auto"/>
        </w:rPr>
      </w:pPr>
    </w:p>
    <w:p>
      <w:pPr>
        <w:ind w:left="1952" w:hanging="655"/>
        <w:spacing w:after="0" w:line="254" w:lineRule="auto"/>
        <w:tabs>
          <w:tab w:leader="none" w:pos="1983"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termination for Cause that is curable without any residual damage (financial or otherwise) to the Employer or any entity in the Activision Blizzard Group, the Employer shall give you at least thirty (30) days written notice of its intent to terminate your employment; provided, that in no event shall any termination pursuant to clause (vi) of the definition of Cause be deemed curable. The notice shall specify (x) the effective date of your termination and (y) the particular acts or circumstances that constitute Cause for such termination. You shall be given the opportunity within fifteen (15) days after receiving the notice to explain why Cause does not exist or to cure any basis for Cause (other than a termination pursuant to clause (vi) of the definition thereof). Within fifteen (15) days after any such explanation or cure, the Employer will make its final determination regarding whether Cause exists and deliver such determination to you in writing. If the final decision is that Cause exists and no cure has occurred,</w:t>
      </w:r>
    </w:p>
    <w:p>
      <w:pPr>
        <w:spacing w:after="0" w:line="18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38" w:right="279" w:bottom="1440" w:gutter="0" w:footer="0" w:header="0"/>
        </w:sectPr>
      </w:pPr>
    </w:p>
    <w:bookmarkStart w:id="264" w:name="page265"/>
    <w:bookmarkEnd w:id="264"/>
    <w:p>
      <w:pPr>
        <w:jc w:val="both"/>
        <w:ind w:left="1960" w:right="80"/>
        <w:spacing w:after="0" w:line="266" w:lineRule="auto"/>
        <w:rPr>
          <w:sz w:val="20"/>
          <w:szCs w:val="20"/>
          <w:color w:val="auto"/>
        </w:rPr>
      </w:pPr>
      <w:r>
        <w:rPr>
          <w:rFonts w:ascii="Times New Roman" w:cs="Times New Roman" w:eastAsia="Times New Roman" w:hAnsi="Times New Roman"/>
          <w:sz w:val="18"/>
          <w:szCs w:val="18"/>
          <w:color w:val="auto"/>
        </w:rPr>
        <w:t>your employment with the Employer shall be terminated for Cause as of the date of termination specified in the original notice. If the final decision is that Cause does not exist or a cure has occurred, your employment with the Employer shall not be terminated for Cause at that time.</w:t>
      </w:r>
    </w:p>
    <w:p>
      <w:pPr>
        <w:spacing w:after="0" w:line="176" w:lineRule="exact"/>
        <w:rPr>
          <w:sz w:val="20"/>
          <w:szCs w:val="20"/>
          <w:color w:val="auto"/>
        </w:rPr>
      </w:pPr>
    </w:p>
    <w:p>
      <w:pPr>
        <w:jc w:val="both"/>
        <w:ind w:left="1960" w:right="180" w:hanging="655"/>
        <w:spacing w:after="0" w:line="266" w:lineRule="auto"/>
        <w:tabs>
          <w:tab w:leader="none" w:pos="2000" w:val="left"/>
        </w:tabs>
        <w:numPr>
          <w:ilvl w:val="3"/>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employment terminates for any reason other than a termination by the Employer for Cause, at a time when the Employer had Cause to terminate you (or would have had Cause if it then knew all relevant facts) under clauses (i), (ii), (v), (vi) or (vii) of the definition of Cause, your termination shall be treated as a termination by the Employer for Cause.</w:t>
      </w:r>
    </w:p>
    <w:p>
      <w:pPr>
        <w:spacing w:after="0" w:line="172" w:lineRule="exact"/>
        <w:rPr>
          <w:rFonts w:ascii="Times New Roman" w:cs="Times New Roman" w:eastAsia="Times New Roman" w:hAnsi="Times New Roman"/>
          <w:sz w:val="18"/>
          <w:szCs w:val="18"/>
          <w:color w:val="auto"/>
        </w:rPr>
      </w:pPr>
    </w:p>
    <w:p>
      <w:pPr>
        <w:ind w:right="100" w:firstLine="656"/>
        <w:spacing w:after="0" w:line="286" w:lineRule="auto"/>
        <w:tabs>
          <w:tab w:leader="none" w:pos="1304"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Either Party Without Cause. </w:t>
      </w:r>
      <w:r>
        <w:rPr>
          <w:rFonts w:ascii="Times New Roman" w:cs="Times New Roman" w:eastAsia="Times New Roman" w:hAnsi="Times New Roman"/>
          <w:sz w:val="18"/>
          <w:szCs w:val="18"/>
          <w:color w:val="auto"/>
        </w:rPr>
        <w:t>Either party may terminate your employment without Cause at any time, provided that each party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the other with at least 60 days’ prior written notice in the event of such termination.</w:t>
      </w:r>
    </w:p>
    <w:p>
      <w:pPr>
        <w:spacing w:after="0" w:line="154"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Death. </w:t>
      </w:r>
      <w:r>
        <w:rPr>
          <w:rFonts w:ascii="Times New Roman" w:cs="Times New Roman" w:eastAsia="Times New Roman" w:hAnsi="Times New Roman"/>
          <w:sz w:val="18"/>
          <w:szCs w:val="18"/>
          <w:color w:val="auto"/>
        </w:rPr>
        <w:t>In the event of your death during the Term, your employment shall terminate immediately as of the date of your death.</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of Obligations and Severance Payments</w:t>
      </w:r>
    </w:p>
    <w:p>
      <w:pPr>
        <w:spacing w:after="0" w:line="225" w:lineRule="exact"/>
        <w:rPr>
          <w:rFonts w:ascii="Times New Roman" w:cs="Times New Roman" w:eastAsia="Times New Roman" w:hAnsi="Times New Roman"/>
          <w:sz w:val="18"/>
          <w:szCs w:val="18"/>
          <w:b w:val="1"/>
          <w:bCs w:val="1"/>
          <w:color w:val="auto"/>
        </w:rPr>
      </w:pPr>
    </w:p>
    <w:p>
      <w:pPr>
        <w:ind w:left="80" w:right="100" w:firstLine="657"/>
        <w:spacing w:after="0" w:line="262" w:lineRule="auto"/>
        <w:tabs>
          <w:tab w:leader="none" w:pos="1293" w:val="left"/>
        </w:tabs>
        <w:numPr>
          <w:ilvl w:val="2"/>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Upon the termination of your employment, your rights and the Employer’s obligations to you under this Agreement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terminate except as provided in this Section 10 and Section 11(s). The payments and benefits provided pursuant to this Section 10 are deemed to satisfy and be in full and final settlement of all obligations of the Activision Blizzard Group to you. You shall have no further right to receive any other compensation or benefits following your termination of employment for any reason except as set forth in this Section 10.</w:t>
      </w:r>
    </w:p>
    <w:p>
      <w:pPr>
        <w:spacing w:after="0" w:line="176" w:lineRule="exact"/>
        <w:rPr>
          <w:rFonts w:ascii="Times New Roman" w:cs="Times New Roman" w:eastAsia="Times New Roman" w:hAnsi="Times New Roman"/>
          <w:sz w:val="18"/>
          <w:szCs w:val="18"/>
          <w:color w:val="auto"/>
        </w:rPr>
      </w:pPr>
    </w:p>
    <w:p>
      <w:pPr>
        <w:ind w:left="1320" w:hanging="583"/>
        <w:spacing w:after="0"/>
        <w:tabs>
          <w:tab w:leader="none" w:pos="1320" w:val="left"/>
        </w:tabs>
        <w:numPr>
          <w:ilvl w:val="2"/>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by the Employer for Cause</w:t>
      </w:r>
      <w:r>
        <w:rPr>
          <w:rFonts w:ascii="Times New Roman" w:cs="Times New Roman" w:eastAsia="Times New Roman" w:hAnsi="Times New Roman"/>
          <w:sz w:val="18"/>
          <w:szCs w:val="18"/>
          <w:color w:val="auto"/>
        </w:rPr>
        <w:t>. In the event of termination of your employment by the Employer for Cause, then:</w:t>
      </w:r>
    </w:p>
    <w:p>
      <w:pPr>
        <w:spacing w:after="0" w:line="229"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3"/>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be entitled to Basic Severance (as defined below); and</w:t>
      </w:r>
    </w:p>
    <w:p>
      <w:pPr>
        <w:spacing w:after="0" w:line="225" w:lineRule="exact"/>
        <w:rPr>
          <w:sz w:val="20"/>
          <w:szCs w:val="20"/>
          <w:color w:val="auto"/>
        </w:rPr>
      </w:pPr>
    </w:p>
    <w:p>
      <w:pPr>
        <w:ind w:left="1960" w:right="160" w:hanging="655"/>
        <w:spacing w:after="0" w:line="282" w:lineRule="auto"/>
        <w:tabs>
          <w:tab w:leader="none" w:pos="1991"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 awards shall cease to vest and, whether or not vested, shall no longer be exercisable and shall be cancelled immediately.</w:t>
      </w:r>
    </w:p>
    <w:p>
      <w:pPr>
        <w:spacing w:after="0" w:line="157"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Qualifying Termination. </w:t>
      </w:r>
      <w:r>
        <w:rPr>
          <w:rFonts w:ascii="Times New Roman" w:cs="Times New Roman" w:eastAsia="Times New Roman" w:hAnsi="Times New Roman"/>
          <w:sz w:val="18"/>
          <w:szCs w:val="18"/>
          <w:color w:val="auto"/>
        </w:rPr>
        <w:t>Subject to Section 10(f), in the event of termination of your employment in a Qualifying Termination (as defined</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then:</w:t>
      </w:r>
    </w:p>
    <w:p>
      <w:pPr>
        <w:spacing w:after="0" w:line="206"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be entitled to Basic Severance (as defined below);</w:t>
      </w:r>
    </w:p>
    <w:p>
      <w:pPr>
        <w:spacing w:after="0" w:line="225" w:lineRule="exact"/>
        <w:rPr>
          <w:sz w:val="20"/>
          <w:szCs w:val="20"/>
          <w:color w:val="auto"/>
        </w:rPr>
      </w:pPr>
    </w:p>
    <w:p>
      <w:pPr>
        <w:ind w:left="1960" w:hanging="655"/>
        <w:spacing w:after="0" w:line="282" w:lineRule="auto"/>
        <w:tabs>
          <w:tab w:leader="none" w:pos="1991"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be entitled to the Bonus Severance (as defined below) at the same time you would have received the Annual Bonus had a Qualifying Termination not occurred;</w:t>
      </w:r>
    </w:p>
    <w:p>
      <w:pPr>
        <w:spacing w:after="0" w:line="161"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receive Salary Continuation (as defined below); 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both"/>
        <w:ind w:left="1960" w:right="20" w:hanging="655"/>
        <w:spacing w:after="0" w:line="266" w:lineRule="auto"/>
        <w:tabs>
          <w:tab w:leader="none" w:pos="1977" w:val="left"/>
        </w:tabs>
        <w:numPr>
          <w:ilvl w:val="2"/>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 awards shall cease to vest. All vested equity awards shall be administered in accordance with the applicable incentive plans and award agreements. All equity awards that are not vested as of the date of termination of your employment will be cancelled immediately.</w:t>
      </w:r>
    </w:p>
    <w:p>
      <w:pPr>
        <w:spacing w:after="0" w:line="172" w:lineRule="exact"/>
        <w:rPr>
          <w:rFonts w:ascii="Times New Roman" w:cs="Times New Roman" w:eastAsia="Times New Roman" w:hAnsi="Times New Roman"/>
          <w:sz w:val="18"/>
          <w:szCs w:val="18"/>
          <w:color w:val="auto"/>
        </w:rPr>
      </w:pPr>
    </w:p>
    <w:p>
      <w:pPr>
        <w:ind w:right="240" w:firstLine="656"/>
        <w:spacing w:after="0" w:line="268" w:lineRule="auto"/>
        <w:tabs>
          <w:tab w:leader="none" w:pos="130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by Employer other than for Cause or Resignation by You as a result of a Change of Location</w:t>
      </w:r>
      <w:r>
        <w:rPr>
          <w:rFonts w:ascii="Times New Roman" w:cs="Times New Roman" w:eastAsia="Times New Roman" w:hAnsi="Times New Roman"/>
          <w:sz w:val="18"/>
          <w:szCs w:val="18"/>
          <w:color w:val="auto"/>
        </w:rPr>
        <w:t>. Subject to 10(f),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of a termination of your employment by the Employer not for Cause or by you as a result of a Change of Location (as defined below), under circumstances which do not constitute a Qualifying Termination, then:</w:t>
      </w:r>
    </w:p>
    <w:p>
      <w:pPr>
        <w:spacing w:after="0" w:line="174"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be entitled to Basic Severance (as defined below);</w:t>
      </w:r>
    </w:p>
    <w:p>
      <w:pPr>
        <w:spacing w:after="0" w:line="225" w:lineRule="exact"/>
        <w:rPr>
          <w:rFonts w:ascii="Times New Roman" w:cs="Times New Roman" w:eastAsia="Times New Roman" w:hAnsi="Times New Roman"/>
          <w:sz w:val="18"/>
          <w:szCs w:val="18"/>
          <w:color w:val="auto"/>
        </w:rPr>
      </w:pPr>
    </w:p>
    <w:p>
      <w:pPr>
        <w:ind w:left="1960" w:right="20" w:hanging="655"/>
        <w:spacing w:after="0" w:line="266" w:lineRule="auto"/>
        <w:tabs>
          <w:tab w:leader="none" w:pos="1991"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 awards shall cease to vest. All vested equity shall be administered in accordance with the applicable incentive plans and award agreements. All equity awards that are not vested as of the date of termination of your employment will be cancelled immediately; and</w:t>
      </w:r>
    </w:p>
    <w:p>
      <w:pPr>
        <w:spacing w:after="0" w:line="176"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receive Salary Continuation.</w:t>
      </w:r>
    </w:p>
    <w:p>
      <w:pPr>
        <w:spacing w:after="0" w:line="221" w:lineRule="exact"/>
        <w:rPr>
          <w:rFonts w:ascii="Times New Roman" w:cs="Times New Roman" w:eastAsia="Times New Roman" w:hAnsi="Times New Roman"/>
          <w:sz w:val="18"/>
          <w:szCs w:val="18"/>
          <w:color w:val="auto"/>
        </w:rPr>
      </w:pPr>
    </w:p>
    <w:p>
      <w:pPr>
        <w:ind w:left="1400" w:hanging="663"/>
        <w:spacing w:after="0"/>
        <w:tabs>
          <w:tab w:leader="none" w:pos="140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For purposes of this Agreement, the following terms shall have the following meanings:</w:t>
      </w:r>
    </w:p>
    <w:p>
      <w:pPr>
        <w:spacing w:after="0" w:line="225" w:lineRule="exact"/>
        <w:rPr>
          <w:rFonts w:ascii="Times New Roman" w:cs="Times New Roman" w:eastAsia="Times New Roman" w:hAnsi="Times New Roman"/>
          <w:sz w:val="18"/>
          <w:szCs w:val="18"/>
          <w:color w:val="auto"/>
        </w:rPr>
      </w:pPr>
    </w:p>
    <w:p>
      <w:pPr>
        <w:ind w:left="1960" w:right="340" w:hanging="655"/>
        <w:spacing w:after="0" w:line="262" w:lineRule="auto"/>
        <w:tabs>
          <w:tab w:leader="none" w:pos="1981"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Basic Severance</w:t>
      </w:r>
      <w:r>
        <w:rPr>
          <w:rFonts w:ascii="Times New Roman" w:cs="Times New Roman" w:eastAsia="Times New Roman" w:hAnsi="Times New Roman"/>
          <w:sz w:val="18"/>
          <w:szCs w:val="18"/>
          <w:color w:val="auto"/>
        </w:rPr>
        <w:t>” shall mean payment of (A) any Base Salary earned but unpaid as of the date of termination of your employment; (B) any business expenses incurred (and submitted for reimbursement) but not reimbursed as of the date of termination of your employment; and (C) payment in lieu of any vacation accrued under Section 7 but unused as of the date of termination of your employment.</w:t>
      </w:r>
    </w:p>
    <w:p>
      <w:pPr>
        <w:spacing w:after="0" w:line="176" w:lineRule="exact"/>
        <w:rPr>
          <w:rFonts w:ascii="Times New Roman" w:cs="Times New Roman" w:eastAsia="Times New Roman" w:hAnsi="Times New Roman"/>
          <w:sz w:val="18"/>
          <w:szCs w:val="18"/>
          <w:color w:val="auto"/>
        </w:rPr>
      </w:pPr>
    </w:p>
    <w:p>
      <w:pPr>
        <w:ind w:left="1960" w:right="340" w:hanging="655"/>
        <w:spacing w:after="0" w:line="268" w:lineRule="auto"/>
        <w:tabs>
          <w:tab w:leader="none" w:pos="1991"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Bonus Severance</w:t>
      </w:r>
      <w:r>
        <w:rPr>
          <w:rFonts w:ascii="Times New Roman" w:cs="Times New Roman" w:eastAsia="Times New Roman" w:hAnsi="Times New Roman"/>
          <w:sz w:val="18"/>
          <w:szCs w:val="18"/>
          <w:color w:val="auto"/>
        </w:rPr>
        <w:t>” shall mean payment of an amount equal to the Annual Bonus that the Employer determines, in its sole discretion, you would have received in accordance with Section 2(c) for the year that ended immediately prior the date of your Qualifying Termination had you remained employed through the date such bonus would have otherwise been paid.</w:t>
      </w:r>
    </w:p>
    <w:p>
      <w:pPr>
        <w:spacing w:after="0" w:line="170" w:lineRule="exact"/>
        <w:rPr>
          <w:rFonts w:ascii="Times New Roman" w:cs="Times New Roman" w:eastAsia="Times New Roman" w:hAnsi="Times New Roman"/>
          <w:sz w:val="18"/>
          <w:szCs w:val="18"/>
          <w:color w:val="auto"/>
        </w:rPr>
      </w:pPr>
    </w:p>
    <w:p>
      <w:pPr>
        <w:ind w:left="1960" w:right="140" w:hanging="655"/>
        <w:spacing w:after="0" w:line="244" w:lineRule="auto"/>
        <w:tabs>
          <w:tab w:leader="none" w:pos="2000"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Salary Continuation</w:t>
      </w:r>
      <w:r>
        <w:rPr>
          <w:rFonts w:ascii="Times New Roman" w:cs="Times New Roman" w:eastAsia="Times New Roman" w:hAnsi="Times New Roman"/>
          <w:sz w:val="18"/>
          <w:szCs w:val="18"/>
          <w:color w:val="auto"/>
        </w:rPr>
        <w:t xml:space="preserve">” shall mean the payment of an amount equal to three months of Base Salary (at the rate in effect on the termination date) that you would have received had you remained employed through the date which is three months after the effective date of your termination of employment (the </w:t>
      </w:r>
      <w:r>
        <w:rPr>
          <w:rFonts w:ascii="Times New Roman" w:cs="Times New Roman" w:eastAsia="Times New Roman" w:hAnsi="Times New Roman"/>
          <w:sz w:val="18"/>
          <w:szCs w:val="18"/>
          <w:b w:val="1"/>
          <w:bCs w:val="1"/>
          <w:i w:val="1"/>
          <w:iCs w:val="1"/>
          <w:color w:val="auto"/>
        </w:rPr>
        <w:t>“Salary Continuation Period”</w:t>
      </w:r>
      <w:r>
        <w:rPr>
          <w:rFonts w:ascii="Times New Roman" w:cs="Times New Roman" w:eastAsia="Times New Roman" w:hAnsi="Times New Roman"/>
          <w:sz w:val="18"/>
          <w:szCs w:val="18"/>
          <w:color w:val="auto"/>
        </w:rPr>
        <w:t>), which amount shall be paid in three equal installments commencing on the first payroll date following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termination date in accordance with the Employer’s payroll practices in effect on the termination date, provided that the first such payment shall include any installments relating to the 60 day period following the Termination Date.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337" w:right="259" w:bottom="0" w:gutter="0" w:footer="0" w:header="0"/>
        </w:sectPr>
      </w:pPr>
    </w:p>
    <w:bookmarkStart w:id="265" w:name="page266"/>
    <w:bookmarkEnd w:id="2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ind w:left="1880" w:right="20" w:hanging="655"/>
        <w:spacing w:after="0" w:line="259" w:lineRule="auto"/>
        <w:tabs>
          <w:tab w:leader="none" w:pos="1897"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Qualifying Termination</w:t>
      </w:r>
      <w:r>
        <w:rPr>
          <w:rFonts w:ascii="Times New Roman" w:cs="Times New Roman" w:eastAsia="Times New Roman" w:hAnsi="Times New Roman"/>
          <w:sz w:val="18"/>
          <w:szCs w:val="18"/>
          <w:color w:val="auto"/>
        </w:rPr>
        <w:t>” shall mean a termination of your employment by the Employer without Cause or by you as a result of a Change in Location, in either case, where you have been an employee in good standing during the entire prior year, but your termination becomes effective prior to the payment of that prior year’s Annual Bonus (e.g., where you have been an employee in good standing during the entirety of 2019 and the Employer terminates you without Cause or you resign as a result of a Change in Location, in either case, with an effective date of January 30, 2020, before the bonus payment with respect to 2019 has been paid).</w:t>
      </w:r>
    </w:p>
    <w:p>
      <w:pPr>
        <w:spacing w:after="0" w:line="179" w:lineRule="exact"/>
        <w:rPr>
          <w:rFonts w:ascii="Times New Roman" w:cs="Times New Roman" w:eastAsia="Times New Roman" w:hAnsi="Times New Roman"/>
          <w:sz w:val="18"/>
          <w:szCs w:val="18"/>
          <w:color w:val="auto"/>
        </w:rPr>
      </w:pPr>
    </w:p>
    <w:p>
      <w:pPr>
        <w:ind w:left="1880" w:hanging="655"/>
        <w:spacing w:after="0" w:line="255" w:lineRule="auto"/>
        <w:tabs>
          <w:tab w:leader="none" w:pos="1887"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“Change of Location” </w:t>
      </w:r>
      <w:r>
        <w:rPr>
          <w:rFonts w:ascii="Times New Roman" w:cs="Times New Roman" w:eastAsia="Times New Roman" w:hAnsi="Times New Roman"/>
          <w:sz w:val="18"/>
          <w:szCs w:val="18"/>
          <w:color w:val="auto"/>
        </w:rPr>
        <w:t>shall mean, without your written agreement or other voluntary action on your part, the Employer reassigns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your principal place of business to a location that is more than thirty-five (35) miles from your principal place of business as of the Effective Date and that materially and adversely affects your commute;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you must (i) provide the Employer with written notice of your intent to terminate your employment under this Section and a description of the event you believe gives you the right to do so within thirty (30) days after the initial existence of the event and (ii) the Employer shall have ninety (90) days after you provide the notice described above to cure any such default (the “</w:t>
      </w:r>
      <w:r>
        <w:rPr>
          <w:rFonts w:ascii="Times New Roman" w:cs="Times New Roman" w:eastAsia="Times New Roman" w:hAnsi="Times New Roman"/>
          <w:sz w:val="18"/>
          <w:szCs w:val="18"/>
          <w:b w:val="1"/>
          <w:bCs w:val="1"/>
          <w:i w:val="1"/>
          <w:iCs w:val="1"/>
          <w:color w:val="auto"/>
        </w:rPr>
        <w:t>Cure Period</w:t>
      </w:r>
      <w:r>
        <w:rPr>
          <w:rFonts w:ascii="Times New Roman" w:cs="Times New Roman" w:eastAsia="Times New Roman" w:hAnsi="Times New Roman"/>
          <w:sz w:val="18"/>
          <w:szCs w:val="18"/>
          <w:color w:val="auto"/>
        </w:rPr>
        <w:t>”). You will have five (5) days following the end of the Cure Period to terminate your employment, after which your ability to terminate your employment under this Section will no longer exist.</w:t>
      </w:r>
    </w:p>
    <w:p>
      <w:pPr>
        <w:spacing w:after="0" w:line="185" w:lineRule="exact"/>
        <w:rPr>
          <w:rFonts w:ascii="Times New Roman" w:cs="Times New Roman" w:eastAsia="Times New Roman" w:hAnsi="Times New Roman"/>
          <w:sz w:val="18"/>
          <w:szCs w:val="18"/>
          <w:color w:val="auto"/>
        </w:rPr>
      </w:pPr>
    </w:p>
    <w:p>
      <w:pPr>
        <w:ind w:firstLine="657"/>
        <w:spacing w:after="0" w:line="259" w:lineRule="auto"/>
        <w:tabs>
          <w:tab w:leader="none" w:pos="1301"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Severance Conditioned Upon Release</w:t>
      </w:r>
      <w:r>
        <w:rPr>
          <w:rFonts w:ascii="Times New Roman" w:cs="Times New Roman" w:eastAsia="Times New Roman" w:hAnsi="Times New Roman"/>
          <w:sz w:val="18"/>
          <w:szCs w:val="18"/>
          <w:color w:val="auto"/>
        </w:rPr>
        <w:t>. Payments of Bonus Severance and Salary Continuation, as applicable, are conditioned upon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execution of a waiver and release in a form prepared by the Employer and that release becoming effective and irrevocable in its entirety within 60 days following the date of your termination of employment. Unless otherwise provided by the Employer, if the release referenced above does not become effective and irrevocable on or prior to the 60th day following the date of your termination of employment, you shall not be entitled to any payments of Bonus Severance or Salary Continuation, as the case may be.</w:t>
      </w:r>
    </w:p>
    <w:p>
      <w:pPr>
        <w:spacing w:after="0" w:line="179" w:lineRule="exact"/>
        <w:rPr>
          <w:rFonts w:ascii="Times New Roman" w:cs="Times New Roman" w:eastAsia="Times New Roman" w:hAnsi="Times New Roman"/>
          <w:sz w:val="18"/>
          <w:szCs w:val="18"/>
          <w:color w:val="auto"/>
        </w:rPr>
      </w:pPr>
    </w:p>
    <w:p>
      <w:pPr>
        <w:ind w:left="1320" w:hanging="663"/>
        <w:spacing w:after="0"/>
        <w:tabs>
          <w:tab w:leader="none" w:pos="13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Terminations. </w:t>
      </w:r>
      <w:r>
        <w:rPr>
          <w:rFonts w:ascii="Times New Roman" w:cs="Times New Roman" w:eastAsia="Times New Roman" w:hAnsi="Times New Roman"/>
          <w:sz w:val="18"/>
          <w:szCs w:val="18"/>
          <w:color w:val="auto"/>
        </w:rPr>
        <w:t>In the event your employment terminates due to death, disability or your resignation (other than due to a Change of</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 then</w:t>
      </w:r>
    </w:p>
    <w:p>
      <w:pPr>
        <w:spacing w:after="0" w:line="206" w:lineRule="exact"/>
        <w:rPr>
          <w:rFonts w:ascii="Times New Roman" w:cs="Times New Roman" w:eastAsia="Times New Roman" w:hAnsi="Times New Roman"/>
          <w:sz w:val="18"/>
          <w:szCs w:val="18"/>
          <w:color w:val="auto"/>
        </w:rPr>
      </w:pPr>
    </w:p>
    <w:p>
      <w:pPr>
        <w:ind w:left="1900" w:hanging="675"/>
        <w:spacing w:after="0"/>
        <w:tabs>
          <w:tab w:leader="none" w:pos="190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be entitled to Basic Severance; and</w:t>
      </w:r>
    </w:p>
    <w:p>
      <w:pPr>
        <w:spacing w:after="0" w:line="225" w:lineRule="exact"/>
        <w:rPr>
          <w:rFonts w:ascii="Times New Roman" w:cs="Times New Roman" w:eastAsia="Times New Roman" w:hAnsi="Times New Roman"/>
          <w:sz w:val="18"/>
          <w:szCs w:val="18"/>
          <w:color w:val="auto"/>
        </w:rPr>
      </w:pPr>
    </w:p>
    <w:p>
      <w:pPr>
        <w:jc w:val="both"/>
        <w:ind w:left="1880" w:hanging="655"/>
        <w:spacing w:after="0" w:line="266" w:lineRule="auto"/>
        <w:tabs>
          <w:tab w:leader="none" w:pos="1911"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 awards shall cease to vest. All vested equity awards shall be administered in accordance with the applicable incentive plans and award agreements. All equity awards that are not vested as of the date of termination of your employment will be cancelled immediately.</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83820</wp:posOffset>
            </wp:positionV>
            <wp:extent cx="72675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320" w:top="333" w:right="279" w:bottom="1440" w:gutter="0" w:footer="0" w:header="0"/>
        </w:sectPr>
      </w:pPr>
    </w:p>
    <w:bookmarkStart w:id="267" w:name="page268"/>
    <w:bookmarkEnd w:id="267"/>
    <w:p>
      <w:pPr>
        <w:ind w:left="1372" w:hanging="646"/>
        <w:spacing w:after="0"/>
        <w:tabs>
          <w:tab w:leader="none" w:pos="1372"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Breach of Post-Termination Obligations or Subsequent Employment.</w:t>
      </w:r>
    </w:p>
    <w:p>
      <w:pPr>
        <w:spacing w:after="0" w:line="229" w:lineRule="exact"/>
        <w:rPr>
          <w:rFonts w:ascii="Times New Roman" w:cs="Times New Roman" w:eastAsia="Times New Roman" w:hAnsi="Times New Roman"/>
          <w:sz w:val="18"/>
          <w:szCs w:val="18"/>
          <w:color w:val="auto"/>
        </w:rPr>
      </w:pPr>
    </w:p>
    <w:p>
      <w:pPr>
        <w:ind w:left="1952" w:right="240" w:hanging="655"/>
        <w:spacing w:after="0" w:line="266" w:lineRule="auto"/>
        <w:tabs>
          <w:tab w:leader="none" w:pos="1973" w:val="left"/>
        </w:tabs>
        <w:numPr>
          <w:ilvl w:val="2"/>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of Post-Termination Obligations</w:t>
      </w:r>
      <w:r>
        <w:rPr>
          <w:rFonts w:ascii="Times New Roman" w:cs="Times New Roman" w:eastAsia="Times New Roman" w:hAnsi="Times New Roman"/>
          <w:sz w:val="18"/>
          <w:szCs w:val="18"/>
          <w:color w:val="auto"/>
        </w:rPr>
        <w:t>. In the event that you materially breach any of your obligations under Section 8, the Employer’s obligation, if any, to make payments of Bonus Severance and Salary Continuation, as applicable, shall immediately and permanently cease and you shall not be entitled to any such payments.</w:t>
      </w:r>
    </w:p>
    <w:p>
      <w:pPr>
        <w:spacing w:after="0" w:line="176" w:lineRule="exact"/>
        <w:rPr>
          <w:rFonts w:ascii="Times New Roman" w:cs="Times New Roman" w:eastAsia="Times New Roman" w:hAnsi="Times New Roman"/>
          <w:sz w:val="18"/>
          <w:szCs w:val="18"/>
          <w:color w:val="auto"/>
        </w:rPr>
      </w:pPr>
    </w:p>
    <w:p>
      <w:pPr>
        <w:ind w:left="1952" w:hanging="655"/>
        <w:spacing w:after="0" w:line="253" w:lineRule="auto"/>
        <w:tabs>
          <w:tab w:leader="none" w:pos="1983" w:val="left"/>
        </w:tabs>
        <w:numPr>
          <w:ilvl w:val="2"/>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Employment</w:t>
      </w:r>
      <w:r>
        <w:rPr>
          <w:rFonts w:ascii="Times New Roman" w:cs="Times New Roman" w:eastAsia="Times New Roman" w:hAnsi="Times New Roman"/>
          <w:sz w:val="18"/>
          <w:szCs w:val="18"/>
          <w:color w:val="auto"/>
        </w:rPr>
        <w:t xml:space="preserve">. Notwithstanding anything to the contrary contained herein, if, at any time during the Salary Continuation Period, you obtain subsequent employment and/or provide services of any kind for compensation, whether as principal, owner, partner, agent, shareholder, director, employee, consultant, advisor or otherwise, to any person, company, venture or other person or business entity, you must promptly notify the Employer and Salary Continuation payments shall be refunded by you to the Employer (to the extent already paid) and shall be offset (to the extent payable in the future) by the amount of Base Compensation (as defined below) earned by, paid to, or granted to you during or with respect to the Salary Continuation Period. </w:t>
      </w:r>
      <w:r>
        <w:rPr>
          <w:rFonts w:ascii="Times New Roman" w:cs="Times New Roman" w:eastAsia="Times New Roman" w:hAnsi="Times New Roman"/>
          <w:sz w:val="18"/>
          <w:szCs w:val="18"/>
          <w:b w:val="1"/>
          <w:bCs w:val="1"/>
          <w:i w:val="1"/>
          <w:iCs w:val="1"/>
          <w:color w:val="auto"/>
        </w:rPr>
        <w:t xml:space="preserve">“Base Compensation” </w:t>
      </w:r>
      <w:r>
        <w:rPr>
          <w:rFonts w:ascii="Times New Roman" w:cs="Times New Roman" w:eastAsia="Times New Roman" w:hAnsi="Times New Roman"/>
          <w:sz w:val="18"/>
          <w:szCs w:val="18"/>
          <w:color w:val="auto"/>
        </w:rPr>
        <w:t>shall mean the amount of your base salary or, if applicable, wages you earn (or are paid or granted) during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or with respect to any subsequent employment or services arrangement;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base salary or wages shall be deemed, in all cases, to equal no less than 35% of the total compensation (including, without limitation, any and all amounts of salary, bonus and all other kinds of cash or in-kind or equity-based compensation) you earn, are paid, or are granted during or with respect to such subsequent employment or services arrangement and which are paid to you, vest or otherwise accrue with respect to services performed by you, during or with respect to the Salary Continuation Period.</w:t>
      </w:r>
    </w:p>
    <w:p>
      <w:pPr>
        <w:spacing w:after="0" w:line="186"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25" w:lineRule="exact"/>
        <w:rPr>
          <w:rFonts w:ascii="Times New Roman" w:cs="Times New Roman" w:eastAsia="Times New Roman" w:hAnsi="Times New Roman"/>
          <w:sz w:val="18"/>
          <w:szCs w:val="18"/>
          <w:b w:val="1"/>
          <w:bCs w:val="1"/>
          <w:color w:val="auto"/>
        </w:rPr>
      </w:pPr>
    </w:p>
    <w:p>
      <w:pPr>
        <w:ind w:left="72" w:right="60" w:firstLine="657"/>
        <w:spacing w:after="0" w:line="255" w:lineRule="auto"/>
        <w:tabs>
          <w:tab w:leader="none" w:pos="1366"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Entire Agreement. </w:t>
      </w:r>
      <w:r>
        <w:rPr>
          <w:rFonts w:ascii="Times New Roman" w:cs="Times New Roman" w:eastAsia="Times New Roman" w:hAnsi="Times New Roman"/>
          <w:sz w:val="18"/>
          <w:szCs w:val="18"/>
          <w:color w:val="auto"/>
        </w:rPr>
        <w:t>This Agreement, together with the Confidential Information Agreement, the Activision Blizzard Group Dispute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 Agreement (the “</w:t>
      </w:r>
      <w:r>
        <w:rPr>
          <w:rFonts w:ascii="Times New Roman" w:cs="Times New Roman" w:eastAsia="Times New Roman" w:hAnsi="Times New Roman"/>
          <w:sz w:val="18"/>
          <w:szCs w:val="18"/>
          <w:b w:val="1"/>
          <w:bCs w:val="1"/>
          <w:i w:val="1"/>
          <w:iCs w:val="1"/>
          <w:color w:val="auto"/>
        </w:rPr>
        <w:t>Dispute Resolution Agreement</w:t>
      </w:r>
      <w:r>
        <w:rPr>
          <w:rFonts w:ascii="Times New Roman" w:cs="Times New Roman" w:eastAsia="Times New Roman" w:hAnsi="Times New Roman"/>
          <w:sz w:val="18"/>
          <w:szCs w:val="18"/>
          <w:color w:val="auto"/>
        </w:rPr>
        <w:t>”, as referenced in Section 11(k) below), and the Employer’s Executive Stock Ownership Guidelines, supersede all prior or contemporaneous agreements and statements, whether written or oral, concerning the terms of your employment with the Activision Blizzard Group, and no amendment or modification of these agreements shall be binding unless it is set forth in a writing signed by both the Employer and you. To the extent that this Agreement conflicts with any of the Employer’s policies, procedures, rules or regulations, this Agreement shall supersede the other policies, procedures, rules or regulations. Without limiting the generality of the foregoing, you acknowledge that this Agreement supersedes any prior written, but expired, employment agreement with the Activision Blizzard Group, and such agreement(s) is (are) hereby terminated and of no further force and effect.</w:t>
      </w:r>
    </w:p>
    <w:p>
      <w:pPr>
        <w:spacing w:after="0" w:line="189"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33" w:right="279" w:bottom="1440" w:gutter="0" w:footer="0" w:header="0"/>
        </w:sectPr>
      </w:pPr>
    </w:p>
    <w:bookmarkStart w:id="268" w:name="page269"/>
    <w:bookmarkEnd w:id="268"/>
    <w:p>
      <w:pPr>
        <w:ind w:right="80" w:firstLine="654"/>
        <w:spacing w:after="0" w:line="268" w:lineRule="auto"/>
        <w:tabs>
          <w:tab w:leader="none" w:pos="130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Use of Employee’s Name and Likeness. </w:t>
      </w:r>
      <w:r>
        <w:rPr>
          <w:rFonts w:ascii="Times New Roman" w:cs="Times New Roman" w:eastAsia="Times New Roman" w:hAnsi="Times New Roman"/>
          <w:sz w:val="18"/>
          <w:szCs w:val="18"/>
          <w:color w:val="auto"/>
        </w:rPr>
        <w:t>You hereby irrevocably grant the Activision Blizzard Group the right, but not the obligation,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your name or likeness in any product made by the Activision Blizzard Group or for any publicity or advertising purpose in any medium now known or hereafter existing.</w:t>
      </w:r>
    </w:p>
    <w:p>
      <w:pPr>
        <w:spacing w:after="0" w:line="170" w:lineRule="exact"/>
        <w:rPr>
          <w:rFonts w:ascii="Times New Roman" w:cs="Times New Roman" w:eastAsia="Times New Roman" w:hAnsi="Times New Roman"/>
          <w:sz w:val="18"/>
          <w:szCs w:val="18"/>
          <w:color w:val="auto"/>
        </w:rPr>
      </w:pPr>
    </w:p>
    <w:p>
      <w:pPr>
        <w:ind w:right="120" w:firstLine="657"/>
        <w:spacing w:after="0" w:line="259" w:lineRule="auto"/>
        <w:tabs>
          <w:tab w:leader="none" w:pos="1307"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Assignment. </w:t>
      </w:r>
      <w:r>
        <w:rPr>
          <w:rFonts w:ascii="Times New Roman" w:cs="Times New Roman" w:eastAsia="Times New Roman" w:hAnsi="Times New Roman"/>
          <w:sz w:val="18"/>
          <w:szCs w:val="18"/>
          <w:color w:val="auto"/>
        </w:rPr>
        <w:t>This Agreement and the rights and obligations hereunder shall not be assignable or transferable by you without the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consent of the Employer. The Employer may assign this Agreement or all or any part of its rights and obligations under this Agreement at any time to any member of the Activision Blizzard Group or to a successor to all or substantially all of the business or assets of the Employer and following such assignment all references to the Employer shall be deemed to refer to such assignee and the Employer shall thereafter have no obligation under this Agreement.</w:t>
      </w:r>
    </w:p>
    <w:p>
      <w:pPr>
        <w:spacing w:after="0" w:line="179" w:lineRule="exact"/>
        <w:rPr>
          <w:rFonts w:ascii="Times New Roman" w:cs="Times New Roman" w:eastAsia="Times New Roman" w:hAnsi="Times New Roman"/>
          <w:sz w:val="18"/>
          <w:szCs w:val="18"/>
          <w:color w:val="auto"/>
        </w:rPr>
      </w:pPr>
    </w:p>
    <w:p>
      <w:pPr>
        <w:ind w:right="40" w:firstLine="657"/>
        <w:spacing w:after="0" w:line="259" w:lineRule="auto"/>
        <w:tabs>
          <w:tab w:leader="none" w:pos="130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Conflict with Prior Agreements. </w:t>
      </w:r>
      <w:r>
        <w:rPr>
          <w:rFonts w:ascii="Times New Roman" w:cs="Times New Roman" w:eastAsia="Times New Roman" w:hAnsi="Times New Roman"/>
          <w:sz w:val="18"/>
          <w:szCs w:val="18"/>
          <w:color w:val="auto"/>
        </w:rPr>
        <w:t>You represent to the Employer that neither your commencement of employment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nor the performance of your duties under this Agreement conflicts or will conflict with any contractual or legal commitment on your part to any third party, nor does it or will it violate or interfere with any rights of any third party. If you have acquired any confidential or proprietary information in the course of your prior employment or otherwise in connection with your provision of services to any entity outside the Activision Blizzard Group, during the Term you will fully comply with any duties to such entity then-applicable to you not to disclose or otherwise use such information.</w:t>
      </w:r>
    </w:p>
    <w:p>
      <w:pPr>
        <w:spacing w:after="0" w:line="179" w:lineRule="exact"/>
        <w:rPr>
          <w:rFonts w:ascii="Times New Roman" w:cs="Times New Roman" w:eastAsia="Times New Roman" w:hAnsi="Times New Roman"/>
          <w:sz w:val="18"/>
          <w:szCs w:val="18"/>
          <w:color w:val="auto"/>
        </w:rPr>
      </w:pPr>
    </w:p>
    <w:p>
      <w:pPr>
        <w:ind w:firstLine="657"/>
        <w:spacing w:after="0" w:line="268" w:lineRule="auto"/>
        <w:tabs>
          <w:tab w:leader="none" w:pos="1307"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Successors. </w:t>
      </w:r>
      <w:r>
        <w:rPr>
          <w:rFonts w:ascii="Times New Roman" w:cs="Times New Roman" w:eastAsia="Times New Roman" w:hAnsi="Times New Roman"/>
          <w:sz w:val="18"/>
          <w:szCs w:val="18"/>
          <w:color w:val="auto"/>
        </w:rPr>
        <w:t>This Agreement shall be binding on and inure to the benefit of the Employer and its successors and assigns,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by merger and operation of law. This Agreement shall also be binding on and inure to the benefit of you and your heirs, executors, administrators and legal representatives.</w:t>
      </w:r>
    </w:p>
    <w:p>
      <w:pPr>
        <w:spacing w:after="0" w:line="170" w:lineRule="exact"/>
        <w:rPr>
          <w:rFonts w:ascii="Times New Roman" w:cs="Times New Roman" w:eastAsia="Times New Roman" w:hAnsi="Times New Roman"/>
          <w:sz w:val="18"/>
          <w:szCs w:val="18"/>
          <w:color w:val="auto"/>
        </w:rPr>
      </w:pPr>
    </w:p>
    <w:p>
      <w:pPr>
        <w:ind w:right="100" w:firstLine="657"/>
        <w:spacing w:after="0" w:line="262" w:lineRule="auto"/>
        <w:tabs>
          <w:tab w:leader="none" w:pos="1301"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Waiver. </w:t>
      </w:r>
      <w:r>
        <w:rPr>
          <w:rFonts w:ascii="Times New Roman" w:cs="Times New Roman" w:eastAsia="Times New Roman" w:hAnsi="Times New Roman"/>
          <w:sz w:val="18"/>
          <w:szCs w:val="18"/>
          <w:color w:val="auto"/>
        </w:rPr>
        <w:t>No waiver by you or the Employer at any time of any breach by the other party of, or compliance with, any condition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this Agreement to be performed by such other party shall be deemed a waiver of similar or dissimilar provisions or conditions at the same or at any prior or subsequent time. No waiver of any provision of this Agreement shall be implied from any course of dealing between or among the parties hereto or from any failure by any party hereto to assert its rights hereunder on any occasion or series of occasions.</w:t>
      </w:r>
    </w:p>
    <w:p>
      <w:pPr>
        <w:spacing w:after="0" w:line="176" w:lineRule="exact"/>
        <w:rPr>
          <w:rFonts w:ascii="Times New Roman" w:cs="Times New Roman" w:eastAsia="Times New Roman" w:hAnsi="Times New Roman"/>
          <w:sz w:val="18"/>
          <w:szCs w:val="18"/>
          <w:color w:val="auto"/>
        </w:rPr>
      </w:pPr>
    </w:p>
    <w:p>
      <w:pPr>
        <w:jc w:val="both"/>
        <w:ind w:right="300" w:firstLine="657"/>
        <w:spacing w:after="0" w:line="268" w:lineRule="auto"/>
        <w:tabs>
          <w:tab w:leader="none" w:pos="1317"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Expiration. </w:t>
      </w:r>
      <w:r>
        <w:rPr>
          <w:rFonts w:ascii="Times New Roman" w:cs="Times New Roman" w:eastAsia="Times New Roman" w:hAnsi="Times New Roman"/>
          <w:sz w:val="18"/>
          <w:szCs w:val="18"/>
          <w:color w:val="auto"/>
        </w:rPr>
        <w:t>This Agreement does not constitute a commitment of the Employer with regard to your employment, express or implied,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to the extent expressly provided for herein. Upon the termination of this Agreement pursuant to Section 9, neither the Employer nor you shall have any obligation to the other with respect to your continued employment.</w:t>
      </w:r>
    </w:p>
    <w:p>
      <w:pPr>
        <w:spacing w:after="0" w:line="170" w:lineRule="exact"/>
        <w:rPr>
          <w:rFonts w:ascii="Times New Roman" w:cs="Times New Roman" w:eastAsia="Times New Roman" w:hAnsi="Times New Roman"/>
          <w:sz w:val="18"/>
          <w:szCs w:val="18"/>
          <w:color w:val="auto"/>
        </w:rPr>
      </w:pPr>
    </w:p>
    <w:p>
      <w:pPr>
        <w:ind w:right="140" w:firstLine="657"/>
        <w:spacing w:after="0" w:line="286" w:lineRule="auto"/>
        <w:tabs>
          <w:tab w:leader="none" w:pos="130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Taxation. </w:t>
      </w:r>
      <w:r>
        <w:rPr>
          <w:rFonts w:ascii="Times New Roman" w:cs="Times New Roman" w:eastAsia="Times New Roman" w:hAnsi="Times New Roman"/>
          <w:sz w:val="18"/>
          <w:szCs w:val="18"/>
          <w:color w:val="auto"/>
        </w:rPr>
        <w:t>The Employer may withhold from any payments made under the Agreement all federal, state, city or other applicable taxes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as shall be required or permitted pursuant to any law, governmental regulation or ruling or agreement with you.</w:t>
      </w:r>
    </w:p>
    <w:p>
      <w:pPr>
        <w:spacing w:after="0" w:line="154" w:lineRule="exact"/>
        <w:rPr>
          <w:rFonts w:ascii="Times New Roman" w:cs="Times New Roman" w:eastAsia="Times New Roman" w:hAnsi="Times New Roman"/>
          <w:sz w:val="18"/>
          <w:szCs w:val="18"/>
          <w:color w:val="auto"/>
        </w:rPr>
      </w:pPr>
    </w:p>
    <w:p>
      <w:pPr>
        <w:ind w:right="240" w:firstLine="657"/>
        <w:spacing w:after="0" w:line="286" w:lineRule="auto"/>
        <w:tabs>
          <w:tab w:leader="none" w:pos="131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Immigration. </w:t>
      </w:r>
      <w:r>
        <w:rPr>
          <w:rFonts w:ascii="Times New Roman" w:cs="Times New Roman" w:eastAsia="Times New Roman" w:hAnsi="Times New Roman"/>
          <w:sz w:val="18"/>
          <w:szCs w:val="18"/>
          <w:color w:val="auto"/>
        </w:rPr>
        <w:t>In accordance with the Immigration Reform and Control Act of 1986, employment under this Agreement is conditioned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satisfactory proof of your identity and legal ability to work in the United States.</w:t>
      </w:r>
    </w:p>
    <w:p>
      <w:pPr>
        <w:spacing w:after="0" w:line="1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83820</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320" w:top="334" w:right="259" w:bottom="1440" w:gutter="0" w:footer="0" w:header="0"/>
        </w:sectPr>
      </w:pPr>
    </w:p>
    <w:bookmarkStart w:id="269" w:name="page270"/>
    <w:bookmarkEnd w:id="269"/>
    <w:p>
      <w:pPr>
        <w:ind w:right="60" w:firstLine="657"/>
        <w:spacing w:after="0" w:line="286" w:lineRule="auto"/>
        <w:tabs>
          <w:tab w:leader="none" w:pos="130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Choice of Law. </w:t>
      </w:r>
      <w:r>
        <w:rPr>
          <w:rFonts w:ascii="Times New Roman" w:cs="Times New Roman" w:eastAsia="Times New Roman" w:hAnsi="Times New Roman"/>
          <w:sz w:val="18"/>
          <w:szCs w:val="18"/>
          <w:color w:val="auto"/>
        </w:rPr>
        <w:t>Except to the extent governed by federal law, this Agreement shall be governed by and construed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the State of California or whatever other state in which you were last employed by the Employer, without regard to conflict of law principles.</w:t>
      </w:r>
    </w:p>
    <w:p>
      <w:pPr>
        <w:spacing w:after="0" w:line="154" w:lineRule="exact"/>
        <w:rPr>
          <w:rFonts w:ascii="Times New Roman" w:cs="Times New Roman" w:eastAsia="Times New Roman" w:hAnsi="Times New Roman"/>
          <w:sz w:val="18"/>
          <w:szCs w:val="18"/>
          <w:color w:val="auto"/>
        </w:rPr>
      </w:pPr>
    </w:p>
    <w:p>
      <w:pPr>
        <w:ind w:right="260" w:firstLine="657"/>
        <w:spacing w:after="0" w:line="286" w:lineRule="auto"/>
        <w:tabs>
          <w:tab w:leader="none" w:pos="130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Arbitration. </w:t>
      </w:r>
      <w:r>
        <w:rPr>
          <w:rFonts w:ascii="Times New Roman" w:cs="Times New Roman" w:eastAsia="Times New Roman" w:hAnsi="Times New Roman"/>
          <w:sz w:val="18"/>
          <w:szCs w:val="18"/>
          <w:color w:val="auto"/>
        </w:rPr>
        <w:t>Except as otherwise provided in this Agreement, both parties agree that any dispute or controversy between them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settled by final and binding arbitration pursuant to the terms of the Dispute Resolution Agreement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firstLine="657"/>
        <w:spacing w:after="0" w:line="255" w:lineRule="auto"/>
        <w:tabs>
          <w:tab w:leader="none" w:pos="131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It is expressly agreed by the parties that each of the provisions included in Section 8(e) is separate, distinct, and severable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other and remaining provisions of Section 8(e), and that the invalidity or unenforceability of any Section 8(e) provision shall not affect the validity or enforceability of any other provision or provisions of this Agreement. If any provision of this Agreement is held to be illegal, invalid or unenforceable under, or would require the commission of any act contrary to, existing or future laws effective during the Term, such provisions shall be fully severable, the Agreement shall be construed and enforced as if such illegal, invalid or unenforceable provision had never comprised a part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legal and enforceable provision as similar in terms to such illegal, invalid or unenforceable provision as may be possible.</w:t>
      </w:r>
    </w:p>
    <w:p>
      <w:pPr>
        <w:spacing w:after="0" w:line="185" w:lineRule="exact"/>
        <w:rPr>
          <w:rFonts w:ascii="Times New Roman" w:cs="Times New Roman" w:eastAsia="Times New Roman" w:hAnsi="Times New Roman"/>
          <w:sz w:val="18"/>
          <w:szCs w:val="18"/>
          <w:color w:val="auto"/>
        </w:rPr>
      </w:pPr>
    </w:p>
    <w:p>
      <w:pPr>
        <w:ind w:right="180" w:firstLine="654"/>
        <w:spacing w:after="0" w:line="268" w:lineRule="auto"/>
        <w:tabs>
          <w:tab w:leader="none" w:pos="13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Services Unique. </w:t>
      </w:r>
      <w:r>
        <w:rPr>
          <w:rFonts w:ascii="Times New Roman" w:cs="Times New Roman" w:eastAsia="Times New Roman" w:hAnsi="Times New Roman"/>
          <w:sz w:val="18"/>
          <w:szCs w:val="18"/>
          <w:color w:val="auto"/>
        </w:rPr>
        <w:t>You recognize that the services being performed by you under this Agreement are of a special, unique, unusual,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extraordinary and intellectual character giving them a peculiar value, the loss of which cannot be reasonably or adequately compensated for in damages in the event of a breach of this Agreement by you.</w:t>
      </w:r>
    </w:p>
    <w:p>
      <w:pPr>
        <w:spacing w:after="0" w:line="170" w:lineRule="exact"/>
        <w:rPr>
          <w:rFonts w:ascii="Times New Roman" w:cs="Times New Roman" w:eastAsia="Times New Roman" w:hAnsi="Times New Roman"/>
          <w:sz w:val="18"/>
          <w:szCs w:val="18"/>
          <w:color w:val="auto"/>
        </w:rPr>
      </w:pPr>
    </w:p>
    <w:p>
      <w:pPr>
        <w:ind w:right="80" w:firstLine="657"/>
        <w:spacing w:after="0" w:line="259" w:lineRule="auto"/>
        <w:tabs>
          <w:tab w:leader="none" w:pos="130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Injunctive Relief. </w:t>
      </w:r>
      <w:r>
        <w:rPr>
          <w:rFonts w:ascii="Times New Roman" w:cs="Times New Roman" w:eastAsia="Times New Roman" w:hAnsi="Times New Roman"/>
          <w:sz w:val="18"/>
          <w:szCs w:val="18"/>
          <w:color w:val="auto"/>
        </w:rPr>
        <w:t>In the event of a breach of or threatened breach of the provisions of this Agreement regarding the exclusivity of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and the provisions of Section 8, you agree that any remedy at law would be inadequate. Accordingly, you agree that the Employer is entitled to obtain injunctive relief for such breaches or threatened breaches in any court of competent jurisdiction. The injunctive relief provided for in Exhibit B and this Section 11(n) is in addition to, and is not in limitation of, any and all other remedies at law or in equity otherwise available to the applicable party. The parties agree to waive the requirement of posting a bond in connection with a court or arbitrator’s issuance of an injunction.</w:t>
      </w:r>
    </w:p>
    <w:p>
      <w:pPr>
        <w:spacing w:after="0" w:line="179" w:lineRule="exact"/>
        <w:rPr>
          <w:rFonts w:ascii="Times New Roman" w:cs="Times New Roman" w:eastAsia="Times New Roman" w:hAnsi="Times New Roman"/>
          <w:sz w:val="18"/>
          <w:szCs w:val="18"/>
          <w:color w:val="auto"/>
        </w:rPr>
      </w:pPr>
    </w:p>
    <w:p>
      <w:pPr>
        <w:ind w:firstLine="657"/>
        <w:spacing w:after="0" w:line="286" w:lineRule="auto"/>
        <w:tabs>
          <w:tab w:leader="none" w:pos="130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Remedies Cumulative. </w:t>
      </w:r>
      <w:r>
        <w:rPr>
          <w:rFonts w:ascii="Times New Roman" w:cs="Times New Roman" w:eastAsia="Times New Roman" w:hAnsi="Times New Roman"/>
          <w:sz w:val="18"/>
          <w:szCs w:val="18"/>
          <w:color w:val="auto"/>
        </w:rPr>
        <w:t>The remedies in this Agreement are not exclusive, and the parties shall have the right to pursue any other legal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equitable remedies to enforce the terms of this Agreement.</w:t>
      </w:r>
    </w:p>
    <w:p>
      <w:pPr>
        <w:spacing w:after="0" w:line="154" w:lineRule="exact"/>
        <w:rPr>
          <w:rFonts w:ascii="Times New Roman" w:cs="Times New Roman" w:eastAsia="Times New Roman" w:hAnsi="Times New Roman"/>
          <w:sz w:val="18"/>
          <w:szCs w:val="18"/>
          <w:color w:val="auto"/>
        </w:rPr>
      </w:pPr>
    </w:p>
    <w:p>
      <w:pPr>
        <w:ind w:right="380" w:firstLine="657"/>
        <w:spacing w:after="0" w:line="286" w:lineRule="auto"/>
        <w:tabs>
          <w:tab w:leader="none" w:pos="130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Headings. </w:t>
      </w:r>
      <w:r>
        <w:rPr>
          <w:rFonts w:ascii="Times New Roman" w:cs="Times New Roman" w:eastAsia="Times New Roman" w:hAnsi="Times New Roman"/>
          <w:sz w:val="18"/>
          <w:szCs w:val="18"/>
          <w:color w:val="auto"/>
        </w:rPr>
        <w:t>The headings set forth herein are included solely for the purpose of identification and shall not be used for the purpose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construing the meaning of the provisions of this Agreement.</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83820</wp:posOffset>
            </wp:positionV>
            <wp:extent cx="726757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20" w:top="333" w:right="299" w:bottom="1440" w:gutter="0" w:footer="0" w:header="0"/>
        </w:sectPr>
      </w:pPr>
    </w:p>
    <w:bookmarkStart w:id="270" w:name="page271"/>
    <w:bookmarkEnd w:id="270"/>
    <w:p>
      <w:pPr>
        <w:ind w:firstLine="656"/>
        <w:spacing w:after="0" w:line="254" w:lineRule="auto"/>
        <w:tabs>
          <w:tab w:leader="none" w:pos="130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To the extent applicable, it is intended that the Agreement comply with the provisions of Section 409A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Internal Revenue Code of 1986, as amended and the rules and regulations promulgated thereunder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The Agreement will be administered and interpreted in a manner consistent with this intent, and any provision that would cause the Agreement to fail to satisfy Section 409A will have no force and effect until amended to comply therewith (which amendment may be retroactive to the extent permitted by Section 409A). Notwithstanding anything contained herein to the contrary, to the extent any payment under this Agreement is subject to Section 409A, you shall not be considered to have terminated employment with the Employer for purposes of the Agreement and no payments shall be due to you under the Agreement which are payable upon your termination of employment unless you would be considered to have incurred a “separation from service” from the Employer within the meaning of</w:t>
      </w:r>
    </w:p>
    <w:p>
      <w:pPr>
        <w:spacing w:after="0" w:line="1"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409A. To the extent required in order to avoid accelerated taxation and/or tax penalties under Section 409A, amounts that would otherwise be payable and benefits that would otherwise be provided pursuant to the Agreement during the six-month period immediately following your termination of employment shall instead be paid on the first business day after the date that is six months following your termination of employment (or upon your death, if earlier). In addition, for purposes of the Agreement, each amount to be paid or benefit to be provided to you pursuant to the Employment Agreement shall be construed as a separate identified payment for purposes of Section 409A. With respect to expenses eligible for reimbursement under the terms of the Agreement, (i) the amount of such expenses eligible for reimbursement in any taxable year shall not affect the expenses eligible for reimbursement in another taxable year and (ii) any reimbursements of such expenses shall be made no later than the end of the calendar year following the calendar year in which the related expenses were incurred, except, in each case, to the extent that the right to reimbursement does not provide for a “deferral of compensation” within the meaning of Section 409A;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 respect to any reimbursements for any taxes to which you become entitled under the terms of the Agreement, the payment of such reimbursements shall be made by the Employer no later than the end of the calendar year following the calendar year in which you remit the related taxes.</w:t>
      </w:r>
    </w:p>
    <w:p>
      <w:pPr>
        <w:spacing w:after="0" w:line="189" w:lineRule="exact"/>
        <w:rPr>
          <w:rFonts w:ascii="Times New Roman" w:cs="Times New Roman" w:eastAsia="Times New Roman" w:hAnsi="Times New Roman"/>
          <w:sz w:val="18"/>
          <w:szCs w:val="18"/>
          <w:color w:val="auto"/>
        </w:rPr>
      </w:pPr>
    </w:p>
    <w:p>
      <w:pPr>
        <w:ind w:left="80" w:right="20" w:firstLine="657"/>
        <w:spacing w:after="0" w:line="253" w:lineRule="auto"/>
        <w:tabs>
          <w:tab w:leader="none" w:pos="1394"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280G</w:t>
      </w:r>
      <w:r>
        <w:rPr>
          <w:rFonts w:ascii="Times New Roman" w:cs="Times New Roman" w:eastAsia="Times New Roman" w:hAnsi="Times New Roman"/>
          <w:sz w:val="18"/>
          <w:szCs w:val="18"/>
          <w:color w:val="auto"/>
        </w:rPr>
        <w:t>. Notwithstanding anything to the contrary contained in this Agreement, to the extent that any amount, equity awards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paid or distributed to you pursuant to this Agreement or any other agreement, plan or arrangement between the Employer or its subsidiaries or affiliates, on the one hand, and you on the other hand (collectively, the “</w:t>
      </w:r>
      <w:r>
        <w:rPr>
          <w:rFonts w:ascii="Times New Roman" w:cs="Times New Roman" w:eastAsia="Times New Roman" w:hAnsi="Times New Roman"/>
          <w:sz w:val="18"/>
          <w:szCs w:val="18"/>
          <w:b w:val="1"/>
          <w:bCs w:val="1"/>
          <w:i w:val="1"/>
          <w:iCs w:val="1"/>
          <w:color w:val="auto"/>
        </w:rPr>
        <w:t>280G Payments</w:t>
      </w:r>
      <w:r>
        <w:rPr>
          <w:rFonts w:ascii="Times New Roman" w:cs="Times New Roman" w:eastAsia="Times New Roman" w:hAnsi="Times New Roman"/>
          <w:sz w:val="18"/>
          <w:szCs w:val="18"/>
          <w:color w:val="auto"/>
        </w:rPr>
        <w:t>”) (i) constitute a “parachute payment” within the meaning of Section 280G of the Code and (ii) but for this provision would be subject to the excise tax imposed by Section 4999 of the Code (the “</w:t>
      </w:r>
      <w:r>
        <w:rPr>
          <w:rFonts w:ascii="Times New Roman" w:cs="Times New Roman" w:eastAsia="Times New Roman" w:hAnsi="Times New Roman"/>
          <w:sz w:val="18"/>
          <w:szCs w:val="18"/>
          <w:b w:val="1"/>
          <w:bCs w:val="1"/>
          <w:i w:val="1"/>
          <w:iCs w:val="1"/>
          <w:color w:val="auto"/>
        </w:rPr>
        <w:t>Excise Tax</w:t>
      </w:r>
      <w:r>
        <w:rPr>
          <w:rFonts w:ascii="Times New Roman" w:cs="Times New Roman" w:eastAsia="Times New Roman" w:hAnsi="Times New Roman"/>
          <w:sz w:val="18"/>
          <w:szCs w:val="18"/>
          <w:color w:val="auto"/>
        </w:rPr>
        <w:t>”), then the 280G Payments shall be payable either (A) in full, notwithstanding that some or all portion of such payment may be subject to the Excise Tax or (B) in such lesser amount that would result in no portion of such 280G Payments being subject to Excise Tax, whichever of the foregoing amounts, taking into account the applicable federal, state and local income or excise taxes (including the Excise Tax) results in your receipt on an after-tax basis, of the greatest amount of payments and benefits under this Agreement, notwithstanding that all or some portion of such payments and benefits may be taxable under Section 4999 of the Code. Subject to Section 11(q), in the event a reduction in a 280G Payment is required pursuant to the preceding sentence, payments shall be reduced in the following order: (1) cash payments; (2) any equity awards accelerated or otherwise valued at full value, provided such equity awards are not permitted to be valued under Treasury Regulations Section 1.280G-1 Q/A — 24(c); (3) acceleration of vesting of all other stock options and equity awards; (4) any other non-cash</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271" w:name="page272"/>
    <w:bookmarkEnd w:id="271"/>
    <w:p>
      <w:pPr>
        <w:ind w:left="80"/>
        <w:spacing w:after="0"/>
        <w:rPr>
          <w:sz w:val="20"/>
          <w:szCs w:val="20"/>
          <w:color w:val="auto"/>
        </w:rPr>
      </w:pPr>
      <w:r>
        <w:rPr>
          <w:rFonts w:ascii="Times New Roman" w:cs="Times New Roman" w:eastAsia="Times New Roman" w:hAnsi="Times New Roman"/>
          <w:sz w:val="18"/>
          <w:szCs w:val="18"/>
          <w:color w:val="auto"/>
        </w:rPr>
        <w:t>forms of benefits, and (5) within any category, reductions shall be from the last due payment to the first. All determinations required to be made under this</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Section 11(r), including whether you will receive a full payment or a reduced payment and the assumptions to be utilized in arriving at such determination,</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shall be made by a nationally recognized certified public accounting firm as may be designated by the Employer and reasonably acceptable to you (the</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Accounting Firm</w:t>
      </w:r>
      <w:r>
        <w:rPr>
          <w:rFonts w:ascii="Times New Roman" w:cs="Times New Roman" w:eastAsia="Times New Roman" w:hAnsi="Times New Roman"/>
          <w:sz w:val="18"/>
          <w:szCs w:val="18"/>
          <w:color w:val="auto"/>
        </w:rPr>
        <w:t>”), which Accounting Firm shall provide detailed supporting calculations both to the Employer and you within fifteen (15) business days</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of the receipt of notice from the Employer that there is or may be made a 280G Payment or such other time as requested by you or the Employer. All fees</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and expenses of the Accounting Firm shall be borne solely by the Employer. Any determination by the Accounting Firm shall be binding upon the</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Employer and you.</w:t>
      </w:r>
    </w:p>
    <w:p>
      <w:pPr>
        <w:spacing w:after="0" w:line="203" w:lineRule="exact"/>
        <w:rPr>
          <w:sz w:val="20"/>
          <w:szCs w:val="20"/>
          <w:color w:val="auto"/>
        </w:rPr>
      </w:pPr>
    </w:p>
    <w:p>
      <w:pPr>
        <w:ind w:left="80" w:firstLine="657"/>
        <w:spacing w:after="0" w:line="286" w:lineRule="auto"/>
        <w:tabs>
          <w:tab w:leader="none" w:pos="1391"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Survivability. </w:t>
      </w:r>
      <w:r>
        <w:rPr>
          <w:rFonts w:ascii="Times New Roman" w:cs="Times New Roman" w:eastAsia="Times New Roman" w:hAnsi="Times New Roman"/>
          <w:sz w:val="18"/>
          <w:szCs w:val="18"/>
          <w:color w:val="auto"/>
        </w:rPr>
        <w:t>The provisions of Sections 2(c) (only the last sentence), 8, 10, 11 and 12, as well as Exhibits A through C, shall survive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or expiration of this Agreement.</w:t>
      </w:r>
    </w:p>
    <w:p>
      <w:pPr>
        <w:spacing w:after="0" w:line="154" w:lineRule="exact"/>
        <w:rPr>
          <w:rFonts w:ascii="Times New Roman" w:cs="Times New Roman" w:eastAsia="Times New Roman" w:hAnsi="Times New Roman"/>
          <w:sz w:val="18"/>
          <w:szCs w:val="18"/>
          <w:color w:val="auto"/>
        </w:rPr>
      </w:pPr>
    </w:p>
    <w:p>
      <w:pPr>
        <w:ind w:left="80" w:right="160" w:firstLine="657"/>
        <w:spacing w:after="0" w:line="286" w:lineRule="auto"/>
        <w:tabs>
          <w:tab w:leader="none" w:pos="1384"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counterparts, each of which shall be deemed an original and both of which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constitute one and the same instrument.</w:t>
      </w:r>
    </w:p>
    <w:p>
      <w:pPr>
        <w:spacing w:after="0" w:line="154" w:lineRule="exact"/>
        <w:rPr>
          <w:rFonts w:ascii="Times New Roman" w:cs="Times New Roman" w:eastAsia="Times New Roman" w:hAnsi="Times New Roman"/>
          <w:sz w:val="18"/>
          <w:szCs w:val="18"/>
          <w:color w:val="auto"/>
        </w:rPr>
      </w:pPr>
    </w:p>
    <w:p>
      <w:pPr>
        <w:ind w:left="80" w:right="320" w:firstLine="657"/>
        <w:spacing w:after="0" w:line="262" w:lineRule="auto"/>
        <w:tabs>
          <w:tab w:leader="none" w:pos="1384"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Legal Counsel. </w:t>
      </w:r>
      <w:r>
        <w:rPr>
          <w:rFonts w:ascii="Times New Roman" w:cs="Times New Roman" w:eastAsia="Times New Roman" w:hAnsi="Times New Roman"/>
          <w:sz w:val="18"/>
          <w:szCs w:val="18"/>
          <w:color w:val="auto"/>
        </w:rPr>
        <w:t>You acknowledge that you have been given the opportunity to consult with legal counsel or any other advisor of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 choosing regarding this Agreement. Employer will reimburse you, up to $30,000, for costs associated with retention of your legal counsel in this regard. You understand and agree that any attorney retained by the Employer, the Activision Blizzard Group or any member of management who has discussed any term or condition of this Agreement with you or your advisor is only acting on behalf of the Employer and not on your behalf.</w:t>
      </w:r>
    </w:p>
    <w:p>
      <w:pPr>
        <w:spacing w:after="0" w:line="176" w:lineRule="exact"/>
        <w:rPr>
          <w:rFonts w:ascii="Times New Roman" w:cs="Times New Roman" w:eastAsia="Times New Roman" w:hAnsi="Times New Roman"/>
          <w:sz w:val="18"/>
          <w:szCs w:val="18"/>
          <w:color w:val="auto"/>
        </w:rPr>
      </w:pPr>
    </w:p>
    <w:p>
      <w:pPr>
        <w:ind w:left="80" w:right="240" w:firstLine="657"/>
        <w:spacing w:after="0" w:line="286" w:lineRule="auto"/>
        <w:tabs>
          <w:tab w:leader="none" w:pos="1384"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Right to Negotiate. </w:t>
      </w:r>
      <w:r>
        <w:rPr>
          <w:rFonts w:ascii="Times New Roman" w:cs="Times New Roman" w:eastAsia="Times New Roman" w:hAnsi="Times New Roman"/>
          <w:sz w:val="18"/>
          <w:szCs w:val="18"/>
          <w:color w:val="auto"/>
        </w:rPr>
        <w:t>You hereby acknowledge that you have been given the opportunity to participate in the negotiation of the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You acknowledge and confirm that you have read this Agreement and fully understand its terms and contents.</w:t>
      </w:r>
    </w:p>
    <w:p>
      <w:pPr>
        <w:spacing w:after="0" w:line="154" w:lineRule="exact"/>
        <w:rPr>
          <w:rFonts w:ascii="Times New Roman" w:cs="Times New Roman" w:eastAsia="Times New Roman" w:hAnsi="Times New Roman"/>
          <w:sz w:val="18"/>
          <w:szCs w:val="18"/>
          <w:color w:val="auto"/>
        </w:rPr>
      </w:pPr>
    </w:p>
    <w:p>
      <w:pPr>
        <w:ind w:left="80" w:firstLine="657"/>
        <w:spacing w:after="0" w:line="268" w:lineRule="auto"/>
        <w:tabs>
          <w:tab w:leader="none" w:pos="1397"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Broker</w:t>
      </w:r>
      <w:r>
        <w:rPr>
          <w:rFonts w:ascii="Times New Roman" w:cs="Times New Roman" w:eastAsia="Times New Roman" w:hAnsi="Times New Roman"/>
          <w:sz w:val="18"/>
          <w:szCs w:val="18"/>
          <w:color w:val="auto"/>
        </w:rPr>
        <w:t>. You have given no indication, representation or commitment of any nature to any broker, finder, agent or other third party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effect that any fees or commissions of any nature are, or under any circumstances might be, payable by the Activision Blizzard Group in connection with your employment under this Agreement.</w:t>
      </w:r>
    </w:p>
    <w:p>
      <w:pPr>
        <w:spacing w:after="0" w:line="17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Employer agrees that it shall indemnify and hold you harmless to the fullest extent permitted by Delaware law from and against any and all third-party liabilities, costs and claims, and all expenses actually and reasonably incurred by you in connection therewith by reason of the fact that you are or were employed by the Activision Blizzard Group, including, without limitation, all costs and expenses actually and reasonably incurred by you in defense of litigation arising out of your employment hereunder.</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72" w:name="page273"/>
    <w:bookmarkEnd w:id="272"/>
    <w:p>
      <w:pPr>
        <w:ind w:left="660" w:hanging="652"/>
        <w:spacing w:after="0"/>
        <w:tabs>
          <w:tab w:leader="none" w:pos="660"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All notices which either party is required or may desire to give the other shall be in writing and given either personally, via email, or by United States mail or Federal Express, and addressed to the party to be given notice at the applicable addresses as follows:</w:t>
      </w:r>
    </w:p>
    <w:p>
      <w:pPr>
        <w:sectPr>
          <w:pgSz w:w="11900" w:h="16838" w:orient="portrait"/>
          <w:cols w:equalWidth="0" w:num="1">
            <w:col w:w="11460"/>
          </w:cols>
          <w:pgMar w:left="240" w:top="334" w:right="199" w:bottom="1440" w:gutter="0" w:footer="0" w:header="0"/>
        </w:sectPr>
      </w:pP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To the Employer: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U.S. mail: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Activision Publishing,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3100 Ocean Park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Monica, California 90405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Chief Legal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email: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EmploymentAgreements@activision.com</w:t>
      </w:r>
    </w:p>
    <w:p>
      <w:pPr>
        <w:spacing w:after="0" w:line="200" w:lineRule="exact"/>
        <w:rPr>
          <w:sz w:val="20"/>
          <w:szCs w:val="20"/>
          <w:color w:val="auto"/>
        </w:rPr>
      </w:pPr>
    </w:p>
    <w:p>
      <w:pPr>
        <w:sectPr>
          <w:pgSz w:w="11900" w:h="16838" w:orient="portrait"/>
          <w:cols w:equalWidth="0" w:num="2">
            <w:col w:w="4740" w:space="720"/>
            <w:col w:w="6000"/>
          </w:cols>
          <w:pgMar w:left="240" w:top="334" w:right="199" w:bottom="1440" w:gutter="0" w:footer="0" w:header="0"/>
          <w:type w:val="continuous"/>
        </w:sectPr>
      </w:pPr>
    </w:p>
    <w:p>
      <w:pPr>
        <w:spacing w:after="0" w:line="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To You: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Dennis Durkin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be sent to last known home address on</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file with Human Resources)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corporate email address or last known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personal email address on file)</w:t>
      </w:r>
    </w:p>
    <w:p>
      <w:pPr>
        <w:spacing w:after="0" w:line="200" w:lineRule="exact"/>
        <w:rPr>
          <w:sz w:val="20"/>
          <w:szCs w:val="20"/>
          <w:color w:val="auto"/>
        </w:rPr>
      </w:pPr>
    </w:p>
    <w:p>
      <w:pPr>
        <w:sectPr>
          <w:pgSz w:w="11900" w:h="16838" w:orient="portrait"/>
          <w:cols w:equalWidth="0" w:num="2">
            <w:col w:w="4740" w:space="720"/>
            <w:col w:w="6000"/>
          </w:cols>
          <w:pgMar w:left="240" w:top="334" w:right="199" w:bottom="1440" w:gutter="0" w:footer="0" w:header="0"/>
          <w:type w:val="continuous"/>
        </w:sectPr>
      </w:pPr>
    </w:p>
    <w:p>
      <w:pPr>
        <w:spacing w:after="0" w:line="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Either party may by written notice designate a different address for giving of notices. The date of mailing of any such notices shall be deemed to be the date on which such notice is given.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ACCEPTED AND AGREED TO:</w:t>
            </w: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Employer</w:t>
            </w:r>
          </w:p>
        </w:tc>
        <w:tc>
          <w:tcPr>
            <w:tcW w:w="606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Employee</w:t>
            </w:r>
          </w:p>
        </w:tc>
        <w:tc>
          <w:tcPr>
            <w:tcW w:w="40" w:type="dxa"/>
            <w:vAlign w:val="bottom"/>
          </w:tcPr>
          <w:p>
            <w:pPr>
              <w:spacing w:after="0"/>
              <w:rPr>
                <w:sz w:val="24"/>
                <w:szCs w:val="24"/>
                <w:color w:val="auto"/>
              </w:rPr>
            </w:pPr>
          </w:p>
        </w:tc>
      </w:tr>
      <w:tr>
        <w:trPr>
          <w:trHeight w:val="432"/>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ACTIVISION BLIZZARD, INC.</w:t>
            </w: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1"/>
        </w:trPr>
        <w:tc>
          <w:tcPr>
            <w:tcW w:w="680" w:type="dxa"/>
            <w:vAlign w:val="bottom"/>
          </w:tcPr>
          <w:p>
            <w:pPr>
              <w:spacing w:after="0"/>
              <w:rPr>
                <w:sz w:val="16"/>
                <w:szCs w:val="16"/>
                <w:color w:val="auto"/>
              </w:rPr>
            </w:pPr>
          </w:p>
        </w:tc>
        <w:tc>
          <w:tcPr>
            <w:tcW w:w="4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Brian Stolz</w:t>
            </w:r>
          </w:p>
        </w:tc>
        <w:tc>
          <w:tcPr>
            <w:tcW w:w="380" w:type="dxa"/>
            <w:vAlign w:val="bottom"/>
          </w:tcPr>
          <w:p>
            <w:pPr>
              <w:spacing w:after="0"/>
              <w:rPr>
                <w:sz w:val="16"/>
                <w:szCs w:val="16"/>
                <w:color w:val="auto"/>
              </w:rPr>
            </w:pPr>
          </w:p>
        </w:tc>
        <w:tc>
          <w:tcPr>
            <w:tcW w:w="568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Dennis Durkin</w:t>
            </w:r>
          </w:p>
        </w:tc>
        <w:tc>
          <w:tcPr>
            <w:tcW w:w="40" w:type="dxa"/>
            <w:vAlign w:val="bottom"/>
          </w:tcPr>
          <w:p>
            <w:pPr>
              <w:spacing w:after="0"/>
              <w:rPr>
                <w:sz w:val="16"/>
                <w:szCs w:val="16"/>
                <w:color w:val="auto"/>
              </w:rPr>
            </w:pPr>
          </w:p>
        </w:tc>
      </w:tr>
      <w:tr>
        <w:trPr>
          <w:trHeight w:val="234"/>
        </w:trPr>
        <w:tc>
          <w:tcPr>
            <w:tcW w:w="68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People Officer</w:t>
            </w: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60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Date:</w:t>
            </w:r>
          </w:p>
        </w:tc>
        <w:tc>
          <w:tcPr>
            <w:tcW w:w="40" w:type="dxa"/>
            <w:vAlign w:val="bottom"/>
          </w:tcPr>
          <w:p>
            <w:pPr>
              <w:spacing w:after="0"/>
              <w:rPr>
                <w:sz w:val="24"/>
                <w:szCs w:val="24"/>
                <w:color w:val="auto"/>
              </w:rPr>
            </w:pPr>
          </w:p>
        </w:tc>
      </w:tr>
      <w:tr>
        <w:trPr>
          <w:trHeight w:val="426"/>
        </w:trPr>
        <w:tc>
          <w:tcPr>
            <w:tcW w:w="680" w:type="dxa"/>
            <w:vAlign w:val="bottom"/>
          </w:tcPr>
          <w:p>
            <w:pPr>
              <w:spacing w:after="0"/>
              <w:rPr>
                <w:sz w:val="24"/>
                <w:szCs w:val="24"/>
                <w:color w:val="auto"/>
              </w:rPr>
            </w:pPr>
          </w:p>
        </w:tc>
        <w:tc>
          <w:tcPr>
            <w:tcW w:w="4680" w:type="dxa"/>
            <w:vAlign w:val="bottom"/>
            <w:tcBorders>
              <w:top w:val="single" w:sz="8" w:color="auto"/>
            </w:tcBorders>
          </w:tcPr>
          <w:p>
            <w:pPr>
              <w:spacing w:after="0"/>
              <w:rPr>
                <w:sz w:val="24"/>
                <w:szCs w:val="24"/>
                <w:color w:val="auto"/>
              </w:rPr>
            </w:pPr>
          </w:p>
        </w:tc>
        <w:tc>
          <w:tcPr>
            <w:tcW w:w="104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18</w:t>
            </w:r>
          </w:p>
        </w:tc>
        <w:tc>
          <w:tcPr>
            <w:tcW w:w="50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80" w:type="dxa"/>
            <w:vAlign w:val="bottom"/>
            <w:tcBorders>
              <w:bottom w:val="single" w:sz="8" w:color="808080"/>
            </w:tcBorders>
          </w:tcPr>
          <w:p>
            <w:pPr>
              <w:spacing w:after="0"/>
              <w:rPr>
                <w:sz w:val="11"/>
                <w:szCs w:val="11"/>
                <w:color w:val="auto"/>
              </w:rPr>
            </w:pPr>
          </w:p>
        </w:tc>
        <w:tc>
          <w:tcPr>
            <w:tcW w:w="46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5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4" w:right="199" w:bottom="1440" w:gutter="0" w:footer="0" w:header="0"/>
          <w:type w:val="continuous"/>
        </w:sectPr>
      </w:pPr>
    </w:p>
    <w:bookmarkStart w:id="273" w:name="page274"/>
    <w:bookmarkEnd w:id="273"/>
    <w:p>
      <w:pPr>
        <w:jc w:val="right"/>
        <w:spacing w:after="0"/>
        <w:rPr>
          <w:sz w:val="20"/>
          <w:szCs w:val="20"/>
          <w:color w:val="auto"/>
        </w:rPr>
      </w:pPr>
      <w:r>
        <w:rPr>
          <w:rFonts w:ascii="Times New Roman" w:cs="Times New Roman" w:eastAsia="Times New Roman" w:hAnsi="Times New Roman"/>
          <w:sz w:val="18"/>
          <w:szCs w:val="18"/>
          <w:b w:val="1"/>
          <w:bCs w:val="1"/>
          <w:color w:val="auto"/>
        </w:rPr>
        <w:t>Exhibit 10.26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2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NOTICE OF PERFORMANCE SHARE UNIT AWARD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have been awarded Performance Share Units of Activision Blizzard, Inc. (the “Company”), as follows:</w:t>
      </w:r>
    </w:p>
    <w:p>
      <w:pPr>
        <w:spacing w:after="0" w:line="221" w:lineRule="exact"/>
        <w:rPr>
          <w:sz w:val="20"/>
          <w:szCs w:val="20"/>
          <w:color w:val="auto"/>
        </w:rPr>
      </w:pPr>
    </w:p>
    <w:p>
      <w:pPr>
        <w:ind w:left="300" w:hanging="292"/>
        <w:spacing w:after="0"/>
        <w:tabs>
          <w:tab w:leader="none" w:pos="3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Your name: </w:t>
      </w:r>
      <w:r>
        <w:rPr>
          <w:rFonts w:ascii="Times New Roman" w:cs="Times New Roman" w:eastAsia="Times New Roman" w:hAnsi="Times New Roman"/>
          <w:sz w:val="18"/>
          <w:szCs w:val="18"/>
          <w:b w:val="1"/>
          <w:bCs w:val="1"/>
          <w:color w:val="auto"/>
        </w:rPr>
        <w:t>Robert A. Kotick</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Total number of Performance Share Units awarded (representing the maximum number of Performance Share Units which may vest hereunder): </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10"/>
        </w:trPr>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Target number of Performance Share Units awarded: </w:t>
            </w:r>
            <w:r>
              <w:rPr>
                <w:rFonts w:ascii="Times New Roman" w:cs="Times New Roman" w:eastAsia="Times New Roman" w:hAnsi="Times New Roman"/>
                <w:sz w:val="18"/>
                <w:szCs w:val="18"/>
                <w:b w:val="1"/>
                <w:bCs w:val="1"/>
                <w:color w:val="auto"/>
              </w:rPr>
              <w:t>[</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32"/>
        </w:trPr>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Date of Grant: </w:t>
            </w:r>
            <w:r>
              <w:rPr>
                <w:rFonts w:ascii="Times New Roman" w:cs="Times New Roman" w:eastAsia="Times New Roman" w:hAnsi="Times New Roman"/>
                <w:sz w:val="18"/>
                <w:szCs w:val="18"/>
                <w:b w:val="1"/>
                <w:bCs w:val="1"/>
                <w:color w:val="auto"/>
              </w:rPr>
              <w:t>[</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32"/>
        </w:trPr>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Grant ID: </w:t>
            </w:r>
            <w:r>
              <w:rPr>
                <w:rFonts w:ascii="Times New Roman" w:cs="Times New Roman" w:eastAsia="Times New Roman" w:hAnsi="Times New Roman"/>
                <w:sz w:val="18"/>
                <w:szCs w:val="18"/>
                <w:b w:val="1"/>
                <w:bCs w:val="1"/>
                <w:color w:val="auto"/>
              </w:rPr>
              <w:t>[</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98" w:lineRule="exact"/>
        <w:rPr>
          <w:sz w:val="20"/>
          <w:szCs w:val="20"/>
          <w:color w:val="auto"/>
        </w:rPr>
      </w:pPr>
    </w:p>
    <w:p>
      <w:pPr>
        <w:ind w:left="300" w:hanging="292"/>
        <w:spacing w:after="0"/>
        <w:tabs>
          <w:tab w:leader="none" w:pos="3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Award of Performance Share Units is governed by the terms and conditions set forth in:</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Notice of Performance Share Unit Award;</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Performance Share Unit Award Terms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“Award Terms”);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Schedule for Vesting attached hereto as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2014 Incentive Plan, the receipt of a copy of which you hereby acknowledge.</w:t>
      </w:r>
    </w:p>
    <w:p>
      <w:pPr>
        <w:spacing w:after="0" w:line="225"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0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Award of Performance Share Units has been made in connection with your Employment Agreement, and is also governed by any applicable terms and conditions set forth in such agreement.</w:t>
      </w:r>
    </w:p>
    <w:p>
      <w:pPr>
        <w:spacing w:after="0" w:line="159" w:lineRule="exact"/>
        <w:rPr>
          <w:rFonts w:ascii="Times New Roman" w:cs="Times New Roman" w:eastAsia="Times New Roman" w:hAnsi="Times New Roman"/>
          <w:sz w:val="18"/>
          <w:szCs w:val="18"/>
          <w:color w:val="auto"/>
        </w:rPr>
      </w:pPr>
    </w:p>
    <w:p>
      <w:pPr>
        <w:ind w:left="340" w:right="220" w:hanging="332"/>
        <w:spacing w:after="0" w:line="284" w:lineRule="auto"/>
        <w:tabs>
          <w:tab w:leader="none" w:pos="30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Schedule for Vesting</w:t>
      </w:r>
      <w:r>
        <w:rPr>
          <w:rFonts w:ascii="Times New Roman" w:cs="Times New Roman" w:eastAsia="Times New Roman" w:hAnsi="Times New Roman"/>
          <w:sz w:val="18"/>
          <w:szCs w:val="18"/>
          <w:color w:val="auto"/>
        </w:rPr>
        <w:t>: Except as otherwise provided under the Award Terms, the Performance Share Units awarded to you shall vest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schedule set forth on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hereto.</w:t>
      </w:r>
    </w:p>
    <w:p>
      <w:pPr>
        <w:spacing w:after="0" w:line="156" w:lineRule="exact"/>
        <w:rPr>
          <w:rFonts w:ascii="Times New Roman" w:cs="Times New Roman" w:eastAsia="Times New Roman" w:hAnsi="Times New Roman"/>
          <w:sz w:val="18"/>
          <w:szCs w:val="18"/>
          <w:color w:val="auto"/>
        </w:rPr>
      </w:pPr>
    </w:p>
    <w:p>
      <w:pPr>
        <w:ind w:left="340" w:right="180" w:hanging="332"/>
        <w:spacing w:after="0" w:line="286" w:lineRule="auto"/>
        <w:tabs>
          <w:tab w:leader="none" w:pos="30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sign and return to the Company this Notice of Performance Share Unit Award, which bears an original signature on behalf of the Company. You are urged to do so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675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74" w:name="page275"/>
    <w:bookmarkEnd w:id="274"/>
    <w:p>
      <w:pPr>
        <w:ind w:left="300" w:hanging="292"/>
        <w:spacing w:after="0"/>
        <w:tabs>
          <w:tab w:leader="none" w:pos="3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return the signed Notice of Performance Share Unit Award to the Company at:</w:t>
      </w:r>
    </w:p>
    <w:p>
      <w:pPr>
        <w:spacing w:after="0" w:line="22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Activision Blizzard, Inc.</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3100 Ocean Park Boulevard</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Santa Monica, CA 90405</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Attn: Stock Plan Administration</w:t>
      </w:r>
    </w:p>
    <w:p>
      <w:pPr>
        <w:spacing w:after="0" w:line="207" w:lineRule="exact"/>
        <w:rPr>
          <w:sz w:val="20"/>
          <w:szCs w:val="20"/>
          <w:color w:val="auto"/>
        </w:rPr>
      </w:pPr>
    </w:p>
    <w:p>
      <w:pPr>
        <w:ind w:left="300" w:hanging="292"/>
        <w:spacing w:after="0"/>
        <w:tabs>
          <w:tab w:leader="none" w:pos="3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capitalized term used but not otherwise defined herein shall have the meaning ascribed to such term in the Award Terms.</w:t>
      </w:r>
    </w:p>
    <w:p>
      <w:pPr>
        <w:spacing w:after="0" w:line="221" w:lineRule="exact"/>
        <w:rPr>
          <w:rFonts w:ascii="Times New Roman" w:cs="Times New Roman" w:eastAsia="Times New Roman" w:hAnsi="Times New Roman"/>
          <w:sz w:val="18"/>
          <w:szCs w:val="18"/>
          <w:color w:val="auto"/>
        </w:rPr>
      </w:pPr>
    </w:p>
    <w:p>
      <w:pPr>
        <w:ind w:left="340" w:hanging="332"/>
        <w:spacing w:after="0" w:line="286" w:lineRule="auto"/>
        <w:tabs>
          <w:tab w:leader="none" w:pos="30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accepting the Award, you are deemed to be bound by the terms and conditions set forth in the 2014 Incentive Plan, this Notice of Performance Share Unit Award and the Award Terms.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retain the enclosed duplicate copy of this Notice of Performance Share Unit Award for your records.</w:t>
      </w:r>
    </w:p>
    <w:p>
      <w:pPr>
        <w:spacing w:after="0" w:line="2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Brian Stolz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-127635</wp:posOffset>
            </wp:positionV>
            <wp:extent cx="361061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1">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People Officer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17145</wp:posOffset>
            </wp:positionV>
            <wp:extent cx="319024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63601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3">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295846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4">
                      <a:extLst>
                        <a:ext uri="{28A0092B-C50C-407E-A947-70E740481C1C}"/>
                      </a:extLst>
                    </a:blip>
                    <a:srcRect/>
                    <a:stretch>
                      <a:fillRect/>
                    </a:stretch>
                  </pic:blipFill>
                  <pic:spPr bwMode="auto">
                    <a:xfrm>
                      <a:off x="0" y="0"/>
                      <a:ext cx="29584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229870</wp:posOffset>
            </wp:positionV>
            <wp:extent cx="72675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60"/>
          </w:cols>
          <w:pgMar w:left="240" w:top="333" w:right="599" w:bottom="1440" w:gutter="0" w:footer="0" w:header="0"/>
        </w:sectPr>
      </w:pPr>
    </w:p>
    <w:bookmarkStart w:id="275" w:name="page276"/>
    <w:bookmarkEnd w:id="275"/>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PERFORMANCE SHARE UNIT AWARD TERMS</w:t>
      </w:r>
    </w:p>
    <w:p>
      <w:pPr>
        <w:spacing w:after="0" w:line="229" w:lineRule="exact"/>
        <w:rPr>
          <w:sz w:val="20"/>
          <w:szCs w:val="20"/>
          <w:color w:val="auto"/>
        </w:rPr>
      </w:pPr>
    </w:p>
    <w:p>
      <w:pPr>
        <w:ind w:left="1300" w:hanging="644"/>
        <w:spacing w:after="0"/>
        <w:tabs>
          <w:tab w:leader="none" w:pos="13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40" w:hanging="635"/>
        <w:spacing w:after="0"/>
        <w:tabs>
          <w:tab w:leader="none" w:pos="194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Award Terms, the following terms shall have the meanings set forth below:</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“Award” </w:t>
      </w:r>
      <w:r>
        <w:rPr>
          <w:rFonts w:ascii="Times New Roman" w:cs="Times New Roman" w:eastAsia="Times New Roman" w:hAnsi="Times New Roman"/>
          <w:sz w:val="18"/>
          <w:szCs w:val="18"/>
          <w:color w:val="auto"/>
        </w:rPr>
        <w:t>means the award described on the Grant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“Cause” </w:t>
      </w:r>
      <w:r>
        <w:rPr>
          <w:rFonts w:ascii="Times New Roman" w:cs="Times New Roman" w:eastAsia="Times New Roman" w:hAnsi="Times New Roman"/>
          <w:sz w:val="18"/>
          <w:szCs w:val="18"/>
          <w:color w:val="auto"/>
        </w:rPr>
        <w:t>shall have the meaning given to such term in the Employment Agreement.</w:t>
      </w:r>
    </w:p>
    <w:p>
      <w:pPr>
        <w:spacing w:after="0" w:line="225" w:lineRule="exact"/>
        <w:rPr>
          <w:sz w:val="20"/>
          <w:szCs w:val="20"/>
          <w:color w:val="auto"/>
        </w:rPr>
      </w:pPr>
    </w:p>
    <w:p>
      <w:pPr>
        <w:ind w:right="20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“Common Shares” </w:t>
      </w:r>
      <w:r>
        <w:rPr>
          <w:rFonts w:ascii="Times New Roman" w:cs="Times New Roman" w:eastAsia="Times New Roman" w:hAnsi="Times New Roman"/>
          <w:sz w:val="18"/>
          <w:szCs w:val="18"/>
          <w:color w:val="auto"/>
        </w:rPr>
        <w:t>means the shares of common stock, par value $0.000001 per share, of the Company or any security into which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Shares may be changed by reason of any transaction or event of the type referred to in Section 10 hereof.</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means Activision Blizzard, Inc. and any successor thereto.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“Company Group” </w:t>
      </w:r>
      <w:r>
        <w:rPr>
          <w:rFonts w:ascii="Times New Roman" w:cs="Times New Roman" w:eastAsia="Times New Roman" w:hAnsi="Times New Roman"/>
          <w:sz w:val="18"/>
          <w:szCs w:val="18"/>
          <w:color w:val="auto"/>
        </w:rPr>
        <w:t>means the Company and its Subsidiaries.</w:t>
      </w:r>
    </w:p>
    <w:p>
      <w:pPr>
        <w:spacing w:after="0" w:line="225" w:lineRule="exact"/>
        <w:rPr>
          <w:sz w:val="20"/>
          <w:szCs w:val="20"/>
          <w:color w:val="auto"/>
        </w:rPr>
      </w:pPr>
    </w:p>
    <w:p>
      <w:pPr>
        <w:ind w:right="8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“Company-Sponsored Equity Account” </w:t>
      </w:r>
      <w:r>
        <w:rPr>
          <w:rFonts w:ascii="Times New Roman" w:cs="Times New Roman" w:eastAsia="Times New Roman" w:hAnsi="Times New Roman"/>
          <w:sz w:val="18"/>
          <w:szCs w:val="18"/>
          <w:color w:val="auto"/>
        </w:rPr>
        <w:t>means an account that is created with the Equity Account Administrator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of the Company’s equity plans and programs, including the Plan.</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“Date of Grant” </w:t>
      </w:r>
      <w:r>
        <w:rPr>
          <w:rFonts w:ascii="Times New Roman" w:cs="Times New Roman" w:eastAsia="Times New Roman" w:hAnsi="Times New Roman"/>
          <w:sz w:val="18"/>
          <w:szCs w:val="18"/>
          <w:color w:val="auto"/>
        </w:rPr>
        <w:t>means the Date of Grant of the Award set forth on the Grant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“Employment Agreement” </w:t>
      </w:r>
      <w:r>
        <w:rPr>
          <w:rFonts w:ascii="Times New Roman" w:cs="Times New Roman" w:eastAsia="Times New Roman" w:hAnsi="Times New Roman"/>
          <w:sz w:val="18"/>
          <w:szCs w:val="18"/>
          <w:color w:val="auto"/>
        </w:rPr>
        <w:t>means that certain Employment Agreement between Grantee and the Company dated as of October 1, 2016.</w:t>
      </w:r>
    </w:p>
    <w:p>
      <w:pPr>
        <w:spacing w:after="0" w:line="225" w:lineRule="exact"/>
        <w:rPr>
          <w:sz w:val="20"/>
          <w:szCs w:val="20"/>
          <w:color w:val="auto"/>
        </w:rPr>
      </w:pPr>
    </w:p>
    <w:p>
      <w:pPr>
        <w:ind w:right="6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“Employment Violation” </w:t>
      </w:r>
      <w:r>
        <w:rPr>
          <w:rFonts w:ascii="Times New Roman" w:cs="Times New Roman" w:eastAsia="Times New Roman" w:hAnsi="Times New Roman"/>
          <w:sz w:val="18"/>
          <w:szCs w:val="18"/>
          <w:color w:val="auto"/>
        </w:rPr>
        <w:t>means any material breach by Grantee of the Employment Agreement (with any breach of the post-termination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contained therein deemed to be material for purposes of this definition).</w:t>
      </w:r>
    </w:p>
    <w:p>
      <w:pPr>
        <w:spacing w:after="0" w:line="155" w:lineRule="exact"/>
        <w:rPr>
          <w:sz w:val="20"/>
          <w:szCs w:val="20"/>
          <w:color w:val="auto"/>
        </w:rPr>
      </w:pPr>
    </w:p>
    <w:p>
      <w:pPr>
        <w:jc w:val="both"/>
        <w:ind w:right="2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“Equity Account Administrator” </w:t>
      </w:r>
      <w:r>
        <w:rPr>
          <w:rFonts w:ascii="Times New Roman" w:cs="Times New Roman" w:eastAsia="Times New Roman" w:hAnsi="Times New Roman"/>
          <w:sz w:val="18"/>
          <w:szCs w:val="18"/>
          <w:color w:val="auto"/>
        </w:rPr>
        <w:t>means the brokerage firm utilized by the Company from time to time to create and administer accounts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participants in the Company’s equity plans and programs, including the Plan.</w:t>
      </w:r>
    </w:p>
    <w:p>
      <w:pPr>
        <w:spacing w:after="0" w:line="155"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“Exercise Rules and Regulations” </w:t>
      </w:r>
      <w:r>
        <w:rPr>
          <w:rFonts w:ascii="Times New Roman" w:cs="Times New Roman" w:eastAsia="Times New Roman" w:hAnsi="Times New Roman"/>
          <w:sz w:val="18"/>
          <w:szCs w:val="18"/>
          <w:color w:val="auto"/>
        </w:rPr>
        <w:t>means (i) the Securities Act or any comparable federal securities law and all applicable state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(ii) the requirements of any securities exchange, securities association, market system or quotation system on which Common Shares are then traded or quoted, (iii) any restrictions on transfer imposed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3" w:right="339" w:bottom="1440" w:gutter="0" w:footer="0" w:header="0"/>
        </w:sectPr>
      </w:pPr>
    </w:p>
    <w:bookmarkStart w:id="276" w:name="page277"/>
    <w:bookmarkEnd w:id="276"/>
    <w:p>
      <w:pPr>
        <w:ind w:right="220"/>
        <w:spacing w:after="0" w:line="282" w:lineRule="auto"/>
        <w:rPr>
          <w:sz w:val="20"/>
          <w:szCs w:val="20"/>
          <w:color w:val="auto"/>
        </w:rPr>
      </w:pPr>
      <w:r>
        <w:rPr>
          <w:rFonts w:ascii="Times New Roman" w:cs="Times New Roman" w:eastAsia="Times New Roman" w:hAnsi="Times New Roman"/>
          <w:sz w:val="18"/>
          <w:szCs w:val="18"/>
          <w:color w:val="auto"/>
        </w:rPr>
        <w:t>Company’s certificate of incorporation or bylaws, and (iv) any policy or procedure the Company has adopted with respect to the trading of its securities, in each case as in effect on the date of the intended transaction.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“Grantee” </w:t>
      </w:r>
      <w:r>
        <w:rPr>
          <w:rFonts w:ascii="Times New Roman" w:cs="Times New Roman" w:eastAsia="Times New Roman" w:hAnsi="Times New Roman"/>
          <w:sz w:val="18"/>
          <w:szCs w:val="18"/>
          <w:color w:val="auto"/>
        </w:rPr>
        <w:t>means the recipient of the Award named on the Grant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“Grant Notice” </w:t>
      </w:r>
      <w:r>
        <w:rPr>
          <w:rFonts w:ascii="Times New Roman" w:cs="Times New Roman" w:eastAsia="Times New Roman" w:hAnsi="Times New Roman"/>
          <w:sz w:val="18"/>
          <w:szCs w:val="18"/>
          <w:color w:val="auto"/>
        </w:rPr>
        <w:t>means the Notice of Performance Share Unit Award to which these Award Terms are attached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“Look-back Period” </w:t>
      </w:r>
      <w:r>
        <w:rPr>
          <w:rFonts w:ascii="Times New Roman" w:cs="Times New Roman" w:eastAsia="Times New Roman" w:hAnsi="Times New Roman"/>
          <w:sz w:val="18"/>
          <w:szCs w:val="18"/>
          <w:color w:val="auto"/>
        </w:rPr>
        <w:t>means, with respect to any Employment Violation by Grantee, the period beginning on the date which is 12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date of such Employment Violation by Grantee and ending on the date of computation of the Recapture Amount with respect to such Employment Violation.</w:t>
      </w:r>
    </w:p>
    <w:p>
      <w:pPr>
        <w:spacing w:after="0" w:line="171" w:lineRule="exact"/>
        <w:rPr>
          <w:sz w:val="20"/>
          <w:szCs w:val="20"/>
          <w:color w:val="auto"/>
        </w:rPr>
      </w:pPr>
    </w:p>
    <w:p>
      <w:pPr>
        <w:ind w:right="140"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“Performance Share Units” </w:t>
      </w:r>
      <w:r>
        <w:rPr>
          <w:rFonts w:ascii="Times New Roman" w:cs="Times New Roman" w:eastAsia="Times New Roman" w:hAnsi="Times New Roman"/>
          <w:sz w:val="18"/>
          <w:szCs w:val="18"/>
          <w:color w:val="auto"/>
        </w:rPr>
        <w:t>means units subject to the Award, which represent the conditional right to receive Common Shares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Grant Notice and these Award Terms, unless and until such units become vested or are forfeited to the Company in accordance with the Grant Notice and these Award Terms.</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“Plan” </w:t>
      </w:r>
      <w:r>
        <w:rPr>
          <w:rFonts w:ascii="Times New Roman" w:cs="Times New Roman" w:eastAsia="Times New Roman" w:hAnsi="Times New Roman"/>
          <w:sz w:val="18"/>
          <w:szCs w:val="18"/>
          <w:color w:val="auto"/>
        </w:rPr>
        <w:t>means the Activision Blizzard, Inc. 2014 Incentive Plan, as amended from time to time.</w:t>
      </w:r>
    </w:p>
    <w:p>
      <w:pPr>
        <w:spacing w:after="0" w:line="225" w:lineRule="exact"/>
        <w:rPr>
          <w:sz w:val="20"/>
          <w:szCs w:val="20"/>
          <w:color w:val="auto"/>
        </w:rPr>
      </w:pPr>
    </w:p>
    <w:p>
      <w:pPr>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“Recapture Amount” </w:t>
      </w:r>
      <w:r>
        <w:rPr>
          <w:rFonts w:ascii="Times New Roman" w:cs="Times New Roman" w:eastAsia="Times New Roman" w:hAnsi="Times New Roman"/>
          <w:sz w:val="18"/>
          <w:szCs w:val="18"/>
          <w:color w:val="auto"/>
        </w:rPr>
        <w:t>means, with respect to any Employment Violation by Grantee, the gross gain realized or unrealized by Grantee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vesting of Performance Share Units or delivery or transfer of Vested Shares during the Look-back Period with respect to such Employment Violation, which gain shall be calculated as the sum of:</w:t>
      </w:r>
    </w:p>
    <w:p>
      <w:pPr>
        <w:spacing w:after="0" w:line="175" w:lineRule="exact"/>
        <w:rPr>
          <w:sz w:val="20"/>
          <w:szCs w:val="20"/>
          <w:color w:val="auto"/>
        </w:rPr>
      </w:pPr>
    </w:p>
    <w:p>
      <w:pPr>
        <w:ind w:left="660" w:firstLine="645"/>
        <w:spacing w:after="0" w:line="282" w:lineRule="auto"/>
        <w:tabs>
          <w:tab w:leader="none" w:pos="197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Grantee has received Vested Shares during such Look-back Period and sold any such Vested Shares, an amount equal to the sum of the sales price for all such Vested Shares; plus</w:t>
      </w:r>
    </w:p>
    <w:p>
      <w:pPr>
        <w:spacing w:after="0" w:line="161" w:lineRule="exact"/>
        <w:rPr>
          <w:rFonts w:ascii="Times New Roman" w:cs="Times New Roman" w:eastAsia="Times New Roman" w:hAnsi="Times New Roman"/>
          <w:sz w:val="18"/>
          <w:szCs w:val="18"/>
          <w:color w:val="auto"/>
        </w:rPr>
      </w:pPr>
    </w:p>
    <w:p>
      <w:pPr>
        <w:ind w:left="660" w:right="20" w:firstLine="645"/>
        <w:spacing w:after="0" w:line="274" w:lineRule="auto"/>
        <w:tabs>
          <w:tab w:leader="none" w:pos="1987"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Grantee has received Vested Shares during such Look-back Period and not sold all such Vested Shares, an amount equal to the product of (A) the greatest of the following: (1) the Market Value per Share of Common Shares on the date such Vested Shares were issued or transferred to Grantee, (2) the arithmetic average of the per share closing sales prices of Common Shares as reported on NASDAQ for the 30 trading day period ending on the trading day immediately preceding the date of the Company’s written notice of its exercise of its rights under Section 13 hereof, or (3) the arithmetic average of the per share closing sales prices of Common Shares as reported on NASDAQ for the 30 trading day period ending on the trading day immediately preceding the date of computation, times (B) the number of such Vested Shares which were not sold.</w:t>
      </w:r>
    </w:p>
    <w:p>
      <w:pPr>
        <w:spacing w:after="0" w:line="1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“Resignation” </w:t>
      </w:r>
      <w:r>
        <w:rPr>
          <w:rFonts w:ascii="Times New Roman" w:cs="Times New Roman" w:eastAsia="Times New Roman" w:hAnsi="Times New Roman"/>
          <w:sz w:val="18"/>
          <w:szCs w:val="18"/>
          <w:color w:val="auto"/>
        </w:rPr>
        <w:t>shall have the meaning given to such term in the Employment Agreement.</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means Section 409A of the Code and the guidance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77" w:name="page278"/>
    <w:bookmarkEnd w:id="277"/>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“Securities Act” </w:t>
      </w:r>
      <w:r>
        <w:rPr>
          <w:rFonts w:ascii="Times New Roman" w:cs="Times New Roman" w:eastAsia="Times New Roman" w:hAnsi="Times New Roman"/>
          <w:sz w:val="18"/>
          <w:szCs w:val="18"/>
          <w:color w:val="auto"/>
        </w:rPr>
        <w:t>means the Securities Act of 1933, as amended.</w:t>
      </w:r>
    </w:p>
    <w:p>
      <w:pPr>
        <w:spacing w:after="0" w:line="225" w:lineRule="exact"/>
        <w:rPr>
          <w:sz w:val="20"/>
          <w:szCs w:val="20"/>
          <w:color w:val="auto"/>
        </w:rPr>
      </w:pPr>
    </w:p>
    <w:p>
      <w:pPr>
        <w:ind w:right="80" w:firstLine="133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“Vested Shares” </w:t>
      </w:r>
      <w:r>
        <w:rPr>
          <w:rFonts w:ascii="Times New Roman" w:cs="Times New Roman" w:eastAsia="Times New Roman" w:hAnsi="Times New Roman"/>
          <w:sz w:val="18"/>
          <w:szCs w:val="18"/>
          <w:color w:val="auto"/>
        </w:rPr>
        <w:t>means the Common Shares to which the holder of the Performance Share Units becomes entitled upon vesting thereof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Section 2 or 3 hereof.</w:t>
      </w:r>
    </w:p>
    <w:p>
      <w:pPr>
        <w:spacing w:after="0" w:line="155" w:lineRule="exact"/>
        <w:rPr>
          <w:sz w:val="20"/>
          <w:szCs w:val="20"/>
          <w:color w:val="auto"/>
        </w:rPr>
      </w:pPr>
    </w:p>
    <w:p>
      <w:pPr>
        <w:ind w:right="20"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“Withholding Taxes” </w:t>
      </w:r>
      <w:r>
        <w:rPr>
          <w:rFonts w:ascii="Times New Roman" w:cs="Times New Roman" w:eastAsia="Times New Roman" w:hAnsi="Times New Roman"/>
          <w:sz w:val="18"/>
          <w:szCs w:val="18"/>
          <w:color w:val="auto"/>
        </w:rPr>
        <w:t>means any taxes, including, but not limited to, income tax, social insurance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U.S. social security and Medicare),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payroll tax, state and local income taxes, fringe benefits tax, and payment on account, required or permitted under any applicable law to be withheld from amounts otherwise payable to Grantee.</w:t>
      </w:r>
    </w:p>
    <w:p>
      <w:pPr>
        <w:spacing w:after="0" w:line="175" w:lineRule="exact"/>
        <w:rPr>
          <w:sz w:val="20"/>
          <w:szCs w:val="20"/>
          <w:color w:val="auto"/>
        </w:rPr>
      </w:pPr>
    </w:p>
    <w:p>
      <w:pPr>
        <w:ind w:left="1960" w:hanging="655"/>
        <w:spacing w:after="0"/>
        <w:tabs>
          <w:tab w:leader="none" w:pos="196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capitalized term used but not otherwise defined herein shall have the meaning ascribed to such term in the Plan.</w:t>
      </w:r>
    </w:p>
    <w:p>
      <w:pPr>
        <w:spacing w:after="0" w:line="221" w:lineRule="exact"/>
        <w:rPr>
          <w:rFonts w:ascii="Times New Roman" w:cs="Times New Roman" w:eastAsia="Times New Roman" w:hAnsi="Times New Roman"/>
          <w:sz w:val="18"/>
          <w:szCs w:val="18"/>
          <w:color w:val="auto"/>
        </w:rPr>
      </w:pPr>
    </w:p>
    <w:p>
      <w:pPr>
        <w:ind w:right="320" w:firstLine="656"/>
        <w:spacing w:after="0" w:line="262" w:lineRule="auto"/>
        <w:tabs>
          <w:tab w:leader="none" w:pos="1296"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xml:space="preserve">. Except as otherwise set forth in these Award Terms </w:t>
      </w:r>
      <w:r>
        <w:rPr>
          <w:rFonts w:ascii="Times New Roman" w:cs="Times New Roman" w:eastAsia="Times New Roman" w:hAnsi="Times New Roman"/>
          <w:sz w:val="18"/>
          <w:szCs w:val="18"/>
          <w:b w:val="1"/>
          <w:bCs w:val="1"/>
          <w:color w:val="auto"/>
        </w:rPr>
        <w:t>[or Section 12 of the Employment Agreement (“Shareholder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Creation Incentive”)]</w:t>
      </w:r>
      <w:r>
        <w:rPr>
          <w:rFonts w:ascii="Times New Roman" w:cs="Times New Roman" w:eastAsia="Times New Roman" w:hAnsi="Times New Roman"/>
          <w:sz w:val="18"/>
          <w:szCs w:val="18"/>
          <w:color w:val="auto"/>
        </w:rPr>
        <w:t>, the Performance Share Units shall vest in accordance with the “Schedule for Vesting” set forth on the Grant Notice.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Share Unit, upon vesting thereof, shall entitle the holder thereof to receive one Common Share (subject to adjustment pursuant to Section 10 hereof).</w:t>
      </w:r>
    </w:p>
    <w:p>
      <w:pPr>
        <w:spacing w:after="0" w:line="18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305"/>
        <w:spacing w:after="0" w:line="266" w:lineRule="auto"/>
        <w:tabs>
          <w:tab w:leader="none" w:pos="1942"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In the event that Grantee’s employment is terminated by any entity in the Company Group for Cause, as of the date of such termination of employment all Performance Share Units shall cease to vest and any outstanding Performance Share Units and Vested Shares that have yet to settle pursuant to Section 8 hereof shall immediately be forfeited to the Company without payment of consideration by the Company.</w:t>
      </w:r>
    </w:p>
    <w:p>
      <w:pPr>
        <w:spacing w:after="0" w:line="176" w:lineRule="exact"/>
        <w:rPr>
          <w:rFonts w:ascii="Times New Roman" w:cs="Times New Roman" w:eastAsia="Times New Roman" w:hAnsi="Times New Roman"/>
          <w:sz w:val="18"/>
          <w:szCs w:val="18"/>
          <w:color w:val="auto"/>
        </w:rPr>
      </w:pPr>
    </w:p>
    <w:p>
      <w:pPr>
        <w:ind w:right="220" w:firstLine="1305"/>
        <w:spacing w:after="0" w:line="289" w:lineRule="auto"/>
        <w:tabs>
          <w:tab w:leader="none" w:pos="1952" w:val="left"/>
        </w:tabs>
        <w:numPr>
          <w:ilvl w:val="1"/>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Resignation</w:t>
      </w:r>
      <w:r>
        <w:rPr>
          <w:rFonts w:ascii="Times New Roman" w:cs="Times New Roman" w:eastAsia="Times New Roman" w:hAnsi="Times New Roman"/>
          <w:sz w:val="17"/>
          <w:szCs w:val="17"/>
          <w:color w:val="auto"/>
        </w:rPr>
        <w:t>. Unless the Committee determines otherwise, in the event that Grantee’s employment is terminated upon his Resignation, as of the date of such termination of employment all Performance Share Units shall cease to vest and, with the exception of any Vested Shares that have yet to settle pursuant to Section 8 hereof, shall immediately be forfeited to the Company without payment of consideration by the Company.</w:t>
      </w:r>
    </w:p>
    <w:p>
      <w:pPr>
        <w:spacing w:after="0" w:line="158" w:lineRule="exact"/>
        <w:rPr>
          <w:rFonts w:ascii="Times New Roman" w:cs="Times New Roman" w:eastAsia="Times New Roman" w:hAnsi="Times New Roman"/>
          <w:sz w:val="17"/>
          <w:szCs w:val="17"/>
          <w:color w:val="auto"/>
        </w:rPr>
      </w:pPr>
    </w:p>
    <w:p>
      <w:pPr>
        <w:ind w:right="20" w:firstLine="1305"/>
        <w:spacing w:after="0" w:line="282" w:lineRule="auto"/>
        <w:tabs>
          <w:tab w:leader="none" w:pos="1955"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In the event that Grantee’s employment is terminated for any reason, the terms of the Employment Agreement shall govern the impact on the Performance Share Units.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5"/>
        <w:spacing w:after="0" w:line="258" w:lineRule="auto"/>
        <w:tabs>
          <w:tab w:leader="none" w:pos="1942"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Regardless of any action the Company or the Employer takes with respect to any Withholding Taxes related to Grantee’s participation in the Plan and legally applicable to Grantee, Grantee acknowledges that the ultimate liability for all Withholding Taxes is and remains Grantee’s responsibility and may exceed the amount, if any, actually withheld by the Company or the Employer. Grantee further acknowledges that the Company and/or the Employer (A) make no representations or undertakings regarding the treatment of any Withholding Taxes in connection with any aspect of the Performance Share Units, including, without limitation, the grant, vesting or payment of the Award, the subsequent sale of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278" w:name="page279"/>
    <w:bookmarkEnd w:id="278"/>
    <w:p>
      <w:pPr>
        <w:ind w:right="20"/>
        <w:spacing w:after="0" w:line="258" w:lineRule="auto"/>
        <w:rPr>
          <w:sz w:val="20"/>
          <w:szCs w:val="20"/>
          <w:color w:val="auto"/>
        </w:rPr>
      </w:pPr>
      <w:r>
        <w:rPr>
          <w:rFonts w:ascii="Times New Roman" w:cs="Times New Roman" w:eastAsia="Times New Roman" w:hAnsi="Times New Roman"/>
          <w:sz w:val="18"/>
          <w:szCs w:val="18"/>
          <w:color w:val="auto"/>
        </w:rPr>
        <w:t>Shares acquired, and the receipt of any dividends; and (B) do not commit to and are under no obligation to structure the terms of the grant or any aspect of the Performance Share Units to reduce or eliminate Grantee’s liability for Withholding Taxes or achieve any particular tax result. Further, if Grantee is subject to tax in more than one jurisdiction, Grantee acknowledges that the Company and/or the Employer (or former employer, as applicable) may be required to withhold or account for Withholding Taxes in more than one jurisdiction. The Company shall have no obligation to deliver any Vested Shares unless and until all Withholding Taxes contemplated by this Section 4 have been satisfied.</w:t>
      </w:r>
    </w:p>
    <w:p>
      <w:pPr>
        <w:spacing w:after="0" w:line="184" w:lineRule="exact"/>
        <w:rPr>
          <w:sz w:val="20"/>
          <w:szCs w:val="20"/>
          <w:color w:val="auto"/>
        </w:rPr>
      </w:pPr>
    </w:p>
    <w:p>
      <w:pPr>
        <w:ind w:firstLine="1305"/>
        <w:spacing w:after="0" w:line="254" w:lineRule="auto"/>
        <w:tabs>
          <w:tab w:leader="none" w:pos="1952"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determine the method or methods Grantee may use to satisfy any Withholding Taxes resulting from the vesting of any Performance Share Units, the issuance or transfer of any Vested Shares or otherwise in connection with the Award at the time such Withholding Taxes become due, which may include any of the following: (i) by delivery to the Company of a bank check or certified check or wire transfer of immediately available funds; (ii) through the delivery of irrevocable written instructions, in a form acceptable to the Company, that the Company withhold Vested Shares otherwise then deliverable having a value equal to the aggregate amount of the Withholding Taxes (valued in the same manner used in computing the amount of such Withholding Taxes); (iii) arranging for the sale, on Grantee’s behalf, of Vested Shares otherwise then deliverable to Grantee (valued in the same manner used in computing the amount of such Withholding Taxes); or (iv) by any combination of (i), (ii) or (iii) above. Further, any entity in the Company Group shall have the right to require Grantee to satisfy any Withholding Taxes contemplated by this Section 4 by any of the aforementioned methods or by withholding from Grantee’s wages or other cash compensation.</w:t>
      </w:r>
    </w:p>
    <w:p>
      <w:pPr>
        <w:spacing w:after="0" w:line="189" w:lineRule="exact"/>
        <w:rPr>
          <w:rFonts w:ascii="Times New Roman" w:cs="Times New Roman" w:eastAsia="Times New Roman" w:hAnsi="Times New Roman"/>
          <w:sz w:val="18"/>
          <w:szCs w:val="18"/>
          <w:color w:val="auto"/>
        </w:rPr>
      </w:pPr>
    </w:p>
    <w:p>
      <w:pPr>
        <w:ind w:right="20" w:firstLine="1305"/>
        <w:spacing w:after="0" w:line="255" w:lineRule="auto"/>
        <w:tabs>
          <w:tab w:leader="none" w:pos="1955"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may withhold or account for Withholding Taxes contemplated by this Section 4 by reference to applicable withholding rates, including minimum or maximum applicable statutory rates in Grantee’s jurisdiction(s) of employment and/or residency, and if the Company Group withholds more than the amount necessary to satisfy the liability, Grantee may receive a refund of any over-withheld amount in cash and will have no entitlement to the equivalent Shares. If the obligation for Withholding Taxes is satisfied by withholding in Shares, for tax purposes, Grantee will be deemed to have been issued the full number of Vested Shares underlying the Performance Share Units, notwithstanding that a number of the Shares is held back solely for the purpose of paying the Withholding Taxes. No fractional Shares will be withheld or issued pursuant to the settlement of the Performance Share Units and the Withholding Taxes thereunder.</w:t>
      </w:r>
    </w:p>
    <w:p>
      <w:pPr>
        <w:spacing w:after="0" w:line="18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Deemed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By accepting the Award, Grantee is deemed to be bound by the terms and conditions set forth in the Plan, the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Grant Notice and these Award Terms.</w:t>
      </w:r>
    </w:p>
    <w:p>
      <w:pPr>
        <w:spacing w:after="0" w:line="206" w:lineRule="exact"/>
        <w:rPr>
          <w:rFonts w:ascii="Times New Roman" w:cs="Times New Roman" w:eastAsia="Times New Roman" w:hAnsi="Times New Roman"/>
          <w:sz w:val="18"/>
          <w:szCs w:val="18"/>
          <w:color w:val="auto"/>
        </w:rPr>
      </w:pPr>
    </w:p>
    <w:p>
      <w:pPr>
        <w:ind w:right="180" w:firstLine="656"/>
        <w:spacing w:after="0" w:line="282" w:lineRule="auto"/>
        <w:tabs>
          <w:tab w:leader="none" w:pos="1296"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The Company shall at all times reserve for issuance or delivery upon vesting of the Performance Share Units such number of Common Shares as shall be required for issuance or delivery upon vesting thereof.</w:t>
      </w:r>
    </w:p>
    <w:p>
      <w:pPr>
        <w:spacing w:after="0" w:line="161" w:lineRule="exact"/>
        <w:rPr>
          <w:rFonts w:ascii="Times New Roman" w:cs="Times New Roman" w:eastAsia="Times New Roman" w:hAnsi="Times New Roman"/>
          <w:sz w:val="18"/>
          <w:szCs w:val="18"/>
          <w:color w:val="auto"/>
        </w:rPr>
      </w:pPr>
    </w:p>
    <w:p>
      <w:pPr>
        <w:ind w:right="380" w:firstLine="656"/>
        <w:spacing w:after="0" w:line="282" w:lineRule="auto"/>
        <w:tabs>
          <w:tab w:leader="none" w:pos="1296"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The holder of the Performance Share Units shall not be entitled to receive any payment, payment-in-kind or any equivalent with regard to any cash or other dividends that are declared and paid on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79" w:name="page280"/>
    <w:bookmarkEnd w:id="279"/>
    <w:p>
      <w:pPr>
        <w:ind w:left="-656" w:right="140" w:firstLine="656"/>
        <w:spacing w:after="0" w:line="256" w:lineRule="auto"/>
        <w:tabs>
          <w:tab w:leader="none" w:pos="6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Receipt and Delivery</w:t>
      </w:r>
      <w:r>
        <w:rPr>
          <w:rFonts w:ascii="Times New Roman" w:cs="Times New Roman" w:eastAsia="Times New Roman" w:hAnsi="Times New Roman"/>
          <w:sz w:val="18"/>
          <w:szCs w:val="18"/>
          <w:color w:val="auto"/>
        </w:rPr>
        <w:t xml:space="preserve">. As soon as administratively practicable (and, in any event, within 30 days) after any Performance Share Units vest, the Company shall (a) effect the issuance or transfer of the resulting Vested Shares, (b) cause the issuance or transfer of such Vested Shares to be evidenced on the books and records of the Company, and (c) cause such Vested Shares to be delivered to a Company-Sponsored Equity Account in the name of the person entitled to such Vested Shares (or, with the Company’s consent, such other brokerage account as may be requested by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such Vested Shares are subject to a legend as set forth in Section 16 hereof, the Company shall instead cause a certificate evidencing such Vested Shares and bearing such legend to be delivered to the person entitled thereto.</w:t>
      </w:r>
    </w:p>
    <w:p>
      <w:pPr>
        <w:spacing w:after="0" w:line="187" w:lineRule="exact"/>
        <w:rPr>
          <w:rFonts w:ascii="Times New Roman" w:cs="Times New Roman" w:eastAsia="Times New Roman" w:hAnsi="Times New Roman"/>
          <w:sz w:val="18"/>
          <w:szCs w:val="18"/>
          <w:color w:val="auto"/>
        </w:rPr>
      </w:pPr>
    </w:p>
    <w:p>
      <w:pPr>
        <w:ind w:left="-656" w:firstLine="656"/>
        <w:spacing w:after="0" w:line="253" w:lineRule="auto"/>
        <w:tabs>
          <w:tab w:leader="none" w:pos="6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 Discretion</w:t>
      </w:r>
      <w:r>
        <w:rPr>
          <w:rFonts w:ascii="Times New Roman" w:cs="Times New Roman" w:eastAsia="Times New Roman" w:hAnsi="Times New Roman"/>
          <w:sz w:val="18"/>
          <w:szCs w:val="18"/>
          <w:color w:val="auto"/>
        </w:rPr>
        <w:t>. Except as may otherwise be provided in the Plan, the Committee shall have sole discretion to (a) interpret any provision of the Plan, the Grant Notice and these Award Terms, (b) make any determinations necessary or advisable for the administration of the Plan and the Award, and (c) waive any conditions or rights of the Company under the Award, the Grant Notice or these Award Terms. Without intending to limit the generality or effect of the foregoing, any decision or determination to be made by the Committee pursuant to these Award Terms, including whether to grant or withhold any consent, shall be made by the Committee in its sole and absolute discretion, subject only to the terms of the Plan. Subject to the terms of the Plan, the Committee may amend the terms of the Award prospectively or retroactively; however, no such amendment may materially and adversely affect the rights of Grantee taken as a whole without Grantee’s consent. Without intending to limit the generality or effect of the foregoing, the Committee may amend the terms of the Award (i) in recognition of unusual or nonrecurring events (including, without limitation, events described in Section 10 hereof) affecting any entity in the Company Group or any of the Company’s other affiliates or the financial statements of any entity in the Company Group or any of the Company’s other affiliates, (ii) in response to changes in applicable laws, regulations or accounting principles and interpretations thereof, or (iii) to prevent the Award from becoming subject to any adverse consequences under Section 409A.</w:t>
      </w:r>
    </w:p>
    <w:p>
      <w:pPr>
        <w:spacing w:after="0" w:line="192" w:lineRule="exact"/>
        <w:rPr>
          <w:rFonts w:ascii="Times New Roman" w:cs="Times New Roman" w:eastAsia="Times New Roman" w:hAnsi="Times New Roman"/>
          <w:sz w:val="18"/>
          <w:szCs w:val="18"/>
          <w:color w:val="auto"/>
        </w:rPr>
      </w:pPr>
    </w:p>
    <w:p>
      <w:pPr>
        <w:ind w:left="-656" w:right="80" w:firstLine="656"/>
        <w:spacing w:after="0" w:line="255" w:lineRule="auto"/>
        <w:tabs>
          <w:tab w:leader="none" w:pos="636"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Notwithstanding anything to the contrary contained herein, pursuant to Section 12 of the Plan, the Committee will make or provide for such adjustments to the Award as are equitably required to prevent dilution or enlargement of the rights of Grantee that otherwise would result from (a) any stock dividend, extraordinary dividend, stock split, combination of shares, recapitalization or other change in the capital structure of the Company, (b) any change of control, merger, consolidation, spin-off, split-off,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 alternative consideration (including, without limitation, cash), if any, as it may determine to be equitable in the circumstances and may require in connection therewith the surrender of the Award.</w:t>
      </w:r>
    </w:p>
    <w:p>
      <w:pPr>
        <w:spacing w:after="0" w:line="185" w:lineRule="exact"/>
        <w:rPr>
          <w:rFonts w:ascii="Times New Roman" w:cs="Times New Roman" w:eastAsia="Times New Roman" w:hAnsi="Times New Roman"/>
          <w:sz w:val="18"/>
          <w:szCs w:val="18"/>
          <w:color w:val="auto"/>
        </w:rPr>
      </w:pPr>
    </w:p>
    <w:p>
      <w:pPr>
        <w:ind w:left="-656" w:firstLine="656"/>
        <w:spacing w:after="0" w:line="266" w:lineRule="auto"/>
        <w:tabs>
          <w:tab w:leader="none" w:pos="629"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and Listing</w:t>
      </w:r>
      <w:r>
        <w:rPr>
          <w:rFonts w:ascii="Times New Roman" w:cs="Times New Roman" w:eastAsia="Times New Roman" w:hAnsi="Times New Roman"/>
          <w:sz w:val="18"/>
          <w:szCs w:val="18"/>
          <w:color w:val="auto"/>
        </w:rPr>
        <w:t>. Notwithstanding anything to the contrary contained herein, the Company shall not be obligated to issue or transfer any Performance Share Units or Vested Shares, and no Performance Share Units or Vested Shares may be sold, assigned, transferred, pledged, hypothecated or otherwise disposed of or encumbered in any way, unless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189865</wp:posOffset>
            </wp:positionV>
            <wp:extent cx="72675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38" w:right="259" w:bottom="1440" w:gutter="0" w:footer="0" w:header="0"/>
        </w:sectPr>
      </w:pPr>
    </w:p>
    <w:bookmarkStart w:id="280" w:name="page281"/>
    <w:bookmarkEnd w:id="280"/>
    <w:p>
      <w:pPr>
        <w:ind w:right="20"/>
        <w:spacing w:after="0" w:line="255" w:lineRule="auto"/>
        <w:rPr>
          <w:sz w:val="20"/>
          <w:szCs w:val="20"/>
          <w:color w:val="auto"/>
        </w:rPr>
      </w:pPr>
      <w:r>
        <w:rPr>
          <w:rFonts w:ascii="Times New Roman" w:cs="Times New Roman" w:eastAsia="Times New Roman" w:hAnsi="Times New Roman"/>
          <w:sz w:val="18"/>
          <w:szCs w:val="18"/>
          <w:color w:val="auto"/>
        </w:rPr>
        <w:t>such transaction is in compliance with all Exercise Rules and Regulations. The Company is under no obligation to register, qualify or list, or maintain the registration, qualification or listing of, Performance Share Units or Vested Shares with the SEC, any state securities commission or any securities exchange, securities association, market system or quotation system to effect such compliance. Grantee shall make such representations and furnish such information as may be appropriate to permit the Company, in light of the then existence or non-existence of an effective registration statement under the Securities Act relating to Performance Share Units or Vested Shares, to issue or transfer Performance Share Units or Vested Shares in compliance with the provisions of that or any comparable federal securities law and all applicable state securities laws. The Company shall have the right, but not the obligation, to register the issuance or transfer of Performance Share Units or Vested Shares or resale of Performance Share Units or Vested Shares under the Securities Act or any comparable federal securities law or applicable state securities law.</w:t>
      </w:r>
    </w:p>
    <w:p>
      <w:pPr>
        <w:spacing w:after="0" w:line="185" w:lineRule="exact"/>
        <w:rPr>
          <w:sz w:val="20"/>
          <w:szCs w:val="20"/>
          <w:color w:val="auto"/>
        </w:rPr>
      </w:pPr>
    </w:p>
    <w:p>
      <w:pPr>
        <w:ind w:right="40" w:firstLine="656"/>
        <w:spacing w:after="0" w:line="256" w:lineRule="auto"/>
        <w:tabs>
          <w:tab w:leader="none" w:pos="1292"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xml:space="preserve">. Subject to the terms of the Plan and only with the Company’s consent, Grantee may transfer Performance Share Units for estate planning purposes or pursuant to a domestic relations order;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transferee shall be bound by all of the terms and conditions of the Plan, the Grant Notice and these Award Terms and shall execute an agreement in form and substance satisfactory to the Company in connection with such transfer;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Grantee will remain bound by the terms and conditions of the Plan, the Grant Notice and these Award Terms. Except as otherwise permitted under the Plan or this Section 12, the Performance Share Units shall not be transferable by Grantee other than by will or the laws of descent and distribution.</w:t>
      </w:r>
    </w:p>
    <w:p>
      <w:pPr>
        <w:spacing w:after="0" w:line="187" w:lineRule="exact"/>
        <w:rPr>
          <w:rFonts w:ascii="Times New Roman" w:cs="Times New Roman" w:eastAsia="Times New Roman" w:hAnsi="Times New Roman"/>
          <w:sz w:val="18"/>
          <w:szCs w:val="18"/>
          <w:color w:val="auto"/>
        </w:rPr>
      </w:pPr>
    </w:p>
    <w:p>
      <w:pPr>
        <w:ind w:right="80" w:firstLine="656"/>
        <w:spacing w:after="0" w:line="255" w:lineRule="auto"/>
        <w:tabs>
          <w:tab w:leader="none" w:pos="1292"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Violation</w:t>
      </w:r>
      <w:r>
        <w:rPr>
          <w:rFonts w:ascii="Times New Roman" w:cs="Times New Roman" w:eastAsia="Times New Roman" w:hAnsi="Times New Roman"/>
          <w:sz w:val="18"/>
          <w:szCs w:val="18"/>
          <w:color w:val="auto"/>
        </w:rPr>
        <w:t xml:space="preserve">. In the event of an Employment Violation, the Company shall have the right to require (a) the forfeiture by Grantee to the Company of any outstanding Performance Share Units or Vested Shares which have yet to settle pursuant to Section 8 hereof and (b) payment by Grantee to the Company of the Recapture Amount with respect to such Employment Violation;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lieu of payment by Grantee to the Company of the Recapture Amount, Grantee, in his or her discretion, may tender to the Company the Vested Shares acquired during the Look-back Period with respect to such Employment Violation (without any consideration from the Company in exchange therefor). Any such forfeiture of Performance Share Units and payment of the Recapture Amount, as the case may be, shall be in addition to, and not in lieu of, any other right or remedy available to the Company arising out of or in connection with such Employment Violation, including, without limitation, the right to terminate Grantee’s employment if not already terminated and to seek injunctive relief and additional monetary damages.</w:t>
      </w:r>
    </w:p>
    <w:p>
      <w:pPr>
        <w:spacing w:after="0" w:line="18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Applicable Laws and Regulations and Company Policies and Procedures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1942"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is responsible for complying with (i) any federal, state and local taxation laws applicable to Grantee in connection with the Award and (ii) all Exercise Rules and Regulations.</w:t>
      </w:r>
    </w:p>
    <w:p>
      <w:pPr>
        <w:spacing w:after="0" w:line="161" w:lineRule="exact"/>
        <w:rPr>
          <w:rFonts w:ascii="Times New Roman" w:cs="Times New Roman" w:eastAsia="Times New Roman" w:hAnsi="Times New Roman"/>
          <w:sz w:val="18"/>
          <w:szCs w:val="18"/>
          <w:color w:val="auto"/>
        </w:rPr>
      </w:pPr>
    </w:p>
    <w:p>
      <w:pPr>
        <w:ind w:right="120" w:firstLine="1305"/>
        <w:spacing w:after="0" w:line="282" w:lineRule="auto"/>
        <w:tabs>
          <w:tab w:leader="none" w:pos="1952"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is subject to the terms and conditions of any policy requiring or permitting the Company to recover any gains realized by Grantee in connection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color w:val="auto"/>
        </w:rPr>
        <w:t>Award, including, without limitation, the Policy on Recoupment of Performance-Based Compensation Related to Certain Financial Restatements.</w:t>
      </w:r>
    </w:p>
    <w:p>
      <w:pPr>
        <w:spacing w:after="0" w:line="221" w:lineRule="exact"/>
        <w:rPr>
          <w:sz w:val="20"/>
          <w:szCs w:val="20"/>
          <w:color w:val="auto"/>
        </w:rPr>
      </w:pPr>
    </w:p>
    <w:p>
      <w:pPr>
        <w:ind w:right="600" w:firstLine="1305"/>
        <w:spacing w:after="0" w:line="286" w:lineRule="auto"/>
        <w:tabs>
          <w:tab w:leader="none" w:pos="1955" w:val="left"/>
        </w:tabs>
        <w:numPr>
          <w:ilvl w:val="2"/>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Award is subject to the terms and conditions of the Executive Stock Ownership Guidelines and the limitations contained therein on the ability of Grantee to transfer any Vested Shares.]</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1305"/>
        <w:spacing w:after="0" w:line="252" w:lineRule="auto"/>
        <w:tabs>
          <w:tab w:leader="none" w:pos="1942"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contemplated with respect to the Award are intended to comply with Section 409A, and all provisions of the Plan, the Grant Notice and these Award Terms shall be construed and interpreted in a manner consistent with the requirements for avoiding taxes or penalties under Section 409A. Notwithstanding the foregoing, (i) nothing in the Plan, the Grant Notice and these Award Terms shall guarantee that the Award is not subject to taxes or penalties under Section 409A and (ii) if any provision of the Plan, the Grant Notice or these Award Terms would, in the reasonable, good faith judgment of the Company, result or likely result in the imposition on Grantee or any other person of taxes, interest or penalties under Section 409A, the Committee may, in its sole discretion, modify the terms of the Plan, the Grant Notice or these Award Terms, without the consent of Grantee, in the manner that the Committee may reasonably and in good faith determine to be necessary or advisable to avoid the imposition of such taxes, interest or penalties;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Section 15 does not create an obligation on the part of the Committee or the Company to make any such modification, and in no event shall the Company be liable for the payment of or gross up in connection with any taxes, interest or penalties owed by Grantee pursuant to</w:t>
      </w:r>
    </w:p>
    <w:p>
      <w:pPr>
        <w:spacing w:after="0" w:line="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w:t>
      </w:r>
    </w:p>
    <w:p>
      <w:pPr>
        <w:spacing w:after="0" w:line="206" w:lineRule="exact"/>
        <w:rPr>
          <w:rFonts w:ascii="Times New Roman" w:cs="Times New Roman" w:eastAsia="Times New Roman" w:hAnsi="Times New Roman"/>
          <w:sz w:val="18"/>
          <w:szCs w:val="18"/>
          <w:color w:val="auto"/>
        </w:rPr>
      </w:pPr>
    </w:p>
    <w:p>
      <w:pPr>
        <w:ind w:right="120" w:firstLine="1305"/>
        <w:spacing w:after="0" w:line="261" w:lineRule="auto"/>
        <w:tabs>
          <w:tab w:leader="none" w:pos="1952"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Grantee nor any of Grantee’s creditors or beneficiaries shall have the right to subject any deferred compensation (within the meaning of Section 409A) payable with respect to the Award to any anticipation, alienation, sale, transfer, assignment, pledge, encumbrance, attachment or garnishment. Except as permitted under Section 409A, any deferred compensation (within the meaning of Section 409A) payable to Grantee or for Grantee’s benefit with respect to the Award may not be reduced by, or offset against, any amount owing by Grantee to the Company.</w:t>
      </w:r>
    </w:p>
    <w:p>
      <w:pPr>
        <w:spacing w:after="0" w:line="180" w:lineRule="exact"/>
        <w:rPr>
          <w:rFonts w:ascii="Times New Roman" w:cs="Times New Roman" w:eastAsia="Times New Roman" w:hAnsi="Times New Roman"/>
          <w:sz w:val="18"/>
          <w:szCs w:val="18"/>
          <w:color w:val="auto"/>
        </w:rPr>
      </w:pPr>
    </w:p>
    <w:p>
      <w:pPr>
        <w:ind w:firstLine="1305"/>
        <w:spacing w:after="0" w:line="254" w:lineRule="auto"/>
        <w:tabs>
          <w:tab w:leader="none" w:pos="1955"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if (i) the Committee determines in good faith that the Performance Share Units do not qualify for the “short-term deferral exception” under Section 409A, (ii) Grantee is a “specified employee” (as defined in Section 409A) and (iii) a delay in the issuance or transfer of Vested Shares to Grantee or his or her estate or beneficiaries hereunder by reason of Grantee’s “separation from service” (as defined in Section 409A) with any entity in the Company Group is required to avoid tax penalties under Section 409A but is not already provided for by this Award, the Company shall cause the issuance or transfer of such Vested Shares to Grantee or Grantee’s estate or beneficiary upon the earlier of</w:t>
      </w:r>
    </w:p>
    <w:p>
      <w:pPr>
        <w:spacing w:after="0" w:line="3"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the first business day following the date that is six months after the date of Grantee’s separation from service and (B) Grantee’s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82" w:name="page283"/>
    <w:bookmarkEnd w:id="282"/>
    <w:p>
      <w:pPr>
        <w:ind w:left="-656" w:right="160" w:firstLine="656"/>
        <w:spacing w:after="0" w:line="282" w:lineRule="auto"/>
        <w:tabs>
          <w:tab w:leader="none" w:pos="63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The Company may, if determined by it based on the advice of counsel to be appropriate, cause any certificate evidencing Vested Shares to bear a legend substantially as follows:</w:t>
      </w:r>
    </w:p>
    <w:p>
      <w:pPr>
        <w:spacing w:after="0" w:line="162" w:lineRule="exact"/>
        <w:rPr>
          <w:sz w:val="20"/>
          <w:szCs w:val="20"/>
          <w:color w:val="auto"/>
        </w:rPr>
      </w:pPr>
    </w:p>
    <w:p>
      <w:pPr>
        <w:ind w:left="644" w:right="380"/>
        <w:spacing w:after="0" w:line="266" w:lineRule="auto"/>
        <w:rPr>
          <w:sz w:val="20"/>
          <w:szCs w:val="20"/>
          <w:color w:val="auto"/>
        </w:rPr>
      </w:pPr>
      <w:r>
        <w:rPr>
          <w:rFonts w:ascii="Times New Roman" w:cs="Times New Roman" w:eastAsia="Times New Roman" w:hAnsi="Times New Roman"/>
          <w:sz w:val="18"/>
          <w:szCs w:val="18"/>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pacing w:after="0" w:line="176" w:lineRule="exact"/>
        <w:rPr>
          <w:sz w:val="20"/>
          <w:szCs w:val="20"/>
          <w:color w:val="auto"/>
        </w:rPr>
      </w:pPr>
    </w:p>
    <w:p>
      <w:pPr>
        <w:ind w:left="-656" w:firstLine="656"/>
        <w:spacing w:after="0" w:line="266" w:lineRule="auto"/>
        <w:tabs>
          <w:tab w:leader="none" w:pos="63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Employment</w:t>
      </w:r>
      <w:r>
        <w:rPr>
          <w:rFonts w:ascii="Times New Roman" w:cs="Times New Roman" w:eastAsia="Times New Roman" w:hAnsi="Times New Roman"/>
          <w:sz w:val="18"/>
          <w:szCs w:val="18"/>
          <w:color w:val="auto"/>
        </w:rPr>
        <w:t>. Nothing contained in the Grant Notice or these Award Terms shall be construed to confer upon Grantee any right to be continued in the employ of any entity in the Company Group or derogate from any right of any entity in the Company Group to retire, request the resignation of, or discharge Grantee at any time, with or without Cause.</w:t>
      </w:r>
    </w:p>
    <w:p>
      <w:pPr>
        <w:spacing w:after="0" w:line="176" w:lineRule="exact"/>
        <w:rPr>
          <w:rFonts w:ascii="Times New Roman" w:cs="Times New Roman" w:eastAsia="Times New Roman" w:hAnsi="Times New Roman"/>
          <w:sz w:val="18"/>
          <w:szCs w:val="18"/>
          <w:color w:val="auto"/>
        </w:rPr>
      </w:pPr>
    </w:p>
    <w:p>
      <w:pPr>
        <w:jc w:val="both"/>
        <w:ind w:left="-656" w:right="60" w:firstLine="656"/>
        <w:spacing w:after="0" w:line="266" w:lineRule="auto"/>
        <w:tabs>
          <w:tab w:leader="none" w:pos="63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w:t>
      </w:r>
      <w:r>
        <w:rPr>
          <w:rFonts w:ascii="Times New Roman" w:cs="Times New Roman" w:eastAsia="Times New Roman" w:hAnsi="Times New Roman"/>
          <w:sz w:val="18"/>
          <w:szCs w:val="18"/>
          <w:color w:val="auto"/>
        </w:rPr>
        <w:t>. No holder of Performance Share Units shall, by virtue of the Grant Notice or these Award Terms, be entitled to any right of a stockholder of the Company, either at law or in equity, and the rights of any such holder are limited to those expressed, and are not enforceable against the Company except to the extent set forth in the Plan, the Grant Notice or these Award Terms.</w:t>
      </w:r>
    </w:p>
    <w:p>
      <w:pPr>
        <w:spacing w:after="0" w:line="176" w:lineRule="exact"/>
        <w:rPr>
          <w:rFonts w:ascii="Times New Roman" w:cs="Times New Roman" w:eastAsia="Times New Roman" w:hAnsi="Times New Roman"/>
          <w:sz w:val="18"/>
          <w:szCs w:val="18"/>
          <w:color w:val="auto"/>
        </w:rPr>
      </w:pPr>
    </w:p>
    <w:p>
      <w:pPr>
        <w:ind w:left="-656" w:right="220" w:firstLine="656"/>
        <w:spacing w:after="0" w:line="266" w:lineRule="auto"/>
        <w:tabs>
          <w:tab w:leader="none" w:pos="63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76"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Venue and Governing Law</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56" w:firstLine="1305"/>
        <w:spacing w:after="0" w:line="261" w:lineRule="auto"/>
        <w:tabs>
          <w:tab w:leader="none" w:pos="1286"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litigating any dispute that arises directly or indirectly from the relationship of the parties evidenced by the grant of the Performance Share Units or these Award Terms, the parties submit and consent to the exclusive jurisdiction of the State of California and agree that such litigation shall be conducted only in the courts of Los Angeles County, California or the federal courts of the United States for the Central District of California, and no other courts, regardless of where the grant of the Performance Share Units is made and/or to be performed.</w:t>
      </w:r>
    </w:p>
    <w:p>
      <w:pPr>
        <w:spacing w:after="0" w:line="180" w:lineRule="exact"/>
        <w:rPr>
          <w:rFonts w:ascii="Times New Roman" w:cs="Times New Roman" w:eastAsia="Times New Roman" w:hAnsi="Times New Roman"/>
          <w:sz w:val="18"/>
          <w:szCs w:val="18"/>
          <w:color w:val="auto"/>
        </w:rPr>
      </w:pPr>
    </w:p>
    <w:p>
      <w:pPr>
        <w:ind w:left="-656" w:right="240" w:firstLine="1305"/>
        <w:spacing w:after="0" w:line="313" w:lineRule="auto"/>
        <w:tabs>
          <w:tab w:leader="none" w:pos="1296" w:val="left"/>
        </w:tabs>
        <w:numPr>
          <w:ilvl w:val="1"/>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federal law does not otherwise control, the validity, interpretation, performance and enforcement of the Grant Notice and these Award Terms shall be governed by the laws of the State of Delaware, without giving effect to principles of conflicts of laws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165735</wp:posOffset>
            </wp:positionV>
            <wp:extent cx="72675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04"/>
          </w:cols>
          <w:pgMar w:left="896" w:top="338" w:right="299" w:bottom="1440" w:gutter="0" w:footer="0" w:header="0"/>
        </w:sectPr>
      </w:pPr>
    </w:p>
    <w:bookmarkStart w:id="283" w:name="page284"/>
    <w:bookmarkEnd w:id="283"/>
    <w:p>
      <w:pPr>
        <w:jc w:val="both"/>
        <w:ind w:left="-8" w:right="160" w:firstLine="656"/>
        <w:spacing w:after="0" w:line="266" w:lineRule="auto"/>
        <w:tabs>
          <w:tab w:leader="none" w:pos="1284"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provisions of the Grant Notice and these Award Terms shall be binding upon and inure to the benefit of the Company, its successors and assigns, and Grantee and, to the extent applicable, Grantee’s permitted assigns under Section 12 hereof and Grantee’s estate or beneficiaries as determined by will or the laws of descent and distribution.</w:t>
      </w:r>
    </w:p>
    <w:p>
      <w:pPr>
        <w:spacing w:after="0" w:line="176"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 w:right="20" w:firstLine="1305"/>
        <w:spacing w:after="0" w:line="261" w:lineRule="auto"/>
        <w:tabs>
          <w:tab w:leader="none" w:pos="1934" w:val="left"/>
        </w:tabs>
        <w:numPr>
          <w:ilvl w:val="2"/>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document which Grantee may be required or permitted to deliver to the Company pursuant to or in connection with the Grant Notice or these Award Terms shall be in writing, and may be delivered personally or by mail, postage prepaid, or overnight courier, addressed to the Company, at its office at 3100 Ocean Park Boulevard, Santa Monica, California 90405, Attn: Stock Plan Administration, or such other address as the Company by notice to Grantee may designate in writing from time to time. Notices shall be effective upon delivery.</w:t>
      </w:r>
    </w:p>
    <w:p>
      <w:pPr>
        <w:spacing w:after="0" w:line="180" w:lineRule="exact"/>
        <w:rPr>
          <w:rFonts w:ascii="Times New Roman" w:cs="Times New Roman" w:eastAsia="Times New Roman" w:hAnsi="Times New Roman"/>
          <w:sz w:val="18"/>
          <w:szCs w:val="18"/>
          <w:color w:val="auto"/>
        </w:rPr>
      </w:pPr>
    </w:p>
    <w:p>
      <w:pPr>
        <w:ind w:left="-8" w:firstLine="1305"/>
        <w:spacing w:after="0" w:line="255" w:lineRule="auto"/>
        <w:tabs>
          <w:tab w:leader="none" w:pos="1944" w:val="left"/>
        </w:tabs>
        <w:numPr>
          <w:ilvl w:val="2"/>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document which the Company may be required or permitted to deliver to Grantee pursuant to or in connection with the Grant Notice or these Award Terms shall be in writing, and may be delivered personally or by mail, postage prepaid, or overnight courier, addressed to Grantee at the address shown on any employment agreement or offer letter between Grantee and any entity in the Company Group in effect at the time, or such other address as Grantee by notice to the Company may designate in writing from time to time. The Company may also, in its sole discretion, deliver any such document to Grantee electronically via an e-mail to Grantee at his or her Company-provided email address or through a notice delivered to such e-mail address that such document is available on a website established and maintained on behalf of the Company or a third party designated by the Company, including, without limitation, the Equity Account Administrator. Notices shall be effective upon delivery.</w:t>
      </w:r>
    </w:p>
    <w:p>
      <w:pPr>
        <w:spacing w:after="0" w:line="189" w:lineRule="exact"/>
        <w:rPr>
          <w:rFonts w:ascii="Times New Roman" w:cs="Times New Roman" w:eastAsia="Times New Roman" w:hAnsi="Times New Roman"/>
          <w:sz w:val="18"/>
          <w:szCs w:val="18"/>
          <w:color w:val="auto"/>
        </w:rPr>
      </w:pPr>
    </w:p>
    <w:p>
      <w:pPr>
        <w:ind w:left="-8" w:firstLine="656"/>
        <w:spacing w:after="0" w:line="266" w:lineRule="auto"/>
        <w:tabs>
          <w:tab w:leader="none" w:pos="1284"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with Employment Agreement or Plan</w:t>
      </w:r>
      <w:r>
        <w:rPr>
          <w:rFonts w:ascii="Times New Roman" w:cs="Times New Roman" w:eastAsia="Times New Roman" w:hAnsi="Times New Roman"/>
          <w:sz w:val="18"/>
          <w:szCs w:val="18"/>
          <w:color w:val="auto"/>
        </w:rPr>
        <w:t xml:space="preserve">. In the event of any conflict between the terms of the Employment Agreement and the terms of the Grant Notice or these Award Terms and/or the terms of the Plan, the terms of the Employment Agreement </w:t>
      </w:r>
      <w:r>
        <w:rPr>
          <w:rFonts w:ascii="Times New Roman" w:cs="Times New Roman" w:eastAsia="Times New Roman" w:hAnsi="Times New Roman"/>
          <w:sz w:val="18"/>
          <w:szCs w:val="18"/>
          <w:b w:val="1"/>
          <w:bCs w:val="1"/>
          <w:color w:val="auto"/>
        </w:rPr>
        <w:t>[(with the exception of Section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(“Shareholder Value Creation Incentive”) thereof)], </w:t>
      </w:r>
      <w:r>
        <w:rPr>
          <w:rFonts w:ascii="Times New Roman" w:cs="Times New Roman" w:eastAsia="Times New Roman" w:hAnsi="Times New Roman"/>
          <w:sz w:val="18"/>
          <w:szCs w:val="18"/>
          <w:color w:val="auto"/>
        </w:rPr>
        <w:t>shall control.</w:t>
      </w:r>
    </w:p>
    <w:p>
      <w:pPr>
        <w:spacing w:after="0" w:line="176"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1284"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Imposition of Other Requirements</w:t>
      </w:r>
      <w:r>
        <w:rPr>
          <w:rFonts w:ascii="Times New Roman" w:cs="Times New Roman" w:eastAsia="Times New Roman" w:hAnsi="Times New Roman"/>
          <w:sz w:val="18"/>
          <w:szCs w:val="18"/>
          <w:color w:val="auto"/>
        </w:rPr>
        <w:t>. The Company reserves the right to impose other requirements on Grantee’s participation in the Plan, on the Performance Share Units and on any Common Shares acquired under the Plan, to the extent the Company determines it is necessary or advisable in order to facilitate the administration of the Plan, and to require Grantee to sign any additional agreements or undertakings that may be necessary to accomplish the foregoing.</w:t>
      </w:r>
    </w:p>
    <w:p>
      <w:pPr>
        <w:spacing w:after="0" w:line="180" w:lineRule="exact"/>
        <w:rPr>
          <w:rFonts w:ascii="Times New Roman" w:cs="Times New Roman" w:eastAsia="Times New Roman" w:hAnsi="Times New Roman"/>
          <w:sz w:val="18"/>
          <w:szCs w:val="18"/>
          <w:color w:val="auto"/>
        </w:rPr>
      </w:pPr>
    </w:p>
    <w:p>
      <w:pPr>
        <w:ind w:left="-8" w:right="60" w:firstLine="8"/>
        <w:spacing w:after="0" w:line="266" w:lineRule="auto"/>
        <w:tabs>
          <w:tab w:leader="none" w:pos="1284"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Grantee acknowledges that a waiver by the Company of a breach of any provision of these Award Terms shall not operate or be construed as a waiver of any other provision of these Award Terms, or of any subsequent breach by Grantee or any other grantee of an equity award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189865</wp:posOffset>
            </wp:positionV>
            <wp:extent cx="72675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52"/>
          </w:cols>
          <w:pgMar w:left="248" w:top="337" w:right="299" w:bottom="1440" w:gutter="0" w:footer="0" w:header="0"/>
        </w:sectPr>
      </w:pPr>
    </w:p>
    <w:bookmarkStart w:id="284" w:name="page285"/>
    <w:bookmarkEnd w:id="284"/>
    <w:p>
      <w:pPr>
        <w:jc w:val="right"/>
        <w:spacing w:after="0"/>
        <w:rPr>
          <w:sz w:val="20"/>
          <w:szCs w:val="20"/>
          <w:color w:val="auto"/>
        </w:rPr>
      </w:pPr>
      <w:r>
        <w:rPr>
          <w:rFonts w:ascii="Times New Roman" w:cs="Times New Roman" w:eastAsia="Times New Roman" w:hAnsi="Times New Roman"/>
          <w:sz w:val="18"/>
          <w:szCs w:val="18"/>
          <w:b w:val="1"/>
          <w:bCs w:val="1"/>
          <w:color w:val="auto"/>
        </w:rPr>
        <w:t>Exhibit 10.27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STOCK OPTION AWARD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have been awarded an option to purchase Common Shares of Activision Blizzard, Inc. (the “Company”), as follows:</w:t>
      </w:r>
    </w:p>
    <w:p>
      <w:pPr>
        <w:spacing w:after="0" w:line="221" w:lineRule="exact"/>
        <w:rPr>
          <w:sz w:val="20"/>
          <w:szCs w:val="20"/>
          <w:color w:val="auto"/>
        </w:rPr>
      </w:pPr>
    </w:p>
    <w:p>
      <w:pPr>
        <w:ind w:left="300" w:hanging="292"/>
        <w:spacing w:after="0"/>
        <w:tabs>
          <w:tab w:leader="none" w:pos="3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Your name: </w:t>
      </w:r>
      <w:r>
        <w:rPr>
          <w:rFonts w:ascii="Times New Roman" w:cs="Times New Roman" w:eastAsia="Times New Roman" w:hAnsi="Times New Roman"/>
          <w:sz w:val="18"/>
          <w:szCs w:val="18"/>
          <w:b w:val="1"/>
          <w:bCs w:val="1"/>
          <w:color w:val="auto"/>
        </w:rPr>
        <w:t>Robert A. Kotick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6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xml:space="preserve">Total number of Shares purchasable upon exercise of the Stock Option awarded: </w:t>
            </w:r>
            <w:r>
              <w:rPr>
                <w:rFonts w:ascii="Times New Roman" w:cs="Times New Roman" w:eastAsia="Times New Roman" w:hAnsi="Times New Roman"/>
                <w:sz w:val="18"/>
                <w:szCs w:val="18"/>
                <w:b w:val="1"/>
                <w:bCs w:val="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32"/>
        </w:trPr>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Exercise Price: US$</w:t>
            </w:r>
            <w:r>
              <w:rPr>
                <w:rFonts w:ascii="Times New Roman" w:cs="Times New Roman" w:eastAsia="Times New Roman" w:hAnsi="Times New Roman"/>
                <w:sz w:val="18"/>
                <w:szCs w:val="18"/>
                <w:b w:val="1"/>
                <w:bCs w:val="1"/>
                <w:color w:val="auto"/>
              </w:rPr>
              <w:t>[</w:t>
            </w:r>
          </w:p>
        </w:tc>
        <w:tc>
          <w:tcPr>
            <w:tcW w:w="4560" w:type="dxa"/>
            <w:vAlign w:val="bottom"/>
          </w:tcPr>
          <w:p>
            <w:pPr>
              <w:jc w:val="right"/>
              <w:ind w:right="331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Share</w:t>
            </w:r>
          </w:p>
        </w:tc>
        <w:tc>
          <w:tcPr>
            <w:tcW w:w="260" w:type="dxa"/>
            <w:vAlign w:val="bottom"/>
          </w:tcPr>
          <w:p>
            <w:pPr>
              <w:spacing w:after="0"/>
              <w:rPr>
                <w:sz w:val="24"/>
                <w:szCs w:val="24"/>
                <w:color w:val="auto"/>
              </w:rPr>
            </w:pPr>
          </w:p>
        </w:tc>
      </w:tr>
      <w:tr>
        <w:trPr>
          <w:trHeight w:val="432"/>
        </w:trPr>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Date of Grant: </w:t>
            </w: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4"/>
                <w:szCs w:val="24"/>
                <w:color w:val="auto"/>
              </w:rPr>
            </w:pPr>
          </w:p>
        </w:tc>
        <w:tc>
          <w:tcPr>
            <w:tcW w:w="4560" w:type="dxa"/>
            <w:vAlign w:val="bottom"/>
          </w:tcPr>
          <w:p>
            <w:pPr>
              <w:jc w:val="right"/>
              <w:ind w:right="439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60" w:type="dxa"/>
            <w:vAlign w:val="bottom"/>
          </w:tcPr>
          <w:p>
            <w:pPr>
              <w:spacing w:after="0"/>
              <w:rPr>
                <w:sz w:val="24"/>
                <w:szCs w:val="24"/>
                <w:color w:val="auto"/>
              </w:rPr>
            </w:pPr>
          </w:p>
        </w:tc>
      </w:tr>
      <w:tr>
        <w:trPr>
          <w:trHeight w:val="432"/>
        </w:trPr>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Expiration Date: </w:t>
            </w:r>
            <w:r>
              <w:rPr>
                <w:rFonts w:ascii="Times New Roman" w:cs="Times New Roman" w:eastAsia="Times New Roman" w:hAnsi="Times New Roman"/>
                <w:sz w:val="18"/>
                <w:szCs w:val="18"/>
                <w:b w:val="1"/>
                <w:bCs w:val="1"/>
                <w:color w:val="auto"/>
              </w:rPr>
              <w:t>[</w:t>
            </w:r>
          </w:p>
        </w:tc>
        <w:tc>
          <w:tcPr>
            <w:tcW w:w="4560" w:type="dxa"/>
            <w:vAlign w:val="bottom"/>
          </w:tcPr>
          <w:p>
            <w:pPr>
              <w:jc w:val="right"/>
              <w:ind w:right="425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4"/>
                <w:szCs w:val="24"/>
                <w:color w:val="auto"/>
              </w:rPr>
            </w:pPr>
          </w:p>
        </w:tc>
      </w:tr>
      <w:tr>
        <w:trPr>
          <w:trHeight w:val="432"/>
        </w:trPr>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Grant ID: </w:t>
            </w:r>
            <w:r>
              <w:rPr>
                <w:rFonts w:ascii="Times New Roman" w:cs="Times New Roman" w:eastAsia="Times New Roman" w:hAnsi="Times New Roman"/>
                <w:sz w:val="18"/>
                <w:szCs w:val="18"/>
                <w:b w:val="1"/>
                <w:bCs w:val="1"/>
                <w:color w:val="auto"/>
              </w:rPr>
              <w:t>[</w:t>
            </w:r>
          </w:p>
        </w:tc>
        <w:tc>
          <w:tcPr>
            <w:tcW w:w="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5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pacing w:after="0" w:line="198" w:lineRule="exact"/>
        <w:rPr>
          <w:sz w:val="20"/>
          <w:szCs w:val="20"/>
          <w:color w:val="auto"/>
        </w:rPr>
      </w:pPr>
    </w:p>
    <w:p>
      <w:pPr>
        <w:ind w:left="300" w:hanging="292"/>
        <w:spacing w:after="0"/>
        <w:tabs>
          <w:tab w:leader="none" w:pos="3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Award of the Stock Option is governed by the terms and conditions set forth in:</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Notice of Stock Option Award;</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 Option Award Terms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“Award Terms”); and</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2014 Incentive Plan, the receipt of a copy of which you hereby acknowledge.</w:t>
      </w:r>
    </w:p>
    <w:p>
      <w:pPr>
        <w:spacing w:after="0" w:line="225" w:lineRule="exact"/>
        <w:rPr>
          <w:rFonts w:ascii="Times New Roman" w:cs="Times New Roman" w:eastAsia="Times New Roman" w:hAnsi="Times New Roman"/>
          <w:sz w:val="18"/>
          <w:szCs w:val="18"/>
          <w:color w:val="auto"/>
        </w:rPr>
      </w:pPr>
    </w:p>
    <w:p>
      <w:pPr>
        <w:ind w:left="340" w:right="480" w:hanging="332"/>
        <w:spacing w:after="0" w:line="282" w:lineRule="auto"/>
        <w:tabs>
          <w:tab w:leader="none" w:pos="304"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Award of the Stock Option has been made in connection with your Employment Agreement, and is also governed by any applicable terms and conditions set forth in such agreement.</w:t>
      </w:r>
    </w:p>
    <w:p>
      <w:pPr>
        <w:spacing w:after="0" w:line="15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Schedule for Vesting</w:t>
      </w:r>
      <w:r>
        <w:rPr>
          <w:rFonts w:ascii="Times New Roman" w:cs="Times New Roman" w:eastAsia="Times New Roman" w:hAnsi="Times New Roman"/>
          <w:sz w:val="18"/>
          <w:szCs w:val="18"/>
          <w:color w:val="auto"/>
        </w:rPr>
        <w:t>: Except as otherwise provided under the Award Terms, the Stock Option awarded to you will vest and become exercisable on</w:t>
      </w:r>
    </w:p>
    <w:p>
      <w:pPr>
        <w:spacing w:after="0" w:line="29" w:lineRule="exact"/>
        <w:rPr>
          <w:sz w:val="20"/>
          <w:szCs w:val="20"/>
          <w:color w:val="auto"/>
        </w:rPr>
      </w:pPr>
    </w:p>
    <w:p>
      <w:pPr>
        <w:ind w:left="1340" w:hanging="1008"/>
        <w:spacing w:after="0"/>
        <w:tabs>
          <w:tab w:leader="none" w:pos="1340" w:val="left"/>
        </w:tabs>
        <w:numPr>
          <w:ilvl w:val="1"/>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provided you remain continuously employed by the Company or one of its subsidiaries through that date.</w:t>
      </w:r>
    </w:p>
    <w:p>
      <w:pPr>
        <w:spacing w:after="0" w:line="202" w:lineRule="exact"/>
        <w:rPr>
          <w:rFonts w:ascii="Times New Roman" w:cs="Times New Roman" w:eastAsia="Times New Roman" w:hAnsi="Times New Roman"/>
          <w:sz w:val="18"/>
          <w:szCs w:val="18"/>
          <w:b w:val="1"/>
          <w:bCs w:val="1"/>
          <w:color w:val="auto"/>
        </w:rPr>
      </w:pPr>
    </w:p>
    <w:p>
      <w:pPr>
        <w:ind w:left="340" w:right="400" w:hanging="332"/>
        <w:spacing w:after="0" w:line="286" w:lineRule="auto"/>
        <w:tabs>
          <w:tab w:leader="none" w:pos="30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sign and return to the Company this Notice of Stock Option Award, which bears an original signature on behalf of the Company. You are urged to do so promptly.</w:t>
      </w:r>
    </w:p>
    <w:p>
      <w:pPr>
        <w:spacing w:after="0" w:line="154"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return the signed Notice of Stock Option Award to the Company at:</w:t>
      </w:r>
    </w:p>
    <w:p>
      <w:pPr>
        <w:spacing w:after="0" w:line="2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Activision Blizzard, Inc.</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3100 Ocean Park Boulevard</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Santa Monica, CA 90405</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Attn: Stock Plan Administration</w:t>
      </w:r>
    </w:p>
    <w:p>
      <w:pPr>
        <w:spacing w:after="0" w:line="203" w:lineRule="exact"/>
        <w:rPr>
          <w:sz w:val="20"/>
          <w:szCs w:val="20"/>
          <w:color w:val="auto"/>
        </w:rPr>
      </w:pPr>
    </w:p>
    <w:p>
      <w:pPr>
        <w:ind w:left="300" w:hanging="292"/>
        <w:spacing w:after="0"/>
        <w:tabs>
          <w:tab w:leader="none" w:pos="30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Stock Option is not intended to be an “incentive stock option,” as such term is defined in Section 422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85" w:name="page286"/>
    <w:bookmarkEnd w:id="285"/>
    <w:p>
      <w:pPr>
        <w:ind w:left="340" w:hanging="332"/>
        <w:spacing w:after="0" w:line="286" w:lineRule="auto"/>
        <w:tabs>
          <w:tab w:leader="none" w:pos="30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accepting the Award, you are deemed to be bound by the terms and conditions set forth in the 2014 Incentive Plan, this Notice of Stock Option Award and the Award Terms.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retain the enclosed duplicate copy of this Notice of Stock Option Award for your records.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capitalized term used but not otherwise defined herein shall have the meaning ascribed to such term in the Award Terms.</w:t>
      </w:r>
    </w:p>
    <w:p>
      <w:pPr>
        <w:spacing w:after="0" w:line="22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200" w:lineRule="exact"/>
        <w:rPr>
          <w:sz w:val="20"/>
          <w:szCs w:val="20"/>
          <w:color w:val="auto"/>
        </w:rPr>
      </w:pPr>
    </w:p>
    <w:p>
      <w:pPr>
        <w:spacing w:after="0" w:line="25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Brian Stolz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-127635</wp:posOffset>
            </wp:positionV>
            <wp:extent cx="349059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6">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People Officer</w:t>
      </w:r>
    </w:p>
    <w:p>
      <w:pPr>
        <w:spacing w:after="0" w:line="20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17145</wp:posOffset>
            </wp:positionV>
            <wp:extent cx="310451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7">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ACCEPTED AND AGREED: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9346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8">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17145</wp:posOffset>
            </wp:positionV>
            <wp:extent cx="312166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1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60"/>
          </w:cols>
          <w:pgMar w:left="240" w:top="333" w:right="599" w:bottom="1440" w:gutter="0" w:footer="0" w:header="0"/>
        </w:sectPr>
      </w:pPr>
    </w:p>
    <w:bookmarkStart w:id="286" w:name="page287"/>
    <w:bookmarkEnd w:id="286"/>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2014 INCENTIVE PLAN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 OPTION AWARD TERMS</w:t>
      </w:r>
    </w:p>
    <w:p>
      <w:pPr>
        <w:spacing w:after="0" w:line="229" w:lineRule="exact"/>
        <w:rPr>
          <w:sz w:val="20"/>
          <w:szCs w:val="20"/>
          <w:color w:val="auto"/>
        </w:rPr>
      </w:pPr>
    </w:p>
    <w:p>
      <w:pPr>
        <w:ind w:left="1300" w:hanging="644"/>
        <w:spacing w:after="0"/>
        <w:tabs>
          <w:tab w:leader="none" w:pos="13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60" w:hanging="555"/>
        <w:spacing w:after="0"/>
        <w:tabs>
          <w:tab w:leader="none" w:pos="186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Award Terms, the following terms shall have the meanings set forth below:</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“Award” </w:t>
      </w:r>
      <w:r>
        <w:rPr>
          <w:rFonts w:ascii="Times New Roman" w:cs="Times New Roman" w:eastAsia="Times New Roman" w:hAnsi="Times New Roman"/>
          <w:sz w:val="18"/>
          <w:szCs w:val="18"/>
          <w:color w:val="auto"/>
        </w:rPr>
        <w:t>means the award described on the Grant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“Cause” </w:t>
      </w:r>
      <w:r>
        <w:rPr>
          <w:rFonts w:ascii="Times New Roman" w:cs="Times New Roman" w:eastAsia="Times New Roman" w:hAnsi="Times New Roman"/>
          <w:sz w:val="18"/>
          <w:szCs w:val="18"/>
          <w:color w:val="auto"/>
        </w:rPr>
        <w:t>shall have the meaning given to such term in the Employment Agreement.</w:t>
      </w:r>
    </w:p>
    <w:p>
      <w:pPr>
        <w:spacing w:after="0" w:line="225" w:lineRule="exact"/>
        <w:rPr>
          <w:sz w:val="20"/>
          <w:szCs w:val="20"/>
          <w:color w:val="auto"/>
        </w:rPr>
      </w:pPr>
    </w:p>
    <w:p>
      <w:pPr>
        <w:ind w:right="26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“Common Shares” </w:t>
      </w:r>
      <w:r>
        <w:rPr>
          <w:rFonts w:ascii="Times New Roman" w:cs="Times New Roman" w:eastAsia="Times New Roman" w:hAnsi="Times New Roman"/>
          <w:sz w:val="18"/>
          <w:szCs w:val="18"/>
          <w:color w:val="auto"/>
        </w:rPr>
        <w:t>means the shares of common stock, par value $0.000001 per share, of the Company or any security into which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Shares may be changed by reason of any transaction or event of the type referred to in Section 9 hereof.</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means Activision Blizzard, Inc. and any successor thereto.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“Company Group” </w:t>
      </w:r>
      <w:r>
        <w:rPr>
          <w:rFonts w:ascii="Times New Roman" w:cs="Times New Roman" w:eastAsia="Times New Roman" w:hAnsi="Times New Roman"/>
          <w:sz w:val="18"/>
          <w:szCs w:val="18"/>
          <w:color w:val="auto"/>
        </w:rPr>
        <w:t>means the Company and its subsidiaries.</w:t>
      </w:r>
    </w:p>
    <w:p>
      <w:pPr>
        <w:spacing w:after="0" w:line="225" w:lineRule="exact"/>
        <w:rPr>
          <w:sz w:val="20"/>
          <w:szCs w:val="20"/>
          <w:color w:val="auto"/>
        </w:rPr>
      </w:pPr>
    </w:p>
    <w:p>
      <w:pPr>
        <w:ind w:right="14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“Company-Sponsored Equity Account” </w:t>
      </w:r>
      <w:r>
        <w:rPr>
          <w:rFonts w:ascii="Times New Roman" w:cs="Times New Roman" w:eastAsia="Times New Roman" w:hAnsi="Times New Roman"/>
          <w:sz w:val="18"/>
          <w:szCs w:val="18"/>
          <w:color w:val="auto"/>
        </w:rPr>
        <w:t>means an account that is created with the Equity Account Administrator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of the Company’s equity plans and programs, including the Plan.</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“Date of Grant” </w:t>
      </w:r>
      <w:r>
        <w:rPr>
          <w:rFonts w:ascii="Times New Roman" w:cs="Times New Roman" w:eastAsia="Times New Roman" w:hAnsi="Times New Roman"/>
          <w:sz w:val="18"/>
          <w:szCs w:val="18"/>
          <w:color w:val="auto"/>
        </w:rPr>
        <w:t>means the Date of Grant of the Award set forth on the Grant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b w:val="1"/>
          <w:bCs w:val="1"/>
          <w:color w:val="auto"/>
        </w:rPr>
        <w:t xml:space="preserve">“Employment Agreement” </w:t>
      </w:r>
      <w:r>
        <w:rPr>
          <w:rFonts w:ascii="Times New Roman" w:cs="Times New Roman" w:eastAsia="Times New Roman" w:hAnsi="Times New Roman"/>
          <w:sz w:val="17"/>
          <w:szCs w:val="17"/>
          <w:color w:val="auto"/>
        </w:rPr>
        <w:t>means that certain Employment Agreement between the Holder and the Company dated as of October 1, 2016.</w:t>
      </w:r>
    </w:p>
    <w:p>
      <w:pPr>
        <w:spacing w:after="0" w:line="237" w:lineRule="exact"/>
        <w:rPr>
          <w:sz w:val="20"/>
          <w:szCs w:val="20"/>
          <w:color w:val="auto"/>
        </w:rPr>
      </w:pPr>
    </w:p>
    <w:p>
      <w:pPr>
        <w:ind w:right="76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“Employment Violation” </w:t>
      </w:r>
      <w:r>
        <w:rPr>
          <w:rFonts w:ascii="Times New Roman" w:cs="Times New Roman" w:eastAsia="Times New Roman" w:hAnsi="Times New Roman"/>
          <w:sz w:val="18"/>
          <w:szCs w:val="18"/>
          <w:color w:val="auto"/>
        </w:rPr>
        <w:t>means any material breach by the Holder of the Employment Agreement (with any breach of the post-termination obligations contained therein deemed to be material for purposes of this definition).</w:t>
      </w:r>
    </w:p>
    <w:p>
      <w:pPr>
        <w:spacing w:after="0" w:line="155" w:lineRule="exact"/>
        <w:rPr>
          <w:sz w:val="20"/>
          <w:szCs w:val="20"/>
          <w:color w:val="auto"/>
        </w:rPr>
      </w:pPr>
    </w:p>
    <w:p>
      <w:pPr>
        <w:jc w:val="both"/>
        <w:ind w:right="8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“Equity Account Administrator” </w:t>
      </w:r>
      <w:r>
        <w:rPr>
          <w:rFonts w:ascii="Times New Roman" w:cs="Times New Roman" w:eastAsia="Times New Roman" w:hAnsi="Times New Roman"/>
          <w:sz w:val="18"/>
          <w:szCs w:val="18"/>
          <w:color w:val="auto"/>
        </w:rPr>
        <w:t>means the brokerage firm utilized by the Company from time to time to create and administer accounts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participants in the Company’s equity plans and programs, including the Plan.</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“Exercise Price” </w:t>
      </w:r>
      <w:r>
        <w:rPr>
          <w:rFonts w:ascii="Times New Roman" w:cs="Times New Roman" w:eastAsia="Times New Roman" w:hAnsi="Times New Roman"/>
          <w:sz w:val="18"/>
          <w:szCs w:val="18"/>
          <w:color w:val="auto"/>
        </w:rPr>
        <w:t>means the Exercise Price set forth on the Grant Notice.</w:t>
      </w:r>
    </w:p>
    <w:p>
      <w:pPr>
        <w:spacing w:after="0" w:line="225" w:lineRule="exact"/>
        <w:rPr>
          <w:sz w:val="20"/>
          <w:szCs w:val="20"/>
          <w:color w:val="auto"/>
        </w:rPr>
      </w:pPr>
    </w:p>
    <w:p>
      <w:pPr>
        <w:jc w:val="both"/>
        <w:ind w:right="60"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“Exercise Rules and Regulations” </w:t>
      </w:r>
      <w:r>
        <w:rPr>
          <w:rFonts w:ascii="Times New Roman" w:cs="Times New Roman" w:eastAsia="Times New Roman" w:hAnsi="Times New Roman"/>
          <w:sz w:val="18"/>
          <w:szCs w:val="18"/>
          <w:color w:val="auto"/>
        </w:rPr>
        <w:t>means (i) the Securities Act or any comparable federal securities law and all applicable state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(ii) the requirements of any securities exchange, securities association, market system or quotation system on which Common Shares are then traded or quoted, (iii) any restrictions on transfer imposed by the</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287" w:name="page288"/>
    <w:bookmarkEnd w:id="287"/>
    <w:p>
      <w:pPr>
        <w:ind w:right="240"/>
        <w:spacing w:after="0" w:line="282" w:lineRule="auto"/>
        <w:rPr>
          <w:sz w:val="20"/>
          <w:szCs w:val="20"/>
          <w:color w:val="auto"/>
        </w:rPr>
      </w:pPr>
      <w:r>
        <w:rPr>
          <w:rFonts w:ascii="Times New Roman" w:cs="Times New Roman" w:eastAsia="Times New Roman" w:hAnsi="Times New Roman"/>
          <w:sz w:val="18"/>
          <w:szCs w:val="18"/>
          <w:color w:val="auto"/>
        </w:rPr>
        <w:t>Company’s certificate of incorporation or bylaws, and (iv) any policy or procedure the Company has adopted with respect to the trading of its securities, in each case as in effect on the date of the intended transaction.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“Expiration Date” </w:t>
      </w:r>
      <w:r>
        <w:rPr>
          <w:rFonts w:ascii="Times New Roman" w:cs="Times New Roman" w:eastAsia="Times New Roman" w:hAnsi="Times New Roman"/>
          <w:sz w:val="18"/>
          <w:szCs w:val="18"/>
          <w:color w:val="auto"/>
        </w:rPr>
        <w:t>means the Expiration Date set forth on the Grant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“Grant Notice” </w:t>
      </w:r>
      <w:r>
        <w:rPr>
          <w:rFonts w:ascii="Times New Roman" w:cs="Times New Roman" w:eastAsia="Times New Roman" w:hAnsi="Times New Roman"/>
          <w:sz w:val="18"/>
          <w:szCs w:val="18"/>
          <w:color w:val="auto"/>
        </w:rPr>
        <w:t>means the Notice of Stock Option Award to which these Award Terms are attached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“Holder” </w:t>
      </w:r>
      <w:r>
        <w:rPr>
          <w:rFonts w:ascii="Times New Roman" w:cs="Times New Roman" w:eastAsia="Times New Roman" w:hAnsi="Times New Roman"/>
          <w:sz w:val="18"/>
          <w:szCs w:val="18"/>
          <w:color w:val="auto"/>
        </w:rPr>
        <w:t>means the recipient of the Award named on the Grant Notice.</w:t>
      </w:r>
    </w:p>
    <w:p>
      <w:pPr>
        <w:spacing w:after="0" w:line="225" w:lineRule="exact"/>
        <w:rPr>
          <w:sz w:val="20"/>
          <w:szCs w:val="20"/>
          <w:color w:val="auto"/>
        </w:rPr>
      </w:pPr>
    </w:p>
    <w:p>
      <w:pPr>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“Look-back Period” </w:t>
      </w:r>
      <w:r>
        <w:rPr>
          <w:rFonts w:ascii="Times New Roman" w:cs="Times New Roman" w:eastAsia="Times New Roman" w:hAnsi="Times New Roman"/>
          <w:sz w:val="18"/>
          <w:szCs w:val="18"/>
          <w:color w:val="auto"/>
        </w:rPr>
        <w:t>means, with respect to any Employment Violation by the Holder, the period beginning on the date which is 12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date of such Employment Violation by the Holder and ending on the date of computation of the Recapture Amount with respect to such Employment Violation.</w:t>
      </w:r>
    </w:p>
    <w:p>
      <w:pPr>
        <w:spacing w:after="0" w:line="171" w:lineRule="exact"/>
        <w:rPr>
          <w:sz w:val="20"/>
          <w:szCs w:val="20"/>
          <w:color w:val="auto"/>
        </w:rPr>
      </w:pPr>
    </w:p>
    <w:p>
      <w:pPr>
        <w:ind w:right="18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“Option” </w:t>
      </w:r>
      <w:r>
        <w:rPr>
          <w:rFonts w:ascii="Times New Roman" w:cs="Times New Roman" w:eastAsia="Times New Roman" w:hAnsi="Times New Roman"/>
          <w:sz w:val="18"/>
          <w:szCs w:val="18"/>
          <w:color w:val="auto"/>
        </w:rPr>
        <w:t>means the Stock Option to purchase Common Shares awarded to the Holder on the terms and conditions described in the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and these Award Terms.</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“Plan” </w:t>
      </w:r>
      <w:r>
        <w:rPr>
          <w:rFonts w:ascii="Times New Roman" w:cs="Times New Roman" w:eastAsia="Times New Roman" w:hAnsi="Times New Roman"/>
          <w:sz w:val="18"/>
          <w:szCs w:val="18"/>
          <w:color w:val="auto"/>
        </w:rPr>
        <w:t>means the 2014 Incentive Plan, as amended from time to time.</w:t>
      </w:r>
    </w:p>
    <w:p>
      <w:pPr>
        <w:spacing w:after="0" w:line="225" w:lineRule="exact"/>
        <w:rPr>
          <w:sz w:val="20"/>
          <w:szCs w:val="20"/>
          <w:color w:val="auto"/>
        </w:rPr>
      </w:pPr>
    </w:p>
    <w:p>
      <w:pPr>
        <w:jc w:val="both"/>
        <w:ind w:right="40" w:firstLine="1297"/>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“Recapture Amount” </w:t>
      </w:r>
      <w:r>
        <w:rPr>
          <w:rFonts w:ascii="Times New Roman" w:cs="Times New Roman" w:eastAsia="Times New Roman" w:hAnsi="Times New Roman"/>
          <w:sz w:val="17"/>
          <w:szCs w:val="17"/>
          <w:color w:val="auto"/>
        </w:rPr>
        <w:t>means, with respect to any Employment Violation by the Holder, the gross gain realized or unrealized by the Holder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all exercises of the Stock Option during the Look-back Period with respect to such Employment Violation, which gain shall be calculated as the sum of:</w:t>
      </w:r>
    </w:p>
    <w:p>
      <w:pPr>
        <w:spacing w:after="0" w:line="136" w:lineRule="exact"/>
        <w:rPr>
          <w:sz w:val="20"/>
          <w:szCs w:val="20"/>
          <w:color w:val="auto"/>
        </w:rPr>
      </w:pPr>
    </w:p>
    <w:p>
      <w:pPr>
        <w:ind w:left="660" w:firstLine="645"/>
        <w:spacing w:after="0" w:line="266" w:lineRule="auto"/>
        <w:tabs>
          <w:tab w:leader="none" w:pos="197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has exercised any portion of the Stock Option during such Look-back Period and sold any of the Shares acquired on exercise thereafter, an amount equal to (A) the sum of the sales price for all such Shares sold minus (B) the aggregate Exercise Price for such Shares; plus</w:t>
      </w:r>
    </w:p>
    <w:p>
      <w:pPr>
        <w:spacing w:after="0" w:line="176" w:lineRule="exact"/>
        <w:rPr>
          <w:rFonts w:ascii="Times New Roman" w:cs="Times New Roman" w:eastAsia="Times New Roman" w:hAnsi="Times New Roman"/>
          <w:sz w:val="18"/>
          <w:szCs w:val="18"/>
          <w:color w:val="auto"/>
        </w:rPr>
      </w:pPr>
    </w:p>
    <w:p>
      <w:pPr>
        <w:ind w:left="660" w:right="60" w:firstLine="645"/>
        <w:spacing w:after="0" w:line="255" w:lineRule="auto"/>
        <w:tabs>
          <w:tab w:leader="none" w:pos="1987"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has exercised any portion of the Stock Option during such Look-back Period and not sold all of the Shares acquired on exercise thereafter, an amount equal to the product of (A) the greatest of the following, minus the Exercise Price: (1) the Market Value per Share of Common Shares on the date of exercise, (2) the arithmetic average of the per share closing sales prices of Common Shares as reported on NASDAQ for the 30 trading day period ending on the trading day immediately preceding the date of the Company’s written notice of its exercise of its rights under Section 12 hereof, or (3) the arithmetic average of the per share closing sales prices of Common Shares as reported on NASDAQ for the 30 trading day period ending on the trading day immediately preceding the date of computation times (B) the number of Shares as to which the Stock Option was exercised and which were not sold.</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means Section 409A of the Code and the guidance and regulations promulgated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“Securities Act” </w:t>
      </w:r>
      <w:r>
        <w:rPr>
          <w:rFonts w:ascii="Times New Roman" w:cs="Times New Roman" w:eastAsia="Times New Roman" w:hAnsi="Times New Roman"/>
          <w:sz w:val="18"/>
          <w:szCs w:val="18"/>
          <w:color w:val="auto"/>
        </w:rPr>
        <w:t>means the Securities Act of 1933, as amended.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88" w:name="page289"/>
    <w:bookmarkEnd w:id="288"/>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“Shares” </w:t>
      </w:r>
      <w:r>
        <w:rPr>
          <w:rFonts w:ascii="Times New Roman" w:cs="Times New Roman" w:eastAsia="Times New Roman" w:hAnsi="Times New Roman"/>
          <w:sz w:val="18"/>
          <w:szCs w:val="18"/>
          <w:color w:val="auto"/>
        </w:rPr>
        <w:t>means the Common Shares purchasable upon exercise of the Stock Option.</w:t>
      </w:r>
    </w:p>
    <w:p>
      <w:pPr>
        <w:spacing w:after="0" w:line="225" w:lineRule="exact"/>
        <w:rPr>
          <w:sz w:val="20"/>
          <w:szCs w:val="20"/>
          <w:color w:val="auto"/>
        </w:rPr>
      </w:pPr>
    </w:p>
    <w:p>
      <w:pPr>
        <w:ind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“Withholding Taxes” </w:t>
      </w:r>
      <w:r>
        <w:rPr>
          <w:rFonts w:ascii="Times New Roman" w:cs="Times New Roman" w:eastAsia="Times New Roman" w:hAnsi="Times New Roman"/>
          <w:sz w:val="18"/>
          <w:szCs w:val="18"/>
          <w:color w:val="auto"/>
        </w:rPr>
        <w:t>means any taxes, including, but not limited to, social security and Medicare taxes and federal, state and local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taxes, required under any applicable law to be withheld from amounts otherwise payable to the Holder.</w:t>
      </w:r>
    </w:p>
    <w:p>
      <w:pPr>
        <w:spacing w:after="0" w:line="159" w:lineRule="exact"/>
        <w:rPr>
          <w:sz w:val="20"/>
          <w:szCs w:val="20"/>
          <w:color w:val="auto"/>
        </w:rPr>
      </w:pPr>
    </w:p>
    <w:p>
      <w:pPr>
        <w:ind w:left="1880" w:hanging="575"/>
        <w:spacing w:after="0"/>
        <w:tabs>
          <w:tab w:leader="none" w:pos="1880" w:val="left"/>
        </w:tabs>
        <w:numPr>
          <w:ilvl w:val="2"/>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capitalized term used but not otherwise defined herein shall have the meaning ascribed to such term in the Plan.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w:t>
      </w:r>
      <w:r>
        <w:rPr>
          <w:rFonts w:ascii="Times New Roman" w:cs="Times New Roman" w:eastAsia="Times New Roman" w:hAnsi="Times New Roman"/>
          <w:sz w:val="18"/>
          <w:szCs w:val="18"/>
          <w:color w:val="auto"/>
        </w:rPr>
        <w:t>. The Stock Option shall expire on the Expiration Date and, after such expiration, shall no longer be exercisable.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00" w:firstLine="1305"/>
        <w:spacing w:after="0" w:line="266" w:lineRule="auto"/>
        <w:tabs>
          <w:tab w:leader="none" w:pos="1861" w:val="left"/>
        </w:tabs>
        <w:numPr>
          <w:ilvl w:val="2"/>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Except as otherwise set forth in these Award Terms or Section 12 of the Employment Agreement (“Shareholder Value Creation Incentive”), the Stock Option shall vest, and thereupon become exercisable, in accordance with the “Schedule for Vesting” set forth on the Grant Notice.</w:t>
      </w:r>
    </w:p>
    <w:p>
      <w:pPr>
        <w:spacing w:after="0" w:line="176" w:lineRule="exact"/>
        <w:rPr>
          <w:rFonts w:ascii="Times New Roman" w:cs="Times New Roman" w:eastAsia="Times New Roman" w:hAnsi="Times New Roman"/>
          <w:sz w:val="18"/>
          <w:szCs w:val="18"/>
          <w:color w:val="auto"/>
        </w:rPr>
      </w:pPr>
    </w:p>
    <w:p>
      <w:pPr>
        <w:ind w:right="440" w:firstLine="1305"/>
        <w:spacing w:after="0" w:line="266" w:lineRule="auto"/>
        <w:tabs>
          <w:tab w:leader="none" w:pos="1871" w:val="left"/>
        </w:tabs>
        <w:numPr>
          <w:ilvl w:val="2"/>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Exercisable Only by the Holder</w:t>
      </w:r>
      <w:r>
        <w:rPr>
          <w:rFonts w:ascii="Times New Roman" w:cs="Times New Roman" w:eastAsia="Times New Roman" w:hAnsi="Times New Roman"/>
          <w:sz w:val="18"/>
          <w:szCs w:val="18"/>
          <w:color w:val="auto"/>
        </w:rPr>
        <w:t>. Except as otherwise permitted under the Plan or Section 11 hereof, the Stock Option may be exercised during the Holder’s lifetime only by the Holder or, in the event of the Holder’s legal incapacity to do so, by the Holder’s guardian or legal representative acting on behalf of the Holder in a fiduciary capacity under court supervision and/or applicable law.</w:t>
      </w:r>
    </w:p>
    <w:p>
      <w:pPr>
        <w:spacing w:after="0" w:line="176" w:lineRule="exact"/>
        <w:rPr>
          <w:rFonts w:ascii="Times New Roman" w:cs="Times New Roman" w:eastAsia="Times New Roman" w:hAnsi="Times New Roman"/>
          <w:sz w:val="18"/>
          <w:szCs w:val="18"/>
          <w:color w:val="auto"/>
        </w:rPr>
      </w:pPr>
    </w:p>
    <w:p>
      <w:pPr>
        <w:ind w:right="360" w:firstLine="1305"/>
        <w:spacing w:after="0" w:line="261" w:lineRule="auto"/>
        <w:tabs>
          <w:tab w:leader="none" w:pos="1874" w:val="left"/>
        </w:tabs>
        <w:numPr>
          <w:ilvl w:val="2"/>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 for Exercise</w:t>
      </w:r>
      <w:r>
        <w:rPr>
          <w:rFonts w:ascii="Times New Roman" w:cs="Times New Roman" w:eastAsia="Times New Roman" w:hAnsi="Times New Roman"/>
          <w:sz w:val="18"/>
          <w:szCs w:val="18"/>
          <w:color w:val="auto"/>
        </w:rPr>
        <w:t>. The Stock Option may be exercised by the Holder as to all or any of the Shares as to which the Stock Option has vested (i) by following the procedures for exercise established by the Equity Account Administrator and posted on the Equity Account Administrator’s website from time to time or (ii) with the Company’s consent, by giving the Company written notice of exercise, in such form as may be prescribed by the Company from time to time, specifying the number of Shares to be purchased.</w:t>
      </w:r>
    </w:p>
    <w:p>
      <w:pPr>
        <w:spacing w:after="0" w:line="180" w:lineRule="exact"/>
        <w:rPr>
          <w:rFonts w:ascii="Times New Roman" w:cs="Times New Roman" w:eastAsia="Times New Roman" w:hAnsi="Times New Roman"/>
          <w:sz w:val="18"/>
          <w:szCs w:val="18"/>
          <w:color w:val="auto"/>
        </w:rPr>
      </w:pPr>
    </w:p>
    <w:p>
      <w:pPr>
        <w:ind w:right="40" w:firstLine="1305"/>
        <w:spacing w:after="0" w:line="252" w:lineRule="auto"/>
        <w:tabs>
          <w:tab w:leader="none" w:pos="1871" w:val="left"/>
        </w:tabs>
        <w:numPr>
          <w:ilvl w:val="2"/>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Exercise Price</w:t>
      </w:r>
      <w:r>
        <w:rPr>
          <w:rFonts w:ascii="Times New Roman" w:cs="Times New Roman" w:eastAsia="Times New Roman" w:hAnsi="Times New Roman"/>
          <w:sz w:val="18"/>
          <w:szCs w:val="18"/>
          <w:color w:val="auto"/>
        </w:rPr>
        <w:t>. To be valid, any exercise of the Stock Option must be accompanied by full payment of the aggregate Exercise Price of the Shares being purchased. The Company shall determine the method or methods the Holder may use to make such payment, which may include any of the following: (i) by bank check or certified check or wire transfer of immediately available funds, (ii) if securities of the Company of the same class as the Shares are then traded or quoted on a national securities exchange, the Nasdaq Stock Market, Inc. or a national quotation system sponsored by the National Association of Securities Dealers, Inc., through the delivery of irrevocable written instructions, in a form acceptable to the Company, to the Equity Account Administrator (or, with the Company’s consent, such other brokerage firm as may be requested by the person exercising the Stock Option) to sell some or all of the Shares being purchased upon such exercise and to thereafter deliver promptly to the Company from the proceeds of such sale an amount in cash equal to the aggregate Exercise Price of the Shares being purchased, (iii) by tendering previously owned shares (valued at their Market Value per Share as of the date of tender), (iv) through the withholding of Shares otherwise deliverable upon exercise, or (v) any combination of (i), (ii), (iii) or</w:t>
      </w:r>
    </w:p>
    <w:p>
      <w:pPr>
        <w:spacing w:after="0" w:line="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or any other manner permitted pursuant to the Plan.</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289" w:name="page290"/>
    <w:bookmarkEnd w:id="289"/>
    <w:p>
      <w:pPr>
        <w:ind w:left="1800" w:hanging="575"/>
        <w:spacing w:after="0"/>
        <w:tabs>
          <w:tab w:leader="none" w:pos="180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In no event may the Stock Option be exercised for a fraction of a Share.</w:t>
      </w:r>
    </w:p>
    <w:p>
      <w:pPr>
        <w:spacing w:after="0" w:line="225" w:lineRule="exact"/>
        <w:rPr>
          <w:rFonts w:ascii="Times New Roman" w:cs="Times New Roman" w:eastAsia="Times New Roman" w:hAnsi="Times New Roman"/>
          <w:sz w:val="18"/>
          <w:szCs w:val="18"/>
          <w:color w:val="auto"/>
        </w:rPr>
      </w:pPr>
    </w:p>
    <w:p>
      <w:pPr>
        <w:ind w:left="-80" w:firstLine="1305"/>
        <w:spacing w:after="0" w:line="266" w:lineRule="auto"/>
        <w:tabs>
          <w:tab w:leader="none" w:pos="1788"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Adjustment for Dividends or Other Rights</w:t>
      </w:r>
      <w:r>
        <w:rPr>
          <w:rFonts w:ascii="Times New Roman" w:cs="Times New Roman" w:eastAsia="Times New Roman" w:hAnsi="Times New Roman"/>
          <w:sz w:val="18"/>
          <w:szCs w:val="18"/>
          <w:color w:val="auto"/>
        </w:rPr>
        <w:t>. No adjustment shall be made for cash dividends or other rights for which the record date is prior to the date as of which the issuance or transfer of Shares to the person entitled thereto has been evidenced on the books and records of the Company pursuant to clause (ii) of Section 3(g) hereof following exercise of the Stock Option.</w:t>
      </w:r>
    </w:p>
    <w:p>
      <w:pPr>
        <w:spacing w:after="0" w:line="176" w:lineRule="exact"/>
        <w:rPr>
          <w:rFonts w:ascii="Times New Roman" w:cs="Times New Roman" w:eastAsia="Times New Roman" w:hAnsi="Times New Roman"/>
          <w:sz w:val="18"/>
          <w:szCs w:val="18"/>
          <w:color w:val="auto"/>
        </w:rPr>
      </w:pPr>
    </w:p>
    <w:p>
      <w:pPr>
        <w:ind w:left="-80" w:right="100" w:firstLine="1305"/>
        <w:spacing w:after="0" w:line="256" w:lineRule="auto"/>
        <w:tabs>
          <w:tab w:leader="none" w:pos="1804"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and Delivery of Shares</w:t>
      </w:r>
      <w:r>
        <w:rPr>
          <w:rFonts w:ascii="Times New Roman" w:cs="Times New Roman" w:eastAsia="Times New Roman" w:hAnsi="Times New Roman"/>
          <w:sz w:val="18"/>
          <w:szCs w:val="18"/>
          <w:color w:val="auto"/>
        </w:rPr>
        <w:t xml:space="preserve">. As soon as practicable (and, in any event, within 30 days) after the valid exercise of the Stock Option, the Company shall (i) effect the issuance or transfer of the Shares purchased upon such exercise, (ii) cause the issuance or transfer of such Shares to be evidenced on the books and records of the Company, and (iii) cause such Shares to be delivered to a Company-Sponsored Equity Account in the name of the person entitled to such Shares (or, with the Company’s consent, such other brokerage account as may be requested by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such Shares are subject to a legend as set forth in Section 15 hereof, the Company shall instead cause a certificate evidencing such Shares and bearing such legend to be delivered to the person entitled thereto.</w:t>
      </w:r>
    </w:p>
    <w:p>
      <w:pPr>
        <w:spacing w:after="0" w:line="187" w:lineRule="exact"/>
        <w:rPr>
          <w:rFonts w:ascii="Times New Roman" w:cs="Times New Roman" w:eastAsia="Times New Roman" w:hAnsi="Times New Roman"/>
          <w:sz w:val="18"/>
          <w:szCs w:val="18"/>
          <w:color w:val="auto"/>
        </w:rPr>
      </w:pPr>
    </w:p>
    <w:p>
      <w:pPr>
        <w:ind w:left="-80" w:firstLine="1305"/>
        <w:spacing w:after="0" w:line="266" w:lineRule="auto"/>
        <w:tabs>
          <w:tab w:leader="none" w:pos="1791"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Exercise</w:t>
      </w:r>
      <w:r>
        <w:rPr>
          <w:rFonts w:ascii="Times New Roman" w:cs="Times New Roman" w:eastAsia="Times New Roman" w:hAnsi="Times New Roman"/>
          <w:sz w:val="18"/>
          <w:szCs w:val="18"/>
          <w:color w:val="auto"/>
        </w:rPr>
        <w:t>. If the Stock Option shall have been exercised with respect to less than all of the Shares purchasable upon exercise of the Stock Option, the Company shall make a notation in its books and records to reflect the partial exercise of the Stock Option and the number of Shares that thereafter remain available for purchase upon exercise of the Stock Option.</w:t>
      </w:r>
    </w:p>
    <w:p>
      <w:pPr>
        <w:spacing w:after="0" w:line="176" w:lineRule="exact"/>
        <w:rPr>
          <w:rFonts w:ascii="Times New Roman" w:cs="Times New Roman" w:eastAsia="Times New Roman" w:hAnsi="Times New Roman"/>
          <w:sz w:val="18"/>
          <w:szCs w:val="18"/>
          <w:color w:val="auto"/>
        </w:rPr>
      </w:pPr>
    </w:p>
    <w:p>
      <w:pPr>
        <w:ind w:left="-80" w:right="560" w:firstLine="656"/>
        <w:spacing w:after="0" w:line="282" w:lineRule="auto"/>
        <w:tabs>
          <w:tab w:leader="none" w:pos="121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In the event that the Holder’s employment is terminated for any reason, the terms of the Employment Agreement shall govern the impact on the Stock Option.</w:t>
      </w:r>
    </w:p>
    <w:p>
      <w:pPr>
        <w:spacing w:after="0" w:line="161" w:lineRule="exact"/>
        <w:rPr>
          <w:rFonts w:ascii="Times New Roman" w:cs="Times New Roman" w:eastAsia="Times New Roman" w:hAnsi="Times New Roman"/>
          <w:sz w:val="18"/>
          <w:szCs w:val="18"/>
          <w:color w:val="auto"/>
        </w:rPr>
      </w:pPr>
    </w:p>
    <w:p>
      <w:pPr>
        <w:ind w:left="1220" w:hanging="644"/>
        <w:spacing w:after="0"/>
        <w:tabs>
          <w:tab w:leader="none" w:pos="122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0" w:firstLine="1305"/>
        <w:spacing w:after="0" w:line="254" w:lineRule="auto"/>
        <w:tabs>
          <w:tab w:leader="none" w:pos="1862"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Regardless of any action the Company or the Employer takes with respect to any Withholding Taxes related to the Holder’s participation in the Plan and legally applicable to the Holder, the Holder acknowledges that the ultimate liability for all Withholding Taxes is and remains the Holder’s responsibility and may exceed the amount actually withheld by the Company or the Employer. The Holder further acknowledges that the Company and/or the Employer (A) make no representations or undertakings regarding the treatment of any Withholding Taxes in connection with any aspect of the Stock Option, including, without limitation, the grant, vesting or exercise of the Stock Option, the subsequent sale of Shares acquired pursuant to such exercise and the receipt of any dividends; and (B) do not commit to and are under no obligation to structure the terms of the grant or any aspect of the Stock Option to reduce or eliminate the Holder’s liability for Withholding Taxes or achieve any particular tax result. Further, if the Holder is subject to tax in more than one jurisdiction, the Holder acknowledges that the Company and/or the Employer (or former employer, as applicable) may be required to withhold or account for Withholding Taxes in more than one jurisdiction. The Company shall have no obligation to deliver any Shares upon exercise of the Stock Option unless and until all Withholding Taxes contemplated by this Section 5 have been satisfied.</w:t>
      </w:r>
    </w:p>
    <w:p>
      <w:pPr>
        <w:spacing w:after="0" w:line="186" w:lineRule="exact"/>
        <w:rPr>
          <w:rFonts w:ascii="Times New Roman" w:cs="Times New Roman" w:eastAsia="Times New Roman" w:hAnsi="Times New Roman"/>
          <w:sz w:val="18"/>
          <w:szCs w:val="18"/>
          <w:color w:val="auto"/>
        </w:rPr>
      </w:pPr>
    </w:p>
    <w:p>
      <w:pPr>
        <w:ind w:left="-80" w:right="300" w:firstLine="1305"/>
        <w:spacing w:after="0" w:line="282" w:lineRule="auto"/>
        <w:tabs>
          <w:tab w:leader="none" w:pos="1872"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determine the method or methods the Holder may use to satisfy any Withholding Taxes resulting from the exercise (in whole or in part) of the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83820</wp:posOffset>
            </wp:positionV>
            <wp:extent cx="72675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90" w:name="page291"/>
    <w:bookmarkEnd w:id="290"/>
    <w:p>
      <w:pPr>
        <w:ind w:right="80"/>
        <w:spacing w:after="0" w:line="253" w:lineRule="auto"/>
        <w:rPr>
          <w:sz w:val="20"/>
          <w:szCs w:val="20"/>
          <w:color w:val="auto"/>
        </w:rPr>
      </w:pPr>
      <w:r>
        <w:rPr>
          <w:rFonts w:ascii="Times New Roman" w:cs="Times New Roman" w:eastAsia="Times New Roman" w:hAnsi="Times New Roman"/>
          <w:sz w:val="18"/>
          <w:szCs w:val="18"/>
          <w:color w:val="auto"/>
        </w:rPr>
        <w:t>Option, the issuance or transfer of any Shares upon exercise of the Stock Option or otherwise in connection with the Award at the time such Withholding Taxes become due, which may include any of the following: (i) by delivery to the Company of a bank check or certified check or wire transfer of immediately available funds; (ii) if securities of the Company of the same class as the Shares are then traded or quoted on a national securities exchange, the Nasdaq Stock Market, Inc. or a national quotation system sponsored by the National Association of Securities Dealers, Inc., through the delivery of irrevocable written instructions, in a form acceptable to the Company, to the Equity Account Administrator (or, with the Company’s consent, such other brokerage firm as may be requested by the person exercising the Stock Option) to sell some or all of the Shares being purchased upon such exercise and to thereafter deliver promptly to the Company from the proceeds of such sale an amount in cash equal to the aggregate amount of such Withholding Taxes;</w:t>
      </w:r>
    </w:p>
    <w:p>
      <w:pPr>
        <w:spacing w:after="0" w:line="4" w:lineRule="exact"/>
        <w:rPr>
          <w:sz w:val="20"/>
          <w:szCs w:val="20"/>
          <w:color w:val="auto"/>
        </w:rPr>
      </w:pPr>
    </w:p>
    <w:p>
      <w:pPr>
        <w:jc w:val="both"/>
        <w:ind w:right="300" w:firstLine="8"/>
        <w:spacing w:after="0" w:line="255" w:lineRule="auto"/>
        <w:tabs>
          <w:tab w:leader="none" w:pos="31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withholding of Shares otherwise deliverable upon exercise; or (iv) by any combination of (i), (ii) or (iii) above. Further, any entity in the Company Group shall have the right to require the Holder to satisfy any Withholding Taxes contemplated by this Section 5 by any of the aforementioned methods or by withholding from the Holder’s wages or other cash compensation.</w:t>
      </w:r>
    </w:p>
    <w:p>
      <w:pPr>
        <w:spacing w:after="0" w:line="186" w:lineRule="exact"/>
        <w:rPr>
          <w:rFonts w:ascii="Times New Roman" w:cs="Times New Roman" w:eastAsia="Times New Roman" w:hAnsi="Times New Roman"/>
          <w:sz w:val="18"/>
          <w:szCs w:val="18"/>
          <w:color w:val="auto"/>
        </w:rPr>
      </w:pPr>
    </w:p>
    <w:p>
      <w:pPr>
        <w:ind w:right="160" w:firstLine="1305"/>
        <w:spacing w:after="0" w:line="255" w:lineRule="auto"/>
        <w:tabs>
          <w:tab w:leader="none" w:pos="1955" w:val="left"/>
        </w:tabs>
        <w:numPr>
          <w:ilvl w:val="2"/>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may withhold or account for Withholding Taxes contemplated by this Section 5 by reference to applicable withholding rates, including minimum or maximum applicable statutory rates, and if the Company Group withholds more than the amount necessary to satisfy the liability, the Holder will receive a refund of any over-withheld amount in cash and will have no entitlement to the equivalent Shares. If the obligation for Withholding Taxes is satisfied by withholding in Shares, for tax purposes the Holder will be deemed to have been issued the full number of Shares, notwithstanding that a number of the Shares is held back solely for the purpose of paying the Withholding Taxes due as a result of any aspect of the Holder’s participation in the Plan. No fractional Shares will be withheld or issued pursuant to the exercise of the Stock Option and the issuance of Withholding Taxes thereunder.</w:t>
      </w:r>
    </w:p>
    <w:p>
      <w:pPr>
        <w:spacing w:after="0" w:line="185" w:lineRule="exact"/>
        <w:rPr>
          <w:rFonts w:ascii="Times New Roman" w:cs="Times New Roman" w:eastAsia="Times New Roman" w:hAnsi="Times New Roman"/>
          <w:sz w:val="18"/>
          <w:szCs w:val="18"/>
          <w:color w:val="auto"/>
        </w:rPr>
      </w:pPr>
    </w:p>
    <w:p>
      <w:pPr>
        <w:ind w:right="180" w:firstLine="656"/>
        <w:spacing w:after="0" w:line="286" w:lineRule="auto"/>
        <w:tabs>
          <w:tab w:leader="none" w:pos="1296"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Deemed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By accepting the Award, the Holder is deemed to be bound by the terms and conditions set forth in the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Grant Notice and these Award Terms.</w:t>
      </w:r>
    </w:p>
    <w:p>
      <w:pPr>
        <w:spacing w:after="0" w:line="158" w:lineRule="exact"/>
        <w:rPr>
          <w:rFonts w:ascii="Times New Roman" w:cs="Times New Roman" w:eastAsia="Times New Roman" w:hAnsi="Times New Roman"/>
          <w:sz w:val="18"/>
          <w:szCs w:val="18"/>
          <w:color w:val="auto"/>
        </w:rPr>
      </w:pPr>
    </w:p>
    <w:p>
      <w:pPr>
        <w:ind w:right="120" w:firstLine="656"/>
        <w:spacing w:after="0" w:line="282" w:lineRule="auto"/>
        <w:tabs>
          <w:tab w:leader="none" w:pos="1296"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The Company shall at all times reserve for issuance or delivery upon exercise of the Stock Option such number of Common Shares as shall be required for issuance or delivery upon exercise thereof.</w:t>
      </w:r>
    </w:p>
    <w:p>
      <w:pPr>
        <w:spacing w:after="0" w:line="161" w:lineRule="exact"/>
        <w:rPr>
          <w:rFonts w:ascii="Times New Roman" w:cs="Times New Roman" w:eastAsia="Times New Roman" w:hAnsi="Times New Roman"/>
          <w:sz w:val="18"/>
          <w:szCs w:val="18"/>
          <w:color w:val="auto"/>
        </w:rPr>
      </w:pPr>
    </w:p>
    <w:p>
      <w:pPr>
        <w:ind w:firstLine="656"/>
        <w:spacing w:after="0" w:line="255" w:lineRule="auto"/>
        <w:tabs>
          <w:tab w:leader="none" w:pos="1296"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 Discretion</w:t>
      </w:r>
      <w:r>
        <w:rPr>
          <w:rFonts w:ascii="Times New Roman" w:cs="Times New Roman" w:eastAsia="Times New Roman" w:hAnsi="Times New Roman"/>
          <w:sz w:val="18"/>
          <w:szCs w:val="18"/>
          <w:color w:val="auto"/>
        </w:rPr>
        <w:t>. Except as may otherwise be provided in the Plan, the Committee shall have sole discretion to (a) interpret any provision of the Plan, the Grant Notice and these Award Terms, (b) make any determinations necessary or advisable for the administration of the Plan and the Award, and (c) waive any conditions or rights of the Company under the Award, the Grant Notice or these Award Terms. Without intending to limit the generality or effect of the foregoing, any decision or determination to be made by the Committee pursuant to these Award Terms, including whether to grant or withhold any consent, shall be made by the Committee in its sole and absolute discretion, subject only to the terms of the Plan. Subject to the terms of the Plan, the Committee may amend the terms of the Award prospectively or retroactively; however, no such amendment may materially and adversely affect the rights of the Holder taken as a whole without the Holder’s consent. Without intending to limit the generality or effect of the foregoing, the Committee may amend the terms of the Award (i) in</w:t>
      </w:r>
    </w:p>
    <w:p>
      <w:pPr>
        <w:spacing w:after="0" w:line="1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91" w:name="page292"/>
    <w:bookmarkEnd w:id="291"/>
    <w:p>
      <w:pPr>
        <w:spacing w:after="0" w:line="261" w:lineRule="auto"/>
        <w:rPr>
          <w:sz w:val="20"/>
          <w:szCs w:val="20"/>
          <w:color w:val="auto"/>
        </w:rPr>
      </w:pPr>
      <w:r>
        <w:rPr>
          <w:rFonts w:ascii="Times New Roman" w:cs="Times New Roman" w:eastAsia="Times New Roman" w:hAnsi="Times New Roman"/>
          <w:sz w:val="18"/>
          <w:szCs w:val="18"/>
          <w:color w:val="auto"/>
        </w:rPr>
        <w:t>recognition of unusual or nonrecurring events (including, without limitation, events described in Section 9 hereof) affecting any entity in the Company Group or any of the Company’s other affiliates or the financial statements of any entity in the Company Group or any of the Company’s other affiliates, (ii) in response to changes in applicable laws, regulations or accounting principles and interpretations thereof, or (iii) to prevent the Award from becoming subject to Section 409A.</w:t>
      </w:r>
    </w:p>
    <w:p>
      <w:pPr>
        <w:spacing w:after="0" w:line="180" w:lineRule="exact"/>
        <w:rPr>
          <w:sz w:val="20"/>
          <w:szCs w:val="20"/>
          <w:color w:val="auto"/>
        </w:rPr>
      </w:pPr>
    </w:p>
    <w:p>
      <w:pPr>
        <w:ind w:right="80" w:firstLine="656"/>
        <w:spacing w:after="0" w:line="255" w:lineRule="auto"/>
        <w:tabs>
          <w:tab w:leader="none" w:pos="129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Notwithstanding anything to the contrary contained herein, pursuant to Section 13 of the Plan, the Committee will make or provide for such adjustments to the Award as are equitably required to prevent dilution or enlargement of the rights of the Holder that otherwise would result from (a) any stock dividend, extraordinary dividend, stock split, combination of shares, recapitalization or other change in the capital structure of the Company, (b) any change of control, merger, consolidation, spin-off, split-off,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 alternative consideration (including, without limitation, cash), if any, as it may determine to be equitable in the circumstances and may require in connection therewith the surrender of the Award.</w:t>
      </w:r>
    </w:p>
    <w:p>
      <w:pPr>
        <w:spacing w:after="0" w:line="185" w:lineRule="exact"/>
        <w:rPr>
          <w:rFonts w:ascii="Times New Roman" w:cs="Times New Roman" w:eastAsia="Times New Roman" w:hAnsi="Times New Roman"/>
          <w:sz w:val="18"/>
          <w:szCs w:val="18"/>
          <w:color w:val="auto"/>
        </w:rPr>
      </w:pPr>
    </w:p>
    <w:p>
      <w:pPr>
        <w:ind w:right="60" w:firstLine="656"/>
        <w:spacing w:after="0" w:line="254" w:lineRule="auto"/>
        <w:tabs>
          <w:tab w:leader="none" w:pos="1292"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and Listing</w:t>
      </w:r>
      <w:r>
        <w:rPr>
          <w:rFonts w:ascii="Times New Roman" w:cs="Times New Roman" w:eastAsia="Times New Roman" w:hAnsi="Times New Roman"/>
          <w:sz w:val="18"/>
          <w:szCs w:val="18"/>
          <w:color w:val="auto"/>
        </w:rPr>
        <w:t>. Notwithstanding anything to the contrary contained herein, the Stock Option may not be exercised, and the Stock Option and Shares purchasable upon exercise of the Stock Option may not be purchased, sold, assigned, transferred, pledged, hypothecated or otherwise disposed of or encumbered in any way, unless such transaction is in compliance with all Exercise Rules and Regulations. The Company is under no obligation to register, qualify or list, or maintain the registration, qualification or listing of, the Stock Option or Shares with the SEC, any state securities commission or any securities exchange, securities association, market system or quotation system to effect such compliance. The Holder shall make such representations and furnish such information as may be appropriate to permit the Company, in light of the then existence or non-existence of an effective registration statement under the Securities Act relating to the Stock Option or Shares, to issue or transfer the Stock Option or Shares in compliance with the provisions of that or any comparable federal securities law and all applicable state securities laws. The Company shall have the right, but not the obligation, to register the issuance or resale of the Stock Option or Shares under the Securities Act or any comparable federal securities law or applicable state securities law.</w:t>
      </w:r>
    </w:p>
    <w:p>
      <w:pPr>
        <w:spacing w:after="0" w:line="186" w:lineRule="exact"/>
        <w:rPr>
          <w:rFonts w:ascii="Times New Roman" w:cs="Times New Roman" w:eastAsia="Times New Roman" w:hAnsi="Times New Roman"/>
          <w:sz w:val="18"/>
          <w:szCs w:val="18"/>
          <w:color w:val="auto"/>
        </w:rPr>
      </w:pPr>
    </w:p>
    <w:p>
      <w:pPr>
        <w:ind w:right="100" w:firstLine="656"/>
        <w:spacing w:after="0" w:line="256" w:lineRule="auto"/>
        <w:tabs>
          <w:tab w:leader="none" w:pos="128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xml:space="preserve">. Subject to the terms of the Plan and only with the Company’s consent, the Holder may transfer all or part of the Stock Option for estate planning purposes or pursuant to a domestic relations order;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transferee shall be bound by all of the terms and conditions of the Plan, the Grant Notice and these Award Terms and shall execute an agreement in form and substance satisfactory to the Company in connection with such transfer;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Holder will remain bound by the terms and conditions of the Plan, the Grant Notice and these Award Terms. Except as otherwise permitted under the Plan or this Section 11, the Stock Option shall not be transferable by the Holder other than by will or the laws of descent and distribution.</w:t>
      </w:r>
    </w:p>
    <w:p>
      <w:pPr>
        <w:spacing w:after="0" w:line="187" w:lineRule="exact"/>
        <w:rPr>
          <w:rFonts w:ascii="Times New Roman" w:cs="Times New Roman" w:eastAsia="Times New Roman" w:hAnsi="Times New Roman"/>
          <w:sz w:val="18"/>
          <w:szCs w:val="18"/>
          <w:color w:val="auto"/>
        </w:rPr>
      </w:pPr>
    </w:p>
    <w:p>
      <w:pPr>
        <w:ind w:right="460" w:firstLine="656"/>
        <w:spacing w:after="0" w:line="282" w:lineRule="auto"/>
        <w:tabs>
          <w:tab w:leader="none" w:pos="1292"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Violation</w:t>
      </w:r>
      <w:r>
        <w:rPr>
          <w:rFonts w:ascii="Times New Roman" w:cs="Times New Roman" w:eastAsia="Times New Roman" w:hAnsi="Times New Roman"/>
          <w:sz w:val="18"/>
          <w:szCs w:val="18"/>
          <w:color w:val="auto"/>
        </w:rPr>
        <w:t>. In the event of an Employment Violation, the Company shall have the right to require (a) the termination and cancellation of the Stock Option, whether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8" w:right="259" w:bottom="1440" w:gutter="0" w:footer="0" w:header="0"/>
        </w:sectPr>
      </w:pPr>
    </w:p>
    <w:bookmarkStart w:id="292" w:name="page293"/>
    <w:bookmarkEnd w:id="292"/>
    <w:p>
      <w:pPr>
        <w:spacing w:after="0" w:line="256" w:lineRule="auto"/>
        <w:rPr>
          <w:sz w:val="20"/>
          <w:szCs w:val="20"/>
          <w:color w:val="auto"/>
        </w:rPr>
      </w:pPr>
      <w:r>
        <w:rPr>
          <w:rFonts w:ascii="Times New Roman" w:cs="Times New Roman" w:eastAsia="Times New Roman" w:hAnsi="Times New Roman"/>
          <w:sz w:val="18"/>
          <w:szCs w:val="18"/>
          <w:color w:val="auto"/>
        </w:rPr>
        <w:t xml:space="preserve">vested or unvested, and (b) payment by the Holder to the Company of the Recapture Amount with respect to such Employment Violation;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lieu of payment by the Holder to the Company of the Recapture Amount, the Holder, in his or her discretion, may tender to the Company the Shares acquired upon exercise of the Stock Option during the Look-back Period with respect to such Employment Violation (without any consideration from the Company in exchange therefor). Any such termination of the Stock Option and payment of the Recapture Amount, as the case may be, shall be in addition to, and not in lieu of, any other right or remedy available to the Company arising out of or in connection with such Employment Violation, including, without limitation, the right to terminate the Holder’s employment if not already terminated and to seek injunctive relief and additional monetary damages.</w:t>
      </w:r>
    </w:p>
    <w:p>
      <w:pPr>
        <w:spacing w:after="0" w:line="188" w:lineRule="exact"/>
        <w:rPr>
          <w:sz w:val="20"/>
          <w:szCs w:val="20"/>
          <w:color w:val="auto"/>
        </w:rPr>
      </w:pPr>
    </w:p>
    <w:p>
      <w:pPr>
        <w:ind w:left="1300" w:hanging="644"/>
        <w:spacing w:after="0"/>
        <w:tabs>
          <w:tab w:leader="none" w:pos="130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Applicable Laws and Regulations and Company Policies and Procedures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0" w:firstLine="1305"/>
        <w:spacing w:after="0" w:line="282" w:lineRule="auto"/>
        <w:tabs>
          <w:tab w:leader="none" w:pos="1942"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is responsible for complying with (i) any federal, state and local taxation laws applicable to the Holder in connection with the Award and (ii) all Exercise Rules and Regulations.</w:t>
      </w:r>
    </w:p>
    <w:p>
      <w:pPr>
        <w:spacing w:after="0" w:line="161" w:lineRule="exact"/>
        <w:rPr>
          <w:rFonts w:ascii="Times New Roman" w:cs="Times New Roman" w:eastAsia="Times New Roman" w:hAnsi="Times New Roman"/>
          <w:sz w:val="18"/>
          <w:szCs w:val="18"/>
          <w:color w:val="auto"/>
        </w:rPr>
      </w:pPr>
    </w:p>
    <w:p>
      <w:pPr>
        <w:ind w:firstLine="1305"/>
        <w:spacing w:after="0" w:line="266" w:lineRule="auto"/>
        <w:tabs>
          <w:tab w:leader="none" w:pos="1952"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is subject to the terms and conditions of any policy requiring or permitting the Company to recover any gains realized by the Holder in connection with the Award, including, without limitation, the Policy on Recoupment of Performance-Based Compensation Related to Certain Financial Restatements.</w:t>
      </w:r>
    </w:p>
    <w:p>
      <w:pPr>
        <w:spacing w:after="0" w:line="176" w:lineRule="exact"/>
        <w:rPr>
          <w:rFonts w:ascii="Times New Roman" w:cs="Times New Roman" w:eastAsia="Times New Roman" w:hAnsi="Times New Roman"/>
          <w:sz w:val="18"/>
          <w:szCs w:val="18"/>
          <w:color w:val="auto"/>
        </w:rPr>
      </w:pPr>
    </w:p>
    <w:p>
      <w:pPr>
        <w:ind w:right="480" w:firstLine="1305"/>
        <w:spacing w:after="0" w:line="282" w:lineRule="auto"/>
        <w:tabs>
          <w:tab w:leader="none" w:pos="1955"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is subject to the terms and conditions of the Executive Stock Ownership Guidelines and the limitations contained therein on the ability of the Holder to transfer any Shares acquired upon exercise of the Stock Option.</w:t>
      </w:r>
    </w:p>
    <w:p>
      <w:pPr>
        <w:spacing w:after="0" w:line="161" w:lineRule="exact"/>
        <w:rPr>
          <w:rFonts w:ascii="Times New Roman" w:cs="Times New Roman" w:eastAsia="Times New Roman" w:hAnsi="Times New Roman"/>
          <w:sz w:val="18"/>
          <w:szCs w:val="18"/>
          <w:color w:val="auto"/>
        </w:rPr>
      </w:pPr>
    </w:p>
    <w:p>
      <w:pPr>
        <w:ind w:right="20" w:firstLine="656"/>
        <w:spacing w:after="0" w:line="254" w:lineRule="auto"/>
        <w:tabs>
          <w:tab w:leader="none" w:pos="1292"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xml:space="preserve">. As the Exercise Price is equal to the fair market value of a Share on the Date of Grant, payments contemplated with respect to the Award are intended to be exempt from Section 409A, and all provisions of the Plan, the Grant Notice and these Award Terms shall be construed and interpreted in a manner consistent with the requirements for avoiding taxes or penalties under Section 409A. Notwithstanding the foregoing, (a) nothing in the Plan, the Grant Notice and these Award Terms shall guarantee that the Award is not subject to taxes or penalties under Section 409A and (b) if any provision of the Plan, the Grant Notice or these Award Terms would, in the reasonable, good faith judgment of the Company, result or likely result in the imposition on the Holder or any other person of taxes, interest or penalties under Section 409A, the Committee may, in its sole discretion, modify the terms of the Plan, the Grant Notice or these Award Terms, without the consent of the Holder, in the manner that the Committee may reasonably and in good faith determine to be necessary or advisable to avoid the imposition of such taxes, interest or penalties;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Section 13 does not create an obligation on the part of the Committee or the Company to make any such modification, and in no event shall the Company be liable for the payment of or gross up in connection with any taxes, interest or penalties owed by the Holder pursuant to Section 409A.</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93" w:name="page294"/>
    <w:bookmarkEnd w:id="293"/>
    <w:p>
      <w:pPr>
        <w:ind w:left="-40" w:firstLine="656"/>
        <w:spacing w:after="0" w:line="282" w:lineRule="auto"/>
        <w:tabs>
          <w:tab w:leader="none" w:pos="1252"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The Company may, if determined by it based on the advice of counsel to be appropriate, cause any certificate evidencing Shares to bear a legend substantially as follows:</w:t>
      </w:r>
    </w:p>
    <w:p>
      <w:pPr>
        <w:spacing w:after="0" w:line="162" w:lineRule="exact"/>
        <w:rPr>
          <w:sz w:val="20"/>
          <w:szCs w:val="20"/>
          <w:color w:val="auto"/>
        </w:rPr>
      </w:pPr>
    </w:p>
    <w:p>
      <w:pPr>
        <w:ind w:left="620" w:right="220"/>
        <w:spacing w:after="0" w:line="266" w:lineRule="auto"/>
        <w:rPr>
          <w:sz w:val="20"/>
          <w:szCs w:val="20"/>
          <w:color w:val="auto"/>
        </w:rPr>
      </w:pPr>
      <w:r>
        <w:rPr>
          <w:rFonts w:ascii="Times New Roman" w:cs="Times New Roman" w:eastAsia="Times New Roman" w:hAnsi="Times New Roman"/>
          <w:sz w:val="18"/>
          <w:szCs w:val="18"/>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pacing w:after="0" w:line="176" w:lineRule="exact"/>
        <w:rPr>
          <w:sz w:val="20"/>
          <w:szCs w:val="20"/>
          <w:color w:val="auto"/>
        </w:rPr>
      </w:pPr>
    </w:p>
    <w:p>
      <w:pPr>
        <w:ind w:left="-40" w:right="80" w:firstLine="656"/>
        <w:spacing w:after="0" w:line="266" w:lineRule="auto"/>
        <w:tabs>
          <w:tab w:leader="none" w:pos="1252"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Employment</w:t>
      </w:r>
      <w:r>
        <w:rPr>
          <w:rFonts w:ascii="Times New Roman" w:cs="Times New Roman" w:eastAsia="Times New Roman" w:hAnsi="Times New Roman"/>
          <w:sz w:val="18"/>
          <w:szCs w:val="18"/>
          <w:color w:val="auto"/>
        </w:rPr>
        <w:t>. Nothing contained in the Grant Notice or these Award Terms shall be construed to confer upon the Holder any right to be continued in the employ of any entity in the Company Group or derogate from any right of any entity in the Company Group to retire, request the resignation of, or discharge the Holder at any time, with or without Cause.</w:t>
      </w:r>
    </w:p>
    <w:p>
      <w:pPr>
        <w:spacing w:after="0" w:line="176" w:lineRule="exact"/>
        <w:rPr>
          <w:rFonts w:ascii="Times New Roman" w:cs="Times New Roman" w:eastAsia="Times New Roman" w:hAnsi="Times New Roman"/>
          <w:sz w:val="18"/>
          <w:szCs w:val="18"/>
          <w:color w:val="auto"/>
        </w:rPr>
      </w:pPr>
    </w:p>
    <w:p>
      <w:pPr>
        <w:ind w:left="-40" w:right="20" w:firstLine="656"/>
        <w:spacing w:after="0" w:line="266" w:lineRule="auto"/>
        <w:tabs>
          <w:tab w:leader="none" w:pos="1252"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w:t>
      </w:r>
      <w:r>
        <w:rPr>
          <w:rFonts w:ascii="Times New Roman" w:cs="Times New Roman" w:eastAsia="Times New Roman" w:hAnsi="Times New Roman"/>
          <w:sz w:val="18"/>
          <w:szCs w:val="18"/>
          <w:color w:val="auto"/>
        </w:rPr>
        <w:t>. No holder of the Stock Option shall, by virtue of the Grant Notice or these Award Terms, be entitled to any right of a stockholder of the Company, either at law or in equity, and the rights of any such holder are limited to those expressed, and are not enforceable against the Company except to the extent set forth, in the Plan, the Grant Notice or these Award Terms.</w:t>
      </w:r>
    </w:p>
    <w:p>
      <w:pPr>
        <w:spacing w:after="0" w:line="176" w:lineRule="exact"/>
        <w:rPr>
          <w:rFonts w:ascii="Times New Roman" w:cs="Times New Roman" w:eastAsia="Times New Roman" w:hAnsi="Times New Roman"/>
          <w:sz w:val="18"/>
          <w:szCs w:val="18"/>
          <w:color w:val="auto"/>
        </w:rPr>
      </w:pPr>
    </w:p>
    <w:p>
      <w:pPr>
        <w:ind w:left="-40" w:right="240" w:firstLine="656"/>
        <w:spacing w:after="0" w:line="266" w:lineRule="auto"/>
        <w:tabs>
          <w:tab w:leader="none" w:pos="1252"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76" w:lineRule="exact"/>
        <w:rPr>
          <w:rFonts w:ascii="Times New Roman" w:cs="Times New Roman" w:eastAsia="Times New Roman" w:hAnsi="Times New Roman"/>
          <w:sz w:val="18"/>
          <w:szCs w:val="18"/>
          <w:color w:val="auto"/>
        </w:rPr>
      </w:pPr>
    </w:p>
    <w:p>
      <w:pPr>
        <w:ind w:left="1260" w:hanging="644"/>
        <w:spacing w:after="0"/>
        <w:tabs>
          <w:tab w:leader="none" w:pos="12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Venue and Governing Law</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 w:right="20" w:firstLine="1305"/>
        <w:spacing w:after="0" w:line="261" w:lineRule="auto"/>
        <w:tabs>
          <w:tab w:leader="none" w:pos="1821"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litigating any dispute that arises directly or indirectly from the relationship of the parties evidenced by the grant of the Stock Option or these Award Terms, the parties submit and consent to the exclusive jurisdiction of the State of California and agree that such litigation shall be conducted only in the courts of Los Angeles County, California or the federal courts of the United States for the Central District of California, and no other courts, regardless of where the grant of the Stock Option is made and/or to be performed.</w:t>
      </w:r>
    </w:p>
    <w:p>
      <w:pPr>
        <w:spacing w:after="0" w:line="180" w:lineRule="exact"/>
        <w:rPr>
          <w:rFonts w:ascii="Times New Roman" w:cs="Times New Roman" w:eastAsia="Times New Roman" w:hAnsi="Times New Roman"/>
          <w:sz w:val="18"/>
          <w:szCs w:val="18"/>
          <w:color w:val="auto"/>
        </w:rPr>
      </w:pPr>
    </w:p>
    <w:p>
      <w:pPr>
        <w:ind w:left="-40" w:right="340" w:firstLine="1305"/>
        <w:spacing w:after="0" w:line="313" w:lineRule="auto"/>
        <w:tabs>
          <w:tab w:leader="none" w:pos="1831" w:val="left"/>
        </w:tabs>
        <w:numPr>
          <w:ilvl w:val="1"/>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federal law does not otherwise control, the validity, interpretation, performance and enforcement of the Grant Notice and these Award Terms shall be governed by the laws of the State of Delaware, without giving effect to principles of conflicts of laws thereof.</w:t>
      </w:r>
    </w:p>
    <w:p>
      <w:pPr>
        <w:spacing w:after="0" w:line="138" w:lineRule="exact"/>
        <w:rPr>
          <w:rFonts w:ascii="Times New Roman" w:cs="Times New Roman" w:eastAsia="Times New Roman" w:hAnsi="Times New Roman"/>
          <w:sz w:val="17"/>
          <w:szCs w:val="17"/>
          <w:color w:val="auto"/>
        </w:rPr>
      </w:pPr>
    </w:p>
    <w:p>
      <w:pPr>
        <w:ind w:left="-40" w:right="100" w:firstLine="656"/>
        <w:spacing w:after="0" w:line="266" w:lineRule="auto"/>
        <w:tabs>
          <w:tab w:leader="none" w:pos="1252"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provisions of the Grant Notice and these Award Terms shall be binding upon and inure to the benefit of the Company, its successors and assigns, and the Holder and, to the extent applicable, the Holder’s permitted assigns under Section 3(b) hereof and the Holder’s estate or beneficiaries as determined by will or the laws of descent and distribution.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83820</wp:posOffset>
            </wp:positionV>
            <wp:extent cx="72675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80" w:top="338" w:right="279" w:bottom="1440" w:gutter="0" w:footer="0" w:header="0"/>
        </w:sectPr>
      </w:pPr>
    </w:p>
    <w:bookmarkStart w:id="294" w:name="page295"/>
    <w:bookmarkEnd w:id="294"/>
    <w:p>
      <w:pPr>
        <w:ind w:left="1300" w:hanging="644"/>
        <w:spacing w:after="0"/>
        <w:tabs>
          <w:tab w:leader="none" w:pos="130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 w:firstLine="1305"/>
        <w:spacing w:after="0" w:line="261" w:lineRule="auto"/>
        <w:tabs>
          <w:tab w:leader="none" w:pos="1861"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document which the Holder may be required or permitted to deliver to the Company pursuant to or in connection with the Grant Notice or these Award Terms shall be in writing, and may be delivered personally or by mail, postage prepaid, or overnight courier, addressed to the Company, at its office at 3100 Ocean Park Boulevard, Santa Monica, California 90405, Attn: Stock Plan Administration, or such other address as the Company by notice to the Holder may designate in writing from time to time. Notices shall be effective upon delivery.</w:t>
      </w:r>
    </w:p>
    <w:p>
      <w:pPr>
        <w:spacing w:after="0" w:line="180" w:lineRule="exact"/>
        <w:rPr>
          <w:rFonts w:ascii="Times New Roman" w:cs="Times New Roman" w:eastAsia="Times New Roman" w:hAnsi="Times New Roman"/>
          <w:sz w:val="18"/>
          <w:szCs w:val="18"/>
          <w:color w:val="auto"/>
        </w:rPr>
      </w:pPr>
    </w:p>
    <w:p>
      <w:pPr>
        <w:ind w:firstLine="1305"/>
        <w:spacing w:after="0" w:line="255" w:lineRule="auto"/>
        <w:tabs>
          <w:tab w:leader="none" w:pos="1871"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document which the Company may be required or permitted to deliver to the Holder pursuant to or in connection with the Grant Notice or these Award Terms shall be in writing, and may be delivered personally or by mail, postage prepaid, or overnight courier, addressed to the Holder at the address shown on the Employment Agreement, or such other address as the Holder by notice to the Company may designate in writing from time to time. The Company may also, in its sole discretion, deliver any such document to the Holder electronically via an e-mail to the Holder at his or her Company-provided email address or through a notice delivered to such e-mail address that such document is available on a website established and maintained on behalf of the Company or a third party designated by the Company, including, without limitation, the Equity Account Administrator. Notices shall be effective upon delivery.</w:t>
      </w:r>
    </w:p>
    <w:p>
      <w:pPr>
        <w:spacing w:after="0" w:line="189" w:lineRule="exact"/>
        <w:rPr>
          <w:rFonts w:ascii="Times New Roman" w:cs="Times New Roman" w:eastAsia="Times New Roman" w:hAnsi="Times New Roman"/>
          <w:sz w:val="18"/>
          <w:szCs w:val="18"/>
          <w:color w:val="auto"/>
        </w:rPr>
      </w:pPr>
    </w:p>
    <w:p>
      <w:pPr>
        <w:ind w:right="60" w:firstLine="656"/>
        <w:spacing w:after="0" w:line="282" w:lineRule="auto"/>
        <w:tabs>
          <w:tab w:leader="none" w:pos="1292"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with Employment Agreement or Plan</w:t>
      </w:r>
      <w:r>
        <w:rPr>
          <w:rFonts w:ascii="Times New Roman" w:cs="Times New Roman" w:eastAsia="Times New Roman" w:hAnsi="Times New Roman"/>
          <w:sz w:val="18"/>
          <w:szCs w:val="18"/>
          <w:color w:val="auto"/>
        </w:rPr>
        <w:t>. In the event of any conflict between the terms of the Employment Agreement and the terms of the Grant Notice or these Award Terms and/or the terms of the Plan, the terms of the Employment Agreement, shall control.</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1292"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Imposition of Other Requirements</w:t>
      </w:r>
      <w:r>
        <w:rPr>
          <w:rFonts w:ascii="Times New Roman" w:cs="Times New Roman" w:eastAsia="Times New Roman" w:hAnsi="Times New Roman"/>
          <w:sz w:val="18"/>
          <w:szCs w:val="18"/>
          <w:color w:val="auto"/>
        </w:rPr>
        <w:t>. The Company reserves the right to impose other requirements on the Holder’s participation in the Plan, on the Stock Option and on any Shares acquired under the Plan, to the extent the Company determines it is necessary or advisable in order to facilitate the administration of the Plan, and to require the Holder to sign any additional agreements or undertakings that may be necessary to accomplish the foregoing.</w:t>
      </w:r>
    </w:p>
    <w:p>
      <w:pPr>
        <w:spacing w:after="0" w:line="176" w:lineRule="exact"/>
        <w:rPr>
          <w:rFonts w:ascii="Times New Roman" w:cs="Times New Roman" w:eastAsia="Times New Roman" w:hAnsi="Times New Roman"/>
          <w:sz w:val="18"/>
          <w:szCs w:val="18"/>
          <w:color w:val="auto"/>
        </w:rPr>
      </w:pPr>
    </w:p>
    <w:p>
      <w:pPr>
        <w:ind w:right="40" w:firstLine="656"/>
        <w:spacing w:after="0" w:line="266" w:lineRule="auto"/>
        <w:tabs>
          <w:tab w:leader="none" w:pos="1292"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Holder acknowledges that a waiver by the Company of a breach of any provision of these Award Terms shall not operate or be construed as a waiver of any other provision of these Award Terms, or of any subsequent breach by the Holder or any other holder of an equity award from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95" w:name="page296"/>
    <w:bookmarkEnd w:id="295"/>
    <w:p>
      <w:pPr>
        <w:jc w:val="right"/>
        <w:spacing w:after="0"/>
        <w:rPr>
          <w:sz w:val="20"/>
          <w:szCs w:val="20"/>
          <w:color w:val="auto"/>
        </w:rPr>
      </w:pPr>
      <w:r>
        <w:rPr>
          <w:rFonts w:ascii="Times New Roman" w:cs="Times New Roman" w:eastAsia="Times New Roman" w:hAnsi="Times New Roman"/>
          <w:sz w:val="18"/>
          <w:szCs w:val="18"/>
          <w:b w:val="1"/>
          <w:bCs w:val="1"/>
          <w:color w:val="auto"/>
        </w:rPr>
        <w:t>Exhibit 10.28</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3,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Mike,</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Please find below the terms and conditions of your continued employment with Activision Blizzard, Inc. (the “Company”) (together with its subsidiaries, the “Company Group”).</w:t>
      </w:r>
    </w:p>
    <w:p>
      <w:pPr>
        <w:spacing w:after="0" w:line="162"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You will continue to be an at-will employee of the Company, meaning that either the Company or you may terminate your employment with the Company with cause upon immediate notice or without cause upon ninety (90) days prior notice. The Company will determine all of its internal and external communications regarding your separation from the Company and the corresponding leadership transition, after meaningful consultation with you in a manner consistent with the Company’s customary processes for clearing and disseminating important communications. Without limiting either of our respective rights to terminate your at will employment at any time for any reason, both the Company and you have a present intention to continue your employment through the end of March, 2019. If prior to the end of March, 2019, either of us decides to terminate your employment, both of us agree to engage in a meaningful consultation prior to any final determination being made.</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Effective October 17, 2018, you will serve as, and have the title of, Advisor, reporting to the Chief Operating Officer of the Company. You will no longer be required to fulfill the responsibilities nor have the title of Chief Executive Officer or any title other than Advisor. Consistent with your change in responsibilities, you will resign from any office or directorship you have with any member of the Company Group.</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your new role as Advisor, your responsibilities will include providing strategic advice and counsel to senior executives of Company Group. You will not be required to keep regular office or work hours, but will make reasonable efforts to be available to such executives, usually with advance notice.</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consideration of your fulfilling your responsibilities as Advisor, and subject to your being employed in good standing by the Company, your already granted equity (as set forth on Schedule1) will continue to be eligible for vesting according to the terms and conditions of the award agreements and other governing documents for such equity. If you are no longer employed by the Company, then your unvested equity will be canceled and your vested equity will be handled consistent with the terms and conditions of the applicable award agreements and other governing documents.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During the term of your employment through December 31, 2018, you will receive your current base salary. If your employment continues thereafter, you will receive a base salary of $2,500 per month. In each case, your base salary will be subject to taxes and withholding. Moreover, if you continue to be an employee in good standing through December 31, 2018, and are otherwise not in breach of this letter agreement, then you will receive a bonus payment with respect to your service during 2018 in an aggregate amount not less than 3.5% of the Blizzard Profit Sharing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96" w:name="page297"/>
    <w:bookmarkEnd w:id="296"/>
    <w:p>
      <w:pPr>
        <w:spacing w:after="0" w:line="266" w:lineRule="auto"/>
        <w:rPr>
          <w:sz w:val="20"/>
          <w:szCs w:val="20"/>
          <w:color w:val="auto"/>
        </w:rPr>
      </w:pPr>
      <w:r>
        <w:rPr>
          <w:rFonts w:ascii="Times New Roman" w:cs="Times New Roman" w:eastAsia="Times New Roman" w:hAnsi="Times New Roman"/>
          <w:sz w:val="18"/>
          <w:szCs w:val="18"/>
          <w:color w:val="auto"/>
        </w:rPr>
        <w:t>Plan and a CAIP bonus payment in an amount calculated in the same way as similarly situated executives (subject to the applicable metrics/goals for such payment being satisfied); any such bonus amounts shall be paid not later than the date on which such bonuses are paid to other executives, whether or not you are employed by the Company on the date of such payment.</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an employee, you will continue to have a duty of loyalty and fiduciary duties to the Company Group. You will continue to be bound and abide by the Company’s Code of Conduct and the policies of the Company Group, including, without limitation, those related to conflicts of interest. Accordingly, without the Company’s prior written consent, which may be exercised in its sole discretion, while you are employed by the Company, you may not be employed by or in any way provide services to any third parties or engage in any competitive or for-profit activities of any kind for your own benefit or for the benefit of any third party, other than customary investments of less than five percent (5%) of the outstanding equity of any publicly traded company.</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your employment, you will not, at any time or for any reason, either alone or jointly, with or on behalf of others, whether as principal, partner, agent, representative, equity holder, director, employee, consultant or otherwise, directly or indirectly: (a) offer employment to, or solicit the employment or engagement of, or otherwise entice away from the employment or engagement of the Company Group, either for your own account or for any other person, firm or company, any person employed or otherwise engaged by any entity in the Company Group, whether or not such person would commit any breach of a contract by reason of his or her leaving the service of the Company Group; or (b) solicit, induce or entice any client, customer, contractor, licensor, agent, supplier, partner or other business relationship of any entity in the Company Group to terminate, discontinue, renegotiate or otherwise cease or modify its relationship with the Company Group.</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the period following the termination of your employment for any reason whatsoever, through June 30, 2019, you will not, at any time or for any reason, either alone or jointly, with or on behalf of others, whether as principal, partner, agent, representative, equity holder, director, employee, consultant or otherwise, directly or indirectly solicit the employment or engagement of, either for your own account or for any other person, firm or company, any fulltime employee of any entity in the Company Group, whether or not such person would commit any breach of a contract by reason of his or her leaving the service of the Company Group, provided that this provision shall not be interpreted to prevent the hiring, on behalf of your own account or any other person, firm or company, any of such persons so long as you have not violated the terms and conditions of this letter agreement.</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your employment and at all times following the termination of your employment for any reason whatsoever, you will not, at any time or for any reason, use the confidential, trade secret information of the Company Group or any other unlawful means to directly or indirectly solicit, induce or entice any client, customer, contractor, licensor, agent, supplier, partner or other business relationship of any entity in the Company Group to terminate, discontinue, renegotiate or otherwise cease or modify its relationship with the Company Group.</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8" w:right="279" w:bottom="1440" w:gutter="0" w:footer="0" w:header="0"/>
        </w:sectPr>
      </w:pPr>
    </w:p>
    <w:bookmarkStart w:id="297" w:name="page298"/>
    <w:bookmarkEnd w:id="297"/>
    <w:p>
      <w:pPr>
        <w:spacing w:after="0" w:line="266" w:lineRule="auto"/>
        <w:rPr>
          <w:sz w:val="20"/>
          <w:szCs w:val="20"/>
          <w:color w:val="auto"/>
        </w:rPr>
      </w:pPr>
      <w:r>
        <w:rPr>
          <w:rFonts w:ascii="Times New Roman" w:cs="Times New Roman" w:eastAsia="Times New Roman" w:hAnsi="Times New Roman"/>
          <w:sz w:val="18"/>
          <w:szCs w:val="18"/>
          <w:color w:val="auto"/>
        </w:rPr>
        <w:t>You expressly acknowledge and agree that the restrictions contained in this letter are reasonably tailored to protect the Company Group’s confidential information and trade secrets and to ensure that you do not violate your duty of loyalty or any other fiduciary duty to the Company Group, and are reasonable in all circumstances in scope, duration and all other respects.</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During your employment and through December 31, 2019, you agree not to criticize, denigrate or otherwise disparage the Company, all current and former parents, subsidiaries, related companies, partnerships, joint ventures, or other affiliates, and, with respect to each of them, their predecessors and successors; and, with respect to each such entity, all employees (past and present), all of its past, present, and future officers, directors, and owners, (together, all of the foregoing shall be referenced as the “Non-Disparaged Parties”), or any of the Non-Disparaged Party’s products, processes, experiments, policies, practices, standards of business conduct, or areas or techniques of research. However, nothing in this subsection shall prohibit you from (a) complying with any lawful subpoena or court order or taking any other actions affirmatively authorized by law or making a truthful representation in connection with a report or complaint to an administrative agency; (b) engaging in private discussions with family and friends or (c) responding truthfully and proportionately to any critical, denigrating or disparaging statements about you by any officer or authorized spokesperson of any entity within the Company Group.</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Nothing in this letter agreement will alter or amend any obligations either the Company or you may have to the other pursuant to your now expired 2007 employment agreement, as amended (the “Expired Employment Agreement”), specifically including, without limitation, the Company’s obligations to you in Section 14 and your obligations to the Company in Section 5(b) which remain in full force and effect. For the avoidance of doubt, the non-solicit and non-disparagement provisions hereof supersede any such provisions in the Expired Employment Agreement.</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legal action by the Company for violation of your non-solicit or non-disparagement provisions in this letter agreement must be initiated by the Company within one year after the expiration of such applicable provision (i.e. prior to July 1, 2020, in the case of the non-solicit provision and prior to January 1, 2021, in the case of the non-disparagement provision).</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confirms that this letter agreement has been duly authorized by all necessary corporate action on the part of the Company. Each of the Company and you confirm that this letter agreement is legally valid, binding and enforceable. This letter agreement and the terms and conditions of your at-will employment will be governed by and construed in accordance with the laws of the State of California.</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98" w:name="page299"/>
    <w:bookmarkEnd w:id="298"/>
    <w:p>
      <w:pPr>
        <w:ind w:left="57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ACTIVISION BLIZZARD, INC.</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Chris Walther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Chris Walther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Mike Morhaime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 Morhaime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0774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4">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0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8" w:right="1440" w:bottom="1440" w:gutter="0" w:footer="0" w:header="0"/>
        </w:sectPr>
      </w:pPr>
    </w:p>
    <w:bookmarkStart w:id="299" w:name="page300"/>
    <w:bookmarkEnd w:id="299"/>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Exhibit 21.1</w:t>
            </w:r>
          </w:p>
        </w:tc>
        <w:tc>
          <w:tcPr>
            <w:tcW w:w="0" w:type="dxa"/>
            <w:vAlign w:val="bottom"/>
          </w:tcPr>
          <w:p>
            <w:pPr>
              <w:spacing w:after="0"/>
              <w:rPr>
                <w:sz w:val="1"/>
                <w:szCs w:val="1"/>
                <w:color w:val="auto"/>
              </w:rPr>
            </w:pPr>
          </w:p>
        </w:tc>
      </w:tr>
      <w:tr>
        <w:trPr>
          <w:trHeight w:val="432"/>
        </w:trPr>
        <w:tc>
          <w:tcPr>
            <w:tcW w:w="2700" w:type="dxa"/>
            <w:vAlign w:val="bottom"/>
          </w:tcPr>
          <w:p>
            <w:pPr>
              <w:spacing w:after="0"/>
              <w:rPr>
                <w:sz w:val="24"/>
                <w:szCs w:val="24"/>
                <w:color w:val="auto"/>
              </w:rPr>
            </w:pPr>
          </w:p>
        </w:tc>
        <w:tc>
          <w:tcPr>
            <w:tcW w:w="87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MAJOR SUBSIDIARIES OF THE REGISTRANT AT DECEMBER 31, 2018</w:t>
            </w:r>
          </w:p>
        </w:tc>
        <w:tc>
          <w:tcPr>
            <w:tcW w:w="0" w:type="dxa"/>
            <w:vAlign w:val="bottom"/>
          </w:tcPr>
          <w:p>
            <w:pPr>
              <w:spacing w:after="0"/>
              <w:rPr>
                <w:sz w:val="1"/>
                <w:szCs w:val="1"/>
                <w:color w:val="auto"/>
              </w:rPr>
            </w:pPr>
          </w:p>
        </w:tc>
      </w:tr>
      <w:tr>
        <w:trPr>
          <w:trHeight w:val="340"/>
        </w:trPr>
        <w:tc>
          <w:tcPr>
            <w:tcW w:w="27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State or Other</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 of</w:t>
            </w:r>
          </w:p>
        </w:tc>
        <w:tc>
          <w:tcPr>
            <w:tcW w:w="0" w:type="dxa"/>
            <w:vAlign w:val="bottom"/>
          </w:tcPr>
          <w:p>
            <w:pPr>
              <w:spacing w:after="0"/>
              <w:rPr>
                <w:sz w:val="1"/>
                <w:szCs w:val="1"/>
                <w:color w:val="auto"/>
              </w:rPr>
            </w:pPr>
          </w:p>
        </w:tc>
      </w:tr>
      <w:tr>
        <w:trPr>
          <w:trHeight w:val="149"/>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6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 or</w:t>
            </w:r>
          </w:p>
        </w:tc>
        <w:tc>
          <w:tcPr>
            <w:tcW w:w="0" w:type="dxa"/>
            <w:vAlign w:val="bottom"/>
          </w:tcPr>
          <w:p>
            <w:pPr>
              <w:spacing w:after="0"/>
              <w:rPr>
                <w:sz w:val="1"/>
                <w:szCs w:val="1"/>
                <w:color w:val="auto"/>
              </w:rPr>
            </w:pPr>
          </w:p>
        </w:tc>
      </w:tr>
      <w:tr>
        <w:trPr>
          <w:trHeight w:val="173"/>
        </w:trPr>
        <w:tc>
          <w:tcPr>
            <w:tcW w:w="2700" w:type="dxa"/>
            <w:vAlign w:val="bottom"/>
            <w:vMerge w:val="continue"/>
          </w:tcPr>
          <w:p>
            <w:pPr>
              <w:spacing w:after="0"/>
              <w:rPr>
                <w:sz w:val="15"/>
                <w:szCs w:val="15"/>
                <w:color w:val="auto"/>
              </w:rPr>
            </w:pPr>
          </w:p>
        </w:tc>
        <w:tc>
          <w:tcPr>
            <w:tcW w:w="6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0" w:type="dxa"/>
            <w:vAlign w:val="bottom"/>
          </w:tcPr>
          <w:p>
            <w:pPr>
              <w:spacing w:after="0"/>
              <w:rPr>
                <w:sz w:val="1"/>
                <w:szCs w:val="1"/>
                <w:color w:val="auto"/>
              </w:rPr>
            </w:pPr>
          </w:p>
        </w:tc>
      </w:tr>
      <w:tr>
        <w:trPr>
          <w:trHeight w:val="210"/>
        </w:trPr>
        <w:tc>
          <w:tcPr>
            <w:tcW w:w="2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Activision Blizzard International BV</w:t>
            </w:r>
          </w:p>
        </w:tc>
        <w:tc>
          <w:tcPr>
            <w:tcW w:w="6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Activision Publishing, Inc.</w:t>
            </w:r>
          </w:p>
        </w:tc>
        <w:tc>
          <w:tcPr>
            <w:tcW w:w="6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U.S.-Delaware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ATVI C.V.</w:t>
            </w:r>
          </w:p>
        </w:tc>
        <w:tc>
          <w:tcPr>
            <w:tcW w:w="6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ATVI International SRL</w:t>
            </w:r>
          </w:p>
        </w:tc>
        <w:tc>
          <w:tcPr>
            <w:tcW w:w="6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Barbados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Blizzard Entertainment, Inc.</w:t>
            </w:r>
          </w:p>
        </w:tc>
        <w:tc>
          <w:tcPr>
            <w:tcW w:w="6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Blizzard Entertainment SAS</w:t>
            </w:r>
          </w:p>
        </w:tc>
        <w:tc>
          <w:tcPr>
            <w:tcW w:w="6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King.com (US) LLC</w:t>
            </w:r>
          </w:p>
        </w:tc>
        <w:tc>
          <w:tcPr>
            <w:tcW w:w="6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King.com Limited</w:t>
            </w:r>
          </w:p>
        </w:tc>
        <w:tc>
          <w:tcPr>
            <w:tcW w:w="6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Malta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Overwatch League, LLC</w:t>
            </w:r>
          </w:p>
        </w:tc>
        <w:tc>
          <w:tcPr>
            <w:tcW w:w="6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Treyarch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Corporation</w:t>
            </w:r>
          </w:p>
        </w:tc>
        <w:tc>
          <w:tcPr>
            <w:tcW w:w="6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U.S.-Delaware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700" w:type="dxa"/>
            <w:vAlign w:val="bottom"/>
            <w:tcBorders>
              <w:bottom w:val="single" w:sz="8" w:color="808080"/>
            </w:tcBorders>
          </w:tcPr>
          <w:p>
            <w:pPr>
              <w:spacing w:after="0"/>
              <w:rPr>
                <w:sz w:val="22"/>
                <w:szCs w:val="22"/>
                <w:color w:val="auto"/>
              </w:rPr>
            </w:pPr>
          </w:p>
        </w:tc>
        <w:tc>
          <w:tcPr>
            <w:tcW w:w="6220" w:type="dxa"/>
            <w:vAlign w:val="bottom"/>
            <w:tcBorders>
              <w:bottom w:val="single" w:sz="8" w:color="808080"/>
            </w:tcBorders>
          </w:tcPr>
          <w:p>
            <w:pPr>
              <w:spacing w:after="0"/>
              <w:rPr>
                <w:sz w:val="22"/>
                <w:szCs w:val="22"/>
                <w:color w:val="auto"/>
              </w:rPr>
            </w:pPr>
          </w:p>
        </w:tc>
        <w:tc>
          <w:tcPr>
            <w:tcW w:w="220" w:type="dxa"/>
            <w:vAlign w:val="bottom"/>
            <w:tcBorders>
              <w:bottom w:val="single" w:sz="8" w:color="808080"/>
            </w:tcBorders>
          </w:tcPr>
          <w:p>
            <w:pPr>
              <w:spacing w:after="0"/>
              <w:rPr>
                <w:sz w:val="22"/>
                <w:szCs w:val="22"/>
                <w:color w:val="auto"/>
              </w:rPr>
            </w:pPr>
          </w:p>
        </w:tc>
        <w:tc>
          <w:tcPr>
            <w:tcW w:w="228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0" w:right="199" w:bottom="1440" w:gutter="0" w:footer="0" w:header="0"/>
        </w:sectPr>
      </w:pPr>
    </w:p>
    <w:bookmarkStart w:id="300" w:name="page301"/>
    <w:bookmarkEnd w:id="30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333-211836 and 333-213520) and Form S-8 (No. 333-153661, 333-165123, 333-167428, 333-196956, 333-209825 and 333-209864) of Activision Blizzard, Inc. of our report dated February 28, 2019 relating to the financial statements and financial statement schedule and the effectiveness of internal control over financial reporting, which appears in this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01" w:name="page302"/>
    <w:bookmarkEnd w:id="30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Kotick, certify that:</w:t>
      </w:r>
    </w:p>
    <w:p>
      <w:pPr>
        <w:spacing w:after="0" w:line="225" w:lineRule="exact"/>
        <w:rPr>
          <w:sz w:val="20"/>
          <w:szCs w:val="20"/>
          <w:color w:val="auto"/>
        </w:rPr>
      </w:pPr>
    </w:p>
    <w:p>
      <w:pPr>
        <w:ind w:left="660" w:hanging="652"/>
        <w:spacing w:after="0"/>
        <w:tabs>
          <w:tab w:leader="none" w:pos="6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Activision Blizzard, Inc.;</w:t>
      </w:r>
    </w:p>
    <w:p>
      <w:pPr>
        <w:spacing w:after="0" w:line="225"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297"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7"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1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right="380" w:hanging="644"/>
        <w:spacing w:after="0" w:line="266" w:lineRule="auto"/>
        <w:tabs>
          <w:tab w:leader="none" w:pos="1307"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640" w:hanging="644"/>
        <w:spacing w:after="0" w:line="282" w:lineRule="auto"/>
        <w:tabs>
          <w:tab w:leader="none" w:pos="1297"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7"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2019</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ROBERT A. KOTICK</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Chief Executive Officer and</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Principal Executive Officer of</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Activision Blizzard,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302" w:name="page303"/>
    <w:bookmarkEnd w:id="30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Dennis Durkin, certify that:</w:t>
      </w:r>
    </w:p>
    <w:p>
      <w:pPr>
        <w:spacing w:after="0" w:line="225" w:lineRule="exact"/>
        <w:rPr>
          <w:sz w:val="20"/>
          <w:szCs w:val="20"/>
          <w:color w:val="auto"/>
        </w:rPr>
      </w:pPr>
    </w:p>
    <w:p>
      <w:pPr>
        <w:ind w:left="660" w:hanging="652"/>
        <w:spacing w:after="0"/>
        <w:tabs>
          <w:tab w:leader="none" w:pos="6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Activision Blizzard, Inc.;</w:t>
      </w:r>
    </w:p>
    <w:p>
      <w:pPr>
        <w:spacing w:after="0" w:line="225"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297"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7"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1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right="380" w:hanging="644"/>
        <w:spacing w:after="0" w:line="266" w:lineRule="auto"/>
        <w:tabs>
          <w:tab w:leader="none" w:pos="1307"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640" w:hanging="644"/>
        <w:spacing w:after="0" w:line="282" w:lineRule="auto"/>
        <w:tabs>
          <w:tab w:leader="none" w:pos="1297"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7"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2019</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DENNIS DURKIN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Dennis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Chief Financial Officer and</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Principal Financial Officer of</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Activision Blizzard,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03" w:name="page304"/>
    <w:bookmarkEnd w:id="30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Activision Blizzard, Inc. (the “Company”) on Form 10-K for the year ended December 31, 2018 as filed with the Securities and Exchange Commission on the date hereof (the “Report”), I, Robert A. Kotick, Chief Executive Officer and Principal Executive Officer of the Company, certify, to my knowledge, pursuant to 18 U.S.C. § 1350, as adopted pursuant to § 906 of the Sarbanes-Oxley Act of 2002, that:</w:t>
      </w:r>
    </w:p>
    <w:p>
      <w:pPr>
        <w:spacing w:after="0" w:line="176" w:lineRule="exact"/>
        <w:rPr>
          <w:sz w:val="20"/>
          <w:szCs w:val="20"/>
          <w:color w:val="auto"/>
        </w:rPr>
      </w:pPr>
    </w:p>
    <w:p>
      <w:pPr>
        <w:ind w:left="1320" w:hanging="664"/>
        <w:spacing w:after="0"/>
        <w:tabs>
          <w:tab w:leader="none" w:pos="132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7"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2019</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ROBERT A. KOTICK</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Chief Executive Officer and</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Principal Executive Officer of</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Activision Blizzard, Inc.</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304" w:name="page305"/>
    <w:bookmarkEnd w:id="30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Activision Blizzard, Inc. (the “Company”) on Form 10-K for the year ended December 31, 2018 as filed with the Securities and Exchange Commission on the date hereof (the “Report”), I, Dennis Durkin, Chief Financial Officer and Principal Financial Officer of the Company, certify, to my knowledge, pursuant to 18 U.S.C. § 1350, as adopted pursuant to § 906 of the Sarbanes-Oxley Act of 2002, that:</w:t>
      </w:r>
    </w:p>
    <w:p>
      <w:pPr>
        <w:spacing w:after="0" w:line="176" w:lineRule="exact"/>
        <w:rPr>
          <w:sz w:val="20"/>
          <w:szCs w:val="20"/>
          <w:color w:val="auto"/>
        </w:rPr>
      </w:pPr>
    </w:p>
    <w:p>
      <w:pPr>
        <w:ind w:left="1320" w:hanging="664"/>
        <w:spacing w:after="0"/>
        <w:tabs>
          <w:tab w:leader="none" w:pos="132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7"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2019</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DENNIS DURKIN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Dennis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Chief Financial Officer and</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Principal Financial Officer of</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Activision Blizzard, Inc.</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9E373"/>
    <w:multiLevelType w:val="hybridMultilevel"/>
    <w:lvl w:ilvl="0">
      <w:lvlJc w:val="left"/>
      <w:lvlText w:val="☒"/>
      <w:numFmt w:val="bullet"/>
      <w:start w:val="1"/>
    </w:lvl>
  </w:abstractNum>
  <w:abstractNum w:abstractNumId="1">
    <w:nsid w:val="2C27173B"/>
    <w:multiLevelType w:val="hybridMultilevel"/>
    <w:lvl w:ilvl="0">
      <w:lvlJc w:val="left"/>
      <w:lvlText w:val="o"/>
      <w:numFmt w:val="bullet"/>
      <w:start w:val="1"/>
    </w:lvl>
  </w:abstractNum>
  <w:abstractNum w:abstractNumId="2">
    <w:nsid w:val="4C9B0904"/>
    <w:multiLevelType w:val="hybridMultilevel"/>
    <w:lvl w:ilvl="0">
      <w:lvlJc w:val="left"/>
      <w:lvlText w:val="(%1)"/>
      <w:numFmt w:val="decimal"/>
      <w:start w:val="1"/>
    </w:lvl>
  </w:abstractNum>
  <w:abstractNum w:abstractNumId="3">
    <w:nsid w:val="6AA7B75C"/>
    <w:multiLevelType w:val="hybridMultilevel"/>
    <w:lvl w:ilvl="0">
      <w:lvlJc w:val="left"/>
      <w:lvlText w:val="•"/>
      <w:numFmt w:val="bullet"/>
      <w:start w:val="1"/>
    </w:lvl>
  </w:abstractNum>
  <w:abstractNum w:abstractNumId="4">
    <w:nsid w:val="1DF029D3"/>
    <w:multiLevelType w:val="hybridMultilevel"/>
    <w:lvl w:ilvl="0">
      <w:lvlJc w:val="left"/>
      <w:lvlText w:val="•"/>
      <w:numFmt w:val="bullet"/>
      <w:start w:val="1"/>
    </w:lvl>
  </w:abstractNum>
  <w:abstractNum w:abstractNumId="5">
    <w:nsid w:val="5675FF36"/>
    <w:multiLevelType w:val="hybridMultilevel"/>
    <w:lvl w:ilvl="0">
      <w:lvlJc w:val="left"/>
      <w:lvlText w:val="•"/>
      <w:numFmt w:val="bullet"/>
      <w:start w:val="1"/>
    </w:lvl>
  </w:abstractNum>
  <w:abstractNum w:abstractNumId="6">
    <w:nsid w:val="3DD15094"/>
    <w:multiLevelType w:val="hybridMultilevel"/>
    <w:lvl w:ilvl="0">
      <w:lvlJc w:val="left"/>
      <w:lvlText w:val="•"/>
      <w:numFmt w:val="bullet"/>
      <w:start w:val="1"/>
    </w:lvl>
  </w:abstractNum>
  <w:abstractNum w:abstractNumId="7">
    <w:nsid w:val="3DB012B3"/>
    <w:multiLevelType w:val="hybridMultilevel"/>
    <w:lvl w:ilvl="0">
      <w:lvlJc w:val="left"/>
      <w:lvlText w:val="•"/>
      <w:numFmt w:val="bullet"/>
      <w:start w:val="1"/>
    </w:lvl>
  </w:abstractNum>
  <w:abstractNum w:abstractNumId="8">
    <w:nsid w:val="2708C9AF"/>
    <w:multiLevelType w:val="hybridMultilevel"/>
    <w:lvl w:ilvl="0">
      <w:lvlJc w:val="left"/>
      <w:lvlText w:val="(%1)"/>
      <w:numFmt w:val="decimal"/>
      <w:start w:val="1"/>
    </w:lvl>
  </w:abstractNum>
  <w:abstractNum w:abstractNumId="9">
    <w:nsid w:val="5B25ACE2"/>
    <w:multiLevelType w:val="hybridMultilevel"/>
    <w:lvl w:ilvl="0">
      <w:lvlJc w:val="left"/>
      <w:lvlText w:val="•"/>
      <w:numFmt w:val="bullet"/>
      <w:start w:val="1"/>
    </w:lvl>
  </w:abstractNum>
  <w:abstractNum w:abstractNumId="10">
    <w:nsid w:val="175DFCF0"/>
    <w:multiLevelType w:val="hybridMultilevel"/>
    <w:lvl w:ilvl="0">
      <w:lvlJc w:val="left"/>
      <w:lvlText w:val="•"/>
      <w:numFmt w:val="bullet"/>
      <w:start w:val="1"/>
    </w:lvl>
  </w:abstractNum>
  <w:abstractNum w:abstractNumId="11">
    <w:nsid w:val="4F97E3E4"/>
    <w:multiLevelType w:val="hybridMultilevel"/>
    <w:lvl w:ilvl="0">
      <w:lvlJc w:val="left"/>
      <w:lvlText w:val="•"/>
      <w:numFmt w:val="bullet"/>
      <w:start w:val="1"/>
    </w:lvl>
  </w:abstractNum>
  <w:abstractNum w:abstractNumId="12">
    <w:nsid w:val="53B0A9E"/>
    <w:multiLevelType w:val="hybridMultilevel"/>
    <w:lvl w:ilvl="0">
      <w:lvlJc w:val="left"/>
      <w:lvlText w:val="•"/>
      <w:numFmt w:val="bullet"/>
      <w:start w:val="1"/>
    </w:lvl>
  </w:abstractNum>
  <w:abstractNum w:abstractNumId="13">
    <w:nsid w:val="34FD6B4F"/>
    <w:multiLevelType w:val="hybridMultilevel"/>
    <w:lvl w:ilvl="0">
      <w:lvlJc w:val="left"/>
      <w:lvlText w:val="•"/>
      <w:numFmt w:val="bullet"/>
      <w:start w:val="1"/>
    </w:lvl>
  </w:abstractNum>
  <w:abstractNum w:abstractNumId="14">
    <w:nsid w:val="5915FF32"/>
    <w:multiLevelType w:val="hybridMultilevel"/>
    <w:lvl w:ilvl="0">
      <w:lvlJc w:val="left"/>
      <w:lvlText w:val="•"/>
      <w:numFmt w:val="bullet"/>
      <w:start w:val="1"/>
    </w:lvl>
  </w:abstractNum>
  <w:abstractNum w:abstractNumId="15">
    <w:nsid w:val="56438D15"/>
    <w:multiLevelType w:val="hybridMultilevel"/>
    <w:lvl w:ilvl="0">
      <w:lvlJc w:val="left"/>
      <w:lvlText w:val="•"/>
      <w:numFmt w:val="bullet"/>
      <w:start w:val="1"/>
    </w:lvl>
  </w:abstractNum>
  <w:abstractNum w:abstractNumId="16">
    <w:nsid w:val="519E3149"/>
    <w:multiLevelType w:val="hybridMultilevel"/>
    <w:lvl w:ilvl="0">
      <w:lvlJc w:val="left"/>
      <w:lvlText w:val="•"/>
      <w:numFmt w:val="bullet"/>
      <w:start w:val="1"/>
    </w:lvl>
  </w:abstractNum>
  <w:abstractNum w:abstractNumId="17">
    <w:nsid w:val="2C6E4AFD"/>
    <w:multiLevelType w:val="hybridMultilevel"/>
    <w:lvl w:ilvl="0">
      <w:lvlJc w:val="left"/>
      <w:lvlText w:val="•"/>
      <w:numFmt w:val="bullet"/>
      <w:start w:val="1"/>
    </w:lvl>
    <w:lvl w:ilvl="1">
      <w:lvlJc w:val="left"/>
      <w:lvlText w:val="(%2)"/>
      <w:numFmt w:val="decimal"/>
      <w:start w:val="1"/>
    </w:lvl>
  </w:abstractNum>
  <w:abstractNum w:abstractNumId="18">
    <w:nsid w:val="17A1B582"/>
    <w:multiLevelType w:val="hybridMultilevel"/>
    <w:lvl w:ilvl="0">
      <w:lvlJc w:val="left"/>
      <w:lvlText w:val="•"/>
      <w:numFmt w:val="bullet"/>
      <w:start w:val="1"/>
    </w:lvl>
  </w:abstractNum>
  <w:abstractNum w:abstractNumId="19">
    <w:nsid w:val="4DF72E4E"/>
    <w:multiLevelType w:val="hybridMultilevel"/>
    <w:lvl w:ilvl="0">
      <w:lvlJc w:val="left"/>
      <w:lvlText w:val="•"/>
      <w:numFmt w:val="bullet"/>
      <w:start w:val="1"/>
    </w:lvl>
  </w:abstractNum>
  <w:abstractNum w:abstractNumId="20">
    <w:nsid w:val="5046B5A9"/>
    <w:multiLevelType w:val="hybridMultilevel"/>
    <w:lvl w:ilvl="0">
      <w:lvlJc w:val="left"/>
      <w:lvlText w:val="•"/>
      <w:numFmt w:val="bullet"/>
      <w:start w:val="1"/>
    </w:lvl>
  </w:abstractNum>
  <w:abstractNum w:abstractNumId="21">
    <w:nsid w:val="5D888A08"/>
    <w:multiLevelType w:val="hybridMultilevel"/>
    <w:lvl w:ilvl="0">
      <w:lvlJc w:val="left"/>
      <w:lvlText w:val="•"/>
      <w:numFmt w:val="bullet"/>
      <w:start w:val="1"/>
    </w:lvl>
  </w:abstractNum>
  <w:abstractNum w:abstractNumId="22">
    <w:nsid w:val="2A082C70"/>
    <w:multiLevelType w:val="hybridMultilevel"/>
    <w:lvl w:ilvl="0">
      <w:lvlJc w:val="left"/>
      <w:lvlText w:val="•"/>
      <w:numFmt w:val="bullet"/>
      <w:start w:val="1"/>
    </w:lvl>
  </w:abstractNum>
  <w:abstractNum w:abstractNumId="23">
    <w:nsid w:val="5EC6AFD4"/>
    <w:multiLevelType w:val="hybridMultilevel"/>
    <w:lvl w:ilvl="0">
      <w:lvlJc w:val="left"/>
      <w:lvlText w:val="(%1)"/>
      <w:numFmt w:val="decimal"/>
      <w:start w:val="1"/>
    </w:lvl>
  </w:abstractNum>
  <w:abstractNum w:abstractNumId="24">
    <w:nsid w:val="19E21BB2"/>
    <w:multiLevelType w:val="hybridMultilevel"/>
    <w:lvl w:ilvl="0">
      <w:lvlJc w:val="left"/>
      <w:lvlText w:val="(%1)"/>
      <w:numFmt w:val="decimal"/>
      <w:start w:val="1"/>
    </w:lvl>
  </w:abstractNum>
  <w:abstractNum w:abstractNumId="25">
    <w:nsid w:val="75E0858A"/>
    <w:multiLevelType w:val="hybridMultilevel"/>
    <w:lvl w:ilvl="0">
      <w:lvlJc w:val="left"/>
      <w:lvlText w:val="•"/>
      <w:numFmt w:val="bullet"/>
      <w:start w:val="1"/>
    </w:lvl>
  </w:abstractNum>
  <w:abstractNum w:abstractNumId="26">
    <w:nsid w:val="57A61A29"/>
    <w:multiLevelType w:val="hybridMultilevel"/>
    <w:lvl w:ilvl="0">
      <w:lvlJc w:val="left"/>
      <w:lvlText w:val="•"/>
      <w:numFmt w:val="bullet"/>
      <w:start w:val="1"/>
    </w:lvl>
  </w:abstractNum>
  <w:abstractNum w:abstractNumId="27">
    <w:nsid w:val="5399C654"/>
    <w:multiLevelType w:val="hybridMultilevel"/>
    <w:lvl w:ilvl="0">
      <w:lvlJc w:val="left"/>
      <w:lvlText w:val="•"/>
      <w:numFmt w:val="bullet"/>
      <w:start w:val="1"/>
    </w:lvl>
  </w:abstractNum>
  <w:abstractNum w:abstractNumId="28">
    <w:nsid w:val="20EE1348"/>
    <w:multiLevelType w:val="hybridMultilevel"/>
    <w:lvl w:ilvl="0">
      <w:lvlJc w:val="left"/>
      <w:lvlText w:val="•"/>
      <w:numFmt w:val="bullet"/>
      <w:start w:val="1"/>
    </w:lvl>
  </w:abstractNum>
  <w:abstractNum w:abstractNumId="29">
    <w:nsid w:val="4427069A"/>
    <w:multiLevelType w:val="hybridMultilevel"/>
    <w:lvl w:ilvl="0">
      <w:lvlJc w:val="left"/>
      <w:lvlText w:val="•"/>
      <w:numFmt w:val="bullet"/>
      <w:start w:val="1"/>
    </w:lvl>
  </w:abstractNum>
  <w:abstractNum w:abstractNumId="30">
    <w:nsid w:val="B37E80A"/>
    <w:multiLevelType w:val="hybridMultilevel"/>
    <w:lvl w:ilvl="0">
      <w:lvlJc w:val="left"/>
      <w:lvlText w:val="•"/>
      <w:numFmt w:val="bullet"/>
      <w:start w:val="1"/>
    </w:lvl>
  </w:abstractNum>
  <w:abstractNum w:abstractNumId="31">
    <w:nsid w:val="2157F6BC"/>
    <w:multiLevelType w:val="hybridMultilevel"/>
    <w:lvl w:ilvl="0">
      <w:lvlJc w:val="left"/>
      <w:lvlText w:val="•"/>
      <w:numFmt w:val="bullet"/>
      <w:start w:val="1"/>
    </w:lvl>
  </w:abstractNum>
  <w:abstractNum w:abstractNumId="32">
    <w:nsid w:val="704E1DD5"/>
    <w:multiLevelType w:val="hybridMultilevel"/>
    <w:lvl w:ilvl="0">
      <w:lvlJc w:val="left"/>
      <w:lvlText w:val="•"/>
      <w:numFmt w:val="bullet"/>
      <w:start w:val="1"/>
    </w:lvl>
  </w:abstractNum>
  <w:abstractNum w:abstractNumId="33">
    <w:nsid w:val="57D2F10E"/>
    <w:multiLevelType w:val="hybridMultilevel"/>
    <w:lvl w:ilvl="0">
      <w:lvlJc w:val="left"/>
      <w:lvlText w:val="•"/>
      <w:numFmt w:val="bullet"/>
      <w:start w:val="1"/>
    </w:lvl>
  </w:abstractNum>
  <w:abstractNum w:abstractNumId="34">
    <w:nsid w:val="BFFAE18"/>
    <w:multiLevelType w:val="hybridMultilevel"/>
    <w:lvl w:ilvl="0">
      <w:lvlJc w:val="left"/>
      <w:lvlText w:val="•"/>
      <w:numFmt w:val="bullet"/>
      <w:start w:val="1"/>
    </w:lvl>
  </w:abstractNum>
  <w:abstractNum w:abstractNumId="35">
    <w:nsid w:val="E3E47A8"/>
    <w:multiLevelType w:val="hybridMultilevel"/>
    <w:lvl w:ilvl="0">
      <w:lvlJc w:val="left"/>
      <w:lvlText w:val="•"/>
      <w:numFmt w:val="bullet"/>
      <w:start w:val="1"/>
    </w:lvl>
  </w:abstractNum>
  <w:abstractNum w:abstractNumId="36">
    <w:nsid w:val="2E48F044"/>
    <w:multiLevelType w:val="hybridMultilevel"/>
    <w:lvl w:ilvl="0">
      <w:lvlJc w:val="left"/>
      <w:lvlText w:val="(%1)"/>
      <w:numFmt w:val="decimal"/>
      <w:start w:val="1"/>
    </w:lvl>
  </w:abstractNum>
  <w:abstractNum w:abstractNumId="37">
    <w:nsid w:val="49D0FEAC"/>
    <w:multiLevelType w:val="hybridMultilevel"/>
    <w:lvl w:ilvl="0">
      <w:lvlJc w:val="left"/>
      <w:lvlText w:val="•"/>
      <w:numFmt w:val="bullet"/>
      <w:start w:val="1"/>
    </w:lvl>
  </w:abstractNum>
  <w:abstractNum w:abstractNumId="38">
    <w:nsid w:val="4BEE5A5B"/>
    <w:multiLevelType w:val="hybridMultilevel"/>
    <w:lvl w:ilvl="0">
      <w:lvlJc w:val="left"/>
      <w:lvlText w:val="•"/>
      <w:numFmt w:val="bullet"/>
      <w:start w:val="1"/>
    </w:lvl>
  </w:abstractNum>
  <w:abstractNum w:abstractNumId="39">
    <w:nsid w:val="5551B9F3"/>
    <w:multiLevelType w:val="hybridMultilevel"/>
    <w:lvl w:ilvl="0">
      <w:lvlJc w:val="left"/>
      <w:lvlText w:val="•"/>
      <w:numFmt w:val="bullet"/>
      <w:start w:val="1"/>
    </w:lvl>
  </w:abstractNum>
  <w:abstractNum w:abstractNumId="40">
    <w:nsid w:val="24F6AB8E"/>
    <w:multiLevelType w:val="hybridMultilevel"/>
    <w:lvl w:ilvl="0">
      <w:lvlJc w:val="left"/>
      <w:lvlText w:val="•"/>
      <w:numFmt w:val="bullet"/>
      <w:start w:val="1"/>
    </w:lvl>
  </w:abstractNum>
  <w:abstractNum w:abstractNumId="41">
    <w:nsid w:val="634C574C"/>
    <w:multiLevelType w:val="hybridMultilevel"/>
    <w:lvl w:ilvl="0">
      <w:lvlJc w:val="left"/>
      <w:lvlText w:val="(%1)"/>
      <w:numFmt w:val="decimal"/>
      <w:start w:val="1"/>
    </w:lvl>
  </w:abstractNum>
  <w:abstractNum w:abstractNumId="42">
    <w:nsid w:val="24E99DD7"/>
    <w:multiLevelType w:val="hybridMultilevel"/>
    <w:lvl w:ilvl="0">
      <w:lvlJc w:val="left"/>
      <w:lvlText w:val="•"/>
      <w:numFmt w:val="bullet"/>
      <w:start w:val="1"/>
    </w:lvl>
  </w:abstractNum>
  <w:abstractNum w:abstractNumId="43">
    <w:nsid w:val="2A31B62D"/>
    <w:multiLevelType w:val="hybridMultilevel"/>
    <w:lvl w:ilvl="0">
      <w:lvlJc w:val="left"/>
      <w:lvlText w:val="•"/>
      <w:numFmt w:val="bullet"/>
      <w:start w:val="1"/>
    </w:lvl>
  </w:abstractNum>
  <w:abstractNum w:abstractNumId="44">
    <w:nsid w:val="1849C29B"/>
    <w:multiLevelType w:val="hybridMultilevel"/>
    <w:lvl w:ilvl="0">
      <w:lvlJc w:val="left"/>
      <w:lvlText w:val="•"/>
      <w:numFmt w:val="bullet"/>
      <w:start w:val="1"/>
    </w:lvl>
  </w:abstractNum>
  <w:abstractNum w:abstractNumId="45">
    <w:nsid w:val="7DFF9D09"/>
    <w:multiLevelType w:val="hybridMultilevel"/>
    <w:lvl w:ilvl="0">
      <w:lvlJc w:val="left"/>
      <w:lvlText w:val="•"/>
      <w:numFmt w:val="bullet"/>
      <w:start w:val="1"/>
    </w:lvl>
  </w:abstractNum>
  <w:abstractNum w:abstractNumId="46">
    <w:nsid w:val="754342"/>
    <w:multiLevelType w:val="hybridMultilevel"/>
    <w:lvl w:ilvl="0">
      <w:lvlJc w:val="left"/>
      <w:lvlText w:val="(%1)"/>
      <w:numFmt w:val="decimal"/>
      <w:start w:val="1"/>
    </w:lvl>
  </w:abstractNum>
  <w:abstractNum w:abstractNumId="47">
    <w:nsid w:val="69E7F3E5"/>
    <w:multiLevelType w:val="hybridMultilevel"/>
    <w:lvl w:ilvl="0">
      <w:lvlJc w:val="left"/>
      <w:lvlText w:val="•"/>
      <w:numFmt w:val="bullet"/>
      <w:start w:val="1"/>
    </w:lvl>
  </w:abstractNum>
  <w:abstractNum w:abstractNumId="48">
    <w:nsid w:val="2A6DE806"/>
    <w:multiLevelType w:val="hybridMultilevel"/>
    <w:lvl w:ilvl="0">
      <w:lvlJc w:val="left"/>
      <w:lvlText w:val="•"/>
      <w:numFmt w:val="bullet"/>
      <w:start w:val="1"/>
    </w:lvl>
  </w:abstractNum>
  <w:abstractNum w:abstractNumId="49">
    <w:nsid w:val="1816F8C4"/>
    <w:multiLevelType w:val="hybridMultilevel"/>
    <w:lvl w:ilvl="0">
      <w:lvlJc w:val="left"/>
      <w:lvlText w:val="•"/>
      <w:numFmt w:val="bullet"/>
      <w:start w:val="1"/>
    </w:lvl>
  </w:abstractNum>
  <w:abstractNum w:abstractNumId="50">
    <w:nsid w:val="37DF2233"/>
    <w:multiLevelType w:val="hybridMultilevel"/>
    <w:lvl w:ilvl="0">
      <w:lvlJc w:val="left"/>
      <w:lvlText w:val="•"/>
      <w:numFmt w:val="bullet"/>
      <w:start w:val="1"/>
    </w:lvl>
  </w:abstractNum>
  <w:abstractNum w:abstractNumId="51">
    <w:nsid w:val="7AB49DAF"/>
    <w:multiLevelType w:val="hybridMultilevel"/>
    <w:lvl w:ilvl="0">
      <w:lvlJc w:val="left"/>
      <w:lvlText w:val="•"/>
      <w:numFmt w:val="bullet"/>
      <w:start w:val="1"/>
    </w:lvl>
  </w:abstractNum>
  <w:abstractNum w:abstractNumId="52">
    <w:nsid w:val="759F82CD"/>
    <w:multiLevelType w:val="hybridMultilevel"/>
    <w:lvl w:ilvl="0">
      <w:lvlJc w:val="left"/>
      <w:lvlText w:val="•"/>
      <w:numFmt w:val="bullet"/>
      <w:start w:val="1"/>
    </w:lvl>
  </w:abstractNum>
  <w:abstractNum w:abstractNumId="53">
    <w:nsid w:val="61E74EA3"/>
    <w:multiLevelType w:val="hybridMultilevel"/>
    <w:lvl w:ilvl="0">
      <w:lvlJc w:val="left"/>
      <w:lvlText w:val="•"/>
      <w:numFmt w:val="bullet"/>
      <w:start w:val="1"/>
    </w:lvl>
  </w:abstractNum>
  <w:abstractNum w:abstractNumId="54">
    <w:nsid w:val="597B4D84"/>
    <w:multiLevelType w:val="hybridMultilevel"/>
    <w:lvl w:ilvl="0">
      <w:lvlJc w:val="left"/>
      <w:lvlText w:val="•"/>
      <w:numFmt w:val="bullet"/>
      <w:start w:val="1"/>
    </w:lvl>
  </w:abstractNum>
  <w:abstractNum w:abstractNumId="55">
    <w:nsid w:val="F819E7F"/>
    <w:multiLevelType w:val="hybridMultilevel"/>
    <w:lvl w:ilvl="0">
      <w:lvlJc w:val="left"/>
      <w:lvlText w:val="•"/>
      <w:numFmt w:val="bullet"/>
      <w:start w:val="1"/>
    </w:lvl>
  </w:abstractNum>
  <w:abstractNum w:abstractNumId="56">
    <w:nsid w:val="57C7D42D"/>
    <w:multiLevelType w:val="hybridMultilevel"/>
    <w:lvl w:ilvl="0">
      <w:lvlJc w:val="left"/>
      <w:lvlText w:val="•"/>
      <w:numFmt w:val="bullet"/>
      <w:start w:val="1"/>
    </w:lvl>
  </w:abstractNum>
  <w:abstractNum w:abstractNumId="57">
    <w:nsid w:val="312167AD"/>
    <w:multiLevelType w:val="hybridMultilevel"/>
    <w:lvl w:ilvl="0">
      <w:lvlJc w:val="left"/>
      <w:lvlText w:val="•"/>
      <w:numFmt w:val="bullet"/>
      <w:start w:val="1"/>
    </w:lvl>
  </w:abstractNum>
  <w:abstractNum w:abstractNumId="58">
    <w:nsid w:val="631B64D4"/>
    <w:multiLevelType w:val="hybridMultilevel"/>
    <w:lvl w:ilvl="0">
      <w:lvlJc w:val="left"/>
      <w:lvlText w:val="•"/>
      <w:numFmt w:val="bullet"/>
      <w:start w:val="1"/>
    </w:lvl>
  </w:abstractNum>
  <w:abstractNum w:abstractNumId="59">
    <w:nsid w:val="78B5E776"/>
    <w:multiLevelType w:val="hybridMultilevel"/>
    <w:lvl w:ilvl="0">
      <w:lvlJc w:val="left"/>
      <w:lvlText w:val="•"/>
      <w:numFmt w:val="bullet"/>
      <w:start w:val="1"/>
    </w:lvl>
  </w:abstractNum>
  <w:abstractNum w:abstractNumId="60">
    <w:nsid w:val="75486E47"/>
    <w:multiLevelType w:val="hybridMultilevel"/>
    <w:lvl w:ilvl="0">
      <w:lvlJc w:val="left"/>
      <w:lvlText w:val="•"/>
      <w:numFmt w:val="bullet"/>
      <w:start w:val="1"/>
    </w:lvl>
  </w:abstractNum>
  <w:abstractNum w:abstractNumId="61">
    <w:nsid w:val="6E534CDE"/>
    <w:multiLevelType w:val="hybridMultilevel"/>
    <w:lvl w:ilvl="0">
      <w:lvlJc w:val="left"/>
      <w:lvlText w:val="•"/>
      <w:numFmt w:val="bullet"/>
      <w:start w:val="1"/>
    </w:lvl>
  </w:abstractNum>
  <w:abstractNum w:abstractNumId="62">
    <w:nsid w:val="1A0DDE32"/>
    <w:multiLevelType w:val="hybridMultilevel"/>
    <w:lvl w:ilvl="0">
      <w:lvlJc w:val="left"/>
      <w:lvlText w:val="•"/>
      <w:numFmt w:val="bullet"/>
      <w:start w:val="1"/>
    </w:lvl>
  </w:abstractNum>
  <w:abstractNum w:abstractNumId="63">
    <w:nsid w:val="65968C1C"/>
    <w:multiLevelType w:val="hybridMultilevel"/>
    <w:lvl w:ilvl="0">
      <w:lvlJc w:val="left"/>
      <w:lvlText w:val="•"/>
      <w:numFmt w:val="bullet"/>
      <w:start w:val="1"/>
    </w:lvl>
  </w:abstractNum>
  <w:abstractNum w:abstractNumId="64">
    <w:nsid w:val="46263DEC"/>
    <w:multiLevelType w:val="hybridMultilevel"/>
    <w:lvl w:ilvl="0">
      <w:lvlJc w:val="left"/>
      <w:lvlText w:val="•"/>
      <w:numFmt w:val="bullet"/>
      <w:start w:val="1"/>
    </w:lvl>
  </w:abstractNum>
  <w:abstractNum w:abstractNumId="65">
    <w:nsid w:val="260D8C4A"/>
    <w:multiLevelType w:val="hybridMultilevel"/>
    <w:lvl w:ilvl="0">
      <w:lvlJc w:val="left"/>
      <w:lvlText w:val="•"/>
      <w:numFmt w:val="bullet"/>
      <w:start w:val="1"/>
    </w:lvl>
  </w:abstractNum>
  <w:abstractNum w:abstractNumId="66">
    <w:nsid w:val="73D4D3C4"/>
    <w:multiLevelType w:val="hybridMultilevel"/>
    <w:lvl w:ilvl="0">
      <w:lvlJc w:val="left"/>
      <w:lvlText w:val="(%1)"/>
      <w:numFmt w:val="decimal"/>
      <w:start w:val="6"/>
    </w:lvl>
  </w:abstractNum>
  <w:abstractNum w:abstractNumId="67">
    <w:nsid w:val="746F2E30"/>
    <w:multiLevelType w:val="hybridMultilevel"/>
    <w:lvl w:ilvl="0">
      <w:lvlJc w:val="left"/>
      <w:lvlText w:val="%1."/>
      <w:numFmt w:val="decimal"/>
      <w:start w:val="740"/>
    </w:lvl>
  </w:abstractNum>
  <w:abstractNum w:abstractNumId="68">
    <w:nsid w:val="6FDE8AF6"/>
    <w:multiLevelType w:val="hybridMultilevel"/>
    <w:lvl w:ilvl="0">
      <w:lvlJc w:val="left"/>
      <w:lvlText w:val="(%1)"/>
      <w:numFmt w:val="decimal"/>
      <w:start w:val="3"/>
    </w:lvl>
  </w:abstractNum>
  <w:abstractNum w:abstractNumId="69">
    <w:nsid w:val="3FC32E20"/>
    <w:multiLevelType w:val="hybridMultilevel"/>
    <w:lvl w:ilvl="0">
      <w:lvlJc w:val="left"/>
      <w:lvlText w:val="•"/>
      <w:numFmt w:val="bullet"/>
      <w:start w:val="1"/>
    </w:lvl>
  </w:abstractNum>
  <w:abstractNum w:abstractNumId="70">
    <w:nsid w:val="49C0E823"/>
    <w:multiLevelType w:val="hybridMultilevel"/>
    <w:lvl w:ilvl="0">
      <w:lvlJc w:val="left"/>
      <w:lvlText w:val="(%1)"/>
      <w:numFmt w:val="lowerLetter"/>
      <w:start w:val="1"/>
    </w:lvl>
  </w:abstractNum>
  <w:abstractNum w:abstractNumId="71">
    <w:nsid w:val="14D53685"/>
    <w:multiLevelType w:val="hybridMultilevel"/>
    <w:lvl w:ilvl="0">
      <w:lvlJc w:val="left"/>
      <w:lvlText w:val="2"/>
      <w:numFmt w:val="bullet"/>
      <w:start w:val="1"/>
    </w:lvl>
  </w:abstractNum>
  <w:abstractNum w:abstractNumId="72">
    <w:nsid w:val="230F856C"/>
    <w:multiLevelType w:val="hybridMultilevel"/>
    <w:lvl w:ilvl="0">
      <w:lvlJc w:val="left"/>
      <w:lvlText w:val="3"/>
      <w:numFmt w:val="bullet"/>
      <w:start w:val="1"/>
    </w:lvl>
  </w:abstractNum>
  <w:abstractNum w:abstractNumId="73">
    <w:nsid w:val="6EAA85FB"/>
    <w:multiLevelType w:val="hybridMultilevel"/>
    <w:lvl w:ilvl="0">
      <w:lvlJc w:val="left"/>
      <w:lvlText w:val="(%1)"/>
      <w:numFmt w:val="decimal"/>
      <w:start w:val="1"/>
    </w:lvl>
  </w:abstractNum>
  <w:abstractNum w:abstractNumId="74">
    <w:nsid w:val="3F06ECB2"/>
    <w:multiLevelType w:val="hybridMultilevel"/>
    <w:lvl w:ilvl="0">
      <w:lvlJc w:val="left"/>
      <w:lvlText w:val="•"/>
      <w:numFmt w:val="bullet"/>
      <w:start w:val="1"/>
    </w:lvl>
  </w:abstractNum>
  <w:abstractNum w:abstractNumId="75">
    <w:nsid w:val="3B594807"/>
    <w:multiLevelType w:val="hybridMultilevel"/>
    <w:lvl w:ilvl="0">
      <w:lvlJc w:val="left"/>
      <w:lvlText w:val="•"/>
      <w:numFmt w:val="bullet"/>
      <w:start w:val="1"/>
    </w:lvl>
  </w:abstractNum>
  <w:abstractNum w:abstractNumId="76">
    <w:nsid w:val="6CAA2304"/>
    <w:multiLevelType w:val="hybridMultilevel"/>
    <w:lvl w:ilvl="0">
      <w:lvlJc w:val="left"/>
      <w:lvlText w:val="%1."/>
      <w:numFmt w:val="decimal"/>
      <w:start w:val="2"/>
    </w:lvl>
    <w:lvl w:ilvl="1">
      <w:lvlJc w:val="left"/>
      <w:lvlText w:val="•"/>
      <w:numFmt w:val="bullet"/>
      <w:start w:val="1"/>
    </w:lvl>
  </w:abstractNum>
  <w:abstractNum w:abstractNumId="77">
    <w:nsid w:val="3F7C2FF4"/>
    <w:multiLevelType w:val="hybridMultilevel"/>
    <w:lvl w:ilvl="0">
      <w:lvlJc w:val="left"/>
      <w:lvlText w:val="•"/>
      <w:numFmt w:val="bullet"/>
      <w:start w:val="1"/>
    </w:lvl>
  </w:abstractNum>
  <w:abstractNum w:abstractNumId="78">
    <w:nsid w:val="25413BEC"/>
    <w:multiLevelType w:val="hybridMultilevel"/>
    <w:lvl w:ilvl="0">
      <w:lvlJc w:val="left"/>
      <w:lvlText w:val="•"/>
      <w:numFmt w:val="bullet"/>
      <w:start w:val="1"/>
    </w:lvl>
  </w:abstractNum>
  <w:abstractNum w:abstractNumId="79">
    <w:nsid w:val="17180B0B"/>
    <w:multiLevelType w:val="hybridMultilevel"/>
    <w:lvl w:ilvl="0">
      <w:lvlJc w:val="left"/>
      <w:lvlText w:val="(%1)"/>
      <w:numFmt w:val="decimal"/>
      <w:start w:val="1"/>
    </w:lvl>
  </w:abstractNum>
  <w:abstractNum w:abstractNumId="80">
    <w:nsid w:val="579328B9"/>
    <w:multiLevelType w:val="hybridMultilevel"/>
    <w:lvl w:ilvl="0">
      <w:lvlJc w:val="left"/>
      <w:lvlText w:val="%1."/>
      <w:numFmt w:val="decimal"/>
      <w:start w:val="2"/>
    </w:lvl>
    <w:lvl w:ilvl="1">
      <w:lvlJc w:val="left"/>
      <w:lvlText w:val="(%2)"/>
      <w:numFmt w:val="decimal"/>
      <w:start w:val="1"/>
    </w:lvl>
  </w:abstractNum>
  <w:abstractNum w:abstractNumId="81">
    <w:nsid w:val="5D205E20"/>
    <w:multiLevelType w:val="hybridMultilevel"/>
    <w:lvl w:ilvl="0">
      <w:lvlJc w:val="left"/>
      <w:lvlText w:val="•"/>
      <w:numFmt w:val="bullet"/>
      <w:start w:val="1"/>
    </w:lvl>
  </w:abstractNum>
  <w:abstractNum w:abstractNumId="82">
    <w:nsid w:val="11CCA8BA"/>
    <w:multiLevelType w:val="hybridMultilevel"/>
    <w:lvl w:ilvl="0">
      <w:lvlJc w:val="left"/>
      <w:lvlText w:val="•"/>
      <w:numFmt w:val="bullet"/>
      <w:start w:val="1"/>
    </w:lvl>
  </w:abstractNum>
  <w:abstractNum w:abstractNumId="83">
    <w:nsid w:val="4D32AB86"/>
    <w:multiLevelType w:val="hybridMultilevel"/>
    <w:lvl w:ilvl="0">
      <w:lvlJc w:val="left"/>
      <w:lvlText w:val="(%1)"/>
      <w:numFmt w:val="decimal"/>
      <w:start w:val="1"/>
    </w:lvl>
  </w:abstractNum>
  <w:abstractNum w:abstractNumId="84">
    <w:nsid w:val="3F07ACC3"/>
    <w:multiLevelType w:val="hybridMultilevel"/>
    <w:lvl w:ilvl="0">
      <w:lvlJc w:val="left"/>
      <w:lvlText w:val="•"/>
      <w:numFmt w:val="bullet"/>
      <w:start w:val="1"/>
    </w:lvl>
  </w:abstractNum>
  <w:abstractNum w:abstractNumId="85">
    <w:nsid w:val="6B47F63E"/>
    <w:multiLevelType w:val="hybridMultilevel"/>
    <w:lvl w:ilvl="0">
      <w:lvlJc w:val="left"/>
      <w:lvlText w:val="(%1)"/>
      <w:numFmt w:val="decimal"/>
      <w:start w:val="1"/>
    </w:lvl>
  </w:abstractNum>
  <w:abstractNum w:abstractNumId="86">
    <w:nsid w:val="5CB44A05"/>
    <w:multiLevelType w:val="hybridMultilevel"/>
    <w:lvl w:ilvl="0">
      <w:lvlJc w:val="left"/>
      <w:lvlText w:val="(%1)"/>
      <w:numFmt w:val="decimal"/>
      <w:start w:val="1"/>
    </w:lvl>
  </w:abstractNum>
  <w:abstractNum w:abstractNumId="87">
    <w:nsid w:val="16CF80F1"/>
    <w:multiLevelType w:val="hybridMultilevel"/>
    <w:lvl w:ilvl="0">
      <w:lvlJc w:val="left"/>
      <w:lvlText w:val="(%1)"/>
      <w:numFmt w:val="decimal"/>
      <w:start w:val="1"/>
    </w:lvl>
  </w:abstractNum>
  <w:abstractNum w:abstractNumId="88">
    <w:nsid w:val="1C695DEC"/>
    <w:multiLevelType w:val="hybridMultilevel"/>
    <w:lvl w:ilvl="0">
      <w:lvlJc w:val="left"/>
      <w:lvlText w:val="(%1)"/>
      <w:numFmt w:val="decimal"/>
      <w:start w:val="1"/>
    </w:lvl>
  </w:abstractNum>
  <w:abstractNum w:abstractNumId="89">
    <w:nsid w:val="3FCFAED9"/>
    <w:multiLevelType w:val="hybridMultilevel"/>
    <w:lvl w:ilvl="0">
      <w:lvlJc w:val="left"/>
      <w:lvlText w:val="(%1)"/>
      <w:numFmt w:val="decimal"/>
      <w:start w:val="1"/>
    </w:lvl>
  </w:abstractNum>
  <w:abstractNum w:abstractNumId="90">
    <w:nsid w:val="F856867"/>
    <w:multiLevelType w:val="hybridMultilevel"/>
    <w:lvl w:ilvl="0">
      <w:lvlJc w:val="left"/>
      <w:lvlText w:val="*"/>
      <w:numFmt w:val="bullet"/>
      <w:start w:val="1"/>
    </w:lvl>
  </w:abstractNum>
  <w:abstractNum w:abstractNumId="91">
    <w:nsid w:val="11B1CC33"/>
    <w:multiLevelType w:val="hybridMultilevel"/>
    <w:lvl w:ilvl="0">
      <w:lvlJc w:val="left"/>
      <w:lvlText w:val="(%1)"/>
      <w:numFmt w:val="decimal"/>
      <w:start w:val="1"/>
    </w:lvl>
  </w:abstractNum>
  <w:abstractNum w:abstractNumId="92">
    <w:nsid w:val="2E22FBB7"/>
    <w:multiLevelType w:val="hybridMultilevel"/>
    <w:lvl w:ilvl="0">
      <w:lvlJc w:val="left"/>
      <w:lvlText w:val="(%1)"/>
      <w:numFmt w:val="decimal"/>
      <w:start w:val="2"/>
    </w:lvl>
  </w:abstractNum>
  <w:abstractNum w:abstractNumId="93">
    <w:nsid w:val="29934699"/>
    <w:multiLevelType w:val="hybridMultilevel"/>
    <w:lvl w:ilvl="0">
      <w:lvlJc w:val="left"/>
      <w:lvlText w:val="•"/>
      <w:numFmt w:val="bullet"/>
      <w:start w:val="1"/>
    </w:lvl>
  </w:abstractNum>
  <w:abstractNum w:abstractNumId="94">
    <w:nsid w:val="77485850"/>
    <w:multiLevelType w:val="hybridMultilevel"/>
    <w:lvl w:ilvl="0">
      <w:lvlJc w:val="left"/>
      <w:lvlText w:val="%1."/>
      <w:numFmt w:val="decimal"/>
      <w:start w:val="25"/>
    </w:lvl>
    <w:lvl w:ilvl="1">
      <w:lvlJc w:val="left"/>
      <w:lvlText w:val="•"/>
      <w:numFmt w:val="bullet"/>
      <w:start w:val="1"/>
    </w:lvl>
  </w:abstractNum>
  <w:abstractNum w:abstractNumId="95">
    <w:nsid w:val="744939A3"/>
    <w:multiLevelType w:val="hybridMultilevel"/>
    <w:lvl w:ilvl="0">
      <w:lvlJc w:val="left"/>
      <w:lvlText w:val="(%1)"/>
      <w:numFmt w:val="upperLetter"/>
      <w:start w:val="1"/>
    </w:lvl>
  </w:abstractNum>
  <w:abstractNum w:abstractNumId="96">
    <w:nsid w:val="4FA0D2E3"/>
    <w:multiLevelType w:val="hybridMultilevel"/>
    <w:lvl w:ilvl="0">
      <w:lvlJc w:val="left"/>
      <w:lvlText w:val="*"/>
      <w:numFmt w:val="bullet"/>
      <w:start w:val="1"/>
    </w:lvl>
  </w:abstractNum>
  <w:abstractNum w:abstractNumId="97">
    <w:nsid w:val="6B1D2C14"/>
    <w:multiLevelType w:val="hybridMultilevel"/>
    <w:lvl w:ilvl="0">
      <w:lvlJc w:val="left"/>
      <w:lvlText w:val="†"/>
      <w:numFmt w:val="bullet"/>
      <w:start w:val="1"/>
    </w:lvl>
  </w:abstractNum>
  <w:abstractNum w:abstractNumId="98">
    <w:nsid w:val="68B867D3"/>
    <w:multiLevelType w:val="hybridMultilevel"/>
    <w:lvl w:ilvl="0">
      <w:lvlJc w:val="left"/>
      <w:lvlText w:val="·"/>
      <w:numFmt w:val="bullet"/>
      <w:start w:val="1"/>
    </w:lvl>
    <w:lvl w:ilvl="1">
      <w:lvlJc w:val="left"/>
      <w:lvlText w:val="·"/>
      <w:numFmt w:val="bullet"/>
      <w:start w:val="1"/>
    </w:lvl>
  </w:abstractNum>
  <w:abstractNum w:abstractNumId="99">
    <w:nsid w:val="3F7F5DD9"/>
    <w:multiLevelType w:val="hybridMultilevel"/>
    <w:lvl w:ilvl="0">
      <w:lvlJc w:val="left"/>
      <w:lvlText w:val="·"/>
      <w:numFmt w:val="bullet"/>
      <w:start w:val="1"/>
    </w:lvl>
  </w:abstractNum>
  <w:abstractNum w:abstractNumId="100">
    <w:nsid w:val="2AE05A34"/>
    <w:multiLevelType w:val="hybridMultilevel"/>
    <w:lvl w:ilvl="0">
      <w:lvlJc w:val="left"/>
      <w:lvlText w:val="%1."/>
      <w:numFmt w:val="decimal"/>
      <w:start w:val="1"/>
    </w:lvl>
    <w:lvl w:ilvl="1">
      <w:lvlJc w:val="left"/>
      <w:lvlText w:val="(%2)"/>
      <w:numFmt w:val="lowerLetter"/>
      <w:start w:val="1"/>
    </w:lvl>
  </w:abstractNum>
  <w:abstractNum w:abstractNumId="101">
    <w:nsid w:val="32794FF7"/>
    <w:multiLevelType w:val="hybridMultilevel"/>
    <w:lvl w:ilvl="0">
      <w:lvlJc w:val="left"/>
      <w:lvlText w:val="(%1)"/>
      <w:numFmt w:val="lowerLetter"/>
      <w:start w:val="2"/>
    </w:lvl>
  </w:abstractNum>
  <w:abstractNum w:abstractNumId="102">
    <w:nsid w:val="5454945E"/>
    <w:multiLevelType w:val="hybridMultilevel"/>
    <w:lvl w:ilvl="0">
      <w:lvlJc w:val="left"/>
      <w:lvlText w:val="%1."/>
      <w:numFmt w:val="decimal"/>
      <w:start w:val="2"/>
    </w:lvl>
    <w:lvl w:ilvl="1">
      <w:lvlJc w:val="left"/>
      <w:lvlText w:val="(%2)"/>
      <w:numFmt w:val="lowerLetter"/>
      <w:start w:val="1"/>
    </w:lvl>
  </w:abstractNum>
  <w:abstractNum w:abstractNumId="103">
    <w:nsid w:val="4DEFDFA0"/>
    <w:multiLevelType w:val="hybridMultilevel"/>
    <w:lvl w:ilvl="0">
      <w:lvlJc w:val="left"/>
      <w:lvlText w:val="%1"/>
      <w:numFmt w:val="decimal"/>
      <w:start w:val="1"/>
    </w:lvl>
    <w:lvl w:ilvl="1">
      <w:lvlJc w:val="left"/>
      <w:lvlText w:val="(%2)"/>
      <w:numFmt w:val="lowerLetter"/>
      <w:start w:val="3"/>
    </w:lvl>
  </w:abstractNum>
  <w:abstractNum w:abstractNumId="104">
    <w:nsid w:val="2123D5F2"/>
    <w:multiLevelType w:val="hybridMultilevel"/>
    <w:lvl w:ilvl="0">
      <w:lvlJc w:val="left"/>
      <w:lvlText w:val="%1."/>
      <w:numFmt w:val="decimal"/>
      <w:start w:val="5"/>
    </w:lvl>
    <w:lvl w:ilvl="1">
      <w:lvlJc w:val="left"/>
      <w:lvlText w:val="%2"/>
      <w:numFmt w:val="lowerLetter"/>
      <w:start w:val="1"/>
    </w:lvl>
  </w:abstractNum>
  <w:abstractNum w:abstractNumId="105">
    <w:nsid w:val="135B8110"/>
    <w:multiLevelType w:val="hybridMultilevel"/>
    <w:lvl w:ilvl="0">
      <w:lvlJc w:val="left"/>
      <w:lvlText w:val="%1."/>
      <w:numFmt w:val="decimal"/>
      <w:start w:val="10"/>
    </w:lvl>
  </w:abstractNum>
  <w:abstractNum w:abstractNumId="106">
    <w:nsid w:val="94927A8"/>
    <w:multiLevelType w:val="hybridMultilevel"/>
    <w:lvl w:ilvl="0">
      <w:lvlJc w:val="left"/>
      <w:lvlText w:val="%1."/>
      <w:numFmt w:val="decimal"/>
      <w:start w:val="13"/>
    </w:lvl>
    <w:lvl w:ilvl="1">
      <w:lvlJc w:val="left"/>
      <w:lvlText w:val="(%2)"/>
      <w:numFmt w:val="lowerLetter"/>
      <w:start w:val="1"/>
    </w:lvl>
  </w:abstractNum>
  <w:abstractNum w:abstractNumId="107">
    <w:nsid w:val="DCDF8F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08">
    <w:nsid w:val="52D7B105"/>
    <w:multiLevelType w:val="hybridMultilevel"/>
    <w:lvl w:ilvl="0">
      <w:lvlJc w:val="left"/>
      <w:lvlText w:val="(%1)"/>
      <w:numFmt w:val="lowerLetter"/>
      <w:start w:val="61"/>
    </w:lvl>
    <w:lvl w:ilvl="1">
      <w:lvlJc w:val="left"/>
      <w:lvlText w:val="%2."/>
      <w:numFmt w:val="decimal"/>
      <w:start w:val="15"/>
    </w:lvl>
    <w:lvl w:ilvl="2">
      <w:lvlJc w:val="left"/>
      <w:lvlText w:val="%3"/>
      <w:numFmt w:val="lowerLetter"/>
      <w:start w:val="1"/>
    </w:lvl>
  </w:abstractNum>
  <w:abstractNum w:abstractNumId="109">
    <w:nsid w:val="2E8A6394"/>
    <w:multiLevelType w:val="hybridMultilevel"/>
    <w:lvl w:ilvl="0">
      <w:lvlJc w:val="left"/>
      <w:lvlText w:val="%1."/>
      <w:numFmt w:val="decimal"/>
      <w:start w:val="16"/>
    </w:lvl>
    <w:lvl w:ilvl="1">
      <w:lvlJc w:val="left"/>
      <w:lvlText w:val="(%2)"/>
      <w:numFmt w:val="lowerLetter"/>
      <w:start w:val="1"/>
    </w:lvl>
  </w:abstractNum>
  <w:abstractNum w:abstractNumId="110">
    <w:nsid w:val="24E60401"/>
    <w:multiLevelType w:val="hybridMultilevel"/>
    <w:lvl w:ilvl="0">
      <w:lvlJc w:val="left"/>
      <w:lvlText w:val="%1"/>
      <w:numFmt w:val="decimal"/>
      <w:start w:val="1"/>
    </w:lvl>
    <w:lvl w:ilvl="1">
      <w:lvlJc w:val="left"/>
      <w:lvlText w:val="(%2)"/>
      <w:numFmt w:val="lowerLetter"/>
      <w:start w:val="2"/>
    </w:lvl>
  </w:abstractNum>
  <w:abstractNum w:abstractNumId="111">
    <w:nsid w:val="2A6AD9BE"/>
    <w:multiLevelType w:val="hybridMultilevel"/>
    <w:lvl w:ilvl="0">
      <w:lvlJc w:val="left"/>
      <w:lvlText w:val="%1."/>
      <w:numFmt w:val="decimal"/>
      <w:start w:val="20"/>
    </w:lvl>
    <w:lvl w:ilvl="1">
      <w:lvlJc w:val="left"/>
      <w:lvlText w:val="(%2)"/>
      <w:numFmt w:val="lowerLetter"/>
      <w:start w:val="1"/>
    </w:lvl>
  </w:abstractNum>
  <w:abstractNum w:abstractNumId="112">
    <w:nsid w:val="BAAC1B4"/>
    <w:multiLevelType w:val="hybridMultilevel"/>
    <w:lvl w:ilvl="0">
      <w:lvlJc w:val="left"/>
      <w:lvlText w:val="%1."/>
      <w:numFmt w:val="decimal"/>
      <w:start w:val="24"/>
    </w:lvl>
  </w:abstractNum>
  <w:abstractNum w:abstractNumId="113">
    <w:nsid w:val="36B2ACBC"/>
    <w:multiLevelType w:val="hybridMultilevel"/>
    <w:lvl w:ilvl="0">
      <w:lvlJc w:val="left"/>
      <w:lvlText w:val="(%1)"/>
      <w:numFmt w:val="decimal"/>
      <w:start w:val="1"/>
    </w:lvl>
  </w:abstractNum>
  <w:abstractNum w:abstractNumId="114">
    <w:nsid w:val="779D8544"/>
    <w:multiLevelType w:val="hybridMultilevel"/>
    <w:lvl w:ilvl="0">
      <w:lvlJc w:val="left"/>
      <w:lvlText w:val="(%1)"/>
      <w:numFmt w:val="decimal"/>
      <w:start w:val="10"/>
    </w:lvl>
  </w:abstractNum>
  <w:abstractNum w:abstractNumId="115">
    <w:nsid w:val="4AB26E78"/>
    <w:multiLevelType w:val="hybridMultilevel"/>
    <w:lvl w:ilvl="0">
      <w:lvlJc w:val="left"/>
      <w:lvlText w:val="(%1)"/>
      <w:numFmt w:val="lowerRoman"/>
      <w:start w:val="1"/>
    </w:lvl>
  </w:abstractNum>
  <w:abstractNum w:abstractNumId="116">
    <w:nsid w:val="21FAA2FA"/>
    <w:multiLevelType w:val="hybridMultilevel"/>
    <w:lvl w:ilvl="0">
      <w:lvlJc w:val="left"/>
      <w:lvlText w:val="(%1)"/>
      <w:numFmt w:val="decimal"/>
      <w:start w:val="1"/>
    </w:lvl>
  </w:abstractNum>
  <w:abstractNum w:abstractNumId="117">
    <w:nsid w:val="5451CF49"/>
    <w:multiLevelType w:val="hybridMultilevel"/>
    <w:lvl w:ilvl="0">
      <w:lvlJc w:val="left"/>
      <w:lvlText w:val="(%1)"/>
      <w:numFmt w:val="decimal"/>
      <w:start w:val="1"/>
    </w:lvl>
  </w:abstractNum>
  <w:abstractNum w:abstractNumId="118">
    <w:nsid w:val="6181EF69"/>
    <w:multiLevelType w:val="hybridMultilevel"/>
    <w:lvl w:ilvl="0">
      <w:lvlJc w:val="left"/>
      <w:lvlText w:val="(%1)"/>
      <w:numFmt w:val="lowerLetter"/>
      <w:start w:val="6"/>
    </w:lvl>
  </w:abstractNum>
  <w:abstractNum w:abstractNumId="119">
    <w:nsid w:val="3E6400E6"/>
    <w:multiLevelType w:val="hybridMultilevel"/>
    <w:lvl w:ilvl="0">
      <w:lvlJc w:val="left"/>
      <w:lvlText w:val="(%1)"/>
      <w:numFmt w:val="lowerLetter"/>
      <w:start w:val="9"/>
    </w:lvl>
  </w:abstractNum>
  <w:abstractNum w:abstractNumId="120">
    <w:nsid w:val="14217E23"/>
    <w:multiLevelType w:val="hybridMultilevel"/>
    <w:lvl w:ilvl="0">
      <w:lvlJc w:val="left"/>
      <w:lvlText w:val="(%1)"/>
      <w:numFmt w:val="decimal"/>
      <w:start w:val="5"/>
    </w:lvl>
  </w:abstractNum>
  <w:abstractNum w:abstractNumId="121">
    <w:nsid w:val="710757D0"/>
    <w:multiLevelType w:val="hybridMultilevel"/>
    <w:lvl w:ilvl="0">
      <w:lvlJc w:val="left"/>
      <w:lvlText w:val="%1."/>
      <w:numFmt w:val="decimal"/>
      <w:start w:val="1"/>
    </w:lvl>
  </w:abstractNum>
  <w:abstractNum w:abstractNumId="122">
    <w:nsid w:val="5015CD1A"/>
    <w:multiLevelType w:val="hybridMultilevel"/>
    <w:lvl w:ilvl="0">
      <w:lvlJc w:val="left"/>
      <w:lvlText w:val="(%1)"/>
      <w:numFmt w:val="lowerLetter"/>
      <w:start w:val="1"/>
    </w:lvl>
  </w:abstractNum>
  <w:abstractNum w:abstractNumId="123">
    <w:nsid w:val="424479DA"/>
    <w:multiLevelType w:val="hybridMultilevel"/>
    <w:lvl w:ilvl="0">
      <w:lvlJc w:val="left"/>
      <w:lvlText w:val="(%1)"/>
      <w:numFmt w:val="lowerRoman"/>
      <w:start w:val="1"/>
    </w:lvl>
  </w:abstractNum>
  <w:abstractNum w:abstractNumId="124">
    <w:nsid w:val="1A9A9E69"/>
    <w:multiLevelType w:val="hybridMultilevel"/>
    <w:lvl w:ilvl="0">
      <w:lvlJc w:val="left"/>
      <w:lvlText w:val="%1."/>
      <w:numFmt w:val="decimal"/>
      <w:start w:val="2"/>
    </w:lvl>
  </w:abstractNum>
  <w:abstractNum w:abstractNumId="125">
    <w:nsid w:val="475E256A"/>
    <w:multiLevelType w:val="hybridMultilevel"/>
    <w:lvl w:ilvl="0">
      <w:lvlJc w:val="left"/>
      <w:lvlText w:val="%1."/>
      <w:numFmt w:val="decimal"/>
      <w:start w:val="3"/>
    </w:lvl>
  </w:abstractNum>
  <w:abstractNum w:abstractNumId="126">
    <w:nsid w:val="368DB37E"/>
    <w:multiLevelType w:val="hybridMultilevel"/>
    <w:lvl w:ilvl="0">
      <w:lvlJc w:val="left"/>
      <w:lvlText w:val="·"/>
      <w:numFmt w:val="bullet"/>
      <w:start w:val="1"/>
    </w:lvl>
    <w:lvl w:ilvl="1">
      <w:lvlJc w:val="left"/>
      <w:lvlText w:val="·"/>
      <w:numFmt w:val="bullet"/>
      <w:start w:val="1"/>
    </w:lvl>
  </w:abstractNum>
  <w:abstractNum w:abstractNumId="127">
    <w:nsid w:val="6A3B714C"/>
    <w:multiLevelType w:val="hybridMultilevel"/>
    <w:lvl w:ilvl="0">
      <w:lvlJc w:val="left"/>
      <w:lvlText w:val="·"/>
      <w:numFmt w:val="bullet"/>
      <w:start w:val="1"/>
    </w:lvl>
  </w:abstractNum>
  <w:abstractNum w:abstractNumId="128">
    <w:nsid w:val="327B517E"/>
    <w:multiLevelType w:val="hybridMultilevel"/>
    <w:lvl w:ilvl="0">
      <w:lvlJc w:val="left"/>
      <w:lvlText w:val="·"/>
      <w:numFmt w:val="bullet"/>
      <w:start w:val="1"/>
    </w:lvl>
  </w:abstractNum>
  <w:abstractNum w:abstractNumId="129">
    <w:nsid w:val="1F461B51"/>
    <w:multiLevelType w:val="hybridMultilevel"/>
    <w:lvl w:ilvl="0">
      <w:lvlJc w:val="left"/>
      <w:lvlText w:val="·"/>
      <w:numFmt w:val="bullet"/>
      <w:start w:val="1"/>
    </w:lvl>
  </w:abstractNum>
  <w:abstractNum w:abstractNumId="130">
    <w:nsid w:val="29BACF25"/>
    <w:multiLevelType w:val="hybridMultilevel"/>
    <w:lvl w:ilvl="0">
      <w:lvlJc w:val="left"/>
      <w:lvlText w:val="%1."/>
      <w:numFmt w:val="decimal"/>
      <w:start w:val="1"/>
    </w:lvl>
    <w:lvl w:ilvl="1">
      <w:lvlJc w:val="left"/>
      <w:lvlText w:val="(%2)"/>
      <w:numFmt w:val="lowerLetter"/>
      <w:start w:val="1"/>
    </w:lvl>
  </w:abstractNum>
  <w:abstractNum w:abstractNumId="131">
    <w:nsid w:val="5D5BABB3"/>
    <w:multiLevelType w:val="hybridMultilevel"/>
    <w:lvl w:ilvl="0">
      <w:lvlJc w:val="left"/>
      <w:lvlText w:val="(%1)"/>
      <w:numFmt w:val="lowerRoman"/>
      <w:start w:val="2"/>
    </w:lvl>
  </w:abstractNum>
  <w:abstractNum w:abstractNumId="132">
    <w:nsid w:val="51BF6B4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33">
    <w:nsid w:val="7E0F6384"/>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34">
    <w:nsid w:val="2B4B8B53"/>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5"/>
    </w:lvl>
  </w:abstractNum>
  <w:abstractNum w:abstractNumId="135">
    <w:nsid w:val="72E3413A"/>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7"/>
    </w:lvl>
  </w:abstractNum>
  <w:abstractNum w:abstractNumId="136">
    <w:nsid w:val="116AE494"/>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1"/>
    </w:lvl>
  </w:abstractNum>
  <w:abstractNum w:abstractNumId="137">
    <w:nsid w:val="3494B2FB"/>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abstractNum>
  <w:abstractNum w:abstractNumId="138">
    <w:nsid w:val="B13A31"/>
    <w:multiLevelType w:val="hybridMultilevel"/>
    <w:lvl w:ilvl="0">
      <w:lvlJc w:val="left"/>
      <w:lvlText w:val="%1."/>
      <w:numFmt w:val="decimal"/>
      <w:start w:val="5"/>
    </w:lvl>
    <w:lvl w:ilvl="1">
      <w:lvlJc w:val="left"/>
      <w:lvlText w:val="(%2)"/>
      <w:numFmt w:val="lowerLetter"/>
      <w:start w:val="1"/>
    </w:lvl>
  </w:abstractNum>
  <w:abstractNum w:abstractNumId="139">
    <w:nsid w:val="64429599"/>
    <w:multiLevelType w:val="hybridMultilevel"/>
    <w:lvl w:ilvl="0">
      <w:lvlJc w:val="left"/>
      <w:lvlText w:val="%1."/>
      <w:numFmt w:val="decimal"/>
      <w:start w:val="6"/>
    </w:lvl>
  </w:abstractNum>
  <w:abstractNum w:abstractNumId="140">
    <w:nsid w:val="631F1690"/>
    <w:multiLevelType w:val="hybridMultilevel"/>
    <w:lvl w:ilvl="0">
      <w:lvlJc w:val="left"/>
      <w:lvlText w:val="%1."/>
      <w:numFmt w:val="decimal"/>
      <w:start w:val="10"/>
    </w:lvl>
    <w:lvl w:ilvl="1">
      <w:lvlJc w:val="left"/>
      <w:lvlText w:val="(%2)"/>
      <w:numFmt w:val="lowerLetter"/>
      <w:start w:val="1"/>
    </w:lvl>
  </w:abstractNum>
  <w:abstractNum w:abstractNumId="141">
    <w:nsid w:val="25973E32"/>
    <w:multiLevelType w:val="hybridMultilevel"/>
    <w:lvl w:ilvl="0">
      <w:lvlJc w:val="left"/>
      <w:lvlText w:val="(%1)"/>
      <w:numFmt w:val="decimal"/>
      <w:start w:val="1"/>
    </w:lvl>
  </w:abstractNum>
  <w:abstractNum w:abstractNumId="142">
    <w:nsid w:val="EAD6F57"/>
    <w:multiLevelType w:val="hybridMultilevel"/>
    <w:lvl w:ilvl="0">
      <w:lvlJc w:val="left"/>
      <w:lvlText w:val="%1."/>
      <w:numFmt w:val="decimal"/>
      <w:start w:val="13"/>
    </w:lvl>
  </w:abstractNum>
  <w:abstractNum w:abstractNumId="143">
    <w:nsid w:val="6EC9D844"/>
    <w:multiLevelType w:val="hybridMultilevel"/>
    <w:lvl w:ilvl="0">
      <w:lvlJc w:val="left"/>
      <w:lvlText w:val="%1."/>
      <w:numFmt w:val="decimal"/>
      <w:start w:val="15"/>
    </w:lvl>
    <w:lvl w:ilvl="1">
      <w:lvlJc w:val="left"/>
      <w:lvlText w:val="(%2)"/>
      <w:numFmt w:val="lowerLetter"/>
      <w:start w:val="1"/>
    </w:lvl>
  </w:abstractNum>
  <w:abstractNum w:abstractNumId="144">
    <w:nsid w:val="5C49EAEE"/>
    <w:multiLevelType w:val="hybridMultilevel"/>
    <w:lvl w:ilvl="0">
      <w:lvlJc w:val="left"/>
      <w:lvlText w:val="%1"/>
      <w:numFmt w:val="decimal"/>
      <w:start w:val="1"/>
    </w:lvl>
    <w:lvl w:ilvl="1">
      <w:lvlJc w:val="left"/>
      <w:lvlText w:val="(%2)"/>
      <w:numFmt w:val="lowerLetter"/>
      <w:start w:val="2"/>
    </w:lvl>
  </w:abstractNum>
  <w:abstractNum w:abstractNumId="145">
    <w:nsid w:val="64AF49B"/>
    <w:multiLevelType w:val="hybridMultilevel"/>
    <w:lvl w:ilvl="0">
      <w:lvlJc w:val="left"/>
      <w:lvlText w:val="%1."/>
      <w:numFmt w:val="decimal"/>
      <w:start w:val="19"/>
    </w:lvl>
    <w:lvl w:ilvl="1">
      <w:lvlJc w:val="left"/>
      <w:lvlText w:val="(%2)"/>
      <w:numFmt w:val="lowerLetter"/>
      <w:start w:val="1"/>
    </w:lvl>
  </w:abstractNum>
  <w:abstractNum w:abstractNumId="146">
    <w:nsid w:val="397C46BC"/>
    <w:multiLevelType w:val="hybridMultilevel"/>
    <w:lvl w:ilvl="0">
      <w:lvlJc w:val="left"/>
      <w:lvlText w:val="%1."/>
      <w:numFmt w:val="decimal"/>
      <w:start w:val="23"/>
    </w:lvl>
  </w:abstractNum>
  <w:abstractNum w:abstractNumId="147">
    <w:nsid w:val="7E448DE9"/>
    <w:multiLevelType w:val="hybridMultilevel"/>
    <w:lvl w:ilvl="0">
      <w:lvlJc w:val="left"/>
      <w:lvlText w:val="(%1)"/>
      <w:numFmt w:val="decimal"/>
      <w:start w:val="1"/>
    </w:lvl>
  </w:abstractNum>
  <w:abstractNum w:abstractNumId="148">
    <w:nsid w:val="5A9CC3E5"/>
    <w:multiLevelType w:val="hybridMultilevel"/>
    <w:lvl w:ilvl="0">
      <w:lvlJc w:val="left"/>
      <w:lvlText w:val="(%1)"/>
      <w:numFmt w:val="decimal"/>
      <w:start w:val="10"/>
    </w:lvl>
  </w:abstractNum>
  <w:abstractNum w:abstractNumId="149">
    <w:nsid w:val="1AFE3625"/>
    <w:multiLevelType w:val="hybridMultilevel"/>
    <w:lvl w:ilvl="0">
      <w:lvlJc w:val="left"/>
      <w:lvlText w:val="(%1)"/>
      <w:numFmt w:val="decimal"/>
      <w:start w:val="16"/>
    </w:lvl>
  </w:abstractNum>
  <w:abstractNum w:abstractNumId="150">
    <w:nsid w:val="3CA88ECF"/>
    <w:multiLevelType w:val="hybridMultilevel"/>
    <w:lvl w:ilvl="0">
      <w:lvlJc w:val="left"/>
      <w:lvlText w:val="(%1)"/>
      <w:numFmt w:val="lowerRoman"/>
      <w:start w:val="1"/>
    </w:lvl>
  </w:abstractNum>
  <w:abstractNum w:abstractNumId="151">
    <w:nsid w:val="6EBE4208"/>
    <w:multiLevelType w:val="hybridMultilevel"/>
    <w:lvl w:ilvl="0">
      <w:lvlJc w:val="left"/>
      <w:lvlText w:val="(%1)"/>
      <w:numFmt w:val="decimal"/>
      <w:start w:val="1"/>
    </w:lvl>
  </w:abstractNum>
  <w:abstractNum w:abstractNumId="152">
    <w:nsid w:val="C058DF5"/>
    <w:multiLevelType w:val="hybridMultilevel"/>
    <w:lvl w:ilvl="0">
      <w:lvlJc w:val="left"/>
      <w:lvlText w:val="(%1)"/>
      <w:numFmt w:val="decimal"/>
      <w:start w:val="1"/>
    </w:lvl>
  </w:abstractNum>
  <w:abstractNum w:abstractNumId="153">
    <w:nsid w:val="CBE5BE9"/>
    <w:multiLevelType w:val="hybridMultilevel"/>
    <w:lvl w:ilvl="0">
      <w:lvlJc w:val="left"/>
      <w:lvlText w:val="%1."/>
      <w:numFmt w:val="decimal"/>
      <w:start w:val="1"/>
    </w:lvl>
  </w:abstractNum>
  <w:abstractNum w:abstractNumId="154">
    <w:nsid w:val="3102BBE2"/>
    <w:multiLevelType w:val="hybridMultilevel"/>
    <w:lvl w:ilvl="0">
      <w:lvlJc w:val="left"/>
      <w:lvlText w:val="(%1)"/>
      <w:numFmt w:val="lowerLetter"/>
      <w:start w:val="1"/>
    </w:lvl>
  </w:abstractNum>
  <w:abstractNum w:abstractNumId="155">
    <w:nsid w:val="26A02C5E"/>
    <w:multiLevelType w:val="hybridMultilevel"/>
    <w:lvl w:ilvl="0">
      <w:lvlJc w:val="left"/>
      <w:lvlText w:val="%1"/>
      <w:numFmt w:val="decimal"/>
      <w:start w:val="1"/>
    </w:lvl>
    <w:lvl w:ilvl="1">
      <w:lvlJc w:val="left"/>
      <w:lvlText w:val="(%2)"/>
      <w:numFmt w:val="lowerRoman"/>
      <w:start w:val="1"/>
    </w:lvl>
  </w:abstractNum>
  <w:abstractNum w:abstractNumId="156">
    <w:nsid w:val="541C8153"/>
    <w:multiLevelType w:val="hybridMultilevel"/>
    <w:lvl w:ilvl="0">
      <w:lvlJc w:val="left"/>
      <w:lvlText w:val="%1."/>
      <w:numFmt w:val="decimal"/>
      <w:start w:val="2"/>
    </w:lvl>
    <w:lvl w:ilvl="1">
      <w:lvlJc w:val="left"/>
      <w:lvlText w:val="%2"/>
      <w:numFmt w:val="lowerRoman"/>
      <w:start w:val="1"/>
    </w:lvl>
  </w:abstractNum>
  <w:abstractNum w:abstractNumId="157">
    <w:nsid w:val="67906F60"/>
    <w:multiLevelType w:val="hybridMultilevel"/>
    <w:lvl w:ilvl="0">
      <w:lvlJc w:val="left"/>
      <w:lvlText w:val="%1."/>
      <w:numFmt w:val="decimal"/>
      <w:start w:val="3"/>
    </w:lvl>
  </w:abstractNum>
  <w:abstractNum w:abstractNumId="158">
    <w:nsid w:val="10DB9DAA"/>
    <w:multiLevelType w:val="hybridMultilevel"/>
    <w:lvl w:ilvl="0">
      <w:lvlJc w:val="left"/>
      <w:lvlText w:val="%1."/>
      <w:numFmt w:val="decimal"/>
      <w:start w:val="1"/>
    </w:lvl>
  </w:abstractNum>
  <w:abstractNum w:abstractNumId="159">
    <w:nsid w:val="697D2D2"/>
    <w:multiLevelType w:val="hybridMultilevel"/>
    <w:lvl w:ilvl="0">
      <w:lvlJc w:val="left"/>
      <w:lvlText w:val="%1."/>
      <w:numFmt w:val="decimal"/>
      <w:start w:val="2"/>
    </w:lvl>
    <w:lvl w:ilvl="1">
      <w:lvlJc w:val="left"/>
      <w:lvlText w:val="(%2)"/>
      <w:numFmt w:val="lowerLetter"/>
      <w:start w:val="1"/>
    </w:lvl>
  </w:abstractNum>
  <w:abstractNum w:abstractNumId="160">
    <w:nsid w:val="6D68AB2"/>
    <w:multiLevelType w:val="hybridMultilevel"/>
    <w:lvl w:ilvl="0">
      <w:lvlJc w:val="left"/>
      <w:lvlText w:val="(%1)"/>
      <w:numFmt w:val="lowerLetter"/>
      <w:start w:val="4"/>
    </w:lvl>
  </w:abstractNum>
  <w:abstractNum w:abstractNumId="161">
    <w:nsid w:val="3A966CD0"/>
    <w:multiLevelType w:val="hybridMultilevel"/>
    <w:lvl w:ilvl="0">
      <w:lvlJc w:val="left"/>
      <w:lvlText w:val="(%1)"/>
      <w:numFmt w:val="lowerRoman"/>
      <w:start w:val="1"/>
    </w:lvl>
    <w:lvl w:ilvl="1">
      <w:lvlJc w:val="left"/>
      <w:lvlText w:val="%2."/>
      <w:numFmt w:val="lowerLetter"/>
      <w:start w:val="1"/>
    </w:lvl>
  </w:abstractNum>
  <w:abstractNum w:abstractNumId="162">
    <w:nsid w:val="63F37E85"/>
    <w:multiLevelType w:val="hybridMultilevel"/>
    <w:lvl w:ilvl="0">
      <w:lvlJc w:val="left"/>
      <w:lvlText w:val="%1"/>
      <w:numFmt w:val="lowerRoman"/>
      <w:start w:val="1"/>
    </w:lvl>
    <w:lvl w:ilvl="1">
      <w:lvlJc w:val="left"/>
      <w:lvlText w:val="%2."/>
      <w:numFmt w:val="lowerLetter"/>
      <w:start w:val="2"/>
    </w:lvl>
  </w:abstractNum>
  <w:abstractNum w:abstractNumId="163">
    <w:nsid w:val="5895F5FA"/>
    <w:multiLevelType w:val="hybridMultilevel"/>
    <w:lvl w:ilvl="0">
      <w:lvlJc w:val="left"/>
      <w:lvlText w:val="(%1)"/>
      <w:numFmt w:val="lowerRoman"/>
      <w:start w:val="2"/>
    </w:lvl>
    <w:lvl w:ilvl="1">
      <w:lvlJc w:val="left"/>
      <w:lvlText w:val="%2"/>
      <w:numFmt w:val="lowerLetter"/>
      <w:start w:val="1"/>
    </w:lvl>
  </w:abstractNum>
  <w:abstractNum w:abstractNumId="164">
    <w:nsid w:val="38A5D054"/>
    <w:multiLevelType w:val="hybridMultilevel"/>
    <w:lvl w:ilvl="0">
      <w:lvlJc w:val="left"/>
      <w:lvlText w:val="%1."/>
      <w:numFmt w:val="lowerLetter"/>
      <w:start w:val="1"/>
    </w:lvl>
  </w:abstractNum>
  <w:abstractNum w:abstractNumId="165">
    <w:nsid w:val="F3F09D8"/>
    <w:multiLevelType w:val="hybridMultilevel"/>
    <w:lvl w:ilvl="0">
      <w:lvlJc w:val="left"/>
      <w:lvlText w:val="%1"/>
      <w:numFmt w:val="decimal"/>
      <w:start w:val="1"/>
    </w:lvl>
    <w:lvl w:ilvl="1">
      <w:lvlJc w:val="left"/>
      <w:lvlText w:val="(%2)"/>
      <w:numFmt w:val="lowerLetter"/>
      <w:start w:val="5"/>
    </w:lvl>
  </w:abstractNum>
  <w:abstractNum w:abstractNumId="166">
    <w:nsid w:val="4B793735"/>
    <w:multiLevelType w:val="hybridMultilevel"/>
    <w:lvl w:ilvl="0">
      <w:lvlJc w:val="left"/>
      <w:lvlText w:val="%1."/>
      <w:numFmt w:val="decimal"/>
      <w:start w:val="3"/>
    </w:lvl>
    <w:lvl w:ilvl="1">
      <w:lvlJc w:val="left"/>
      <w:lvlText w:val="%2"/>
      <w:numFmt w:val="lowerLetter"/>
      <w:start w:val="1"/>
    </w:lvl>
  </w:abstractNum>
  <w:abstractNum w:abstractNumId="167">
    <w:nsid w:val="4A10B4E8"/>
    <w:multiLevelType w:val="hybridMultilevel"/>
    <w:lvl w:ilvl="0">
      <w:lvlJc w:val="left"/>
      <w:lvlText w:val="%1."/>
      <w:numFmt w:val="decimal"/>
      <w:start w:val="4"/>
    </w:lvl>
  </w:abstractNum>
  <w:abstractNum w:abstractNumId="168">
    <w:nsid w:val="43D3BCD4"/>
    <w:multiLevelType w:val="hybridMultilevel"/>
    <w:lvl w:ilvl="0">
      <w:lvlJc w:val="left"/>
      <w:lvlText w:val="%1."/>
      <w:numFmt w:val="decimal"/>
      <w:start w:val="5"/>
    </w:lvl>
  </w:abstractNum>
  <w:abstractNum w:abstractNumId="169">
    <w:nsid w:val="4C2A7166"/>
    <w:multiLevelType w:val="hybridMultilevel"/>
    <w:lvl w:ilvl="0">
      <w:lvlJc w:val="left"/>
      <w:lvlText w:val="%1."/>
      <w:numFmt w:val="decimal"/>
      <w:start w:val="6"/>
    </w:lvl>
    <w:lvl w:ilvl="1">
      <w:lvlJc w:val="left"/>
      <w:lvlText w:val="(%2)"/>
      <w:numFmt w:val="lowerLetter"/>
      <w:start w:val="1"/>
    </w:lvl>
  </w:abstractNum>
  <w:abstractNum w:abstractNumId="170">
    <w:nsid w:val="2E534A82"/>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71">
    <w:nsid w:val="26F2D364"/>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3"/>
    </w:lvl>
  </w:abstractNum>
  <w:abstractNum w:abstractNumId="172">
    <w:nsid w:val="71C1AF98"/>
    <w:multiLevelType w:val="hybridMultilevel"/>
    <w:lvl w:ilvl="0">
      <w:lvlJc w:val="left"/>
      <w:lvlText w:val="(%1)"/>
      <w:numFmt w:val="lowerLetter"/>
      <w:start w:val="5"/>
    </w:lvl>
    <w:lvl w:ilvl="1">
      <w:lvlJc w:val="left"/>
      <w:lvlText w:val="(%2)"/>
      <w:numFmt w:val="lowerLetter"/>
      <w:start w:val="9"/>
    </w:lvl>
  </w:abstractNum>
  <w:abstractNum w:abstractNumId="173">
    <w:nsid w:val="3D00B9D9"/>
    <w:multiLevelType w:val="hybridMultilevel"/>
    <w:lvl w:ilvl="0">
      <w:lvlJc w:val="left"/>
      <w:lvlText w:val="(%1)"/>
      <w:numFmt w:val="lowerRoman"/>
      <w:start w:val="2"/>
    </w:lvl>
  </w:abstractNum>
  <w:abstractNum w:abstractNumId="174">
    <w:nsid w:val="15BCABA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75">
    <w:nsid w:val="4E0B9A87"/>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76">
    <w:nsid w:val="434BAE7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61"/>
    </w:lvl>
  </w:abstractNum>
  <w:abstractNum w:abstractNumId="177">
    <w:nsid w:val="4F38F265"/>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lowerLetter"/>
      <w:start w:val="1"/>
    </w:lvl>
  </w:abstractNum>
  <w:abstractNum w:abstractNumId="178">
    <w:nsid w:val="4C502870"/>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lvl w:ilvl="3">
      <w:lvlJc w:val="left"/>
      <w:lvlText w:val="(%4)"/>
      <w:numFmt w:val="lowerLetter"/>
      <w:start w:val="9"/>
    </w:lvl>
  </w:abstractNum>
  <w:abstractNum w:abstractNumId="179">
    <w:nsid w:val="1DE8725A"/>
    <w:multiLevelType w:val="hybridMultilevel"/>
    <w:lvl w:ilvl="0">
      <w:lvlJc w:val="left"/>
      <w:lvlText w:val="%1"/>
      <w:numFmt w:val="lowerLetter"/>
      <w:start w:val="1"/>
    </w:lvl>
    <w:lvl w:ilvl="1">
      <w:lvlJc w:val="left"/>
      <w:lvlText w:val="(%2)"/>
      <w:numFmt w:val="lowerLetter"/>
      <w:start w:val="35"/>
    </w:lvl>
  </w:abstractNum>
  <w:abstractNum w:abstractNumId="180">
    <w:nsid w:val="6A37288A"/>
    <w:multiLevelType w:val="hybridMultilevel"/>
    <w:lvl w:ilvl="0">
      <w:lvlJc w:val="left"/>
      <w:lvlText w:val="(%1)"/>
      <w:numFmt w:val="lowerLetter"/>
      <w:start w:val="3"/>
    </w:lvl>
    <w:lvl w:ilvl="1">
      <w:lvlJc w:val="left"/>
      <w:lvlText w:val="(%2)"/>
      <w:numFmt w:val="lowerLetter"/>
      <w:start w:val="9"/>
    </w:lvl>
  </w:abstractNum>
  <w:abstractNum w:abstractNumId="181">
    <w:nsid w:val="8F8B73F"/>
    <w:multiLevelType w:val="hybridMultilevel"/>
    <w:lvl w:ilvl="0">
      <w:lvlJc w:val="left"/>
      <w:lvlText w:val="(%1)"/>
      <w:numFmt w:val="lowerRoman"/>
      <w:start w:val="2"/>
    </w:lvl>
  </w:abstractNum>
  <w:abstractNum w:abstractNumId="182">
    <w:nsid w:val="CA6B46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183">
    <w:nsid w:val="763CB680"/>
    <w:multiLevelType w:val="hybridMultilevel"/>
    <w:lvl w:ilvl="0">
      <w:lvlJc w:val="left"/>
      <w:lvlText w:val="(%1)"/>
      <w:numFmt w:val="lowerLetter"/>
      <w:start w:val="4"/>
    </w:lvl>
    <w:lvl w:ilvl="1">
      <w:lvlJc w:val="left"/>
      <w:lvlText w:val="(%2)"/>
      <w:numFmt w:val="lowerLetter"/>
      <w:start w:val="4"/>
    </w:lvl>
    <w:lvl w:ilvl="2">
      <w:lvlJc w:val="left"/>
      <w:lvlText w:val="(%3)"/>
      <w:numFmt w:val="lowerRoman"/>
      <w:start w:val="1"/>
    </w:lvl>
  </w:abstractNum>
  <w:abstractNum w:abstractNumId="184">
    <w:nsid w:val="15B71329"/>
    <w:multiLevelType w:val="hybridMultilevel"/>
    <w:lvl w:ilvl="0">
      <w:lvlJc w:val="left"/>
      <w:lvlText w:val="%1"/>
      <w:numFmt w:val="lowerLetter"/>
      <w:start w:val="1"/>
    </w:lvl>
    <w:lvl w:ilvl="1">
      <w:lvlJc w:val="left"/>
      <w:lvlText w:val="(%2)"/>
      <w:numFmt w:val="lowerRoman"/>
      <w:start w:val="4"/>
    </w:lvl>
  </w:abstractNum>
  <w:abstractNum w:abstractNumId="185">
    <w:nsid w:val="3DA97044"/>
    <w:multiLevelType w:val="hybridMultilevel"/>
    <w:lvl w:ilvl="0">
      <w:lvlJc w:val="left"/>
      <w:lvlText w:val="(%1)"/>
      <w:numFmt w:val="lowerLetter"/>
      <w:start w:val="6"/>
    </w:lvl>
    <w:lvl w:ilvl="1">
      <w:lvlJc w:val="left"/>
      <w:lvlText w:val="(%2)"/>
      <w:numFmt w:val="lowerRoman"/>
      <w:start w:val="1"/>
    </w:lvl>
  </w:abstractNum>
  <w:abstractNum w:abstractNumId="186">
    <w:nsid w:val="1CDCE2DE"/>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187">
    <w:nsid w:val="69D3947C"/>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88">
    <w:nsid w:val="2539DFA5"/>
    <w:multiLevelType w:val="hybridMultilevel"/>
    <w:lvl w:ilvl="0">
      <w:lvlJc w:val="left"/>
      <w:lvlText w:val="(%1)"/>
      <w:numFmt w:val="lowerLetter"/>
      <w:start w:val="2"/>
    </w:lvl>
  </w:abstractNum>
  <w:abstractNum w:abstractNumId="189">
    <w:nsid w:val="2DB88089"/>
    <w:multiLevelType w:val="hybridMultilevel"/>
    <w:lvl w:ilvl="0">
      <w:lvlJc w:val="left"/>
      <w:lvlText w:val="(%1)"/>
      <w:numFmt w:val="lowerLetter"/>
      <w:start w:val="10"/>
    </w:lvl>
  </w:abstractNum>
  <w:abstractNum w:abstractNumId="190">
    <w:nsid w:val="706B674E"/>
    <w:multiLevelType w:val="hybridMultilevel"/>
    <w:lvl w:ilvl="0">
      <w:lvlJc w:val="left"/>
      <w:lvlText w:val="(%1)"/>
      <w:numFmt w:val="lowerLetter"/>
      <w:start w:val="17"/>
    </w:lvl>
    <w:lvl w:ilvl="1">
      <w:lvlJc w:val="left"/>
      <w:lvlText w:val="(%2)"/>
      <w:numFmt w:val="lowerLetter"/>
      <w:start w:val="18"/>
    </w:lvl>
  </w:abstractNum>
  <w:abstractNum w:abstractNumId="191">
    <w:nsid w:val="2C106A57"/>
    <w:multiLevelType w:val="hybridMultilevel"/>
    <w:lvl w:ilvl="0">
      <w:lvlJc w:val="left"/>
      <w:lvlText w:val="%1"/>
      <w:numFmt w:val="decimal"/>
      <w:start w:val="1"/>
    </w:lvl>
    <w:lvl w:ilvl="1">
      <w:lvlJc w:val="left"/>
      <w:lvlText w:val="(%2)"/>
      <w:numFmt w:val="lowerLetter"/>
      <w:start w:val="19"/>
    </w:lvl>
  </w:abstractNum>
  <w:abstractNum w:abstractNumId="192">
    <w:nsid w:val="684EED59"/>
    <w:multiLevelType w:val="hybridMultilevel"/>
    <w:lvl w:ilvl="0">
      <w:lvlJc w:val="left"/>
      <w:lvlText w:val="%1."/>
      <w:numFmt w:val="decimal"/>
      <w:start w:val="12"/>
    </w:lvl>
    <w:lvl w:ilvl="1">
      <w:lvlJc w:val="left"/>
      <w:lvlText w:val="%2"/>
      <w:numFmt w:val="lowerLetter"/>
      <w:start w:val="1"/>
    </w:lvl>
  </w:abstractNum>
  <w:abstractNum w:abstractNumId="193">
    <w:nsid w:val="545EE5D3"/>
    <w:multiLevelType w:val="hybridMultilevel"/>
    <w:lvl w:ilvl="0">
      <w:lvlJc w:val="left"/>
      <w:lvlText w:val="%1."/>
      <w:numFmt w:val="decimal"/>
      <w:start w:val="13"/>
    </w:lvl>
  </w:abstractNum>
  <w:abstractNum w:abstractNumId="194">
    <w:nsid w:val="4A66051"/>
    <w:multiLevelType w:val="hybridMultilevel"/>
    <w:lvl w:ilvl="0">
      <w:lvlJc w:val="left"/>
      <w:lvlText w:val="·"/>
      <w:numFmt w:val="bullet"/>
      <w:start w:val="1"/>
    </w:lvl>
  </w:abstractNum>
  <w:abstractNum w:abstractNumId="195">
    <w:nsid w:val="20F4BDAD"/>
    <w:multiLevelType w:val="hybridMultilevel"/>
    <w:lvl w:ilvl="0">
      <w:lvlJc w:val="left"/>
      <w:lvlText w:val="·"/>
      <w:numFmt w:val="bullet"/>
      <w:start w:val="1"/>
    </w:lvl>
    <w:lvl w:ilvl="1">
      <w:lvlJc w:val="left"/>
      <w:lvlText w:val="·"/>
      <w:numFmt w:val="bullet"/>
      <w:start w:val="1"/>
    </w:lvl>
  </w:abstractNum>
  <w:abstractNum w:abstractNumId="196">
    <w:nsid w:val="639DEFAC"/>
    <w:multiLevelType w:val="hybridMultilevel"/>
    <w:lvl w:ilvl="0">
      <w:lvlJc w:val="left"/>
      <w:lvlText w:val="·"/>
      <w:numFmt w:val="bullet"/>
      <w:start w:val="1"/>
    </w:lvl>
  </w:abstractNum>
  <w:abstractNum w:abstractNumId="197">
    <w:nsid w:val="501F9786"/>
    <w:multiLevelType w:val="hybridMultilevel"/>
    <w:lvl w:ilvl="0">
      <w:lvlJc w:val="left"/>
      <w:lvlText w:val="·"/>
      <w:numFmt w:val="bullet"/>
      <w:start w:val="1"/>
    </w:lvl>
  </w:abstractNum>
  <w:abstractNum w:abstractNumId="198">
    <w:nsid w:val="6B057295"/>
    <w:multiLevelType w:val="hybridMultilevel"/>
    <w:lvl w:ilvl="0">
      <w:lvlJc w:val="left"/>
      <w:lvlText w:val="%1."/>
      <w:numFmt w:val="decimal"/>
      <w:start w:val="1"/>
    </w:lvl>
    <w:lvl w:ilvl="1">
      <w:lvlJc w:val="left"/>
      <w:lvlText w:val="(%2)"/>
      <w:numFmt w:val="lowerLetter"/>
      <w:start w:val="1"/>
    </w:lvl>
  </w:abstractNum>
  <w:abstractNum w:abstractNumId="199">
    <w:nsid w:val="2771AC80"/>
    <w:multiLevelType w:val="hybridMultilevel"/>
    <w:lvl w:ilvl="0">
      <w:lvlJc w:val="left"/>
      <w:lvlText w:val="(%1)"/>
      <w:numFmt w:val="lowerRoman"/>
      <w:start w:val="1"/>
    </w:lvl>
  </w:abstractNum>
  <w:abstractNum w:abstractNumId="200">
    <w:nsid w:val="1C4A08EC"/>
    <w:multiLevelType w:val="hybridMultilevel"/>
    <w:lvl w:ilvl="0">
      <w:lvlJc w:val="left"/>
      <w:lvlText w:val="%1"/>
      <w:numFmt w:val="decimal"/>
      <w:start w:val="1"/>
    </w:lvl>
    <w:lvl w:ilvl="1">
      <w:lvlJc w:val="left"/>
      <w:lvlText w:val="(%2)"/>
      <w:numFmt w:val="lowerLetter"/>
      <w:start w:val="2"/>
    </w:lvl>
  </w:abstractNum>
  <w:abstractNum w:abstractNumId="201">
    <w:nsid w:val="1958BD17"/>
    <w:multiLevelType w:val="hybridMultilevel"/>
    <w:lvl w:ilvl="0">
      <w:lvlJc w:val="left"/>
      <w:lvlText w:val="%1."/>
      <w:numFmt w:val="decimal"/>
      <w:start w:val="2"/>
    </w:lvl>
    <w:lvl w:ilvl="1">
      <w:lvlJc w:val="left"/>
      <w:lvlText w:val="(%2)"/>
      <w:numFmt w:val="lowerLetter"/>
      <w:start w:val="1"/>
    </w:lvl>
  </w:abstractNum>
  <w:abstractNum w:abstractNumId="202">
    <w:nsid w:val="4E647FE4"/>
    <w:multiLevelType w:val="hybridMultilevel"/>
    <w:lvl w:ilvl="0">
      <w:lvlJc w:val="left"/>
      <w:lvlText w:val="%1"/>
      <w:numFmt w:val="decimal"/>
      <w:start w:val="1"/>
    </w:lvl>
    <w:lvl w:ilvl="1">
      <w:lvlJc w:val="left"/>
      <w:lvlText w:val="(%2)"/>
      <w:numFmt w:val="lowerLetter"/>
      <w:start w:val="2"/>
    </w:lvl>
  </w:abstractNum>
  <w:abstractNum w:abstractNumId="203">
    <w:nsid w:val="E0BB885"/>
    <w:multiLevelType w:val="hybridMultilevel"/>
    <w:lvl w:ilvl="0">
      <w:lvlJc w:val="left"/>
      <w:lvlText w:val="%1."/>
      <w:numFmt w:val="decimal"/>
      <w:start w:val="5"/>
    </w:lvl>
    <w:lvl w:ilvl="1">
      <w:lvlJc w:val="left"/>
      <w:lvlText w:val="%2"/>
      <w:numFmt w:val="lowerLetter"/>
      <w:start w:val="1"/>
    </w:lvl>
  </w:abstractNum>
  <w:abstractNum w:abstractNumId="204">
    <w:nsid w:val="565976F1"/>
    <w:multiLevelType w:val="hybridMultilevel"/>
    <w:lvl w:ilvl="0">
      <w:lvlJc w:val="left"/>
      <w:lvlText w:val="%1."/>
      <w:numFmt w:val="decimal"/>
      <w:start w:val="8"/>
    </w:lvl>
  </w:abstractNum>
  <w:abstractNum w:abstractNumId="205">
    <w:nsid w:val="64212B8C"/>
    <w:multiLevelType w:val="hybridMultilevel"/>
    <w:lvl w:ilvl="0">
      <w:lvlJc w:val="left"/>
      <w:lvlText w:val="%1."/>
      <w:numFmt w:val="decimal"/>
      <w:start w:val="12"/>
    </w:lvl>
    <w:lvl w:ilvl="1">
      <w:lvlJc w:val="left"/>
      <w:lvlText w:val="(%2)"/>
      <w:numFmt w:val="lowerLetter"/>
      <w:start w:val="1"/>
    </w:lvl>
  </w:abstractNum>
  <w:abstractNum w:abstractNumId="206">
    <w:nsid w:val="5C17530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abstractNum>
  <w:abstractNum w:abstractNumId="207">
    <w:nsid w:val="19A52566"/>
    <w:multiLevelType w:val="hybridMultilevel"/>
    <w:lvl w:ilvl="0">
      <w:lvlJc w:val="left"/>
      <w:lvlText w:val="%1"/>
      <w:numFmt w:val="upperLetter"/>
      <w:start w:val="1"/>
    </w:lvl>
    <w:lvl w:ilvl="1">
      <w:lvlJc w:val="left"/>
      <w:lvlText w:val="%2."/>
      <w:numFmt w:val="decimal"/>
      <w:start w:val="15"/>
    </w:lvl>
    <w:lvl w:ilvl="2">
      <w:lvlJc w:val="left"/>
      <w:lvlText w:val="(%3)"/>
      <w:numFmt w:val="lowerLetter"/>
      <w:start w:val="1"/>
    </w:lvl>
  </w:abstractNum>
  <w:abstractNum w:abstractNumId="208">
    <w:nsid w:val="335A1DF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09">
    <w:nsid w:val="28677B7C"/>
    <w:multiLevelType w:val="hybridMultilevel"/>
    <w:lvl w:ilvl="0">
      <w:lvlJc w:val="left"/>
      <w:lvlText w:val="%1."/>
      <w:numFmt w:val="decimal"/>
      <w:start w:val="16"/>
    </w:lvl>
  </w:abstractNum>
  <w:abstractNum w:abstractNumId="210">
    <w:nsid w:val="378D97C0"/>
    <w:multiLevelType w:val="hybridMultilevel"/>
    <w:lvl w:ilvl="0">
      <w:lvlJc w:val="left"/>
      <w:lvlText w:val="%1."/>
      <w:numFmt w:val="decimal"/>
      <w:start w:val="17"/>
    </w:lvl>
    <w:lvl w:ilvl="1">
      <w:lvlJc w:val="left"/>
      <w:lvlText w:val="(%2)"/>
      <w:numFmt w:val="lowerLetter"/>
      <w:start w:val="1"/>
    </w:lvl>
  </w:abstractNum>
  <w:abstractNum w:abstractNumId="211">
    <w:nsid w:val="1D91467C"/>
    <w:multiLevelType w:val="hybridMultilevel"/>
    <w:lvl w:ilvl="0">
      <w:lvlJc w:val="left"/>
      <w:lvlText w:val="%1"/>
      <w:numFmt w:val="decimal"/>
      <w:start w:val="1"/>
    </w:lvl>
    <w:lvl w:ilvl="1">
      <w:lvlJc w:val="left"/>
      <w:lvlText w:val="%2."/>
      <w:numFmt w:val="decimal"/>
      <w:start w:val="21"/>
    </w:lvl>
    <w:lvl w:ilvl="2">
      <w:lvlJc w:val="left"/>
      <w:lvlText w:val="(%3)"/>
      <w:numFmt w:val="lowerLetter"/>
      <w:start w:val="1"/>
    </w:lvl>
  </w:abstractNum>
  <w:abstractNum w:abstractNumId="212">
    <w:nsid w:val="316032BB"/>
    <w:multiLevelType w:val="hybridMultilevel"/>
    <w:lvl w:ilvl="0">
      <w:lvlJc w:val="left"/>
      <w:lvlText w:val="%1."/>
      <w:numFmt w:val="decimal"/>
      <w:start w:val="25"/>
    </w:lvl>
    <w:lvl w:ilvl="1">
      <w:lvlJc w:val="left"/>
      <w:lvlText w:val="%2"/>
      <w:numFmt w:val="decimal"/>
      <w:start w:val="1"/>
    </w:lvl>
    <w:lvl w:ilvl="2">
      <w:lvlJc w:val="left"/>
      <w:lvlText w:val="%3"/>
      <w:numFmt w:val="lowerLetter"/>
      <w:start w:val="1"/>
    </w:lvl>
  </w:abstractNum>
  <w:abstractNum w:abstractNumId="213">
    <w:nsid w:val="44344C22"/>
    <w:multiLevelType w:val="hybridMultilevel"/>
    <w:lvl w:ilvl="0">
      <w:lvlJc w:val="left"/>
      <w:lvlText w:val="·"/>
      <w:numFmt w:val="bullet"/>
      <w:start w:val="1"/>
    </w:lvl>
  </w:abstractNum>
  <w:abstractNum w:abstractNumId="214">
    <w:nsid w:val="13CDFCFC"/>
    <w:multiLevelType w:val="hybridMultilevel"/>
    <w:lvl w:ilvl="0">
      <w:lvlJc w:val="left"/>
      <w:lvlText w:val="·"/>
      <w:numFmt w:val="bullet"/>
      <w:start w:val="1"/>
    </w:lvl>
    <w:lvl w:ilvl="1">
      <w:lvlJc w:val="left"/>
      <w:lvlText w:val="·"/>
      <w:numFmt w:val="bullet"/>
      <w:start w:val="1"/>
    </w:lvl>
  </w:abstractNum>
  <w:abstractNum w:abstractNumId="215">
    <w:nsid w:val="471745E4"/>
    <w:multiLevelType w:val="hybridMultilevel"/>
    <w:lvl w:ilvl="0">
      <w:lvlJc w:val="left"/>
      <w:lvlText w:val="·"/>
      <w:numFmt w:val="bullet"/>
      <w:start w:val="1"/>
    </w:lvl>
    <w:lvl w:ilvl="1">
      <w:lvlJc w:val="left"/>
      <w:lvlText w:val="["/>
      <w:numFmt w:val="bullet"/>
      <w:start w:val="1"/>
    </w:lvl>
  </w:abstractNum>
  <w:abstractNum w:abstractNumId="216">
    <w:nsid w:val="1DDBC66"/>
    <w:multiLevelType w:val="hybridMultilevel"/>
    <w:lvl w:ilvl="0">
      <w:lvlJc w:val="left"/>
      <w:lvlText w:val="·"/>
      <w:numFmt w:val="bullet"/>
      <w:start w:val="1"/>
    </w:lvl>
  </w:abstractNum>
  <w:abstractNum w:abstractNumId="217">
    <w:nsid w:val="30AADFDA"/>
    <w:multiLevelType w:val="hybridMultilevel"/>
    <w:lvl w:ilvl="0">
      <w:lvlJc w:val="left"/>
      <w:lvlText w:val="·"/>
      <w:numFmt w:val="bullet"/>
      <w:start w:val="1"/>
    </w:lvl>
  </w:abstractNum>
  <w:abstractNum w:abstractNumId="218">
    <w:nsid w:val="30EADA61"/>
    <w:multiLevelType w:val="hybridMultilevel"/>
    <w:lvl w:ilvl="0">
      <w:lvlJc w:val="left"/>
      <w:lvlText w:val="%1."/>
      <w:numFmt w:val="decimal"/>
      <w:start w:val="1"/>
    </w:lvl>
    <w:lvl w:ilvl="1">
      <w:lvlJc w:val="left"/>
      <w:lvlText w:val="(%2)"/>
      <w:numFmt w:val="lowerLetter"/>
      <w:start w:val="1"/>
    </w:lvl>
  </w:abstractNum>
  <w:abstractNum w:abstractNumId="219">
    <w:nsid w:val="27179C0B"/>
    <w:multiLevelType w:val="hybridMultilevel"/>
    <w:lvl w:ilvl="0">
      <w:lvlJc w:val="left"/>
      <w:lvlText w:val="(%1)"/>
      <w:numFmt w:val="lowerRoman"/>
      <w:start w:val="1"/>
    </w:lvl>
  </w:abstractNum>
  <w:abstractNum w:abstractNumId="220">
    <w:nsid w:val="5E636063"/>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221">
    <w:nsid w:val="215641AF"/>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abstractNum>
  <w:abstractNum w:abstractNumId="222">
    <w:nsid w:val="53280662"/>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223">
    <w:nsid w:val="46B24DBC"/>
    <w:multiLevelType w:val="hybridMultilevel"/>
    <w:lvl w:ilvl="0">
      <w:lvlJc w:val="left"/>
      <w:lvlText w:val="%1"/>
      <w:numFmt w:val="decimal"/>
      <w:start w:val="1"/>
    </w:lvl>
    <w:lvl w:ilvl="1">
      <w:lvlJc w:val="left"/>
      <w:lvlText w:val="(%2)"/>
      <w:numFmt w:val="lowerLetter"/>
      <w:start w:val="5"/>
    </w:lvl>
  </w:abstractNum>
  <w:abstractNum w:abstractNumId="224">
    <w:nsid w:val="75B52783"/>
    <w:multiLevelType w:val="hybridMultilevel"/>
    <w:lvl w:ilvl="0">
      <w:lvlJc w:val="left"/>
      <w:lvlText w:val="%1."/>
      <w:numFmt w:val="decimal"/>
      <w:start w:val="4"/>
    </w:lvl>
    <w:lvl w:ilvl="1">
      <w:lvlJc w:val="left"/>
      <w:lvlText w:val="(%2)"/>
      <w:numFmt w:val="lowerLetter"/>
      <w:start w:val="1"/>
    </w:lvl>
  </w:abstractNum>
  <w:abstractNum w:abstractNumId="225">
    <w:nsid w:val="57CE66B4"/>
    <w:multiLevelType w:val="hybridMultilevel"/>
    <w:lvl w:ilvl="0">
      <w:lvlJc w:val="left"/>
      <w:lvlText w:val="(%1)"/>
      <w:numFmt w:val="lowerLetter"/>
      <w:start w:val="61"/>
    </w:lvl>
    <w:lvl w:ilvl="1">
      <w:lvlJc w:val="left"/>
      <w:lvlText w:val="%2."/>
      <w:numFmt w:val="decimal"/>
      <w:start w:val="5"/>
    </w:lvl>
    <w:lvl w:ilvl="2">
      <w:lvlJc w:val="left"/>
      <w:lvlText w:val="(%3)"/>
      <w:numFmt w:val="lowerLetter"/>
      <w:start w:val="3"/>
    </w:lvl>
  </w:abstractNum>
  <w:abstractNum w:abstractNumId="226">
    <w:nsid w:val="67A70B69"/>
    <w:multiLevelType w:val="hybridMultilevel"/>
    <w:lvl w:ilvl="0">
      <w:lvlJc w:val="left"/>
      <w:lvlText w:val="%1."/>
      <w:numFmt w:val="decimal"/>
      <w:start w:val="9"/>
    </w:lvl>
  </w:abstractNum>
  <w:abstractNum w:abstractNumId="227">
    <w:nsid w:val="5953172F"/>
    <w:multiLevelType w:val="hybridMultilevel"/>
    <w:lvl w:ilvl="0">
      <w:lvlJc w:val="left"/>
      <w:lvlText w:val="%1."/>
      <w:numFmt w:val="decimal"/>
      <w:start w:val="13"/>
    </w:lvl>
    <w:lvl w:ilvl="1">
      <w:lvlJc w:val="left"/>
      <w:lvlText w:val="(%2)"/>
      <w:numFmt w:val="lowerLetter"/>
      <w:start w:val="1"/>
    </w:lvl>
  </w:abstractNum>
  <w:abstractNum w:abstractNumId="228">
    <w:nsid w:val="27EDFE3A"/>
    <w:multiLevelType w:val="hybridMultilevel"/>
    <w:lvl w:ilvl="0">
      <w:lvlJc w:val="left"/>
      <w:lvlText w:val="%1."/>
      <w:numFmt w:val="decimal"/>
      <w:start w:val="15"/>
    </w:lvl>
  </w:abstractNum>
  <w:abstractNum w:abstractNumId="229">
    <w:nsid w:val="52AC7DFF"/>
    <w:multiLevelType w:val="hybridMultilevel"/>
    <w:lvl w:ilvl="0">
      <w:lvlJc w:val="left"/>
      <w:lvlText w:val="%1."/>
      <w:numFmt w:val="decimal"/>
      <w:start w:val="16"/>
    </w:lvl>
    <w:lvl w:ilvl="1">
      <w:lvlJc w:val="left"/>
      <w:lvlText w:val="(%2)"/>
      <w:numFmt w:val="lowerLetter"/>
      <w:start w:val="1"/>
    </w:lvl>
  </w:abstractNum>
  <w:abstractNum w:abstractNumId="230">
    <w:nsid w:val="C4C3AF"/>
    <w:multiLevelType w:val="hybridMultilevel"/>
    <w:lvl w:ilvl="0">
      <w:lvlJc w:val="left"/>
      <w:lvlText w:val="%1."/>
      <w:numFmt w:val="decimal"/>
      <w:start w:val="21"/>
    </w:lvl>
    <w:lvl w:ilvl="1">
      <w:lvlJc w:val="left"/>
      <w:lvlText w:val="(%2)"/>
      <w:numFmt w:val="lowerLetter"/>
      <w:start w:val="1"/>
    </w:lvl>
  </w:abstractNum>
  <w:abstractNum w:abstractNumId="231">
    <w:nsid w:val="44380727"/>
    <w:multiLevelType w:val="hybridMultilevel"/>
    <w:lvl w:ilvl="0">
      <w:lvlJc w:val="left"/>
      <w:lvlText w:val="%1."/>
      <w:numFmt w:val="decimal"/>
      <w:start w:val="1"/>
    </w:lvl>
    <w:lvl w:ilvl="1">
      <w:lvlJc w:val="left"/>
      <w:lvlText w:val="(%2)"/>
      <w:numFmt w:val="lowerLetter"/>
      <w:start w:val="1"/>
    </w:lvl>
  </w:abstractNum>
  <w:abstractNum w:abstractNumId="232">
    <w:nsid w:val="6C053B16"/>
    <w:multiLevelType w:val="hybridMultilevel"/>
    <w:lvl w:ilvl="0">
      <w:lvlJc w:val="left"/>
      <w:lvlText w:val="%1."/>
      <w:numFmt w:val="decimal"/>
      <w:start w:val="1"/>
    </w:lvl>
    <w:lvl w:ilvl="1">
      <w:lvlJc w:val="left"/>
      <w:lvlText w:val="(%2)"/>
      <w:numFmt w:val="lowerLetter"/>
      <w:start w:val="1"/>
    </w:lvl>
  </w:abstractNum>
  <w:abstractNum w:abstractNumId="233">
    <w:nsid w:val="4F294393"/>
    <w:multiLevelType w:val="hybridMultilevel"/>
    <w:lvl w:ilvl="0">
      <w:lvlJc w:val="left"/>
      <w:lvlText w:val="(%1)"/>
      <w:numFmt w:val="decimal"/>
      <w:start w:val="1"/>
    </w:lvl>
  </w:abstractNum>
  <w:abstractNum w:abstractNumId="234">
    <w:nsid w:val="5243BFA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201" Type="http://schemas.openxmlformats.org/officeDocument/2006/relationships/image" Target="media/image177.png"/><Relationship Id="rId202" Type="http://schemas.openxmlformats.org/officeDocument/2006/relationships/image" Target="media/image178.png"/><Relationship Id="rId213" Type="http://schemas.openxmlformats.org/officeDocument/2006/relationships/image" Target="media/image179.png"/><Relationship Id="rId214" Type="http://schemas.openxmlformats.org/officeDocument/2006/relationships/image" Target="media/image180.png"/><Relationship Id="rId226" Type="http://schemas.openxmlformats.org/officeDocument/2006/relationships/image" Target="media/image181.png"/><Relationship Id="rId227" Type="http://schemas.openxmlformats.org/officeDocument/2006/relationships/image" Target="media/image182.png"/><Relationship Id="rId235" Type="http://schemas.openxmlformats.org/officeDocument/2006/relationships/image" Target="media/image183.png"/><Relationship Id="rId236" Type="http://schemas.openxmlformats.org/officeDocument/2006/relationships/image" Target="media/image184.png"/><Relationship Id="rId237" Type="http://schemas.openxmlformats.org/officeDocument/2006/relationships/image" Target="media/image185.png"/><Relationship Id="rId238" Type="http://schemas.openxmlformats.org/officeDocument/2006/relationships/image" Target="media/image186.png"/><Relationship Id="rId239" Type="http://schemas.openxmlformats.org/officeDocument/2006/relationships/image" Target="media/image187.png"/><Relationship Id="rId240" Type="http://schemas.openxmlformats.org/officeDocument/2006/relationships/image" Target="media/image188.png"/><Relationship Id="rId241" Type="http://schemas.openxmlformats.org/officeDocument/2006/relationships/image" Target="media/image189.png"/><Relationship Id="rId242" Type="http://schemas.openxmlformats.org/officeDocument/2006/relationships/image" Target="media/image190.png"/><Relationship Id="rId243" Type="http://schemas.openxmlformats.org/officeDocument/2006/relationships/image" Target="media/image191.png"/><Relationship Id="rId244" Type="http://schemas.openxmlformats.org/officeDocument/2006/relationships/image" Target="media/image192.png"/><Relationship Id="rId245" Type="http://schemas.openxmlformats.org/officeDocument/2006/relationships/image" Target="media/image193.png"/><Relationship Id="rId246" Type="http://schemas.openxmlformats.org/officeDocument/2006/relationships/image" Target="media/image194.png"/><Relationship Id="rId247" Type="http://schemas.openxmlformats.org/officeDocument/2006/relationships/image" Target="media/image195.png"/><Relationship Id="rId248" Type="http://schemas.openxmlformats.org/officeDocument/2006/relationships/image" Target="media/image196.png"/><Relationship Id="rId249" Type="http://schemas.openxmlformats.org/officeDocument/2006/relationships/image" Target="media/image197.png"/><Relationship Id="rId250" Type="http://schemas.openxmlformats.org/officeDocument/2006/relationships/image" Target="media/image198.png"/><Relationship Id="rId251" Type="http://schemas.openxmlformats.org/officeDocument/2006/relationships/image" Target="media/image199.png"/><Relationship Id="rId252" Type="http://schemas.openxmlformats.org/officeDocument/2006/relationships/image" Target="media/image200.png"/><Relationship Id="rId253" Type="http://schemas.openxmlformats.org/officeDocument/2006/relationships/image" Target="media/image201.png"/><Relationship Id="rId254" Type="http://schemas.openxmlformats.org/officeDocument/2006/relationships/image" Target="media/image202.png"/><Relationship Id="rId255" Type="http://schemas.openxmlformats.org/officeDocument/2006/relationships/image" Target="media/image203.png"/><Relationship Id="rId256" Type="http://schemas.openxmlformats.org/officeDocument/2006/relationships/image" Target="media/image204.png"/><Relationship Id="rId257" Type="http://schemas.openxmlformats.org/officeDocument/2006/relationships/image" Target="media/image205.png"/><Relationship Id="rId258" Type="http://schemas.openxmlformats.org/officeDocument/2006/relationships/image" Target="media/image206.png"/><Relationship Id="rId259" Type="http://schemas.openxmlformats.org/officeDocument/2006/relationships/image" Target="media/image207.png"/><Relationship Id="rId260" Type="http://schemas.openxmlformats.org/officeDocument/2006/relationships/image" Target="media/image208.png"/><Relationship Id="rId261" Type="http://schemas.openxmlformats.org/officeDocument/2006/relationships/image" Target="media/image209.png"/><Relationship Id="rId262" Type="http://schemas.openxmlformats.org/officeDocument/2006/relationships/image" Target="media/image210.png"/><Relationship Id="rId263" Type="http://schemas.openxmlformats.org/officeDocument/2006/relationships/image" Target="media/image211.png"/><Relationship Id="rId264" Type="http://schemas.openxmlformats.org/officeDocument/2006/relationships/image" Target="media/image212.png"/><Relationship Id="rId265" Type="http://schemas.openxmlformats.org/officeDocument/2006/relationships/image" Target="media/image213.png"/><Relationship Id="rId266" Type="http://schemas.openxmlformats.org/officeDocument/2006/relationships/image" Target="media/image214.png"/><Relationship Id="rId267" Type="http://schemas.openxmlformats.org/officeDocument/2006/relationships/image" Target="media/image215.png"/><Relationship Id="rId268" Type="http://schemas.openxmlformats.org/officeDocument/2006/relationships/image" Target="media/image216.png"/><Relationship Id="rId269" Type="http://schemas.openxmlformats.org/officeDocument/2006/relationships/image" Target="media/image217.png"/><Relationship Id="rId270" Type="http://schemas.openxmlformats.org/officeDocument/2006/relationships/image" Target="media/image218.png"/><Relationship Id="rId271" Type="http://schemas.openxmlformats.org/officeDocument/2006/relationships/image" Target="media/image219.png"/><Relationship Id="rId272" Type="http://schemas.openxmlformats.org/officeDocument/2006/relationships/image" Target="media/image220.png"/><Relationship Id="rId273" Type="http://schemas.openxmlformats.org/officeDocument/2006/relationships/image" Target="media/image221.png"/><Relationship Id="rId274" Type="http://schemas.openxmlformats.org/officeDocument/2006/relationships/image" Target="media/image222.png"/><Relationship Id="rId275" Type="http://schemas.openxmlformats.org/officeDocument/2006/relationships/image" Target="media/image223.png"/><Relationship Id="rId276" Type="http://schemas.openxmlformats.org/officeDocument/2006/relationships/image" Target="media/image224.png"/><Relationship Id="rId277" Type="http://schemas.openxmlformats.org/officeDocument/2006/relationships/image" Target="media/image225.png"/><Relationship Id="rId278" Type="http://schemas.openxmlformats.org/officeDocument/2006/relationships/image" Target="media/image226.png"/><Relationship Id="rId279" Type="http://schemas.openxmlformats.org/officeDocument/2006/relationships/image" Target="media/image227.png"/><Relationship Id="rId280" Type="http://schemas.openxmlformats.org/officeDocument/2006/relationships/image" Target="media/image228.png"/><Relationship Id="rId281" Type="http://schemas.openxmlformats.org/officeDocument/2006/relationships/image" Target="media/image229.png"/><Relationship Id="rId282" Type="http://schemas.openxmlformats.org/officeDocument/2006/relationships/image" Target="media/image230.png"/><Relationship Id="rId283" Type="http://schemas.openxmlformats.org/officeDocument/2006/relationships/image" Target="media/image231.png"/><Relationship Id="rId284" Type="http://schemas.openxmlformats.org/officeDocument/2006/relationships/image" Target="media/image232.png"/><Relationship Id="rId285" Type="http://schemas.openxmlformats.org/officeDocument/2006/relationships/image" Target="media/image233.png"/><Relationship Id="rId286" Type="http://schemas.openxmlformats.org/officeDocument/2006/relationships/image" Target="media/image234.png"/><Relationship Id="rId287" Type="http://schemas.openxmlformats.org/officeDocument/2006/relationships/image" Target="media/image235.png"/><Relationship Id="rId288" Type="http://schemas.openxmlformats.org/officeDocument/2006/relationships/image" Target="media/image236.png"/><Relationship Id="rId289" Type="http://schemas.openxmlformats.org/officeDocument/2006/relationships/image" Target="media/image237.png"/><Relationship Id="rId290" Type="http://schemas.openxmlformats.org/officeDocument/2006/relationships/image" Target="media/image238.png"/><Relationship Id="rId291" Type="http://schemas.openxmlformats.org/officeDocument/2006/relationships/image" Target="media/image239.png"/><Relationship Id="rId292" Type="http://schemas.openxmlformats.org/officeDocument/2006/relationships/image" Target="media/image240.png"/><Relationship Id="rId293" Type="http://schemas.openxmlformats.org/officeDocument/2006/relationships/image" Target="media/image241.png"/><Relationship Id="rId294" Type="http://schemas.openxmlformats.org/officeDocument/2006/relationships/image" Target="media/image242.png"/><Relationship Id="rId295" Type="http://schemas.openxmlformats.org/officeDocument/2006/relationships/image" Target="media/image243.png"/><Relationship Id="rId296" Type="http://schemas.openxmlformats.org/officeDocument/2006/relationships/image" Target="media/image244.png"/><Relationship Id="rId297" Type="http://schemas.openxmlformats.org/officeDocument/2006/relationships/image" Target="media/image245.png"/><Relationship Id="rId298" Type="http://schemas.openxmlformats.org/officeDocument/2006/relationships/image" Target="media/image246.png"/><Relationship Id="rId299" Type="http://schemas.openxmlformats.org/officeDocument/2006/relationships/image" Target="media/image247.png"/><Relationship Id="rId300" Type="http://schemas.openxmlformats.org/officeDocument/2006/relationships/image" Target="media/image248.png"/><Relationship Id="rId301" Type="http://schemas.openxmlformats.org/officeDocument/2006/relationships/image" Target="media/image249.png"/><Relationship Id="rId302" Type="http://schemas.openxmlformats.org/officeDocument/2006/relationships/image" Target="media/image250.png"/><Relationship Id="rId303" Type="http://schemas.openxmlformats.org/officeDocument/2006/relationships/image" Target="media/image251.png"/><Relationship Id="rId304" Type="http://schemas.openxmlformats.org/officeDocument/2006/relationships/image" Target="media/image252.png"/><Relationship Id="rId305" Type="http://schemas.openxmlformats.org/officeDocument/2006/relationships/image" Target="media/image253.png"/><Relationship Id="rId306" Type="http://schemas.openxmlformats.org/officeDocument/2006/relationships/image" Target="media/image254.png"/><Relationship Id="rId307" Type="http://schemas.openxmlformats.org/officeDocument/2006/relationships/image" Target="media/image255.png"/><Relationship Id="rId308" Type="http://schemas.openxmlformats.org/officeDocument/2006/relationships/image" Target="media/image256.png"/><Relationship Id="rId309" Type="http://schemas.openxmlformats.org/officeDocument/2006/relationships/image" Target="media/image257.png"/><Relationship Id="rId310" Type="http://schemas.openxmlformats.org/officeDocument/2006/relationships/image" Target="media/image258.png"/><Relationship Id="rId311" Type="http://schemas.openxmlformats.org/officeDocument/2006/relationships/image" Target="media/image259.png"/><Relationship Id="rId312" Type="http://schemas.openxmlformats.org/officeDocument/2006/relationships/image" Target="media/image260.png"/><Relationship Id="rId313" Type="http://schemas.openxmlformats.org/officeDocument/2006/relationships/image" Target="media/image261.png"/><Relationship Id="rId314" Type="http://schemas.openxmlformats.org/officeDocument/2006/relationships/image" Target="media/image262.png"/><Relationship Id="rId315" Type="http://schemas.openxmlformats.org/officeDocument/2006/relationships/image" Target="media/image263.png"/><Relationship Id="rId316" Type="http://schemas.openxmlformats.org/officeDocument/2006/relationships/image" Target="media/image264.png"/><Relationship Id="rId317" Type="http://schemas.openxmlformats.org/officeDocument/2006/relationships/image" Target="media/image265.png"/><Relationship Id="rId318" Type="http://schemas.openxmlformats.org/officeDocument/2006/relationships/image" Target="media/image266.png"/><Relationship Id="rId319" Type="http://schemas.openxmlformats.org/officeDocument/2006/relationships/image" Target="media/image267.png"/><Relationship Id="rId320" Type="http://schemas.openxmlformats.org/officeDocument/2006/relationships/image" Target="media/image268.png"/><Relationship Id="rId321" Type="http://schemas.openxmlformats.org/officeDocument/2006/relationships/image" Target="media/image269.png"/><Relationship Id="rId322" Type="http://schemas.openxmlformats.org/officeDocument/2006/relationships/image" Target="media/image270.png"/><Relationship Id="rId323" Type="http://schemas.openxmlformats.org/officeDocument/2006/relationships/image" Target="media/image271.png"/><Relationship Id="rId324" Type="http://schemas.openxmlformats.org/officeDocument/2006/relationships/image" Target="media/image272.png"/><Relationship Id="rId325" Type="http://schemas.openxmlformats.org/officeDocument/2006/relationships/image" Target="media/image273.png"/><Relationship Id="rId326" Type="http://schemas.openxmlformats.org/officeDocument/2006/relationships/image" Target="media/image274.png"/><Relationship Id="rId327" Type="http://schemas.openxmlformats.org/officeDocument/2006/relationships/image" Target="media/image275.png"/><Relationship Id="rId328" Type="http://schemas.openxmlformats.org/officeDocument/2006/relationships/image" Target="media/image276.png"/><Relationship Id="rId329" Type="http://schemas.openxmlformats.org/officeDocument/2006/relationships/image" Target="media/image277.png"/><Relationship Id="rId330" Type="http://schemas.openxmlformats.org/officeDocument/2006/relationships/image" Target="media/image278.png"/><Relationship Id="rId331" Type="http://schemas.openxmlformats.org/officeDocument/2006/relationships/image" Target="media/image279.png"/><Relationship Id="rId332" Type="http://schemas.openxmlformats.org/officeDocument/2006/relationships/image" Target="media/image280.png"/><Relationship Id="rId333" Type="http://schemas.openxmlformats.org/officeDocument/2006/relationships/image" Target="media/image281.png"/><Relationship Id="rId334" Type="http://schemas.openxmlformats.org/officeDocument/2006/relationships/image" Target="media/image282.png"/><Relationship Id="rId335" Type="http://schemas.openxmlformats.org/officeDocument/2006/relationships/image" Target="media/image283.png"/><Relationship Id="rId336" Type="http://schemas.openxmlformats.org/officeDocument/2006/relationships/image" Target="media/image284.png"/><Relationship Id="rId337" Type="http://schemas.openxmlformats.org/officeDocument/2006/relationships/image" Target="media/image285.png"/><Relationship Id="rId338" Type="http://schemas.openxmlformats.org/officeDocument/2006/relationships/image" Target="media/image286.png"/><Relationship Id="rId339" Type="http://schemas.openxmlformats.org/officeDocument/2006/relationships/image" Target="media/image287.png"/><Relationship Id="rId340" Type="http://schemas.openxmlformats.org/officeDocument/2006/relationships/image" Target="media/image288.png"/><Relationship Id="rId341" Type="http://schemas.openxmlformats.org/officeDocument/2006/relationships/image" Target="media/image289.png"/><Relationship Id="rId342" Type="http://schemas.openxmlformats.org/officeDocument/2006/relationships/image" Target="media/image290.png"/><Relationship Id="rId343" Type="http://schemas.openxmlformats.org/officeDocument/2006/relationships/image" Target="media/image291.png"/><Relationship Id="rId344" Type="http://schemas.openxmlformats.org/officeDocument/2006/relationships/image" Target="media/image292.png"/><Relationship Id="rId345" Type="http://schemas.openxmlformats.org/officeDocument/2006/relationships/image" Target="media/image293.png"/><Relationship Id="rId346" Type="http://schemas.openxmlformats.org/officeDocument/2006/relationships/image" Target="media/image294.png"/><Relationship Id="rId347" Type="http://schemas.openxmlformats.org/officeDocument/2006/relationships/image" Target="media/image295.png"/><Relationship Id="rId348" Type="http://schemas.openxmlformats.org/officeDocument/2006/relationships/image" Target="media/image296.png"/><Relationship Id="rId349" Type="http://schemas.openxmlformats.org/officeDocument/2006/relationships/image" Target="media/image297.png"/><Relationship Id="rId350" Type="http://schemas.openxmlformats.org/officeDocument/2006/relationships/image" Target="media/image298.png"/><Relationship Id="rId351" Type="http://schemas.openxmlformats.org/officeDocument/2006/relationships/image" Target="media/image299.png"/><Relationship Id="rId352" Type="http://schemas.openxmlformats.org/officeDocument/2006/relationships/image" Target="media/image300.png"/><Relationship Id="rId353" Type="http://schemas.openxmlformats.org/officeDocument/2006/relationships/image" Target="media/image301.png"/><Relationship Id="rId354" Type="http://schemas.openxmlformats.org/officeDocument/2006/relationships/image" Target="media/image302.png"/><Relationship Id="rId355" Type="http://schemas.openxmlformats.org/officeDocument/2006/relationships/image" Target="media/image303.png"/><Relationship Id="rId356" Type="http://schemas.openxmlformats.org/officeDocument/2006/relationships/image" Target="media/image304.png"/><Relationship Id="rId357" Type="http://schemas.openxmlformats.org/officeDocument/2006/relationships/image" Target="media/image305.png"/><Relationship Id="rId358" Type="http://schemas.openxmlformats.org/officeDocument/2006/relationships/image" Target="media/image306.png"/><Relationship Id="rId359" Type="http://schemas.openxmlformats.org/officeDocument/2006/relationships/image" Target="media/image307.png"/><Relationship Id="rId360" Type="http://schemas.openxmlformats.org/officeDocument/2006/relationships/image" Target="media/image308.png"/><Relationship Id="rId361" Type="http://schemas.openxmlformats.org/officeDocument/2006/relationships/image" Target="media/image309.png"/><Relationship Id="rId362" Type="http://schemas.openxmlformats.org/officeDocument/2006/relationships/image" Target="media/image310.png"/><Relationship Id="rId363" Type="http://schemas.openxmlformats.org/officeDocument/2006/relationships/image" Target="media/image311.png"/><Relationship Id="rId364" Type="http://schemas.openxmlformats.org/officeDocument/2006/relationships/image" Target="media/image312.png"/><Relationship Id="rId365" Type="http://schemas.openxmlformats.org/officeDocument/2006/relationships/image" Target="media/image313.png"/><Relationship Id="rId366" Type="http://schemas.openxmlformats.org/officeDocument/2006/relationships/image" Target="media/image314.png"/><Relationship Id="rId367" Type="http://schemas.openxmlformats.org/officeDocument/2006/relationships/image" Target="media/image315.png"/><Relationship Id="rId368" Type="http://schemas.openxmlformats.org/officeDocument/2006/relationships/image" Target="media/image316.png"/><Relationship Id="rId369" Type="http://schemas.openxmlformats.org/officeDocument/2006/relationships/image" Target="media/image317.png"/><Relationship Id="rId370" Type="http://schemas.openxmlformats.org/officeDocument/2006/relationships/image" Target="media/image318.png"/><Relationship Id="rId371" Type="http://schemas.openxmlformats.org/officeDocument/2006/relationships/image" Target="media/image319.png"/><Relationship Id="rId372" Type="http://schemas.openxmlformats.org/officeDocument/2006/relationships/image" Target="media/image320.png"/><Relationship Id="rId373" Type="http://schemas.openxmlformats.org/officeDocument/2006/relationships/image" Target="media/image321.png"/><Relationship Id="rId374" Type="http://schemas.openxmlformats.org/officeDocument/2006/relationships/image" Target="media/image322.png"/><Relationship Id="rId375" Type="http://schemas.openxmlformats.org/officeDocument/2006/relationships/image" Target="media/image323.png"/><Relationship Id="rId376" Type="http://schemas.openxmlformats.org/officeDocument/2006/relationships/image" Target="media/image324.png"/><Relationship Id="rId377" Type="http://schemas.openxmlformats.org/officeDocument/2006/relationships/image" Target="media/image325.png"/><Relationship Id="rId378" Type="http://schemas.openxmlformats.org/officeDocument/2006/relationships/image" Target="media/image326.png"/><Relationship Id="rId379" Type="http://schemas.openxmlformats.org/officeDocument/2006/relationships/image" Target="media/image327.png"/><Relationship Id="rId380" Type="http://schemas.openxmlformats.org/officeDocument/2006/relationships/image" Target="media/image328.png"/><Relationship Id="rId381" Type="http://schemas.openxmlformats.org/officeDocument/2006/relationships/image" Target="media/image329.png"/><Relationship Id="rId382" Type="http://schemas.openxmlformats.org/officeDocument/2006/relationships/image" Target="media/image330.png"/><Relationship Id="rId383" Type="http://schemas.openxmlformats.org/officeDocument/2006/relationships/image" Target="media/image331.png"/><Relationship Id="rId384" Type="http://schemas.openxmlformats.org/officeDocument/2006/relationships/image" Target="media/image332.png"/><Relationship Id="rId385" Type="http://schemas.openxmlformats.org/officeDocument/2006/relationships/image" Target="media/image333.png"/><Relationship Id="rId386" Type="http://schemas.openxmlformats.org/officeDocument/2006/relationships/image" Target="media/image334.png"/><Relationship Id="rId387" Type="http://schemas.openxmlformats.org/officeDocument/2006/relationships/image" Target="media/image335.png"/><Relationship Id="rId388" Type="http://schemas.openxmlformats.org/officeDocument/2006/relationships/image" Target="media/image336.png"/><Relationship Id="rId389" Type="http://schemas.openxmlformats.org/officeDocument/2006/relationships/image" Target="media/image337.png"/><Relationship Id="rId390" Type="http://schemas.openxmlformats.org/officeDocument/2006/relationships/image" Target="media/image338.png"/><Relationship Id="rId391" Type="http://schemas.openxmlformats.org/officeDocument/2006/relationships/image" Target="media/image339.png"/><Relationship Id="rId392" Type="http://schemas.openxmlformats.org/officeDocument/2006/relationships/image" Target="media/image340.png"/><Relationship Id="rId393" Type="http://schemas.openxmlformats.org/officeDocument/2006/relationships/image" Target="media/image341.png"/><Relationship Id="rId394" Type="http://schemas.openxmlformats.org/officeDocument/2006/relationships/image" Target="media/image342.png"/><Relationship Id="rId395" Type="http://schemas.openxmlformats.org/officeDocument/2006/relationships/image" Target="media/image343.png"/><Relationship Id="rId396" Type="http://schemas.openxmlformats.org/officeDocument/2006/relationships/image" Target="media/image344.png"/><Relationship Id="rId397" Type="http://schemas.openxmlformats.org/officeDocument/2006/relationships/image" Target="media/image345.png"/><Relationship Id="rId398" Type="http://schemas.openxmlformats.org/officeDocument/2006/relationships/image" Target="media/image346.png"/><Relationship Id="rId399" Type="http://schemas.openxmlformats.org/officeDocument/2006/relationships/image" Target="media/image347.png"/><Relationship Id="rId400" Type="http://schemas.openxmlformats.org/officeDocument/2006/relationships/image" Target="media/image348.png"/><Relationship Id="rId401" Type="http://schemas.openxmlformats.org/officeDocument/2006/relationships/image" Target="media/image349.png"/><Relationship Id="rId402" Type="http://schemas.openxmlformats.org/officeDocument/2006/relationships/image" Target="media/image350.png"/><Relationship Id="rId403" Type="http://schemas.openxmlformats.org/officeDocument/2006/relationships/image" Target="media/image351.png"/><Relationship Id="rId404" Type="http://schemas.openxmlformats.org/officeDocument/2006/relationships/image" Target="media/image352.png"/><Relationship Id="rId405" Type="http://schemas.openxmlformats.org/officeDocument/2006/relationships/image" Target="media/image353.png"/><Relationship Id="rId406" Type="http://schemas.openxmlformats.org/officeDocument/2006/relationships/image" Target="media/image354.png"/><Relationship Id="rId407" Type="http://schemas.openxmlformats.org/officeDocument/2006/relationships/image" Target="media/image355.png"/><Relationship Id="rId408" Type="http://schemas.openxmlformats.org/officeDocument/2006/relationships/image" Target="media/image356.png"/><Relationship Id="rId409" Type="http://schemas.openxmlformats.org/officeDocument/2006/relationships/image" Target="media/image357.png"/><Relationship Id="rId410" Type="http://schemas.openxmlformats.org/officeDocument/2006/relationships/image" Target="media/image358.png"/><Relationship Id="rId411" Type="http://schemas.openxmlformats.org/officeDocument/2006/relationships/image" Target="media/image359.png"/><Relationship Id="rId412" Type="http://schemas.openxmlformats.org/officeDocument/2006/relationships/image" Target="media/image360.png"/><Relationship Id="rId413" Type="http://schemas.openxmlformats.org/officeDocument/2006/relationships/image" Target="media/image361.png"/><Relationship Id="rId414" Type="http://schemas.openxmlformats.org/officeDocument/2006/relationships/image" Target="media/image362.png"/><Relationship Id="rId415" Type="http://schemas.openxmlformats.org/officeDocument/2006/relationships/image" Target="media/image363.png"/><Relationship Id="rId416" Type="http://schemas.openxmlformats.org/officeDocument/2006/relationships/image" Target="media/image364.png"/><Relationship Id="rId182" Type="http://schemas.openxmlformats.org/officeDocument/2006/relationships/hyperlink" Target="http://www.sec.gov/Archives/edgar/data/718877/000110465914044513/a14-14950_1ex3d1.htm" TargetMode="External"/><Relationship Id="rId183" Type="http://schemas.openxmlformats.org/officeDocument/2006/relationships/hyperlink" Target="http://www.sec.gov/Archives/edgar/data/718877/000110465918019359/a18-8728_1ex3d1.htm" TargetMode="External"/><Relationship Id="rId184" Type="http://schemas.openxmlformats.org/officeDocument/2006/relationships/hyperlink" Target="http://www.sec.gov/Archives/edgar/data/718877/000110465916145484/a16-18230_4ex4d1.htm" TargetMode="External"/><Relationship Id="rId185" Type="http://schemas.openxmlformats.org/officeDocument/2006/relationships/hyperlink" Target="http://www.sec.gov/Archives/edgar/data/718877/000110465917035716/a17-13961_3ex4d1.htm" TargetMode="External"/><Relationship Id="rId186" Type="http://schemas.openxmlformats.org/officeDocument/2006/relationships/hyperlink" Target="http://www.sec.gov/Archives/edgar/data/718877/000110465917035716/a17-13961_3ex4d2.htm" TargetMode="External"/><Relationship Id="rId187" Type="http://schemas.openxmlformats.org/officeDocument/2006/relationships/hyperlink" Target="http://www.sec.gov/Archives/edgar/data/718877/000110465912043056/a12-14498_1ex10d1.htm" TargetMode="External"/><Relationship Id="rId190" Type="http://schemas.openxmlformats.org/officeDocument/2006/relationships/hyperlink" Target="http://www.sec.gov/Archives/edgar/data/718877/000110465917029920/a17-8921_1ex10d1.htm" TargetMode="External"/><Relationship Id="rId191" Type="http://schemas.openxmlformats.org/officeDocument/2006/relationships/hyperlink" Target="http://www.sec.gov/Archives/edgar/data/718877/000104746917001072/a2230993zex-10_14.htm" TargetMode="External"/><Relationship Id="rId192" Type="http://schemas.openxmlformats.org/officeDocument/2006/relationships/hyperlink" Target="http://www.sec.gov/Archives/edgar/data/718877/000104746909002015/a2190811zex-10_44.htm" TargetMode="External"/><Relationship Id="rId193" Type="http://schemas.openxmlformats.org/officeDocument/2006/relationships/hyperlink" Target="http://www.sec.gov/Archives/edgar/data/718877/000104746909002015/a2190811zex-10_45.htm" TargetMode="External"/><Relationship Id="rId194" Type="http://schemas.openxmlformats.org/officeDocument/2006/relationships/hyperlink" Target="http://www.sec.gov/Archives/edgar/data/718877/000110465913038868/a13-8588_1ex10d5.htm" TargetMode="External"/><Relationship Id="rId195" Type="http://schemas.openxmlformats.org/officeDocument/2006/relationships/hyperlink" Target="http://www.sec.gov/Archives/edgar/data/718877/000110465913038868/a13-8588_1ex10d6.htm" TargetMode="External"/><Relationship Id="rId196" Type="http://schemas.openxmlformats.org/officeDocument/2006/relationships/hyperlink" Target="http://www.sec.gov/Archives/edgar/data/718877/000110465914057005/a14-14115_1ex10d1.htm" TargetMode="External"/><Relationship Id="rId197" Type="http://schemas.openxmlformats.org/officeDocument/2006/relationships/hyperlink" Target="http://www.sec.gov/Archives/edgar/data/718877/000110465914057005/a14-14115_1ex10d2.htm" TargetMode="External"/><Relationship Id="rId198" Type="http://schemas.openxmlformats.org/officeDocument/2006/relationships/hyperlink" Target="http://www.sec.gov/Archives/edgar/data/718877/000110465914057005/a14-14115_1ex10d4.htm" TargetMode="External"/><Relationship Id="rId199" Type="http://schemas.openxmlformats.org/officeDocument/2006/relationships/hyperlink" Target="http://www.sec.gov/Archives/edgar/data/718877/000110465914057005/a14-14115_1ex10d5.htm" TargetMode="External"/><Relationship Id="rId200" Type="http://schemas.openxmlformats.org/officeDocument/2006/relationships/hyperlink" Target="http://www.sec.gov/Archives/edgar/data/718877/000110465914076552/a14-19826_1ex10d1.htm" TargetMode="External"/><Relationship Id="rId203" Type="http://schemas.openxmlformats.org/officeDocument/2006/relationships/hyperlink" Target="http://www.sec.gov/Archives/edgar/data/718877/000110465914076552/a14-19826_1ex10d2.htm" TargetMode="External"/><Relationship Id="rId204" Type="http://schemas.openxmlformats.org/officeDocument/2006/relationships/hyperlink" Target="http://www.sec.gov/Archives/edgar/data/718877/000110465914076552/a14-19826_1ex10d3.htm" TargetMode="External"/><Relationship Id="rId205" Type="http://schemas.openxmlformats.org/officeDocument/2006/relationships/hyperlink" Target="http://www.sec.gov/Archives/edgar/data/718877/000104746917001072/a2230993zex-10_44.htm" TargetMode="External"/><Relationship Id="rId206" Type="http://schemas.openxmlformats.org/officeDocument/2006/relationships/hyperlink" Target="http://www.sec.gov/Archives/edgar/data/718877/000104746917001072/a2230993zex-10_45.htm" TargetMode="External"/><Relationship Id="rId207" Type="http://schemas.openxmlformats.org/officeDocument/2006/relationships/hyperlink" Target="http://www.sec.gov/Archives/edgar/data/718877/000104746917001072/a2230993zex-10_46.htm" TargetMode="External"/><Relationship Id="rId208" Type="http://schemas.openxmlformats.org/officeDocument/2006/relationships/hyperlink" Target="http://www.sec.gov/Archives/edgar/data/718877/000110465917029920/a17-8921_1ex10d2.htm" TargetMode="External"/><Relationship Id="rId209" Type="http://schemas.openxmlformats.org/officeDocument/2006/relationships/hyperlink" Target="http://www.sec.gov/Archives/edgar/data/718877/000110465917029920/a17-8921_1ex10d3.htm" TargetMode="External"/><Relationship Id="rId210" Type="http://schemas.openxmlformats.org/officeDocument/2006/relationships/hyperlink" Target="http://www.sec.gov/Archives/edgar/data/718877/000110465914057005/a14-14115_1ex10d6.htm" TargetMode="External"/><Relationship Id="rId211" Type="http://schemas.openxmlformats.org/officeDocument/2006/relationships/hyperlink" Target="http://www.sec.gov/Archives/edgar/data/718877/000110465915076727/a15-18056_1ex10d1.htm" TargetMode="External"/><Relationship Id="rId212" Type="http://schemas.openxmlformats.org/officeDocument/2006/relationships/hyperlink" Target="http://www.sec.gov/Archives/edgar/data/718877/000110465916159113/a16-22182_1ex10d1.htm" TargetMode="External"/><Relationship Id="rId215" Type="http://schemas.openxmlformats.org/officeDocument/2006/relationships/hyperlink" Target="http://www.sec.gov/Archives/edgar/data/718877/000110465917029920/a17-8921_1ex10d4.htm" TargetMode="External"/><Relationship Id="rId216" Type="http://schemas.openxmlformats.org/officeDocument/2006/relationships/hyperlink" Target="http://www.sec.gov/Archives/edgar/data/718877/000110465917029920/a17-8921_1ex10d5.htm" TargetMode="External"/><Relationship Id="rId217" Type="http://schemas.openxmlformats.org/officeDocument/2006/relationships/hyperlink" Target="http://www.sec.gov/Archives/edgar/data/718877/000110465917029920/a17-8921_1ex10d6.htm" TargetMode="External"/><Relationship Id="rId218" Type="http://schemas.openxmlformats.org/officeDocument/2006/relationships/hyperlink" Target="http://www.sec.gov/Archives/edgar/data/718877/000110465917029920/a17-8921_1ex10d7.htm" TargetMode="External"/><Relationship Id="rId219" Type="http://schemas.openxmlformats.org/officeDocument/2006/relationships/hyperlink" Target="http://www.sec.gov/Archives/edgar/data/718877/000110465917029920/a17-8921_1ex10d8.htm" TargetMode="External"/><Relationship Id="rId220" Type="http://schemas.openxmlformats.org/officeDocument/2006/relationships/hyperlink" Target="http://www.sec.gov/Archives/edgar/data/718877/000110465917029920/a17-8921_1ex10d9.htm" TargetMode="External"/><Relationship Id="rId221" Type="http://schemas.openxmlformats.org/officeDocument/2006/relationships/hyperlink" Target="http://www.sec.gov/Archives/edgar/data/718877/000110465917031924/a17-12902_1ex10d1.htm" TargetMode="External"/><Relationship Id="rId222" Type="http://schemas.openxmlformats.org/officeDocument/2006/relationships/hyperlink" Target="http://www.sec.gov/Archives/edgar/data/718877/000110465917031924/a17-12902_1ex10d2.htm" TargetMode="External"/><Relationship Id="rId223" Type="http://schemas.openxmlformats.org/officeDocument/2006/relationships/hyperlink" Target="http://www.sec.gov/Archives/edgar/data/718877/000110465917029920/a17-8921_1ex10d10.htm" TargetMode="External"/><Relationship Id="rId224" Type="http://schemas.openxmlformats.org/officeDocument/2006/relationships/hyperlink" Target="http://www.sec.gov/Archives/edgar/data/718877/000110465913076443/a13-22471_1ex10d1.htm" TargetMode="External"/><Relationship Id="rId225" Type="http://schemas.openxmlformats.org/officeDocument/2006/relationships/hyperlink" Target="http://www.sec.gov/Archives/edgar/data/718877/000110465915075068/a15-22145_1ex10d1.htm" TargetMode="External"/><Relationship Id="rId228" Type="http://schemas.openxmlformats.org/officeDocument/2006/relationships/hyperlink" Target="http://www.sec.gov/Archives/edgar/data/718877/000110465915079610/a15-23082_1ex10d1.htm" TargetMode="External"/><Relationship Id="rId229" Type="http://schemas.openxmlformats.org/officeDocument/2006/relationships/hyperlink" Target="http://www.sec.gov/Archives/edgar/data/718877/000110465915084685/a15-24656_1ex10d1.htm" TargetMode="External"/><Relationship Id="rId230" Type="http://schemas.openxmlformats.org/officeDocument/2006/relationships/hyperlink" Target="http://www.sec.gov/Archives/edgar/data/718877/000110465916109325/a16-7653_1ex10d1.htm" TargetMode="External"/><Relationship Id="rId231" Type="http://schemas.openxmlformats.org/officeDocument/2006/relationships/hyperlink" Target="http://www.sec.gov/Archives/edgar/data/718877/000110465916141094/a16-17371_1ex10d1.htm" TargetMode="External"/><Relationship Id="rId232" Type="http://schemas.openxmlformats.org/officeDocument/2006/relationships/hyperlink" Target="http://www.sec.gov/Archives/edgar/data/718877/000110465917006608/a17-3790_1ex10d1.htm" TargetMode="External"/><Relationship Id="rId233" Type="http://schemas.openxmlformats.org/officeDocument/2006/relationships/hyperlink" Target="http://www.sec.gov/Archives/edgar/data/718877/000110465918054148/a18-23018_1ex10d1.htm" TargetMode="External"/><Relationship Id="rId234" Type="http://schemas.openxmlformats.org/officeDocument/2006/relationships/hyperlink" Target="http://www.sec.gov/Archives/edgar/data/718877/000110465918049238/a18-14094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2019-12-28T15:55:22Z</dcterms:created>
  <dcterms:modified xsi:type="dcterms:W3CDTF">2019-12-28T15:55:22Z</dcterms:modified>
</cp:coreProperties>
</file>