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142240</wp:posOffset>
            </wp:positionV>
            <wp:extent cx="18097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February 6, 2020</w:t>
      </w:r>
    </w:p>
    <w:p>
      <w:pPr>
        <w:spacing w:after="0" w:line="206" w:lineRule="exact"/>
        <w:rPr>
          <w:sz w:val="24"/>
          <w:szCs w:val="24"/>
          <w:color w:val="auto"/>
        </w:rPr>
      </w:pPr>
    </w:p>
    <w:p>
      <w:pPr>
        <w:jc w:val="center"/>
        <w:ind w:right="-19"/>
        <w:spacing w:after="0"/>
        <w:rPr>
          <w:sz w:val="20"/>
          <w:szCs w:val="20"/>
          <w:color w:val="auto"/>
        </w:rPr>
      </w:pPr>
      <w:r>
        <w:rPr>
          <w:rFonts w:ascii="Arial" w:cs="Arial" w:eastAsia="Arial" w:hAnsi="Arial"/>
          <w:sz w:val="32"/>
          <w:szCs w:val="32"/>
          <w:color w:val="auto"/>
        </w:rPr>
        <w:t>ACTIVISION BLIZZARD,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1891665</wp:posOffset>
            </wp:positionH>
            <wp:positionV relativeFrom="paragraph">
              <wp:posOffset>19050</wp:posOffset>
            </wp:positionV>
            <wp:extent cx="348170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Charter)</w:t>
      </w:r>
    </w:p>
    <w:p>
      <w:pPr>
        <w:spacing w:after="0" w:line="209" w:lineRule="exact"/>
        <w:rPr>
          <w:sz w:val="24"/>
          <w:szCs w:val="24"/>
          <w:color w:val="auto"/>
        </w:rPr>
      </w:pPr>
    </w:p>
    <w:tbl>
      <w:tblPr>
        <w:tblLayout w:type="fixed"/>
        <w:tblInd w:w="0" w:type="dxa"/>
        <w:tblCellMar>
          <w:top w:w="0" w:type="dxa"/>
          <w:left w:w="0" w:type="dxa"/>
          <w:bottom w:w="0" w:type="dxa"/>
          <w:right w:w="0" w:type="dxa"/>
        </w:tblCellMar>
      </w:tblPr>
      <w:tr>
        <w:trPr>
          <w:trHeight w:val="237"/>
        </w:trPr>
        <w:tc>
          <w:tcPr>
            <w:tcW w:w="4020" w:type="dxa"/>
            <w:vAlign w:val="bottom"/>
            <w:gridSpan w:val="3"/>
          </w:tcPr>
          <w:p>
            <w:pPr>
              <w:jc w:val="center"/>
              <w:ind w:right="120"/>
              <w:spacing w:after="0"/>
              <w:rPr>
                <w:sz w:val="20"/>
                <w:szCs w:val="20"/>
                <w:color w:val="auto"/>
              </w:rPr>
            </w:pPr>
            <w:r>
              <w:rPr>
                <w:rFonts w:ascii="Arial" w:cs="Arial" w:eastAsia="Arial" w:hAnsi="Arial"/>
                <w:sz w:val="18"/>
                <w:szCs w:val="18"/>
                <w:color w:val="auto"/>
                <w:w w:val="92"/>
              </w:rPr>
              <w:t>Delaware</w:t>
            </w:r>
          </w:p>
        </w:tc>
        <w:tc>
          <w:tcPr>
            <w:tcW w:w="3060" w:type="dxa"/>
            <w:vAlign w:val="bottom"/>
            <w:gridSpan w:val="2"/>
          </w:tcPr>
          <w:p>
            <w:pPr>
              <w:jc w:val="right"/>
              <w:ind w:right="750"/>
              <w:spacing w:after="0"/>
              <w:rPr>
                <w:sz w:val="20"/>
                <w:szCs w:val="20"/>
                <w:color w:val="auto"/>
              </w:rPr>
            </w:pPr>
            <w:r>
              <w:rPr>
                <w:rFonts w:ascii="Arial" w:cs="Arial" w:eastAsia="Arial" w:hAnsi="Arial"/>
                <w:sz w:val="18"/>
                <w:szCs w:val="18"/>
                <w:color w:val="auto"/>
              </w:rPr>
              <w:t>001-15839</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40" w:type="dxa"/>
            <w:vAlign w:val="bottom"/>
          </w:tcPr>
          <w:p>
            <w:pPr>
              <w:jc w:val="center"/>
              <w:ind w:right="510"/>
              <w:spacing w:after="0"/>
              <w:rPr>
                <w:sz w:val="20"/>
                <w:szCs w:val="20"/>
                <w:color w:val="auto"/>
              </w:rPr>
            </w:pPr>
            <w:r>
              <w:rPr>
                <w:rFonts w:ascii="Arial" w:cs="Arial" w:eastAsia="Arial" w:hAnsi="Arial"/>
                <w:sz w:val="18"/>
                <w:szCs w:val="18"/>
                <w:color w:val="auto"/>
                <w:w w:val="91"/>
              </w:rPr>
              <w:t>95-4803544</w:t>
            </w:r>
          </w:p>
        </w:tc>
      </w:tr>
      <w:tr>
        <w:trPr>
          <w:trHeight w:val="202"/>
        </w:trPr>
        <w:tc>
          <w:tcPr>
            <w:tcW w:w="3900" w:type="dxa"/>
            <w:vAlign w:val="bottom"/>
            <w:tcBorders>
              <w:top w:val="single" w:sz="8" w:color="auto"/>
            </w:tcBorders>
            <w:gridSpan w:val="2"/>
          </w:tcPr>
          <w:p>
            <w:pPr>
              <w:jc w:val="center"/>
              <w:spacing w:after="0" w:line="201" w:lineRule="exact"/>
              <w:rPr>
                <w:sz w:val="20"/>
                <w:szCs w:val="20"/>
                <w:color w:val="auto"/>
              </w:rPr>
            </w:pPr>
            <w:r>
              <w:rPr>
                <w:rFonts w:ascii="Arial" w:cs="Arial" w:eastAsia="Arial" w:hAnsi="Arial"/>
                <w:sz w:val="18"/>
                <w:szCs w:val="18"/>
                <w:color w:val="auto"/>
                <w:w w:val="91"/>
              </w:rPr>
              <w:t>(State or Other Jurisdiction of</w:t>
            </w:r>
          </w:p>
        </w:tc>
        <w:tc>
          <w:tcPr>
            <w:tcW w:w="1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3300" w:type="dxa"/>
            <w:vAlign w:val="bottom"/>
            <w:tcBorders>
              <w:top w:val="single" w:sz="8" w:color="auto"/>
            </w:tcBorders>
            <w:gridSpan w:val="3"/>
          </w:tcPr>
          <w:p>
            <w:pPr>
              <w:jc w:val="center"/>
              <w:ind w:right="340"/>
              <w:spacing w:after="0" w:line="201" w:lineRule="exact"/>
              <w:rPr>
                <w:sz w:val="20"/>
                <w:szCs w:val="20"/>
                <w:color w:val="auto"/>
              </w:rPr>
            </w:pPr>
            <w:r>
              <w:rPr>
                <w:rFonts w:ascii="Arial" w:cs="Arial" w:eastAsia="Arial" w:hAnsi="Arial"/>
                <w:sz w:val="18"/>
                <w:szCs w:val="18"/>
                <w:color w:val="auto"/>
                <w:w w:val="93"/>
              </w:rPr>
              <w:t>(Commission File Number)</w:t>
            </w:r>
          </w:p>
        </w:tc>
        <w:tc>
          <w:tcPr>
            <w:tcW w:w="120" w:type="dxa"/>
            <w:vAlign w:val="bottom"/>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3040" w:type="dxa"/>
            <w:vAlign w:val="bottom"/>
            <w:tcBorders>
              <w:top w:val="single" w:sz="8" w:color="auto"/>
            </w:tcBorders>
          </w:tcPr>
          <w:p>
            <w:pPr>
              <w:jc w:val="center"/>
              <w:ind w:right="530"/>
              <w:spacing w:after="0" w:line="201" w:lineRule="exact"/>
              <w:rPr>
                <w:sz w:val="20"/>
                <w:szCs w:val="20"/>
                <w:color w:val="auto"/>
              </w:rPr>
            </w:pPr>
            <w:r>
              <w:rPr>
                <w:rFonts w:ascii="Arial" w:cs="Arial" w:eastAsia="Arial" w:hAnsi="Arial"/>
                <w:sz w:val="18"/>
                <w:szCs w:val="18"/>
                <w:color w:val="auto"/>
                <w:w w:val="93"/>
              </w:rPr>
              <w:t>(IRS Employer</w:t>
            </w:r>
          </w:p>
        </w:tc>
      </w:tr>
      <w:tr>
        <w:trPr>
          <w:trHeight w:val="230"/>
        </w:trPr>
        <w:tc>
          <w:tcPr>
            <w:tcW w:w="4020" w:type="dxa"/>
            <w:vAlign w:val="bottom"/>
            <w:gridSpan w:val="3"/>
          </w:tcPr>
          <w:p>
            <w:pPr>
              <w:jc w:val="center"/>
              <w:ind w:right="100"/>
              <w:spacing w:after="0"/>
              <w:rPr>
                <w:sz w:val="20"/>
                <w:szCs w:val="20"/>
                <w:color w:val="auto"/>
              </w:rPr>
            </w:pPr>
            <w:r>
              <w:rPr>
                <w:rFonts w:ascii="Arial" w:cs="Arial" w:eastAsia="Arial" w:hAnsi="Arial"/>
                <w:sz w:val="18"/>
                <w:szCs w:val="18"/>
                <w:color w:val="auto"/>
                <w:w w:val="93"/>
              </w:rPr>
              <w:t>Incorporation)</w:t>
            </w:r>
          </w:p>
        </w:tc>
        <w:tc>
          <w:tcPr>
            <w:tcW w:w="34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40" w:type="dxa"/>
            <w:vAlign w:val="bottom"/>
          </w:tcPr>
          <w:p>
            <w:pPr>
              <w:jc w:val="center"/>
              <w:ind w:right="530"/>
              <w:spacing w:after="0"/>
              <w:rPr>
                <w:sz w:val="20"/>
                <w:szCs w:val="20"/>
                <w:color w:val="auto"/>
              </w:rPr>
            </w:pPr>
            <w:r>
              <w:rPr>
                <w:rFonts w:ascii="Arial" w:cs="Arial" w:eastAsia="Arial" w:hAnsi="Arial"/>
                <w:sz w:val="18"/>
                <w:szCs w:val="18"/>
                <w:color w:val="auto"/>
                <w:w w:val="95"/>
              </w:rPr>
              <w:t>Identification No.)</w:t>
            </w:r>
          </w:p>
        </w:tc>
      </w:tr>
      <w:tr>
        <w:trPr>
          <w:trHeight w:val="418"/>
        </w:trPr>
        <w:tc>
          <w:tcPr>
            <w:tcW w:w="4020" w:type="dxa"/>
            <w:vAlign w:val="bottom"/>
            <w:gridSpan w:val="3"/>
          </w:tcPr>
          <w:p>
            <w:pPr>
              <w:jc w:val="center"/>
              <w:ind w:left="250"/>
              <w:spacing w:after="0"/>
              <w:rPr>
                <w:sz w:val="20"/>
                <w:szCs w:val="20"/>
                <w:color w:val="auto"/>
              </w:rPr>
            </w:pPr>
            <w:r>
              <w:rPr>
                <w:rFonts w:ascii="Arial" w:cs="Arial" w:eastAsia="Arial" w:hAnsi="Arial"/>
                <w:sz w:val="18"/>
                <w:szCs w:val="18"/>
                <w:color w:val="auto"/>
                <w:w w:val="89"/>
              </w:rPr>
              <w:t>3100 Ocean Park Boulevard,</w:t>
            </w:r>
          </w:p>
        </w:tc>
        <w:tc>
          <w:tcPr>
            <w:tcW w:w="34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40" w:type="dxa"/>
            <w:vAlign w:val="bottom"/>
          </w:tcPr>
          <w:p>
            <w:pPr>
              <w:spacing w:after="0"/>
              <w:rPr>
                <w:sz w:val="24"/>
                <w:szCs w:val="24"/>
                <w:color w:val="auto"/>
              </w:rPr>
            </w:pPr>
          </w:p>
        </w:tc>
      </w:tr>
      <w:tr>
        <w:trPr>
          <w:trHeight w:val="244"/>
        </w:trPr>
        <w:tc>
          <w:tcPr>
            <w:tcW w:w="4020" w:type="dxa"/>
            <w:vAlign w:val="bottom"/>
            <w:tcBorders>
              <w:bottom w:val="single" w:sz="8" w:color="auto"/>
            </w:tcBorders>
            <w:gridSpan w:val="3"/>
          </w:tcPr>
          <w:p>
            <w:pPr>
              <w:jc w:val="center"/>
              <w:ind w:left="250"/>
              <w:spacing w:after="0"/>
              <w:rPr>
                <w:sz w:val="20"/>
                <w:szCs w:val="20"/>
                <w:color w:val="auto"/>
              </w:rPr>
            </w:pPr>
            <w:r>
              <w:rPr>
                <w:rFonts w:ascii="Arial" w:cs="Arial" w:eastAsia="Arial" w:hAnsi="Arial"/>
                <w:sz w:val="18"/>
                <w:szCs w:val="18"/>
                <w:color w:val="auto"/>
                <w:w w:val="90"/>
              </w:rPr>
              <w:t>Santa Monica, CA</w:t>
            </w:r>
          </w:p>
        </w:tc>
        <w:tc>
          <w:tcPr>
            <w:tcW w:w="340" w:type="dxa"/>
            <w:vAlign w:val="bottom"/>
            <w:tcBorders>
              <w:bottom w:val="single" w:sz="8" w:color="auto"/>
            </w:tcBorders>
          </w:tcPr>
          <w:p>
            <w:pPr>
              <w:spacing w:after="0"/>
              <w:rPr>
                <w:sz w:val="21"/>
                <w:szCs w:val="21"/>
                <w:color w:val="auto"/>
              </w:rPr>
            </w:pPr>
          </w:p>
        </w:tc>
        <w:tc>
          <w:tcPr>
            <w:tcW w:w="272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3040" w:type="dxa"/>
            <w:vAlign w:val="bottom"/>
            <w:tcBorders>
              <w:bottom w:val="single" w:sz="8" w:color="auto"/>
            </w:tcBorders>
          </w:tcPr>
          <w:p>
            <w:pPr>
              <w:jc w:val="right"/>
              <w:ind w:right="1850"/>
              <w:spacing w:after="0"/>
              <w:rPr>
                <w:sz w:val="20"/>
                <w:szCs w:val="20"/>
                <w:color w:val="auto"/>
              </w:rPr>
            </w:pPr>
            <w:r>
              <w:rPr>
                <w:rFonts w:ascii="Arial" w:cs="Arial" w:eastAsia="Arial" w:hAnsi="Arial"/>
                <w:sz w:val="18"/>
                <w:szCs w:val="18"/>
                <w:color w:val="auto"/>
              </w:rPr>
              <w:t>90405</w:t>
            </w:r>
          </w:p>
        </w:tc>
      </w:tr>
      <w:tr>
        <w:trPr>
          <w:trHeight w:val="195"/>
        </w:trPr>
        <w:tc>
          <w:tcPr>
            <w:tcW w:w="4020" w:type="dxa"/>
            <w:vAlign w:val="bottom"/>
            <w:gridSpan w:val="3"/>
          </w:tcPr>
          <w:p>
            <w:pPr>
              <w:jc w:val="center"/>
              <w:ind w:left="270"/>
              <w:spacing w:after="0" w:line="195" w:lineRule="exact"/>
              <w:rPr>
                <w:sz w:val="20"/>
                <w:szCs w:val="20"/>
                <w:color w:val="auto"/>
              </w:rPr>
            </w:pPr>
            <w:r>
              <w:rPr>
                <w:rFonts w:ascii="Arial" w:cs="Arial" w:eastAsia="Arial" w:hAnsi="Arial"/>
                <w:sz w:val="18"/>
                <w:szCs w:val="18"/>
                <w:color w:val="auto"/>
                <w:w w:val="92"/>
              </w:rPr>
              <w:t>(Address of Principal Executive</w:t>
            </w:r>
          </w:p>
        </w:tc>
        <w:tc>
          <w:tcPr>
            <w:tcW w:w="34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40" w:type="dxa"/>
            <w:vAlign w:val="bottom"/>
          </w:tcPr>
          <w:p>
            <w:pPr>
              <w:jc w:val="center"/>
              <w:ind w:right="1210"/>
              <w:spacing w:after="0" w:line="195" w:lineRule="exact"/>
              <w:rPr>
                <w:sz w:val="20"/>
                <w:szCs w:val="20"/>
                <w:color w:val="auto"/>
              </w:rPr>
            </w:pPr>
            <w:r>
              <w:rPr>
                <w:rFonts w:ascii="Arial" w:cs="Arial" w:eastAsia="Arial" w:hAnsi="Arial"/>
                <w:sz w:val="18"/>
                <w:szCs w:val="18"/>
                <w:color w:val="auto"/>
                <w:w w:val="91"/>
              </w:rPr>
              <w:t>(Zip Code)</w:t>
            </w:r>
          </w:p>
        </w:tc>
      </w:tr>
      <w:tr>
        <w:trPr>
          <w:trHeight w:val="230"/>
        </w:trPr>
        <w:tc>
          <w:tcPr>
            <w:tcW w:w="4020" w:type="dxa"/>
            <w:vAlign w:val="bottom"/>
            <w:gridSpan w:val="3"/>
          </w:tcPr>
          <w:p>
            <w:pPr>
              <w:jc w:val="center"/>
              <w:ind w:left="250"/>
              <w:spacing w:after="0"/>
              <w:rPr>
                <w:sz w:val="20"/>
                <w:szCs w:val="20"/>
                <w:color w:val="auto"/>
              </w:rPr>
            </w:pPr>
            <w:r>
              <w:rPr>
                <w:rFonts w:ascii="Arial" w:cs="Arial" w:eastAsia="Arial" w:hAnsi="Arial"/>
                <w:sz w:val="18"/>
                <w:szCs w:val="18"/>
                <w:color w:val="auto"/>
                <w:w w:val="96"/>
              </w:rPr>
              <w:t>Offices)</w:t>
            </w:r>
          </w:p>
        </w:tc>
        <w:tc>
          <w:tcPr>
            <w:tcW w:w="34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40" w:type="dxa"/>
            <w:vAlign w:val="bottom"/>
          </w:tcPr>
          <w:p>
            <w:pPr>
              <w:spacing w:after="0"/>
              <w:rPr>
                <w:sz w:val="20"/>
                <w:szCs w:val="20"/>
                <w:color w:val="auto"/>
              </w:rPr>
            </w:pPr>
          </w:p>
        </w:tc>
      </w:tr>
      <w:tr>
        <w:trPr>
          <w:trHeight w:val="432"/>
        </w:trPr>
        <w:tc>
          <w:tcPr>
            <w:tcW w:w="8380" w:type="dxa"/>
            <w:vAlign w:val="bottom"/>
            <w:gridSpan w:val="9"/>
          </w:tcPr>
          <w:p>
            <w:pPr>
              <w:jc w:val="center"/>
              <w:ind w:left="2950"/>
              <w:spacing w:after="0"/>
              <w:rPr>
                <w:sz w:val="20"/>
                <w:szCs w:val="20"/>
                <w:color w:val="auto"/>
              </w:rPr>
            </w:pPr>
            <w:r>
              <w:rPr>
                <w:rFonts w:ascii="Arial" w:cs="Arial" w:eastAsia="Arial" w:hAnsi="Arial"/>
                <w:sz w:val="18"/>
                <w:szCs w:val="18"/>
                <w:color w:val="auto"/>
                <w:w w:val="90"/>
              </w:rPr>
              <w:t>Registrant’s telephone number, including area code: (310) 255-2000</w:t>
            </w:r>
          </w:p>
        </w:tc>
        <w:tc>
          <w:tcPr>
            <w:tcW w:w="3040" w:type="dxa"/>
            <w:vAlign w:val="bottom"/>
          </w:tcPr>
          <w:p>
            <w:pPr>
              <w:spacing w:after="0"/>
              <w:rPr>
                <w:sz w:val="24"/>
                <w:szCs w:val="24"/>
                <w:color w:val="auto"/>
              </w:rPr>
            </w:pPr>
          </w:p>
        </w:tc>
      </w:tr>
      <w:tr>
        <w:trPr>
          <w:trHeight w:val="634"/>
        </w:trPr>
        <w:tc>
          <w:tcPr>
            <w:tcW w:w="8380" w:type="dxa"/>
            <w:vAlign w:val="bottom"/>
            <w:gridSpan w:val="9"/>
          </w:tcPr>
          <w:p>
            <w:pPr>
              <w:jc w:val="center"/>
              <w:ind w:left="2950"/>
              <w:spacing w:after="0"/>
              <w:rPr>
                <w:sz w:val="20"/>
                <w:szCs w:val="20"/>
                <w:color w:val="auto"/>
              </w:rPr>
            </w:pPr>
            <w:r>
              <w:rPr>
                <w:rFonts w:ascii="Arial" w:cs="Arial" w:eastAsia="Arial" w:hAnsi="Arial"/>
                <w:sz w:val="18"/>
                <w:szCs w:val="18"/>
                <w:color w:val="auto"/>
                <w:w w:val="89"/>
              </w:rPr>
              <w:t>___________________________________________________________</w:t>
            </w:r>
          </w:p>
        </w:tc>
        <w:tc>
          <w:tcPr>
            <w:tcW w:w="3040" w:type="dxa"/>
            <w:vAlign w:val="bottom"/>
          </w:tcPr>
          <w:p>
            <w:pPr>
              <w:spacing w:after="0"/>
              <w:rPr>
                <w:sz w:val="24"/>
                <w:szCs w:val="24"/>
                <w:color w:val="auto"/>
              </w:rPr>
            </w:pPr>
          </w:p>
        </w:tc>
      </w:tr>
      <w:tr>
        <w:trPr>
          <w:trHeight w:val="230"/>
        </w:trPr>
        <w:tc>
          <w:tcPr>
            <w:tcW w:w="8380" w:type="dxa"/>
            <w:vAlign w:val="bottom"/>
            <w:gridSpan w:val="9"/>
          </w:tcPr>
          <w:p>
            <w:pPr>
              <w:jc w:val="center"/>
              <w:ind w:left="2950"/>
              <w:spacing w:after="0"/>
              <w:rPr>
                <w:sz w:val="20"/>
                <w:szCs w:val="20"/>
                <w:color w:val="auto"/>
              </w:rPr>
            </w:pPr>
            <w:r>
              <w:rPr>
                <w:rFonts w:ascii="Arial" w:cs="Arial" w:eastAsia="Arial" w:hAnsi="Arial"/>
                <w:sz w:val="18"/>
                <w:szCs w:val="18"/>
                <w:color w:val="auto"/>
                <w:w w:val="90"/>
              </w:rPr>
              <w:t>(Former Name or Former Address, if Changed Since Last Report)</w:t>
            </w:r>
          </w:p>
        </w:tc>
        <w:tc>
          <w:tcPr>
            <w:tcW w:w="3040" w:type="dxa"/>
            <w:vAlign w:val="bottom"/>
          </w:tcPr>
          <w:p>
            <w:pPr>
              <w:spacing w:after="0"/>
              <w:rPr>
                <w:sz w:val="20"/>
                <w:szCs w:val="20"/>
                <w:color w:val="auto"/>
              </w:rPr>
            </w:pPr>
          </w:p>
        </w:tc>
      </w:tr>
      <w:tr>
        <w:trPr>
          <w:trHeight w:val="414"/>
        </w:trPr>
        <w:tc>
          <w:tcPr>
            <w:tcW w:w="3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40" w:type="dxa"/>
            <w:vAlign w:val="bottom"/>
          </w:tcPr>
          <w:p>
            <w:pPr>
              <w:jc w:val="center"/>
              <w:ind w:right="570"/>
              <w:spacing w:after="0"/>
              <w:rPr>
                <w:sz w:val="20"/>
                <w:szCs w:val="20"/>
                <w:color w:val="auto"/>
              </w:rPr>
            </w:pPr>
            <w:r>
              <w:rPr>
                <w:rFonts w:ascii="Arial" w:cs="Arial" w:eastAsia="Arial" w:hAnsi="Arial"/>
                <w:sz w:val="18"/>
                <w:szCs w:val="18"/>
                <w:b w:val="1"/>
                <w:bCs w:val="1"/>
                <w:color w:val="auto"/>
                <w:w w:val="88"/>
              </w:rPr>
              <w:t>Name of Each Exchange on</w:t>
            </w:r>
          </w:p>
        </w:tc>
      </w:tr>
      <w:tr>
        <w:trPr>
          <w:trHeight w:val="234"/>
        </w:trPr>
        <w:tc>
          <w:tcPr>
            <w:tcW w:w="402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89"/>
              </w:rPr>
              <w:t>Title of Each Class</w:t>
            </w:r>
          </w:p>
        </w:tc>
        <w:tc>
          <w:tcPr>
            <w:tcW w:w="340" w:type="dxa"/>
            <w:vAlign w:val="bottom"/>
          </w:tcPr>
          <w:p>
            <w:pPr>
              <w:spacing w:after="0"/>
              <w:rPr>
                <w:sz w:val="20"/>
                <w:szCs w:val="20"/>
                <w:color w:val="auto"/>
              </w:rPr>
            </w:pPr>
          </w:p>
        </w:tc>
        <w:tc>
          <w:tcPr>
            <w:tcW w:w="4020" w:type="dxa"/>
            <w:vAlign w:val="bottom"/>
            <w:gridSpan w:val="5"/>
          </w:tcPr>
          <w:p>
            <w:pPr>
              <w:jc w:val="center"/>
              <w:ind w:right="1300"/>
              <w:spacing w:after="0"/>
              <w:rPr>
                <w:sz w:val="20"/>
                <w:szCs w:val="20"/>
                <w:color w:val="auto"/>
              </w:rPr>
            </w:pPr>
            <w:r>
              <w:rPr>
                <w:rFonts w:ascii="Arial" w:cs="Arial" w:eastAsia="Arial" w:hAnsi="Arial"/>
                <w:sz w:val="18"/>
                <w:szCs w:val="18"/>
                <w:b w:val="1"/>
                <w:bCs w:val="1"/>
                <w:color w:val="auto"/>
                <w:w w:val="91"/>
              </w:rPr>
              <w:t>Trading Symbol</w:t>
            </w:r>
          </w:p>
        </w:tc>
        <w:tc>
          <w:tcPr>
            <w:tcW w:w="3040" w:type="dxa"/>
            <w:vAlign w:val="bottom"/>
          </w:tcPr>
          <w:p>
            <w:pPr>
              <w:jc w:val="center"/>
              <w:ind w:right="510"/>
              <w:spacing w:after="0"/>
              <w:rPr>
                <w:sz w:val="20"/>
                <w:szCs w:val="20"/>
                <w:color w:val="auto"/>
              </w:rPr>
            </w:pPr>
            <w:r>
              <w:rPr>
                <w:rFonts w:ascii="Arial" w:cs="Arial" w:eastAsia="Arial" w:hAnsi="Arial"/>
                <w:sz w:val="18"/>
                <w:szCs w:val="18"/>
                <w:b w:val="1"/>
                <w:bCs w:val="1"/>
                <w:color w:val="auto"/>
                <w:w w:val="89"/>
              </w:rPr>
              <w:t>Which Registered</w:t>
            </w:r>
          </w:p>
        </w:tc>
      </w:tr>
      <w:tr>
        <w:trPr>
          <w:trHeight w:val="224"/>
        </w:trPr>
        <w:tc>
          <w:tcPr>
            <w:tcW w:w="36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$.000001 per share</w:t>
            </w:r>
          </w:p>
        </w:tc>
        <w:tc>
          <w:tcPr>
            <w:tcW w:w="2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3200" w:type="dxa"/>
            <w:vAlign w:val="bottom"/>
            <w:tcBorders>
              <w:top w:val="single" w:sz="8" w:color="auto"/>
            </w:tcBorders>
            <w:gridSpan w:val="2"/>
          </w:tcPr>
          <w:p>
            <w:pPr>
              <w:jc w:val="center"/>
              <w:ind w:right="460"/>
              <w:spacing w:after="0"/>
              <w:rPr>
                <w:sz w:val="20"/>
                <w:szCs w:val="20"/>
                <w:color w:val="auto"/>
              </w:rPr>
            </w:pPr>
            <w:r>
              <w:rPr>
                <w:rFonts w:ascii="Arial" w:cs="Arial" w:eastAsia="Arial" w:hAnsi="Arial"/>
                <w:sz w:val="18"/>
                <w:szCs w:val="18"/>
                <w:color w:val="auto"/>
              </w:rPr>
              <w:t>ATVI</w:t>
            </w:r>
          </w:p>
        </w:tc>
        <w:tc>
          <w:tcPr>
            <w:tcW w:w="220" w:type="dxa"/>
            <w:vAlign w:val="bottom"/>
            <w:gridSpan w:val="2"/>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3040" w:type="dxa"/>
            <w:vAlign w:val="bottom"/>
            <w:tcBorders>
              <w:top w:val="single" w:sz="8" w:color="auto"/>
            </w:tcBorders>
          </w:tcPr>
          <w:p>
            <w:pPr>
              <w:jc w:val="center"/>
              <w:ind w:right="510"/>
              <w:spacing w:after="0"/>
              <w:rPr>
                <w:sz w:val="20"/>
                <w:szCs w:val="20"/>
                <w:color w:val="auto"/>
              </w:rPr>
            </w:pPr>
            <w:r>
              <w:rPr>
                <w:rFonts w:ascii="Arial" w:cs="Arial" w:eastAsia="Arial" w:hAnsi="Arial"/>
                <w:sz w:val="18"/>
                <w:szCs w:val="18"/>
                <w:color w:val="auto"/>
                <w:w w:val="90"/>
              </w:rPr>
              <w:t>The Nasdaq Global Select Market</w:t>
            </w:r>
          </w:p>
        </w:tc>
      </w:tr>
    </w:tbl>
    <w:p>
      <w:pPr>
        <w:spacing w:after="0" w:line="187"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9"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tabs>
          <w:tab w:leader="none" w:pos="258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w:t>
      </w:r>
    </w:p>
    <w:p>
      <w:pPr>
        <w:spacing w:after="0" w:line="41" w:lineRule="exact"/>
        <w:rPr>
          <w:sz w:val="24"/>
          <w:szCs w:val="24"/>
          <w:color w:val="auto"/>
        </w:rPr>
      </w:pPr>
    </w:p>
    <w:p>
      <w:pPr>
        <w:spacing w:after="0" w:line="207" w:lineRule="exact"/>
        <w:tabs>
          <w:tab w:leader="none" w:pos="7440" w:val="left"/>
        </w:tabs>
        <w:rPr>
          <w:sz w:val="20"/>
          <w:szCs w:val="20"/>
          <w:color w:val="auto"/>
        </w:rPr>
      </w:pPr>
      <w:r>
        <w:rPr>
          <w:rFonts w:ascii="Arial" w:cs="Arial" w:eastAsia="Arial" w:hAnsi="Arial"/>
          <w:sz w:val="18"/>
          <w:szCs w:val="18"/>
          <w:color w:val="auto"/>
        </w:rPr>
        <w:t>revised financial accounting standards provided pursuant to Section 13(a) of the Exchange Act.</w:t>
      </w:r>
      <w:r>
        <w:rPr>
          <w:sz w:val="20"/>
          <w:szCs w:val="20"/>
          <w:color w:val="auto"/>
        </w:rPr>
        <w:tab/>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197485</wp:posOffset>
            </wp:positionV>
            <wp:extent cx="72466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523240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79" w:right="239" w:bottom="1440" w:gutter="0" w:footer="0" w:header="0"/>
        </w:sectPr>
      </w:pPr>
    </w:p>
    <w:bookmarkStart w:id="1" w:name="page2"/>
    <w:bookmarkEnd w:id="1"/>
    <w:p>
      <w:pPr>
        <w:ind w:right="100"/>
        <w:spacing w:after="0" w:line="259" w:lineRule="auto"/>
        <w:rPr>
          <w:sz w:val="20"/>
          <w:szCs w:val="20"/>
          <w:color w:val="auto"/>
        </w:rPr>
      </w:pPr>
      <w:r>
        <w:rPr>
          <w:rFonts w:ascii="Arial" w:cs="Arial" w:eastAsia="Arial" w:hAnsi="Arial"/>
          <w:sz w:val="18"/>
          <w:szCs w:val="18"/>
          <w:i w:val="1"/>
          <w:iCs w:val="1"/>
          <w:u w:val="single" w:color="auto"/>
          <w:color w:val="auto"/>
        </w:rPr>
        <w:t>Certain Information Not Filed</w:t>
      </w:r>
      <w:r>
        <w:rPr>
          <w:rFonts w:ascii="Arial" w:cs="Arial" w:eastAsia="Arial" w:hAnsi="Arial"/>
          <w:sz w:val="18"/>
          <w:szCs w:val="18"/>
          <w:i w:val="1"/>
          <w:iCs w:val="1"/>
          <w:color w:val="auto"/>
        </w:rPr>
        <w:t>. The information in Item 2.02 of this Form 8-K and Exhibit 99.1 attached to this Form 8-K shall not be deemed “filed” for purposes of Section 18 of the Securities Exchange Act of 1934, nor shall such Item 2.02 or such Exhibit 99.1 or any of the information contained therein be deemed incorporated by reference in any filing under the Securities Exchange Act of 1934 or the Securities Act of 1933, except as shall be expressly set forth by specific reference in such filing.</w:t>
      </w:r>
    </w:p>
    <w:p>
      <w:pPr>
        <w:spacing w:after="0" w:line="18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29"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On February 6, 2020, Activision Blizzard, Inc. (the “Company”) issued a press release announcing results for the Company for the fiscal quarter and year ended December 31, 2019. A copy of the press release is attached hereto as Exhibit 99.1. As previously announced, the Company is hosting a conference call and webcast in conjunction with that release.</w:t>
      </w:r>
    </w:p>
    <w:p>
      <w:pPr>
        <w:spacing w:after="0" w:line="17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i w:val="1"/>
          <w:iCs w:val="1"/>
          <w:color w:val="auto"/>
        </w:rPr>
        <w:t>Cash Dividend</w:t>
      </w:r>
      <w:r>
        <w:rPr>
          <w:rFonts w:ascii="Arial" w:cs="Arial" w:eastAsia="Arial" w:hAnsi="Arial"/>
          <w:sz w:val="18"/>
          <w:szCs w:val="18"/>
          <w:color w:val="auto"/>
        </w:rPr>
        <w:t>. On February 6, 2020, the Company’s Board of Directors declared a cash dividend of $0.41 per share of the Company’s outstanding common</w:t>
      </w:r>
      <w:r>
        <w:rPr>
          <w:rFonts w:ascii="Arial" w:cs="Arial" w:eastAsia="Arial" w:hAnsi="Arial"/>
          <w:sz w:val="18"/>
          <w:szCs w:val="18"/>
          <w:i w:val="1"/>
          <w:iCs w:val="1"/>
          <w:color w:val="auto"/>
        </w:rPr>
        <w:t xml:space="preserve"> </w:t>
      </w:r>
      <w:r>
        <w:rPr>
          <w:rFonts w:ascii="Arial" w:cs="Arial" w:eastAsia="Arial" w:hAnsi="Arial"/>
          <w:sz w:val="18"/>
          <w:szCs w:val="18"/>
          <w:color w:val="auto"/>
        </w:rPr>
        <w:t>stock, payable on May 6, 2020, to shareholders of record at the close of business on April 15, 2020.</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80" w:type="dxa"/>
            <w:vAlign w:val="bottom"/>
            <w:gridSpan w:val="3"/>
          </w:tcPr>
          <w:p>
            <w:pPr>
              <w:spacing w:after="0"/>
              <w:rPr>
                <w:sz w:val="20"/>
                <w:szCs w:val="20"/>
                <w:color w:val="auto"/>
              </w:rPr>
            </w:pPr>
            <w:r>
              <w:rPr>
                <w:rFonts w:ascii="Arial" w:cs="Arial" w:eastAsia="Arial" w:hAnsi="Arial"/>
                <w:sz w:val="18"/>
                <w:szCs w:val="18"/>
                <w:b w:val="1"/>
                <w:bCs w:val="1"/>
                <w:color w:val="auto"/>
              </w:rPr>
              <w:t>Item 9.01.</w:t>
            </w:r>
          </w:p>
        </w:tc>
        <w:tc>
          <w:tcPr>
            <w:tcW w:w="10340" w:type="dxa"/>
            <w:vAlign w:val="bottom"/>
            <w:gridSpan w:val="4"/>
          </w:tcPr>
          <w:p>
            <w:pPr>
              <w:ind w:left="220"/>
              <w:spacing w:after="0"/>
              <w:rPr>
                <w:sz w:val="20"/>
                <w:szCs w:val="20"/>
                <w:color w:val="auto"/>
              </w:rPr>
            </w:pPr>
            <w:r>
              <w:rPr>
                <w:rFonts w:ascii="Arial" w:cs="Arial" w:eastAsia="Arial" w:hAnsi="Arial"/>
                <w:sz w:val="18"/>
                <w:szCs w:val="18"/>
                <w:b w:val="1"/>
                <w:bCs w:val="1"/>
                <w:color w:val="auto"/>
              </w:rPr>
              <w:t>Financial Statements and Exhibits.</w:t>
            </w:r>
          </w:p>
        </w:tc>
      </w:tr>
      <w:tr>
        <w:trPr>
          <w:trHeight w:val="432"/>
        </w:trPr>
        <w:tc>
          <w:tcPr>
            <w:tcW w:w="1080" w:type="dxa"/>
            <w:vAlign w:val="bottom"/>
            <w:gridSpan w:val="3"/>
          </w:tcPr>
          <w:p>
            <w:pPr>
              <w:spacing w:after="0"/>
              <w:rPr>
                <w:sz w:val="20"/>
                <w:szCs w:val="20"/>
                <w:color w:val="auto"/>
              </w:rPr>
            </w:pPr>
            <w:r>
              <w:rPr>
                <w:rFonts w:ascii="Arial" w:cs="Arial" w:eastAsia="Arial" w:hAnsi="Arial"/>
                <w:sz w:val="18"/>
                <w:szCs w:val="18"/>
                <w:color w:val="auto"/>
              </w:rPr>
              <w:t>(d) Exhibits</w:t>
            </w:r>
          </w:p>
        </w:tc>
        <w:tc>
          <w:tcPr>
            <w:tcW w:w="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5380" w:type="dxa"/>
            <w:vAlign w:val="bottom"/>
          </w:tcPr>
          <w:p>
            <w:pPr>
              <w:spacing w:after="0"/>
              <w:rPr>
                <w:sz w:val="24"/>
                <w:szCs w:val="24"/>
                <w:color w:val="auto"/>
              </w:rPr>
            </w:pPr>
          </w:p>
        </w:tc>
      </w:tr>
      <w:tr>
        <w:trPr>
          <w:trHeight w:val="392"/>
        </w:trPr>
        <w:tc>
          <w:tcPr>
            <w:tcW w:w="1080" w:type="dxa"/>
            <w:vAlign w:val="bottom"/>
            <w:gridSpan w:val="3"/>
          </w:tcPr>
          <w:p>
            <w:pPr>
              <w:spacing w:after="0"/>
              <w:rPr>
                <w:sz w:val="20"/>
                <w:szCs w:val="20"/>
                <w:color w:val="auto"/>
              </w:rPr>
            </w:pPr>
            <w:r>
              <w:rPr>
                <w:rFonts w:ascii="Arial" w:cs="Arial" w:eastAsia="Arial" w:hAnsi="Arial"/>
                <w:sz w:val="18"/>
                <w:szCs w:val="18"/>
                <w:color w:val="auto"/>
              </w:rPr>
              <w:t>Exhibit No.</w:t>
            </w:r>
          </w:p>
        </w:tc>
        <w:tc>
          <w:tcPr>
            <w:tcW w:w="760" w:type="dxa"/>
            <w:vAlign w:val="bottom"/>
          </w:tcPr>
          <w:p>
            <w:pPr>
              <w:spacing w:after="0"/>
              <w:rPr>
                <w:sz w:val="24"/>
                <w:szCs w:val="24"/>
                <w:color w:val="auto"/>
              </w:rPr>
            </w:pPr>
          </w:p>
        </w:tc>
        <w:tc>
          <w:tcPr>
            <w:tcW w:w="9580" w:type="dxa"/>
            <w:vAlign w:val="bottom"/>
            <w:gridSpan w:val="3"/>
          </w:tcPr>
          <w:p>
            <w:pPr>
              <w:spacing w:after="0"/>
              <w:rPr>
                <w:sz w:val="20"/>
                <w:szCs w:val="20"/>
                <w:color w:val="auto"/>
              </w:rPr>
            </w:pPr>
            <w:r>
              <w:rPr>
                <w:rFonts w:ascii="Arial" w:cs="Arial" w:eastAsia="Arial" w:hAnsi="Arial"/>
                <w:sz w:val="18"/>
                <w:szCs w:val="18"/>
                <w:color w:val="auto"/>
              </w:rPr>
              <w:t>Description</w:t>
            </w:r>
          </w:p>
        </w:tc>
      </w:tr>
      <w:tr>
        <w:trPr>
          <w:trHeight w:val="20"/>
        </w:trPr>
        <w:tc>
          <w:tcPr>
            <w:tcW w:w="3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r>
      <w:tr>
        <w:trPr>
          <w:trHeight w:val="412"/>
        </w:trPr>
        <w:tc>
          <w:tcPr>
            <w:tcW w:w="840" w:type="dxa"/>
            <w:vAlign w:val="bottom"/>
            <w:gridSpan w:val="2"/>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99.</w:t>
              </w:r>
              <w:r>
                <w:rPr>
                  <w:rFonts w:ascii="Arial" w:cs="Arial" w:eastAsia="Arial" w:hAnsi="Arial"/>
                  <w:sz w:val="18"/>
                  <w:szCs w:val="18"/>
                  <w:u w:val="single" w:color="auto"/>
                  <w:color w:val="0000EE"/>
                </w:rPr>
                <w:t>1</w:t>
              </w:r>
            </w:hyperlink>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580" w:type="dxa"/>
            <w:vAlign w:val="bottom"/>
            <w:gridSpan w:val="3"/>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Press Release dated February 6, 2020 (furnished not filed)</w:t>
              </w:r>
            </w:hyperlink>
          </w:p>
        </w:tc>
      </w:tr>
      <w:tr>
        <w:trPr>
          <w:trHeight w:val="20"/>
        </w:trPr>
        <w:tc>
          <w:tcPr>
            <w:tcW w:w="32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0" w:type="dxa"/>
            <w:vAlign w:val="bottom"/>
            <w:gridSpan w:val="2"/>
            <w:shd w:val="clear" w:color="auto" w:fill="0000EE"/>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r>
      <w:tr>
        <w:trPr>
          <w:trHeight w:val="237"/>
        </w:trPr>
        <w:tc>
          <w:tcPr>
            <w:tcW w:w="320" w:type="dxa"/>
            <w:vAlign w:val="bottom"/>
          </w:tcPr>
          <w:p>
            <w:pPr>
              <w:spacing w:after="0"/>
              <w:rPr>
                <w:sz w:val="20"/>
                <w:szCs w:val="20"/>
                <w:color w:val="auto"/>
              </w:rPr>
            </w:pPr>
            <w:r>
              <w:rPr>
                <w:rFonts w:ascii="Arial" w:cs="Arial" w:eastAsia="Arial" w:hAnsi="Arial"/>
                <w:sz w:val="18"/>
                <w:szCs w:val="18"/>
                <w:color w:val="auto"/>
                <w:w w:val="99"/>
              </w:rPr>
              <w:t>104</w:t>
            </w: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580" w:type="dxa"/>
            <w:vAlign w:val="bottom"/>
            <w:gridSpan w:val="3"/>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648"/>
        </w:trPr>
        <w:tc>
          <w:tcPr>
            <w:tcW w:w="3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8"/>
                <w:szCs w:val="18"/>
                <w:color w:val="auto"/>
              </w:rPr>
              <w:t>2</w:t>
            </w:r>
          </w:p>
        </w:tc>
        <w:tc>
          <w:tcPr>
            <w:tcW w:w="53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35" w:right="239" w:bottom="1440" w:gutter="0" w:footer="0" w:header="0"/>
        </w:sectPr>
      </w:pPr>
    </w:p>
    <w:bookmarkStart w:id="2" w:name="page3"/>
    <w:bookmarkEnd w:id="2"/>
    <w:p>
      <w:pPr>
        <w:jc w:val="center"/>
        <w:ind w:right="-49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tabs>
          <w:tab w:leader="none" w:pos="5820" w:val="left"/>
        </w:tabs>
        <w:rPr>
          <w:sz w:val="20"/>
          <w:szCs w:val="20"/>
          <w:color w:val="auto"/>
        </w:rPr>
      </w:pPr>
      <w:r>
        <w:rPr>
          <w:rFonts w:ascii="Arial" w:cs="Arial" w:eastAsia="Arial" w:hAnsi="Arial"/>
          <w:sz w:val="18"/>
          <w:szCs w:val="18"/>
          <w:color w:val="auto"/>
        </w:rPr>
        <w:t>Date: February 6, 2020</w:t>
      </w:r>
      <w:r>
        <w:rPr>
          <w:sz w:val="20"/>
          <w:szCs w:val="20"/>
          <w:color w:val="auto"/>
        </w:rPr>
        <w:tab/>
      </w:r>
      <w:r>
        <w:rPr>
          <w:rFonts w:ascii="Arial" w:cs="Arial" w:eastAsia="Arial" w:hAnsi="Arial"/>
          <w:sz w:val="18"/>
          <w:szCs w:val="18"/>
          <w:color w:val="auto"/>
        </w:rPr>
        <w:t>ACTIVISION BLIZZARD, INC.</w:t>
      </w:r>
    </w:p>
    <w:p>
      <w:pPr>
        <w:spacing w:after="0" w:line="200" w:lineRule="exact"/>
        <w:rPr>
          <w:sz w:val="20"/>
          <w:szCs w:val="20"/>
          <w:color w:val="auto"/>
        </w:rPr>
      </w:pPr>
    </w:p>
    <w:p>
      <w:pPr>
        <w:spacing w:after="0" w:line="295"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By: /s/ Dennis Durkin</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Dennis Durkin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27"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940"/>
          </w:cols>
          <w:pgMar w:left="240" w:top="904" w:right="71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ACTIVISION BLIZZARD ANNOUNCES FOURTH-QUARTER AND 2019 FINANCIAL RESULTS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Better-Than-Expected Q4 Results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Santa Monica, CA – February 6, 2020 – Activision Blizzard, Inc. (Nasdaq: ATVI) today announced fourth-quarter and full year 2019 results.</w:t>
      </w:r>
    </w:p>
    <w:p>
      <w:pPr>
        <w:spacing w:after="0" w:line="225" w:lineRule="exact"/>
        <w:rPr>
          <w:sz w:val="20"/>
          <w:szCs w:val="20"/>
          <w:color w:val="auto"/>
        </w:rPr>
      </w:pPr>
    </w:p>
    <w:p>
      <w:pPr>
        <w:jc w:val="both"/>
        <w:spacing w:after="0" w:line="228" w:lineRule="auto"/>
        <w:rPr>
          <w:sz w:val="20"/>
          <w:szCs w:val="20"/>
          <w:color w:val="auto"/>
        </w:rPr>
      </w:pPr>
      <w:r>
        <w:rPr>
          <w:rFonts w:ascii="Arial" w:cs="Arial" w:eastAsia="Arial" w:hAnsi="Arial"/>
          <w:sz w:val="18"/>
          <w:szCs w:val="18"/>
          <w:color w:val="auto"/>
        </w:rPr>
        <w:t xml:space="preserve">“Our fourth quarter results exceeded our prior outlook for both revenue and earnings per share,” said Bobby Kotick, Chief Executive Officer of Activision Blizzard. “Our recent </w:t>
      </w:r>
      <w:r>
        <w:rPr>
          <w:rFonts w:ascii="Arial" w:cs="Arial" w:eastAsia="Arial" w:hAnsi="Arial"/>
          <w:sz w:val="18"/>
          <w:szCs w:val="18"/>
          <w:b w:val="1"/>
          <w:bCs w:val="1"/>
          <w:color w:val="auto"/>
        </w:rPr>
        <w:t>Call of Duty</w:t>
      </w:r>
      <w:r>
        <w:rPr>
          <w:rFonts w:ascii="Arial" w:cs="Arial" w:eastAsia="Arial" w:hAnsi="Arial"/>
          <w:sz w:val="30"/>
          <w:szCs w:val="30"/>
          <w:b w:val="1"/>
          <w:bCs w:val="1"/>
          <w:color w:val="auto"/>
          <w:vertAlign w:val="superscript"/>
        </w:rPr>
        <w:t>®</w:t>
      </w:r>
      <w:r>
        <w:rPr>
          <w:rFonts w:ascii="Arial" w:cs="Arial" w:eastAsia="Arial" w:hAnsi="Arial"/>
          <w:sz w:val="18"/>
          <w:szCs w:val="18"/>
          <w:color w:val="auto"/>
        </w:rPr>
        <w:t xml:space="preserve"> success illustrates the scale of our growth potential, as we expanded the community to more players in more countries on more platforms than ever before. With our strong content pipeline across our franchises and momentum in mobile, esports, and advertising, we look forward to continuing to delight our players, fans, and stakeholders in 2020 and beyond.”</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Metrics</w:t>
      </w:r>
    </w:p>
    <w:p>
      <w:pPr>
        <w:spacing w:after="0" w:line="224"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3780" w:type="dxa"/>
            <w:vAlign w:val="bottom"/>
            <w:tcBorders>
              <w:top w:val="single" w:sz="8" w:color="auto"/>
              <w:left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Q4</w:t>
            </w:r>
          </w:p>
        </w:tc>
        <w:tc>
          <w:tcPr>
            <w:tcW w:w="48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CY</w:t>
            </w:r>
          </w:p>
        </w:tc>
        <w:tc>
          <w:tcPr>
            <w:tcW w:w="5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right w:val="single" w:sz="8" w:color="auto"/>
            </w:tcBorders>
          </w:tcPr>
          <w:p>
            <w:pPr>
              <w:spacing w:after="0"/>
              <w:rPr>
                <w:sz w:val="19"/>
                <w:szCs w:val="19"/>
                <w:color w:val="auto"/>
              </w:rPr>
            </w:pPr>
          </w:p>
        </w:tc>
      </w:tr>
      <w:tr>
        <w:trPr>
          <w:trHeight w:val="191"/>
        </w:trPr>
        <w:tc>
          <w:tcPr>
            <w:tcW w:w="3780" w:type="dxa"/>
            <w:vAlign w:val="bottom"/>
            <w:tcBorders>
              <w:left w:val="single" w:sz="8" w:color="auto"/>
            </w:tcBorders>
          </w:tcPr>
          <w:p>
            <w:pPr>
              <w:spacing w:after="0"/>
              <w:rPr>
                <w:sz w:val="16"/>
                <w:szCs w:val="16"/>
                <w:color w:val="auto"/>
              </w:rPr>
            </w:pPr>
          </w:p>
        </w:tc>
        <w:tc>
          <w:tcPr>
            <w:tcW w:w="5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00" w:type="dxa"/>
            <w:vAlign w:val="bottom"/>
          </w:tcPr>
          <w:p>
            <w:pPr>
              <w:jc w:val="right"/>
              <w:ind w:right="10"/>
              <w:spacing w:after="0" w:line="191" w:lineRule="exact"/>
              <w:rPr>
                <w:sz w:val="20"/>
                <w:szCs w:val="20"/>
                <w:color w:val="auto"/>
              </w:rPr>
            </w:pPr>
            <w:r>
              <w:rPr>
                <w:rFonts w:ascii="Arial" w:cs="Arial" w:eastAsia="Arial" w:hAnsi="Arial"/>
                <w:sz w:val="18"/>
                <w:szCs w:val="18"/>
                <w:b w:val="1"/>
                <w:bCs w:val="1"/>
                <w:color w:val="auto"/>
              </w:rPr>
              <w:t>Prior</w:t>
            </w:r>
          </w:p>
        </w:tc>
        <w:tc>
          <w:tcPr>
            <w:tcW w:w="4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20" w:type="dxa"/>
            <w:vAlign w:val="bottom"/>
            <w:tcBorders>
              <w:right w:val="single" w:sz="8" w:color="auto"/>
            </w:tcBorders>
          </w:tcPr>
          <w:p>
            <w:pPr>
              <w:spacing w:after="0"/>
              <w:rPr>
                <w:sz w:val="16"/>
                <w:szCs w:val="16"/>
                <w:color w:val="auto"/>
              </w:rPr>
            </w:pPr>
          </w:p>
        </w:tc>
      </w:tr>
      <w:tr>
        <w:trPr>
          <w:trHeight w:val="234"/>
        </w:trPr>
        <w:tc>
          <w:tcPr>
            <w:tcW w:w="378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b w:val="1"/>
                <w:bCs w:val="1"/>
                <w:color w:val="auto"/>
              </w:rPr>
              <w:t>(in millions, except EPS)</w:t>
            </w:r>
          </w:p>
        </w:tc>
        <w:tc>
          <w:tcPr>
            <w:tcW w:w="5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2019</w:t>
            </w:r>
          </w:p>
        </w:tc>
        <w:tc>
          <w:tcPr>
            <w:tcW w:w="3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Outlook*</w:t>
            </w:r>
          </w:p>
        </w:tc>
        <w:tc>
          <w:tcPr>
            <w:tcW w:w="4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2018</w:t>
            </w:r>
          </w:p>
        </w:tc>
        <w:tc>
          <w:tcPr>
            <w:tcW w:w="340" w:type="dxa"/>
            <w:vAlign w:val="bottom"/>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2019</w:t>
            </w:r>
          </w:p>
        </w:tc>
        <w:tc>
          <w:tcPr>
            <w:tcW w:w="500" w:type="dxa"/>
            <w:vAlign w:val="bottom"/>
            <w:tcBorders>
              <w:bottom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2018</w:t>
            </w:r>
          </w:p>
        </w:tc>
      </w:tr>
      <w:tr>
        <w:trPr>
          <w:trHeight w:val="199"/>
        </w:trPr>
        <w:tc>
          <w:tcPr>
            <w:tcW w:w="3780" w:type="dxa"/>
            <w:vAlign w:val="bottom"/>
            <w:tcBorders>
              <w:left w:val="single" w:sz="8" w:color="auto"/>
            </w:tcBorders>
          </w:tcPr>
          <w:p>
            <w:pPr>
              <w:ind w:left="120"/>
              <w:spacing w:after="0" w:line="199" w:lineRule="exact"/>
              <w:rPr>
                <w:sz w:val="20"/>
                <w:szCs w:val="20"/>
                <w:color w:val="auto"/>
              </w:rPr>
            </w:pPr>
            <w:r>
              <w:rPr>
                <w:rFonts w:ascii="Arial" w:cs="Arial" w:eastAsia="Arial" w:hAnsi="Arial"/>
                <w:sz w:val="18"/>
                <w:szCs w:val="18"/>
                <w:color w:val="auto"/>
              </w:rPr>
              <w:t>GAAP Net Revenues</w:t>
            </w:r>
          </w:p>
        </w:tc>
        <w:tc>
          <w:tcPr>
            <w:tcW w:w="520" w:type="dxa"/>
            <w:vAlign w:val="bottom"/>
          </w:tcPr>
          <w:p>
            <w:pPr>
              <w:jc w:val="right"/>
              <w:ind w:right="250"/>
              <w:spacing w:after="0" w:line="199" w:lineRule="exact"/>
              <w:rPr>
                <w:sz w:val="20"/>
                <w:szCs w:val="20"/>
                <w:color w:val="auto"/>
              </w:rPr>
            </w:pPr>
            <w:r>
              <w:rPr>
                <w:rFonts w:ascii="Arial" w:cs="Arial" w:eastAsia="Arial" w:hAnsi="Arial"/>
                <w:sz w:val="18"/>
                <w:szCs w:val="18"/>
                <w:color w:val="auto"/>
              </w:rPr>
              <w:t>$</w:t>
            </w:r>
          </w:p>
        </w:tc>
        <w:tc>
          <w:tcPr>
            <w:tcW w:w="840" w:type="dxa"/>
            <w:vAlign w:val="bottom"/>
          </w:tcPr>
          <w:p>
            <w:pPr>
              <w:jc w:val="right"/>
              <w:ind w:right="10"/>
              <w:spacing w:after="0" w:line="199" w:lineRule="exact"/>
              <w:rPr>
                <w:sz w:val="20"/>
                <w:szCs w:val="20"/>
                <w:color w:val="auto"/>
              </w:rPr>
            </w:pPr>
            <w:r>
              <w:rPr>
                <w:rFonts w:ascii="Arial" w:cs="Arial" w:eastAsia="Arial" w:hAnsi="Arial"/>
                <w:sz w:val="18"/>
                <w:szCs w:val="18"/>
                <w:color w:val="auto"/>
              </w:rPr>
              <w:t>1,986</w:t>
            </w:r>
          </w:p>
        </w:tc>
        <w:tc>
          <w:tcPr>
            <w:tcW w:w="380" w:type="dxa"/>
            <w:vAlign w:val="bottom"/>
          </w:tcPr>
          <w:p>
            <w:pPr>
              <w:jc w:val="right"/>
              <w:ind w:right="110"/>
              <w:spacing w:after="0" w:line="199" w:lineRule="exact"/>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line="199" w:lineRule="exact"/>
              <w:rPr>
                <w:sz w:val="20"/>
                <w:szCs w:val="20"/>
                <w:color w:val="auto"/>
              </w:rPr>
            </w:pPr>
            <w:r>
              <w:rPr>
                <w:rFonts w:ascii="Arial" w:cs="Arial" w:eastAsia="Arial" w:hAnsi="Arial"/>
                <w:sz w:val="18"/>
                <w:szCs w:val="18"/>
                <w:color w:val="auto"/>
              </w:rPr>
              <w:t>1,812</w:t>
            </w:r>
          </w:p>
        </w:tc>
        <w:tc>
          <w:tcPr>
            <w:tcW w:w="480" w:type="dxa"/>
            <w:vAlign w:val="bottom"/>
          </w:tcPr>
          <w:p>
            <w:pPr>
              <w:jc w:val="right"/>
              <w:ind w:right="210"/>
              <w:spacing w:after="0" w:line="199" w:lineRule="exact"/>
              <w:rPr>
                <w:sz w:val="20"/>
                <w:szCs w:val="20"/>
                <w:color w:val="auto"/>
              </w:rPr>
            </w:pPr>
            <w:r>
              <w:rPr>
                <w:rFonts w:ascii="Arial" w:cs="Arial" w:eastAsia="Arial" w:hAnsi="Arial"/>
                <w:sz w:val="18"/>
                <w:szCs w:val="18"/>
                <w:color w:val="auto"/>
              </w:rPr>
              <w:t>$</w:t>
            </w:r>
          </w:p>
        </w:tc>
        <w:tc>
          <w:tcPr>
            <w:tcW w:w="800" w:type="dxa"/>
            <w:vAlign w:val="bottom"/>
          </w:tcPr>
          <w:p>
            <w:pPr>
              <w:jc w:val="right"/>
              <w:ind w:right="10"/>
              <w:spacing w:after="0" w:line="199" w:lineRule="exact"/>
              <w:rPr>
                <w:sz w:val="20"/>
                <w:szCs w:val="20"/>
                <w:color w:val="auto"/>
              </w:rPr>
            </w:pPr>
            <w:r>
              <w:rPr>
                <w:rFonts w:ascii="Arial" w:cs="Arial" w:eastAsia="Arial" w:hAnsi="Arial"/>
                <w:sz w:val="18"/>
                <w:szCs w:val="18"/>
                <w:color w:val="auto"/>
              </w:rPr>
              <w:t>2,381</w:t>
            </w:r>
          </w:p>
        </w:tc>
        <w:tc>
          <w:tcPr>
            <w:tcW w:w="340" w:type="dxa"/>
            <w:vAlign w:val="bottom"/>
          </w:tcPr>
          <w:p>
            <w:pPr>
              <w:spacing w:after="0"/>
              <w:rPr>
                <w:sz w:val="17"/>
                <w:szCs w:val="17"/>
                <w:color w:val="auto"/>
              </w:rPr>
            </w:pPr>
          </w:p>
        </w:tc>
        <w:tc>
          <w:tcPr>
            <w:tcW w:w="680" w:type="dxa"/>
            <w:vAlign w:val="bottom"/>
          </w:tcPr>
          <w:p>
            <w:pPr>
              <w:jc w:val="right"/>
              <w:ind w:right="410"/>
              <w:spacing w:after="0" w:line="199" w:lineRule="exact"/>
              <w:rPr>
                <w:sz w:val="20"/>
                <w:szCs w:val="20"/>
                <w:color w:val="auto"/>
              </w:rPr>
            </w:pPr>
            <w:r>
              <w:rPr>
                <w:rFonts w:ascii="Arial" w:cs="Arial" w:eastAsia="Arial" w:hAnsi="Arial"/>
                <w:sz w:val="18"/>
                <w:szCs w:val="18"/>
                <w:color w:val="auto"/>
              </w:rPr>
              <w:t>$</w:t>
            </w:r>
          </w:p>
        </w:tc>
        <w:tc>
          <w:tcPr>
            <w:tcW w:w="1080" w:type="dxa"/>
            <w:vAlign w:val="bottom"/>
          </w:tcPr>
          <w:p>
            <w:pPr>
              <w:jc w:val="right"/>
              <w:ind w:right="70"/>
              <w:spacing w:after="0" w:line="199" w:lineRule="exact"/>
              <w:rPr>
                <w:sz w:val="20"/>
                <w:szCs w:val="20"/>
                <w:color w:val="auto"/>
              </w:rPr>
            </w:pPr>
            <w:r>
              <w:rPr>
                <w:rFonts w:ascii="Arial" w:cs="Arial" w:eastAsia="Arial" w:hAnsi="Arial"/>
                <w:sz w:val="18"/>
                <w:szCs w:val="18"/>
                <w:color w:val="auto"/>
              </w:rPr>
              <w:t>6,489</w:t>
            </w:r>
          </w:p>
        </w:tc>
        <w:tc>
          <w:tcPr>
            <w:tcW w:w="500" w:type="dxa"/>
            <w:vAlign w:val="bottom"/>
          </w:tcPr>
          <w:p>
            <w:pPr>
              <w:jc w:val="right"/>
              <w:ind w:right="290"/>
              <w:spacing w:after="0" w:line="199" w:lineRule="exact"/>
              <w:rPr>
                <w:sz w:val="20"/>
                <w:szCs w:val="20"/>
                <w:color w:val="auto"/>
              </w:rPr>
            </w:pPr>
            <w:r>
              <w:rPr>
                <w:rFonts w:ascii="Arial" w:cs="Arial" w:eastAsia="Arial" w:hAnsi="Arial"/>
                <w:sz w:val="18"/>
                <w:szCs w:val="18"/>
                <w:color w:val="auto"/>
                <w:w w:val="99"/>
              </w:rPr>
              <w:t>$</w:t>
            </w:r>
          </w:p>
        </w:tc>
        <w:tc>
          <w:tcPr>
            <w:tcW w:w="920" w:type="dxa"/>
            <w:vAlign w:val="bottom"/>
            <w:tcBorders>
              <w:right w:val="single" w:sz="8" w:color="auto"/>
            </w:tcBorders>
          </w:tcPr>
          <w:p>
            <w:pPr>
              <w:jc w:val="right"/>
              <w:ind w:right="30"/>
              <w:spacing w:after="0" w:line="199" w:lineRule="exact"/>
              <w:rPr>
                <w:sz w:val="20"/>
                <w:szCs w:val="20"/>
                <w:color w:val="auto"/>
              </w:rPr>
            </w:pPr>
            <w:r>
              <w:rPr>
                <w:rFonts w:ascii="Arial" w:cs="Arial" w:eastAsia="Arial" w:hAnsi="Arial"/>
                <w:sz w:val="18"/>
                <w:szCs w:val="18"/>
                <w:color w:val="auto"/>
              </w:rPr>
              <w:t>7,500</w:t>
            </w:r>
          </w:p>
        </w:tc>
      </w:tr>
      <w:tr>
        <w:trPr>
          <w:trHeight w:val="390"/>
        </w:trPr>
        <w:tc>
          <w:tcPr>
            <w:tcW w:w="3780" w:type="dxa"/>
            <w:vAlign w:val="bottom"/>
            <w:tcBorders>
              <w:left w:val="single" w:sz="8" w:color="auto"/>
            </w:tcBorders>
          </w:tcPr>
          <w:p>
            <w:pPr>
              <w:ind w:left="380"/>
              <w:spacing w:after="0"/>
              <w:rPr>
                <w:sz w:val="20"/>
                <w:szCs w:val="20"/>
                <w:color w:val="auto"/>
              </w:rPr>
            </w:pPr>
            <w:r>
              <w:rPr>
                <w:rFonts w:ascii="Arial" w:cs="Arial" w:eastAsia="Arial" w:hAnsi="Arial"/>
                <w:sz w:val="18"/>
                <w:szCs w:val="18"/>
                <w:i w:val="1"/>
                <w:iCs w:val="1"/>
                <w:color w:val="auto"/>
              </w:rPr>
              <w:t>Impact of GAAP deferrals</w:t>
            </w:r>
            <w:r>
              <w:rPr>
                <w:rFonts w:ascii="Arial" w:cs="Arial" w:eastAsia="Arial" w:hAnsi="Arial"/>
                <w:sz w:val="30"/>
                <w:szCs w:val="30"/>
                <w:i w:val="1"/>
                <w:iCs w:val="1"/>
                <w:color w:val="auto"/>
                <w:vertAlign w:val="superscript"/>
              </w:rPr>
              <w:t>A</w:t>
            </w:r>
          </w:p>
        </w:tc>
        <w:tc>
          <w:tcPr>
            <w:tcW w:w="520" w:type="dxa"/>
            <w:vAlign w:val="bottom"/>
          </w:tcPr>
          <w:p>
            <w:pPr>
              <w:jc w:val="right"/>
              <w:ind w:right="250"/>
              <w:spacing w:after="0"/>
              <w:rPr>
                <w:sz w:val="20"/>
                <w:szCs w:val="20"/>
                <w:color w:val="auto"/>
              </w:rPr>
            </w:pPr>
            <w:r>
              <w:rPr>
                <w:rFonts w:ascii="Arial" w:cs="Arial" w:eastAsia="Arial" w:hAnsi="Arial"/>
                <w:sz w:val="18"/>
                <w:szCs w:val="18"/>
                <w:i w:val="1"/>
                <w:iCs w:val="1"/>
                <w:color w:val="auto"/>
              </w:rPr>
              <w:t>$</w:t>
            </w:r>
          </w:p>
        </w:tc>
        <w:tc>
          <w:tcPr>
            <w:tcW w:w="840" w:type="dxa"/>
            <w:vAlign w:val="bottom"/>
          </w:tcPr>
          <w:p>
            <w:pPr>
              <w:jc w:val="right"/>
              <w:ind w:right="10"/>
              <w:spacing w:after="0"/>
              <w:rPr>
                <w:sz w:val="20"/>
                <w:szCs w:val="20"/>
                <w:color w:val="auto"/>
              </w:rPr>
            </w:pPr>
            <w:r>
              <w:rPr>
                <w:rFonts w:ascii="Arial" w:cs="Arial" w:eastAsia="Arial" w:hAnsi="Arial"/>
                <w:sz w:val="18"/>
                <w:szCs w:val="18"/>
                <w:i w:val="1"/>
                <w:iCs w:val="1"/>
                <w:color w:val="auto"/>
              </w:rPr>
              <w:t>722</w:t>
            </w:r>
          </w:p>
        </w:tc>
        <w:tc>
          <w:tcPr>
            <w:tcW w:w="380" w:type="dxa"/>
            <w:vAlign w:val="bottom"/>
          </w:tcPr>
          <w:p>
            <w:pPr>
              <w:jc w:val="right"/>
              <w:ind w:right="110"/>
              <w:spacing w:after="0"/>
              <w:rPr>
                <w:sz w:val="20"/>
                <w:szCs w:val="20"/>
                <w:color w:val="auto"/>
              </w:rPr>
            </w:pPr>
            <w:r>
              <w:rPr>
                <w:rFonts w:ascii="Arial" w:cs="Arial" w:eastAsia="Arial" w:hAnsi="Arial"/>
                <w:sz w:val="18"/>
                <w:szCs w:val="18"/>
                <w:i w:val="1"/>
                <w:iCs w:val="1"/>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i w:val="1"/>
                <w:iCs w:val="1"/>
                <w:color w:val="auto"/>
              </w:rPr>
              <w:t>834</w:t>
            </w:r>
          </w:p>
        </w:tc>
        <w:tc>
          <w:tcPr>
            <w:tcW w:w="480" w:type="dxa"/>
            <w:vAlign w:val="bottom"/>
          </w:tcPr>
          <w:p>
            <w:pPr>
              <w:jc w:val="right"/>
              <w:ind w:right="210"/>
              <w:spacing w:after="0"/>
              <w:rPr>
                <w:sz w:val="20"/>
                <w:szCs w:val="20"/>
                <w:color w:val="auto"/>
              </w:rPr>
            </w:pPr>
            <w:r>
              <w:rPr>
                <w:rFonts w:ascii="Arial" w:cs="Arial" w:eastAsia="Arial" w:hAnsi="Arial"/>
                <w:sz w:val="18"/>
                <w:szCs w:val="18"/>
                <w:i w:val="1"/>
                <w:iCs w:val="1"/>
                <w:color w:val="auto"/>
              </w:rPr>
              <w:t>$</w:t>
            </w:r>
          </w:p>
        </w:tc>
        <w:tc>
          <w:tcPr>
            <w:tcW w:w="800" w:type="dxa"/>
            <w:vAlign w:val="bottom"/>
          </w:tcPr>
          <w:p>
            <w:pPr>
              <w:jc w:val="right"/>
              <w:ind w:right="10"/>
              <w:spacing w:after="0"/>
              <w:rPr>
                <w:sz w:val="20"/>
                <w:szCs w:val="20"/>
                <w:color w:val="auto"/>
              </w:rPr>
            </w:pPr>
            <w:r>
              <w:rPr>
                <w:rFonts w:ascii="Arial" w:cs="Arial" w:eastAsia="Arial" w:hAnsi="Arial"/>
                <w:sz w:val="18"/>
                <w:szCs w:val="18"/>
                <w:i w:val="1"/>
                <w:iCs w:val="1"/>
                <w:color w:val="auto"/>
              </w:rPr>
              <w:t>454</w:t>
            </w:r>
          </w:p>
        </w:tc>
        <w:tc>
          <w:tcPr>
            <w:tcW w:w="340" w:type="dxa"/>
            <w:vAlign w:val="bottom"/>
          </w:tcPr>
          <w:p>
            <w:pPr>
              <w:spacing w:after="0"/>
              <w:rPr>
                <w:sz w:val="24"/>
                <w:szCs w:val="24"/>
                <w:color w:val="auto"/>
              </w:rPr>
            </w:pPr>
          </w:p>
        </w:tc>
        <w:tc>
          <w:tcPr>
            <w:tcW w:w="680" w:type="dxa"/>
            <w:vAlign w:val="bottom"/>
          </w:tcPr>
          <w:p>
            <w:pPr>
              <w:jc w:val="right"/>
              <w:ind w:right="410"/>
              <w:spacing w:after="0"/>
              <w:rPr>
                <w:sz w:val="20"/>
                <w:szCs w:val="20"/>
                <w:color w:val="auto"/>
              </w:rPr>
            </w:pPr>
            <w:r>
              <w:rPr>
                <w:rFonts w:ascii="Arial" w:cs="Arial" w:eastAsia="Arial" w:hAnsi="Arial"/>
                <w:sz w:val="18"/>
                <w:szCs w:val="18"/>
                <w:i w:val="1"/>
                <w:iCs w:val="1"/>
                <w:color w:val="auto"/>
              </w:rPr>
              <w:t>$</w:t>
            </w:r>
          </w:p>
        </w:tc>
        <w:tc>
          <w:tcPr>
            <w:tcW w:w="1080" w:type="dxa"/>
            <w:vAlign w:val="bottom"/>
          </w:tcPr>
          <w:p>
            <w:pPr>
              <w:jc w:val="right"/>
              <w:ind w:right="70"/>
              <w:spacing w:after="0"/>
              <w:rPr>
                <w:sz w:val="20"/>
                <w:szCs w:val="20"/>
                <w:color w:val="auto"/>
              </w:rPr>
            </w:pPr>
            <w:r>
              <w:rPr>
                <w:rFonts w:ascii="Arial" w:cs="Arial" w:eastAsia="Arial" w:hAnsi="Arial"/>
                <w:sz w:val="18"/>
                <w:szCs w:val="18"/>
                <w:i w:val="1"/>
                <w:iCs w:val="1"/>
                <w:color w:val="auto"/>
              </w:rPr>
              <w:t>(101)</w:t>
            </w:r>
          </w:p>
        </w:tc>
        <w:tc>
          <w:tcPr>
            <w:tcW w:w="500" w:type="dxa"/>
            <w:vAlign w:val="bottom"/>
          </w:tcPr>
          <w:p>
            <w:pPr>
              <w:jc w:val="right"/>
              <w:ind w:right="290"/>
              <w:spacing w:after="0"/>
              <w:rPr>
                <w:sz w:val="20"/>
                <w:szCs w:val="20"/>
                <w:color w:val="auto"/>
              </w:rPr>
            </w:pPr>
            <w:r>
              <w:rPr>
                <w:rFonts w:ascii="Arial" w:cs="Arial" w:eastAsia="Arial" w:hAnsi="Arial"/>
                <w:sz w:val="18"/>
                <w:szCs w:val="18"/>
                <w:i w:val="1"/>
                <w:iCs w:val="1"/>
                <w:color w:val="auto"/>
                <w:w w:val="99"/>
              </w:rPr>
              <w:t>$</w:t>
            </w:r>
          </w:p>
        </w:tc>
        <w:tc>
          <w:tcPr>
            <w:tcW w:w="9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i w:val="1"/>
                <w:iCs w:val="1"/>
                <w:color w:val="auto"/>
              </w:rPr>
              <w:t>(238)</w:t>
            </w:r>
          </w:p>
        </w:tc>
      </w:tr>
      <w:tr>
        <w:trPr>
          <w:trHeight w:val="295"/>
        </w:trPr>
        <w:tc>
          <w:tcPr>
            <w:tcW w:w="378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GAAP EPS</w:t>
            </w:r>
          </w:p>
        </w:tc>
        <w:tc>
          <w:tcPr>
            <w:tcW w:w="52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0.68</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0.29</w:t>
            </w:r>
          </w:p>
        </w:tc>
        <w:tc>
          <w:tcPr>
            <w:tcW w:w="4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0.89</w:t>
            </w:r>
          </w:p>
        </w:tc>
        <w:tc>
          <w:tcPr>
            <w:tcW w:w="340" w:type="dxa"/>
            <w:vAlign w:val="bottom"/>
          </w:tcPr>
          <w:p>
            <w:pPr>
              <w:spacing w:after="0"/>
              <w:rPr>
                <w:sz w:val="24"/>
                <w:szCs w:val="24"/>
                <w:color w:val="auto"/>
              </w:rPr>
            </w:pPr>
          </w:p>
        </w:tc>
        <w:tc>
          <w:tcPr>
            <w:tcW w:w="68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1.95</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2.40</w:t>
            </w:r>
          </w:p>
        </w:tc>
      </w:tr>
      <w:tr>
        <w:trPr>
          <w:trHeight w:val="220"/>
        </w:trPr>
        <w:tc>
          <w:tcPr>
            <w:tcW w:w="378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Non-GAAP EPS</w:t>
            </w:r>
          </w:p>
        </w:tc>
        <w:tc>
          <w:tcPr>
            <w:tcW w:w="52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0.62</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0.43</w:t>
            </w:r>
          </w:p>
        </w:tc>
        <w:tc>
          <w:tcPr>
            <w:tcW w:w="4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0.90</w:t>
            </w:r>
          </w:p>
        </w:tc>
        <w:tc>
          <w:tcPr>
            <w:tcW w:w="340" w:type="dxa"/>
            <w:vAlign w:val="bottom"/>
          </w:tcPr>
          <w:p>
            <w:pPr>
              <w:spacing w:after="0"/>
              <w:rPr>
                <w:sz w:val="19"/>
                <w:szCs w:val="19"/>
                <w:color w:val="auto"/>
              </w:rPr>
            </w:pPr>
          </w:p>
        </w:tc>
        <w:tc>
          <w:tcPr>
            <w:tcW w:w="68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2.31</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2.72</w:t>
            </w:r>
          </w:p>
        </w:tc>
      </w:tr>
      <w:tr>
        <w:trPr>
          <w:trHeight w:val="390"/>
        </w:trPr>
        <w:tc>
          <w:tcPr>
            <w:tcW w:w="3780" w:type="dxa"/>
            <w:vAlign w:val="bottom"/>
            <w:tcBorders>
              <w:left w:val="single" w:sz="8" w:color="auto"/>
            </w:tcBorders>
          </w:tcPr>
          <w:p>
            <w:pPr>
              <w:ind w:left="380"/>
              <w:spacing w:after="0"/>
              <w:rPr>
                <w:sz w:val="20"/>
                <w:szCs w:val="20"/>
                <w:color w:val="auto"/>
              </w:rPr>
            </w:pPr>
            <w:r>
              <w:rPr>
                <w:rFonts w:ascii="Arial" w:cs="Arial" w:eastAsia="Arial" w:hAnsi="Arial"/>
                <w:sz w:val="18"/>
                <w:szCs w:val="18"/>
                <w:i w:val="1"/>
                <w:iCs w:val="1"/>
                <w:color w:val="auto"/>
              </w:rPr>
              <w:t>Impact of GAAP deferrals</w:t>
            </w:r>
            <w:r>
              <w:rPr>
                <w:rFonts w:ascii="Arial" w:cs="Arial" w:eastAsia="Arial" w:hAnsi="Arial"/>
                <w:sz w:val="30"/>
                <w:szCs w:val="30"/>
                <w:i w:val="1"/>
                <w:iCs w:val="1"/>
                <w:color w:val="auto"/>
                <w:vertAlign w:val="superscript"/>
              </w:rPr>
              <w:t>A</w:t>
            </w:r>
          </w:p>
        </w:tc>
        <w:tc>
          <w:tcPr>
            <w:tcW w:w="520" w:type="dxa"/>
            <w:vAlign w:val="bottom"/>
          </w:tcPr>
          <w:p>
            <w:pPr>
              <w:jc w:val="right"/>
              <w:ind w:right="250"/>
              <w:spacing w:after="0"/>
              <w:rPr>
                <w:sz w:val="20"/>
                <w:szCs w:val="20"/>
                <w:color w:val="auto"/>
              </w:rPr>
            </w:pPr>
            <w:r>
              <w:rPr>
                <w:rFonts w:ascii="Arial" w:cs="Arial" w:eastAsia="Arial" w:hAnsi="Arial"/>
                <w:sz w:val="18"/>
                <w:szCs w:val="18"/>
                <w:i w:val="1"/>
                <w:iCs w:val="1"/>
                <w:color w:val="auto"/>
              </w:rPr>
              <w:t>$</w:t>
            </w:r>
          </w:p>
        </w:tc>
        <w:tc>
          <w:tcPr>
            <w:tcW w:w="840" w:type="dxa"/>
            <w:vAlign w:val="bottom"/>
          </w:tcPr>
          <w:p>
            <w:pPr>
              <w:jc w:val="right"/>
              <w:ind w:right="10"/>
              <w:spacing w:after="0"/>
              <w:rPr>
                <w:sz w:val="20"/>
                <w:szCs w:val="20"/>
                <w:color w:val="auto"/>
              </w:rPr>
            </w:pPr>
            <w:r>
              <w:rPr>
                <w:rFonts w:ascii="Arial" w:cs="Arial" w:eastAsia="Arial" w:hAnsi="Arial"/>
                <w:sz w:val="18"/>
                <w:szCs w:val="18"/>
                <w:i w:val="1"/>
                <w:iCs w:val="1"/>
                <w:color w:val="auto"/>
              </w:rPr>
              <w:t>0.61</w:t>
            </w:r>
          </w:p>
        </w:tc>
        <w:tc>
          <w:tcPr>
            <w:tcW w:w="380" w:type="dxa"/>
            <w:vAlign w:val="bottom"/>
          </w:tcPr>
          <w:p>
            <w:pPr>
              <w:jc w:val="right"/>
              <w:ind w:right="110"/>
              <w:spacing w:after="0"/>
              <w:rPr>
                <w:sz w:val="20"/>
                <w:szCs w:val="20"/>
                <w:color w:val="auto"/>
              </w:rPr>
            </w:pPr>
            <w:r>
              <w:rPr>
                <w:rFonts w:ascii="Arial" w:cs="Arial" w:eastAsia="Arial" w:hAnsi="Arial"/>
                <w:sz w:val="18"/>
                <w:szCs w:val="18"/>
                <w:i w:val="1"/>
                <w:iCs w:val="1"/>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i w:val="1"/>
                <w:iCs w:val="1"/>
                <w:color w:val="auto"/>
              </w:rPr>
              <w:t>0.72</w:t>
            </w:r>
          </w:p>
        </w:tc>
        <w:tc>
          <w:tcPr>
            <w:tcW w:w="480" w:type="dxa"/>
            <w:vAlign w:val="bottom"/>
          </w:tcPr>
          <w:p>
            <w:pPr>
              <w:jc w:val="right"/>
              <w:ind w:right="210"/>
              <w:spacing w:after="0"/>
              <w:rPr>
                <w:sz w:val="20"/>
                <w:szCs w:val="20"/>
                <w:color w:val="auto"/>
              </w:rPr>
            </w:pPr>
            <w:r>
              <w:rPr>
                <w:rFonts w:ascii="Arial" w:cs="Arial" w:eastAsia="Arial" w:hAnsi="Arial"/>
                <w:sz w:val="18"/>
                <w:szCs w:val="18"/>
                <w:i w:val="1"/>
                <w:iCs w:val="1"/>
                <w:color w:val="auto"/>
              </w:rPr>
              <w:t>$</w:t>
            </w:r>
          </w:p>
        </w:tc>
        <w:tc>
          <w:tcPr>
            <w:tcW w:w="800" w:type="dxa"/>
            <w:vAlign w:val="bottom"/>
          </w:tcPr>
          <w:p>
            <w:pPr>
              <w:jc w:val="right"/>
              <w:ind w:right="10"/>
              <w:spacing w:after="0"/>
              <w:rPr>
                <w:sz w:val="20"/>
                <w:szCs w:val="20"/>
                <w:color w:val="auto"/>
              </w:rPr>
            </w:pPr>
            <w:r>
              <w:rPr>
                <w:rFonts w:ascii="Arial" w:cs="Arial" w:eastAsia="Arial" w:hAnsi="Arial"/>
                <w:sz w:val="18"/>
                <w:szCs w:val="18"/>
                <w:i w:val="1"/>
                <w:iCs w:val="1"/>
                <w:color w:val="auto"/>
              </w:rPr>
              <w:t>0.39</w:t>
            </w:r>
          </w:p>
        </w:tc>
        <w:tc>
          <w:tcPr>
            <w:tcW w:w="340" w:type="dxa"/>
            <w:vAlign w:val="bottom"/>
          </w:tcPr>
          <w:p>
            <w:pPr>
              <w:spacing w:after="0"/>
              <w:rPr>
                <w:sz w:val="24"/>
                <w:szCs w:val="24"/>
                <w:color w:val="auto"/>
              </w:rPr>
            </w:pPr>
          </w:p>
        </w:tc>
        <w:tc>
          <w:tcPr>
            <w:tcW w:w="680" w:type="dxa"/>
            <w:vAlign w:val="bottom"/>
          </w:tcPr>
          <w:p>
            <w:pPr>
              <w:jc w:val="right"/>
              <w:ind w:right="410"/>
              <w:spacing w:after="0"/>
              <w:rPr>
                <w:sz w:val="20"/>
                <w:szCs w:val="20"/>
                <w:color w:val="auto"/>
              </w:rPr>
            </w:pPr>
            <w:r>
              <w:rPr>
                <w:rFonts w:ascii="Arial" w:cs="Arial" w:eastAsia="Arial" w:hAnsi="Arial"/>
                <w:sz w:val="18"/>
                <w:szCs w:val="18"/>
                <w:i w:val="1"/>
                <w:iCs w:val="1"/>
                <w:color w:val="auto"/>
              </w:rPr>
              <w:t>$</w:t>
            </w:r>
          </w:p>
        </w:tc>
        <w:tc>
          <w:tcPr>
            <w:tcW w:w="1080" w:type="dxa"/>
            <w:vAlign w:val="bottom"/>
          </w:tcPr>
          <w:p>
            <w:pPr>
              <w:jc w:val="right"/>
              <w:ind w:right="70"/>
              <w:spacing w:after="0"/>
              <w:rPr>
                <w:sz w:val="20"/>
                <w:szCs w:val="20"/>
                <w:color w:val="auto"/>
              </w:rPr>
            </w:pPr>
            <w:r>
              <w:rPr>
                <w:rFonts w:ascii="Arial" w:cs="Arial" w:eastAsia="Arial" w:hAnsi="Arial"/>
                <w:sz w:val="18"/>
                <w:szCs w:val="18"/>
                <w:i w:val="1"/>
                <w:iCs w:val="1"/>
                <w:color w:val="auto"/>
              </w:rPr>
              <w:t>(0.06)</w:t>
            </w:r>
          </w:p>
        </w:tc>
        <w:tc>
          <w:tcPr>
            <w:tcW w:w="500" w:type="dxa"/>
            <w:vAlign w:val="bottom"/>
          </w:tcPr>
          <w:p>
            <w:pPr>
              <w:jc w:val="right"/>
              <w:ind w:right="290"/>
              <w:spacing w:after="0"/>
              <w:rPr>
                <w:sz w:val="20"/>
                <w:szCs w:val="20"/>
                <w:color w:val="auto"/>
              </w:rPr>
            </w:pPr>
            <w:r>
              <w:rPr>
                <w:rFonts w:ascii="Arial" w:cs="Arial" w:eastAsia="Arial" w:hAnsi="Arial"/>
                <w:sz w:val="18"/>
                <w:szCs w:val="18"/>
                <w:i w:val="1"/>
                <w:iCs w:val="1"/>
                <w:color w:val="auto"/>
                <w:w w:val="99"/>
              </w:rPr>
              <w:t>$</w:t>
            </w:r>
          </w:p>
        </w:tc>
        <w:tc>
          <w:tcPr>
            <w:tcW w:w="9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i w:val="1"/>
                <w:iCs w:val="1"/>
                <w:color w:val="auto"/>
              </w:rPr>
              <w:t>(0.12)</w:t>
            </w:r>
          </w:p>
        </w:tc>
      </w:tr>
      <w:tr>
        <w:trPr>
          <w:trHeight w:val="93"/>
        </w:trPr>
        <w:tc>
          <w:tcPr>
            <w:tcW w:w="3780" w:type="dxa"/>
            <w:vAlign w:val="bottom"/>
            <w:tcBorders>
              <w:left w:val="single" w:sz="8" w:color="auto"/>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920" w:type="dxa"/>
            <w:vAlign w:val="bottom"/>
            <w:tcBorders>
              <w:bottom w:val="single" w:sz="8" w:color="auto"/>
              <w:right w:val="single" w:sz="8" w:color="auto"/>
            </w:tcBorders>
          </w:tcPr>
          <w:p>
            <w:pPr>
              <w:spacing w:after="0"/>
              <w:rPr>
                <w:sz w:val="8"/>
                <w:szCs w:val="8"/>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6"/>
          <w:szCs w:val="16"/>
          <w:color w:val="auto"/>
        </w:rPr>
        <w:t>* Prior outlook was provided by the company on November 7, 2019 in its earnings release.</w:t>
      </w:r>
    </w:p>
    <w:p>
      <w:pPr>
        <w:spacing w:after="0" w:line="23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year ended December 31, 2019, Activision Blizzard’s net revenues presented in accordance with GAAP were $6.49 billion, as compared with $7.50 billion for 2018. GAAP net revenues from digital channels were $4.93 billion. GAAP operating margin was 25%. GAAP earnings per diluted share were $1.95, as compared with $2.40 for 2018. On a non-GAAP basis, Activision Blizzard’s operating margin was 33% and earnings per diluted share were $2.31, as compared with $2.72 for 2018.</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For the quarter ended December 31, 2019, Activision Blizzard’s net revenues presented in accordance with GAAP were $1.99 billion, as compared with $2.38 billion for the fourth quarter of 2018. GAAP net revenues from digital channels were $1.44 billion. GAAP operating margin was 23%. GAAP earnings per diluted share were $0.68, as compared with $0.89 for the fourth quarter of 2018. On a non-GAAP basis, Activision Blizzard’s operating margin was 30% and earnings per diluted share were $0.62, as compared with $0.90 for the fourth quarter of 2018.</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Activision Blizzard generated $1.83 billion in operating cash flow for the year ended December 31, 2019, as compared with $1.79 billion for 2018. For the quarter, operating cash flow was $918 million, as compared with $999 million for the fourth quarter of 2018.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Please refer to the tables at the back of this press release for a reconciliation of the company’s GAAP and non-GAAP results.</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spacing w:after="0"/>
        <w:rPr>
          <w:sz w:val="20"/>
          <w:szCs w:val="20"/>
          <w:color w:val="auto"/>
        </w:rPr>
      </w:pPr>
      <w:r>
        <w:rPr>
          <w:rFonts w:ascii="Arial" w:cs="Arial" w:eastAsia="Arial" w:hAnsi="Arial"/>
          <w:sz w:val="20"/>
          <w:szCs w:val="20"/>
          <w:i w:val="1"/>
          <w:iCs w:val="1"/>
          <w:color w:val="auto"/>
        </w:rPr>
        <w:t>Activision Blizzard Announces Q4 2019 Financial Results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Metrics</w:t>
      </w:r>
    </w:p>
    <w:p>
      <w:pPr>
        <w:spacing w:after="0" w:line="233"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For the year ended December 31, 2019, Activision Blizzard’s net bookings</w:t>
      </w:r>
      <w:r>
        <w:rPr>
          <w:rFonts w:ascii="Arial" w:cs="Arial" w:eastAsia="Arial" w:hAnsi="Arial"/>
          <w:sz w:val="30"/>
          <w:szCs w:val="30"/>
          <w:color w:val="auto"/>
          <w:vertAlign w:val="superscript"/>
        </w:rPr>
        <w:t>B</w:t>
      </w:r>
      <w:r>
        <w:rPr>
          <w:rFonts w:ascii="Arial" w:cs="Arial" w:eastAsia="Arial" w:hAnsi="Arial"/>
          <w:sz w:val="18"/>
          <w:szCs w:val="18"/>
          <w:color w:val="auto"/>
        </w:rPr>
        <w:t xml:space="preserve"> were $6.39 billion, as compared with $7.26 billion for 2018. Net bookings</w:t>
      </w:r>
      <w:r>
        <w:rPr>
          <w:rFonts w:ascii="Arial" w:cs="Arial" w:eastAsia="Arial" w:hAnsi="Arial"/>
          <w:sz w:val="30"/>
          <w:szCs w:val="30"/>
          <w:color w:val="auto"/>
          <w:vertAlign w:val="superscript"/>
        </w:rPr>
        <w:t>B</w:t>
      </w:r>
      <w:r>
        <w:rPr>
          <w:rFonts w:ascii="Arial" w:cs="Arial" w:eastAsia="Arial" w:hAnsi="Arial"/>
          <w:sz w:val="18"/>
          <w:szCs w:val="18"/>
          <w:color w:val="auto"/>
        </w:rPr>
        <w:t xml:space="preserve"> from digital channels were $4.93 billion, as compared with $5.72 billion for 2018, and in-game net bookings</w:t>
      </w:r>
      <w:r>
        <w:rPr>
          <w:rFonts w:ascii="Arial" w:cs="Arial" w:eastAsia="Arial" w:hAnsi="Arial"/>
          <w:sz w:val="33"/>
          <w:szCs w:val="33"/>
          <w:color w:val="auto"/>
          <w:vertAlign w:val="superscript"/>
        </w:rPr>
        <w:t>C</w:t>
      </w:r>
      <w:r>
        <w:rPr>
          <w:rFonts w:ascii="Arial" w:cs="Arial" w:eastAsia="Arial" w:hAnsi="Arial"/>
          <w:sz w:val="18"/>
          <w:szCs w:val="18"/>
          <w:color w:val="auto"/>
        </w:rPr>
        <w:t xml:space="preserve"> were $3.37 billion.</w:t>
      </w:r>
    </w:p>
    <w:p>
      <w:pPr>
        <w:spacing w:after="0" w:line="74" w:lineRule="exact"/>
        <w:rPr>
          <w:sz w:val="20"/>
          <w:szCs w:val="20"/>
          <w:color w:val="auto"/>
        </w:rPr>
      </w:pPr>
    </w:p>
    <w:p>
      <w:pPr>
        <w:jc w:val="both"/>
        <w:spacing w:after="0" w:line="211" w:lineRule="auto"/>
        <w:rPr>
          <w:sz w:val="20"/>
          <w:szCs w:val="20"/>
          <w:color w:val="auto"/>
        </w:rPr>
      </w:pPr>
      <w:r>
        <w:rPr>
          <w:rFonts w:ascii="Arial" w:cs="Arial" w:eastAsia="Arial" w:hAnsi="Arial"/>
          <w:sz w:val="17"/>
          <w:szCs w:val="17"/>
          <w:color w:val="auto"/>
        </w:rPr>
        <w:t>For the quarter ended December 31, 2019, Activision Blizzard’s net bookings</w:t>
      </w:r>
      <w:r>
        <w:rPr>
          <w:rFonts w:ascii="Arial" w:cs="Arial" w:eastAsia="Arial" w:hAnsi="Arial"/>
          <w:sz w:val="28"/>
          <w:szCs w:val="28"/>
          <w:color w:val="auto"/>
          <w:vertAlign w:val="superscript"/>
        </w:rPr>
        <w:t>B</w:t>
      </w:r>
      <w:r>
        <w:rPr>
          <w:rFonts w:ascii="Arial" w:cs="Arial" w:eastAsia="Arial" w:hAnsi="Arial"/>
          <w:sz w:val="17"/>
          <w:szCs w:val="17"/>
          <w:color w:val="auto"/>
        </w:rPr>
        <w:t xml:space="preserve"> were $2.71 billion, as compared with $2.84 billion for the fourth quarter of 2018. Net bookings</w:t>
      </w:r>
      <w:r>
        <w:rPr>
          <w:rFonts w:ascii="Arial" w:cs="Arial" w:eastAsia="Arial" w:hAnsi="Arial"/>
          <w:sz w:val="28"/>
          <w:szCs w:val="28"/>
          <w:color w:val="auto"/>
          <w:vertAlign w:val="superscript"/>
        </w:rPr>
        <w:t>B</w:t>
      </w:r>
      <w:r>
        <w:rPr>
          <w:rFonts w:ascii="Arial" w:cs="Arial" w:eastAsia="Arial" w:hAnsi="Arial"/>
          <w:sz w:val="17"/>
          <w:szCs w:val="17"/>
          <w:color w:val="auto"/>
        </w:rPr>
        <w:t xml:space="preserve"> from digital channels were $1.88 billion, as compared with $1.88 billion for the fourth quarter of 2018. In-game net bookings</w:t>
      </w:r>
      <w:r>
        <w:rPr>
          <w:rFonts w:ascii="Arial" w:cs="Arial" w:eastAsia="Arial" w:hAnsi="Arial"/>
          <w:sz w:val="28"/>
          <w:szCs w:val="28"/>
          <w:color w:val="auto"/>
          <w:vertAlign w:val="superscript"/>
        </w:rPr>
        <w:t>C</w:t>
      </w:r>
      <w:r>
        <w:rPr>
          <w:rFonts w:ascii="Arial" w:cs="Arial" w:eastAsia="Arial" w:hAnsi="Arial"/>
          <w:sz w:val="17"/>
          <w:szCs w:val="17"/>
          <w:color w:val="auto"/>
        </w:rPr>
        <w:t xml:space="preserve"> were $1.09 billion.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For the quarter ended December 31, 2019, overall Activision Blizzard Monthly Active Users (MAUs)</w:t>
      </w:r>
      <w:r>
        <w:rPr>
          <w:rFonts w:ascii="Arial" w:cs="Arial" w:eastAsia="Arial" w:hAnsi="Arial"/>
          <w:sz w:val="30"/>
          <w:szCs w:val="30"/>
          <w:color w:val="auto"/>
          <w:vertAlign w:val="superscript"/>
        </w:rPr>
        <w:t>D</w:t>
      </w:r>
      <w:r>
        <w:rPr>
          <w:rFonts w:ascii="Arial" w:cs="Arial" w:eastAsia="Arial" w:hAnsi="Arial"/>
          <w:sz w:val="18"/>
          <w:szCs w:val="18"/>
          <w:color w:val="auto"/>
        </w:rPr>
        <w:t xml:space="preserve"> were 409 million.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Business Highlights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Strong execution against our strategy enabled Activision Blizzard to exceed its fourth quarter outlook and enter 2020 with momentum. Our increased investment and focus on the creative and commercial resources of our biggest franchises is delivering results, enabling us to accelerate the delivery of content in our pipeline, pursue new business models, broaden our communities, and delight our players.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Activision</w:t>
      </w:r>
    </w:p>
    <w:p>
      <w:pPr>
        <w:ind w:left="340" w:hanging="332"/>
        <w:spacing w:after="0" w:line="186" w:lineRule="auto"/>
        <w:tabs>
          <w:tab w:leader="none" w:pos="340" w:val="left"/>
        </w:tabs>
        <w:numPr>
          <w:ilvl w:val="0"/>
          <w:numId w:val="2"/>
        </w:numPr>
        <w:rPr>
          <w:rFonts w:ascii="Arial" w:cs="Arial" w:eastAsia="Arial" w:hAnsi="Arial"/>
          <w:sz w:val="36"/>
          <w:szCs w:val="36"/>
          <w:color w:val="auto"/>
          <w:vertAlign w:val="superscript"/>
        </w:rPr>
      </w:pPr>
      <w:r>
        <w:rPr>
          <w:rFonts w:ascii="Arial" w:cs="Arial" w:eastAsia="Arial" w:hAnsi="Arial"/>
          <w:sz w:val="18"/>
          <w:szCs w:val="18"/>
          <w:color w:val="auto"/>
        </w:rPr>
        <w:t>Activision had 128 million MAUs</w:t>
      </w:r>
      <w:r>
        <w:rPr>
          <w:rFonts w:ascii="Arial" w:cs="Arial" w:eastAsia="Arial" w:hAnsi="Arial"/>
          <w:sz w:val="30"/>
          <w:szCs w:val="30"/>
          <w:color w:val="auto"/>
          <w:vertAlign w:val="superscript"/>
        </w:rPr>
        <w:t>D</w:t>
      </w:r>
      <w:r>
        <w:rPr>
          <w:rFonts w:ascii="Arial" w:cs="Arial" w:eastAsia="Arial" w:hAnsi="Arial"/>
          <w:sz w:val="18"/>
          <w:szCs w:val="18"/>
          <w:color w:val="auto"/>
        </w:rPr>
        <w:t>.</w:t>
      </w:r>
    </w:p>
    <w:p>
      <w:pPr>
        <w:spacing w:after="0" w:line="1" w:lineRule="exact"/>
        <w:rPr>
          <w:rFonts w:ascii="Arial" w:cs="Arial" w:eastAsia="Arial" w:hAnsi="Arial"/>
          <w:sz w:val="36"/>
          <w:szCs w:val="36"/>
          <w:color w:val="auto"/>
          <w:vertAlign w:val="superscript"/>
        </w:rPr>
      </w:pPr>
    </w:p>
    <w:p>
      <w:pPr>
        <w:ind w:left="340" w:right="20" w:hanging="332"/>
        <w:spacing w:after="0" w:line="181" w:lineRule="auto"/>
        <w:tabs>
          <w:tab w:leader="none" w:pos="340" w:val="left"/>
        </w:tabs>
        <w:numPr>
          <w:ilvl w:val="0"/>
          <w:numId w:val="2"/>
        </w:numPr>
        <w:rPr>
          <w:rFonts w:ascii="Arial" w:cs="Arial" w:eastAsia="Arial" w:hAnsi="Arial"/>
          <w:sz w:val="32"/>
          <w:szCs w:val="32"/>
          <w:color w:val="auto"/>
          <w:vertAlign w:val="superscript"/>
        </w:rPr>
      </w:pPr>
      <w:r>
        <w:rPr>
          <w:rFonts w:ascii="Arial" w:cs="Arial" w:eastAsia="Arial" w:hAnsi="Arial"/>
          <w:sz w:val="17"/>
          <w:szCs w:val="17"/>
          <w:b w:val="1"/>
          <w:bCs w:val="1"/>
          <w:color w:val="auto"/>
        </w:rPr>
        <w:t>Call of Duty</w:t>
      </w:r>
      <w:r>
        <w:rPr>
          <w:rFonts w:ascii="Arial" w:cs="Arial" w:eastAsia="Arial" w:hAnsi="Arial"/>
          <w:sz w:val="27"/>
          <w:szCs w:val="27"/>
          <w:b w:val="1"/>
          <w:bCs w:val="1"/>
          <w:color w:val="auto"/>
          <w:vertAlign w:val="superscript"/>
        </w:rPr>
        <w:t>®</w:t>
      </w:r>
      <w:r>
        <w:rPr>
          <w:rFonts w:ascii="Arial" w:cs="Arial" w:eastAsia="Arial" w:hAnsi="Arial"/>
          <w:sz w:val="17"/>
          <w:szCs w:val="17"/>
          <w:b w:val="1"/>
          <w:bCs w:val="1"/>
          <w:color w:val="auto"/>
        </w:rPr>
        <w:t xml:space="preserve"> Mobile </w:t>
      </w:r>
      <w:r>
        <w:rPr>
          <w:rFonts w:ascii="Arial" w:cs="Arial" w:eastAsia="Arial" w:hAnsi="Arial"/>
          <w:sz w:val="17"/>
          <w:szCs w:val="17"/>
          <w:color w:val="auto"/>
        </w:rPr>
        <w:t>installs exceeded 150 million, with the game reaching the top of the download charts in more than 150 countries and regions, and</w:t>
      </w:r>
      <w:r>
        <w:rPr>
          <w:rFonts w:ascii="Arial" w:cs="Arial" w:eastAsia="Arial" w:hAnsi="Arial"/>
          <w:sz w:val="17"/>
          <w:szCs w:val="17"/>
          <w:b w:val="1"/>
          <w:bCs w:val="1"/>
          <w:color w:val="auto"/>
        </w:rPr>
        <w:t xml:space="preserve"> </w:t>
      </w:r>
      <w:r>
        <w:rPr>
          <w:rFonts w:ascii="Arial" w:cs="Arial" w:eastAsia="Arial" w:hAnsi="Arial"/>
          <w:sz w:val="17"/>
          <w:szCs w:val="17"/>
          <w:color w:val="auto"/>
        </w:rPr>
        <w:t>ending the fourth quarter in the top-15 grossing games in U.S. app stores.</w:t>
      </w:r>
      <w:r>
        <w:rPr>
          <w:rFonts w:ascii="Arial" w:cs="Arial" w:eastAsia="Arial" w:hAnsi="Arial"/>
          <w:sz w:val="27"/>
          <w:szCs w:val="27"/>
          <w:color w:val="auto"/>
          <w:vertAlign w:val="superscript"/>
        </w:rPr>
        <w:t>2</w:t>
      </w:r>
    </w:p>
    <w:p>
      <w:pPr>
        <w:spacing w:after="0" w:line="1" w:lineRule="exact"/>
        <w:rPr>
          <w:rFonts w:ascii="Arial" w:cs="Arial" w:eastAsia="Arial" w:hAnsi="Arial"/>
          <w:sz w:val="32"/>
          <w:szCs w:val="32"/>
          <w:color w:val="auto"/>
          <w:vertAlign w:val="superscript"/>
        </w:rPr>
      </w:pPr>
    </w:p>
    <w:p>
      <w:pPr>
        <w:jc w:val="both"/>
        <w:ind w:left="340" w:hanging="332"/>
        <w:spacing w:after="0" w:line="181" w:lineRule="auto"/>
        <w:tabs>
          <w:tab w:leader="none" w:pos="340" w:val="left"/>
        </w:tabs>
        <w:numPr>
          <w:ilvl w:val="0"/>
          <w:numId w:val="2"/>
        </w:numPr>
        <w:rPr>
          <w:rFonts w:ascii="Arial" w:cs="Arial" w:eastAsia="Arial" w:hAnsi="Arial"/>
          <w:sz w:val="36"/>
          <w:szCs w:val="36"/>
          <w:color w:val="auto"/>
          <w:vertAlign w:val="superscript"/>
        </w:rPr>
      </w:pPr>
      <w:r>
        <w:rPr>
          <w:rFonts w:ascii="Arial" w:cs="Arial" w:eastAsia="Arial" w:hAnsi="Arial"/>
          <w:sz w:val="18"/>
          <w:szCs w:val="18"/>
          <w:b w:val="1"/>
          <w:bCs w:val="1"/>
          <w:color w:val="auto"/>
        </w:rPr>
        <w:t>Call of Duty</w:t>
      </w:r>
      <w:r>
        <w:rPr>
          <w:rFonts w:ascii="Arial" w:cs="Arial" w:eastAsia="Arial" w:hAnsi="Arial"/>
          <w:sz w:val="30"/>
          <w:szCs w:val="30"/>
          <w:b w:val="1"/>
          <w:bCs w:val="1"/>
          <w:color w:val="auto"/>
          <w:vertAlign w:val="superscript"/>
        </w:rPr>
        <w:t>®</w:t>
      </w:r>
      <w:r>
        <w:rPr>
          <w:rFonts w:ascii="Arial" w:cs="Arial" w:eastAsia="Arial" w:hAnsi="Arial"/>
          <w:sz w:val="18"/>
          <w:szCs w:val="18"/>
          <w:b w:val="1"/>
          <w:bCs w:val="1"/>
          <w:color w:val="auto"/>
        </w:rPr>
        <w:t>: Modern Warfare</w:t>
      </w:r>
      <w:r>
        <w:rPr>
          <w:rFonts w:ascii="Arial" w:cs="Arial" w:eastAsia="Arial" w:hAnsi="Arial"/>
          <w:sz w:val="30"/>
          <w:szCs w:val="30"/>
          <w:b w:val="1"/>
          <w:bCs w:val="1"/>
          <w:color w:val="auto"/>
          <w:vertAlign w:val="superscript"/>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unit sell-through increased by a double-digit percentage versus</w:t>
      </w:r>
      <w:r>
        <w:rPr>
          <w:rFonts w:ascii="Arial" w:cs="Arial" w:eastAsia="Arial" w:hAnsi="Arial"/>
          <w:sz w:val="18"/>
          <w:szCs w:val="18"/>
          <w:b w:val="1"/>
          <w:bCs w:val="1"/>
          <w:color w:val="auto"/>
        </w:rPr>
        <w:t xml:space="preserve"> Call of Duty</w:t>
      </w:r>
      <w:r>
        <w:rPr>
          <w:rFonts w:ascii="Arial" w:cs="Arial" w:eastAsia="Arial" w:hAnsi="Arial"/>
          <w:sz w:val="30"/>
          <w:szCs w:val="30"/>
          <w:b w:val="1"/>
          <w:bCs w:val="1"/>
          <w:color w:val="auto"/>
          <w:vertAlign w:val="superscript"/>
        </w:rPr>
        <w:t>®</w:t>
      </w:r>
      <w:r>
        <w:rPr>
          <w:rFonts w:ascii="Arial" w:cs="Arial" w:eastAsia="Arial" w:hAnsi="Arial"/>
          <w:sz w:val="18"/>
          <w:szCs w:val="18"/>
          <w:b w:val="1"/>
          <w:bCs w:val="1"/>
          <w:color w:val="auto"/>
        </w:rPr>
        <w:t>: Black Ops 4</w:t>
      </w:r>
      <w:r>
        <w:rPr>
          <w:rFonts w:ascii="Arial" w:cs="Arial" w:eastAsia="Arial" w:hAnsi="Arial"/>
          <w:sz w:val="18"/>
          <w:szCs w:val="18"/>
          <w:color w:val="auto"/>
        </w:rPr>
        <w:t>, with growth across</w:t>
      </w:r>
      <w:r>
        <w:rPr>
          <w:rFonts w:ascii="Arial" w:cs="Arial" w:eastAsia="Arial" w:hAnsi="Arial"/>
          <w:sz w:val="18"/>
          <w:szCs w:val="18"/>
          <w:b w:val="1"/>
          <w:bCs w:val="1"/>
          <w:color w:val="auto"/>
        </w:rPr>
        <w:t xml:space="preserve"> </w:t>
      </w:r>
      <w:r>
        <w:rPr>
          <w:rFonts w:ascii="Arial" w:cs="Arial" w:eastAsia="Arial" w:hAnsi="Arial"/>
          <w:sz w:val="18"/>
          <w:szCs w:val="18"/>
          <w:color w:val="auto"/>
        </w:rPr>
        <w:t>both PC and console. PC sell-through on Battle.net grew 50% year-over-year</w:t>
      </w:r>
      <w:r>
        <w:rPr>
          <w:rFonts w:ascii="Arial" w:cs="Arial" w:eastAsia="Arial" w:hAnsi="Arial"/>
          <w:sz w:val="18"/>
          <w:szCs w:val="18"/>
          <w:b w:val="1"/>
          <w:bCs w:val="1"/>
          <w:color w:val="auto"/>
        </w:rPr>
        <w:t>. Modern Warfare</w:t>
      </w:r>
      <w:r>
        <w:rPr>
          <w:rFonts w:ascii="Arial" w:cs="Arial" w:eastAsia="Arial" w:hAnsi="Arial"/>
          <w:sz w:val="18"/>
          <w:szCs w:val="18"/>
          <w:color w:val="auto"/>
        </w:rPr>
        <w:t xml:space="preserve"> saw strong growth in full-game downloads with console digital mix at nearly 50%. In-game net bookings</w:t>
      </w:r>
      <w:r>
        <w:rPr>
          <w:rFonts w:ascii="Arial" w:cs="Arial" w:eastAsia="Arial" w:hAnsi="Arial"/>
          <w:sz w:val="30"/>
          <w:szCs w:val="30"/>
          <w:color w:val="auto"/>
          <w:vertAlign w:val="superscript"/>
        </w:rPr>
        <w:t>C</w:t>
      </w:r>
      <w:r>
        <w:rPr>
          <w:rFonts w:ascii="Arial" w:cs="Arial" w:eastAsia="Arial" w:hAnsi="Arial"/>
          <w:sz w:val="18"/>
          <w:szCs w:val="18"/>
          <w:color w:val="auto"/>
        </w:rPr>
        <w:t xml:space="preserve"> grew by a double-digit percentage versus </w:t>
      </w:r>
      <w:r>
        <w:rPr>
          <w:rFonts w:ascii="Arial" w:cs="Arial" w:eastAsia="Arial" w:hAnsi="Arial"/>
          <w:sz w:val="18"/>
          <w:szCs w:val="18"/>
          <w:b w:val="1"/>
          <w:bCs w:val="1"/>
          <w:color w:val="auto"/>
        </w:rPr>
        <w:t>Black Ops 4</w:t>
      </w:r>
      <w:r>
        <w:rPr>
          <w:rFonts w:ascii="Arial" w:cs="Arial" w:eastAsia="Arial" w:hAnsi="Arial"/>
          <w:sz w:val="18"/>
          <w:szCs w:val="18"/>
          <w:color w:val="auto"/>
        </w:rPr>
        <w:t>.</w:t>
      </w:r>
    </w:p>
    <w:p>
      <w:pPr>
        <w:ind w:left="340" w:hanging="332"/>
        <w:spacing w:after="0" w:line="184" w:lineRule="auto"/>
        <w:tabs>
          <w:tab w:leader="none" w:pos="340" w:val="left"/>
        </w:tabs>
        <w:numPr>
          <w:ilvl w:val="0"/>
          <w:numId w:val="2"/>
        </w:numPr>
        <w:rPr>
          <w:rFonts w:ascii="Arial" w:cs="Arial" w:eastAsia="Arial" w:hAnsi="Arial"/>
          <w:sz w:val="29"/>
          <w:szCs w:val="29"/>
          <w:color w:val="auto"/>
          <w:vertAlign w:val="superscript"/>
        </w:rPr>
      </w:pPr>
      <w:r>
        <w:rPr>
          <w:rFonts w:ascii="Arial" w:cs="Arial" w:eastAsia="Arial" w:hAnsi="Arial"/>
          <w:sz w:val="16"/>
          <w:szCs w:val="16"/>
          <w:color w:val="auto"/>
        </w:rPr>
        <w:t xml:space="preserve">In 2019, </w:t>
      </w:r>
      <w:r>
        <w:rPr>
          <w:rFonts w:ascii="Arial" w:cs="Arial" w:eastAsia="Arial" w:hAnsi="Arial"/>
          <w:sz w:val="16"/>
          <w:szCs w:val="16"/>
          <w:b w:val="1"/>
          <w:bCs w:val="1"/>
          <w:color w:val="auto"/>
        </w:rPr>
        <w:t>Call of Duty</w:t>
      </w:r>
      <w:r>
        <w:rPr>
          <w:rFonts w:ascii="Arial" w:cs="Arial" w:eastAsia="Arial" w:hAnsi="Arial"/>
          <w:sz w:val="16"/>
          <w:szCs w:val="16"/>
          <w:color w:val="auto"/>
        </w:rPr>
        <w:t xml:space="preserve"> again generated more upfront console sales than any other franchise worldwide, a feat accomplished for 10 of the last 11 years.</w:t>
      </w:r>
      <w:r>
        <w:rPr>
          <w:rFonts w:ascii="Arial" w:cs="Arial" w:eastAsia="Arial" w:hAnsi="Arial"/>
          <w:sz w:val="25"/>
          <w:szCs w:val="25"/>
          <w:color w:val="auto"/>
          <w:vertAlign w:val="superscript"/>
        </w:rPr>
        <w:t>1</w:t>
      </w:r>
    </w:p>
    <w:p>
      <w:pPr>
        <w:jc w:val="both"/>
        <w:ind w:left="340" w:right="20" w:hanging="332"/>
        <w:spacing w:after="0" w:line="187" w:lineRule="auto"/>
        <w:tabs>
          <w:tab w:leader="none" w:pos="340" w:val="left"/>
        </w:tabs>
        <w:numPr>
          <w:ilvl w:val="0"/>
          <w:numId w:val="2"/>
        </w:numPr>
        <w:rPr>
          <w:rFonts w:ascii="Arial" w:cs="Arial" w:eastAsia="Arial" w:hAnsi="Arial"/>
          <w:sz w:val="36"/>
          <w:szCs w:val="36"/>
          <w:color w:val="auto"/>
          <w:vertAlign w:val="superscript"/>
        </w:rPr>
      </w:pPr>
      <w:r>
        <w:rPr>
          <w:rFonts w:ascii="Arial" w:cs="Arial" w:eastAsia="Arial" w:hAnsi="Arial"/>
          <w:sz w:val="18"/>
          <w:szCs w:val="18"/>
          <w:color w:val="auto"/>
        </w:rPr>
        <w:t>In January, the Call of Duty League</w:t>
      </w:r>
      <w:r>
        <w:rPr>
          <w:rFonts w:ascii="Arial" w:cs="Arial" w:eastAsia="Arial" w:hAnsi="Arial"/>
          <w:sz w:val="30"/>
          <w:szCs w:val="30"/>
          <w:color w:val="auto"/>
          <w:vertAlign w:val="superscript"/>
        </w:rPr>
        <w:t>TM</w:t>
      </w:r>
      <w:r>
        <w:rPr>
          <w:rFonts w:ascii="Arial" w:cs="Arial" w:eastAsia="Arial" w:hAnsi="Arial"/>
          <w:sz w:val="18"/>
          <w:szCs w:val="18"/>
          <w:color w:val="auto"/>
        </w:rPr>
        <w:t xml:space="preserve"> debuted with 12 city-based teams competing at its launch weekend in Minnesota. The league launched with deeply experienced team owners, high profile sponsors, and streaming distribution through YouTube, Activision Blizzard’s new broadcasting partner for esports leagues and events.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Blizzard</w:t>
      </w:r>
    </w:p>
    <w:p>
      <w:pPr>
        <w:ind w:left="340" w:hanging="332"/>
        <w:spacing w:after="0" w:line="186" w:lineRule="auto"/>
        <w:tabs>
          <w:tab w:leader="none" w:pos="340" w:val="left"/>
        </w:tabs>
        <w:numPr>
          <w:ilvl w:val="0"/>
          <w:numId w:val="3"/>
        </w:numPr>
        <w:rPr>
          <w:rFonts w:ascii="Arial" w:cs="Arial" w:eastAsia="Arial" w:hAnsi="Arial"/>
          <w:sz w:val="36"/>
          <w:szCs w:val="36"/>
          <w:color w:val="auto"/>
          <w:vertAlign w:val="superscript"/>
        </w:rPr>
      </w:pPr>
      <w:r>
        <w:rPr>
          <w:rFonts w:ascii="Arial" w:cs="Arial" w:eastAsia="Arial" w:hAnsi="Arial"/>
          <w:sz w:val="18"/>
          <w:szCs w:val="18"/>
          <w:color w:val="auto"/>
        </w:rPr>
        <w:t>Blizzard had 32 million MAUs</w:t>
      </w:r>
      <w:r>
        <w:rPr>
          <w:rFonts w:ascii="Arial" w:cs="Arial" w:eastAsia="Arial" w:hAnsi="Arial"/>
          <w:sz w:val="30"/>
          <w:szCs w:val="30"/>
          <w:color w:val="auto"/>
          <w:vertAlign w:val="superscript"/>
        </w:rPr>
        <w:t>D</w:t>
      </w:r>
      <w:r>
        <w:rPr>
          <w:rFonts w:ascii="Arial" w:cs="Arial" w:eastAsia="Arial" w:hAnsi="Arial"/>
          <w:sz w:val="18"/>
          <w:szCs w:val="18"/>
          <w:color w:val="auto"/>
        </w:rPr>
        <w:t>.</w:t>
      </w:r>
    </w:p>
    <w:p>
      <w:pPr>
        <w:spacing w:after="0" w:line="1" w:lineRule="exact"/>
        <w:rPr>
          <w:rFonts w:ascii="Arial" w:cs="Arial" w:eastAsia="Arial" w:hAnsi="Arial"/>
          <w:sz w:val="36"/>
          <w:szCs w:val="36"/>
          <w:color w:val="auto"/>
          <w:vertAlign w:val="superscript"/>
        </w:rPr>
      </w:pPr>
    </w:p>
    <w:p>
      <w:pPr>
        <w:ind w:left="340" w:hanging="332"/>
        <w:spacing w:after="0" w:line="184" w:lineRule="auto"/>
        <w:tabs>
          <w:tab w:leader="none" w:pos="340" w:val="left"/>
        </w:tabs>
        <w:numPr>
          <w:ilvl w:val="0"/>
          <w:numId w:val="3"/>
        </w:numPr>
        <w:rPr>
          <w:rFonts w:ascii="Arial" w:cs="Arial" w:eastAsia="Arial" w:hAnsi="Arial"/>
          <w:sz w:val="29"/>
          <w:szCs w:val="29"/>
          <w:color w:val="auto"/>
          <w:vertAlign w:val="superscript"/>
        </w:rPr>
      </w:pPr>
      <w:r>
        <w:rPr>
          <w:rFonts w:ascii="Arial" w:cs="Arial" w:eastAsia="Arial" w:hAnsi="Arial"/>
          <w:sz w:val="16"/>
          <w:szCs w:val="16"/>
          <w:b w:val="1"/>
          <w:bCs w:val="1"/>
          <w:color w:val="auto"/>
        </w:rPr>
        <w:t>World of Warcraft</w:t>
      </w:r>
      <w:r>
        <w:rPr>
          <w:rFonts w:ascii="Arial" w:cs="Arial" w:eastAsia="Arial" w:hAnsi="Arial"/>
          <w:sz w:val="25"/>
          <w:szCs w:val="25"/>
          <w:b w:val="1"/>
          <w:bCs w:val="1"/>
          <w:color w:val="auto"/>
          <w:vertAlign w:val="superscript"/>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exited 2019 with an active player community</w:t>
      </w:r>
      <w:r>
        <w:rPr>
          <w:rFonts w:ascii="Arial" w:cs="Arial" w:eastAsia="Arial" w:hAnsi="Arial"/>
          <w:sz w:val="25"/>
          <w:szCs w:val="25"/>
          <w:color w:val="auto"/>
          <w:vertAlign w:val="superscript"/>
        </w:rPr>
        <w:t>3</w:t>
      </w:r>
      <w:r>
        <w:rPr>
          <w:rFonts w:ascii="Arial" w:cs="Arial" w:eastAsia="Arial" w:hAnsi="Arial"/>
          <w:sz w:val="16"/>
          <w:szCs w:val="16"/>
          <w:b w:val="1"/>
          <w:bCs w:val="1"/>
          <w:color w:val="auto"/>
        </w:rPr>
        <w:t xml:space="preserve"> </w:t>
      </w:r>
      <w:r>
        <w:rPr>
          <w:rFonts w:ascii="Arial" w:cs="Arial" w:eastAsia="Arial" w:hAnsi="Arial"/>
          <w:sz w:val="16"/>
          <w:szCs w:val="16"/>
          <w:color w:val="auto"/>
        </w:rPr>
        <w:t>more than twice the size of its Q2-ending level.</w:t>
      </w:r>
    </w:p>
    <w:p>
      <w:pPr>
        <w:ind w:left="340" w:hanging="332"/>
        <w:spacing w:after="0" w:line="181" w:lineRule="auto"/>
        <w:tabs>
          <w:tab w:leader="none" w:pos="340" w:val="left"/>
        </w:tabs>
        <w:numPr>
          <w:ilvl w:val="0"/>
          <w:numId w:val="3"/>
        </w:numPr>
        <w:rPr>
          <w:rFonts w:ascii="Arial" w:cs="Arial" w:eastAsia="Arial" w:hAnsi="Arial"/>
          <w:sz w:val="32"/>
          <w:szCs w:val="32"/>
          <w:color w:val="auto"/>
          <w:vertAlign w:val="superscript"/>
        </w:rPr>
      </w:pPr>
      <w:r>
        <w:rPr>
          <w:rFonts w:ascii="Arial" w:cs="Arial" w:eastAsia="Arial" w:hAnsi="Arial"/>
          <w:sz w:val="17"/>
          <w:szCs w:val="17"/>
          <w:b w:val="1"/>
          <w:bCs w:val="1"/>
          <w:color w:val="auto"/>
        </w:rPr>
        <w:t>Hearthstone</w:t>
      </w:r>
      <w:r>
        <w:rPr>
          <w:rFonts w:ascii="Arial" w:cs="Arial" w:eastAsia="Arial" w:hAnsi="Arial"/>
          <w:sz w:val="27"/>
          <w:szCs w:val="27"/>
          <w:b w:val="1"/>
          <w:bCs w:val="1"/>
          <w:color w:val="auto"/>
          <w:vertAlign w:val="superscript"/>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launched the</w:t>
      </w:r>
      <w:r>
        <w:rPr>
          <w:rFonts w:ascii="Arial" w:cs="Arial" w:eastAsia="Arial" w:hAnsi="Arial"/>
          <w:sz w:val="17"/>
          <w:szCs w:val="17"/>
          <w:b w:val="1"/>
          <w:bCs w:val="1"/>
          <w:color w:val="auto"/>
        </w:rPr>
        <w:t xml:space="preserve"> Descent of Dragons</w:t>
      </w:r>
      <w:r>
        <w:rPr>
          <w:rFonts w:ascii="Arial" w:cs="Arial" w:eastAsia="Arial" w:hAnsi="Arial"/>
          <w:sz w:val="27"/>
          <w:szCs w:val="27"/>
          <w:b w:val="1"/>
          <w:bCs w:val="1"/>
          <w:color w:val="auto"/>
          <w:vertAlign w:val="superscript"/>
        </w:rPr>
        <w:t>TM</w:t>
      </w:r>
      <w:r>
        <w:rPr>
          <w:rFonts w:ascii="Arial" w:cs="Arial" w:eastAsia="Arial" w:hAnsi="Arial"/>
          <w:sz w:val="17"/>
          <w:szCs w:val="17"/>
          <w:b w:val="1"/>
          <w:bCs w:val="1"/>
          <w:color w:val="auto"/>
        </w:rPr>
        <w:t xml:space="preserve"> </w:t>
      </w:r>
      <w:r>
        <w:rPr>
          <w:rFonts w:ascii="Arial" w:cs="Arial" w:eastAsia="Arial" w:hAnsi="Arial"/>
          <w:sz w:val="17"/>
          <w:szCs w:val="17"/>
          <w:color w:val="auto"/>
        </w:rPr>
        <w:t>expansion and rolled out the new Battlegrounds game mode in the fourth quarter, which drove</w:t>
      </w:r>
      <w:r>
        <w:rPr>
          <w:rFonts w:ascii="Arial" w:cs="Arial" w:eastAsia="Arial" w:hAnsi="Arial"/>
          <w:sz w:val="17"/>
          <w:szCs w:val="17"/>
          <w:b w:val="1"/>
          <w:bCs w:val="1"/>
          <w:color w:val="auto"/>
        </w:rPr>
        <w:t xml:space="preserve"> </w:t>
      </w:r>
      <w:r>
        <w:rPr>
          <w:rFonts w:ascii="Arial" w:cs="Arial" w:eastAsia="Arial" w:hAnsi="Arial"/>
          <w:sz w:val="17"/>
          <w:szCs w:val="17"/>
          <w:color w:val="auto"/>
        </w:rPr>
        <w:t>sequential growth in engagement. Net bookings</w:t>
      </w:r>
      <w:r>
        <w:rPr>
          <w:rFonts w:ascii="Arial" w:cs="Arial" w:eastAsia="Arial" w:hAnsi="Arial"/>
          <w:sz w:val="27"/>
          <w:szCs w:val="27"/>
          <w:color w:val="auto"/>
          <w:vertAlign w:val="superscript"/>
        </w:rPr>
        <w:t>B</w:t>
      </w:r>
      <w:r>
        <w:rPr>
          <w:rFonts w:ascii="Arial" w:cs="Arial" w:eastAsia="Arial" w:hAnsi="Arial"/>
          <w:sz w:val="17"/>
          <w:szCs w:val="17"/>
          <w:color w:val="auto"/>
        </w:rPr>
        <w:t xml:space="preserve"> also grew sequentially for the franchise.</w:t>
      </w:r>
    </w:p>
    <w:p>
      <w:pPr>
        <w:spacing w:after="0" w:line="1" w:lineRule="exact"/>
        <w:rPr>
          <w:rFonts w:ascii="Arial" w:cs="Arial" w:eastAsia="Arial" w:hAnsi="Arial"/>
          <w:sz w:val="32"/>
          <w:szCs w:val="32"/>
          <w:color w:val="auto"/>
          <w:vertAlign w:val="superscript"/>
        </w:rPr>
      </w:pPr>
    </w:p>
    <w:p>
      <w:pPr>
        <w:ind w:left="340" w:hanging="332"/>
        <w:spacing w:after="0" w:line="184" w:lineRule="auto"/>
        <w:tabs>
          <w:tab w:leader="none" w:pos="340" w:val="left"/>
        </w:tabs>
        <w:numPr>
          <w:ilvl w:val="0"/>
          <w:numId w:val="3"/>
        </w:numPr>
        <w:rPr>
          <w:rFonts w:ascii="Arial" w:cs="Arial" w:eastAsia="Arial" w:hAnsi="Arial"/>
          <w:sz w:val="29"/>
          <w:szCs w:val="29"/>
          <w:color w:val="auto"/>
          <w:vertAlign w:val="superscript"/>
        </w:rPr>
      </w:pPr>
      <w:r>
        <w:rPr>
          <w:rFonts w:ascii="Arial" w:cs="Arial" w:eastAsia="Arial" w:hAnsi="Arial"/>
          <w:sz w:val="16"/>
          <w:szCs w:val="16"/>
          <w:b w:val="1"/>
          <w:bCs w:val="1"/>
          <w:color w:val="auto"/>
        </w:rPr>
        <w:t>Overwatch</w:t>
      </w:r>
      <w:r>
        <w:rPr>
          <w:rFonts w:ascii="Arial" w:cs="Arial" w:eastAsia="Arial" w:hAnsi="Arial"/>
          <w:sz w:val="25"/>
          <w:szCs w:val="25"/>
          <w:b w:val="1"/>
          <w:bCs w:val="1"/>
          <w:color w:val="auto"/>
          <w:vertAlign w:val="superscript"/>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launched on the Nintendo Switch, further expanding a community that has surpassed 50 million players globally since launch.</w:t>
      </w:r>
    </w:p>
    <w:p>
      <w:pPr>
        <w:ind w:left="340" w:hanging="332"/>
        <w:spacing w:after="0" w:line="183" w:lineRule="auto"/>
        <w:tabs>
          <w:tab w:leader="none" w:pos="340" w:val="left"/>
        </w:tabs>
        <w:numPr>
          <w:ilvl w:val="0"/>
          <w:numId w:val="3"/>
        </w:numPr>
        <w:rPr>
          <w:rFonts w:ascii="Arial" w:cs="Arial" w:eastAsia="Arial" w:hAnsi="Arial"/>
          <w:sz w:val="32"/>
          <w:szCs w:val="32"/>
          <w:color w:val="auto"/>
          <w:vertAlign w:val="superscript"/>
        </w:rPr>
      </w:pPr>
      <w:r>
        <w:rPr>
          <w:rFonts w:ascii="Arial" w:cs="Arial" w:eastAsia="Arial" w:hAnsi="Arial"/>
          <w:sz w:val="17"/>
          <w:szCs w:val="17"/>
          <w:color w:val="auto"/>
        </w:rPr>
        <w:t>In February, the Overwatch League</w:t>
      </w:r>
      <w:r>
        <w:rPr>
          <w:rFonts w:ascii="Arial" w:cs="Arial" w:eastAsia="Arial" w:hAnsi="Arial"/>
          <w:sz w:val="27"/>
          <w:szCs w:val="27"/>
          <w:color w:val="auto"/>
          <w:vertAlign w:val="superscript"/>
        </w:rPr>
        <w:t>TM</w:t>
      </w:r>
      <w:r>
        <w:rPr>
          <w:rFonts w:ascii="Arial" w:cs="Arial" w:eastAsia="Arial" w:hAnsi="Arial"/>
          <w:sz w:val="17"/>
          <w:szCs w:val="17"/>
          <w:color w:val="auto"/>
        </w:rPr>
        <w:t xml:space="preserve"> will return with 20 established teams from around the world competing in a homestand format with matches broadcast live on YouTube.</w:t>
      </w:r>
    </w:p>
    <w:p>
      <w:pPr>
        <w:spacing w:after="0" w:line="200" w:lineRule="exact"/>
        <w:rPr>
          <w:sz w:val="20"/>
          <w:szCs w:val="20"/>
          <w:color w:val="auto"/>
        </w:rPr>
      </w:pPr>
    </w:p>
    <w:p>
      <w:pPr>
        <w:spacing w:after="0" w:line="21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5" w:name="page6"/>
    <w:bookmarkEnd w:id="5"/>
    <w:p>
      <w:pPr>
        <w:spacing w:after="0"/>
        <w:rPr>
          <w:sz w:val="20"/>
          <w:szCs w:val="20"/>
          <w:color w:val="auto"/>
        </w:rPr>
      </w:pPr>
      <w:r>
        <w:rPr>
          <w:rFonts w:ascii="Arial" w:cs="Arial" w:eastAsia="Arial" w:hAnsi="Arial"/>
          <w:sz w:val="20"/>
          <w:szCs w:val="20"/>
          <w:i w:val="1"/>
          <w:iCs w:val="1"/>
          <w:color w:val="auto"/>
        </w:rPr>
        <w:t>Activision Blizzard Announces Q4 2019 Financial Results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King</w:t>
      </w:r>
    </w:p>
    <w:p>
      <w:pPr>
        <w:ind w:left="340" w:hanging="332"/>
        <w:spacing w:after="0" w:line="186" w:lineRule="auto"/>
        <w:tabs>
          <w:tab w:leader="none" w:pos="340" w:val="left"/>
        </w:tabs>
        <w:numPr>
          <w:ilvl w:val="0"/>
          <w:numId w:val="4"/>
        </w:numPr>
        <w:rPr>
          <w:rFonts w:ascii="Arial" w:cs="Arial" w:eastAsia="Arial" w:hAnsi="Arial"/>
          <w:sz w:val="36"/>
          <w:szCs w:val="36"/>
          <w:color w:val="auto"/>
          <w:vertAlign w:val="superscript"/>
        </w:rPr>
      </w:pPr>
      <w:r>
        <w:rPr>
          <w:rFonts w:ascii="Arial" w:cs="Arial" w:eastAsia="Arial" w:hAnsi="Arial"/>
          <w:sz w:val="18"/>
          <w:szCs w:val="18"/>
          <w:color w:val="auto"/>
        </w:rPr>
        <w:t>King had 249 million MAUs</w:t>
      </w:r>
      <w:r>
        <w:rPr>
          <w:rFonts w:ascii="Arial" w:cs="Arial" w:eastAsia="Arial" w:hAnsi="Arial"/>
          <w:sz w:val="30"/>
          <w:szCs w:val="30"/>
          <w:color w:val="auto"/>
          <w:vertAlign w:val="superscript"/>
        </w:rPr>
        <w:t>D</w:t>
      </w:r>
      <w:r>
        <w:rPr>
          <w:rFonts w:ascii="Arial" w:cs="Arial" w:eastAsia="Arial" w:hAnsi="Arial"/>
          <w:sz w:val="18"/>
          <w:szCs w:val="18"/>
          <w:color w:val="auto"/>
        </w:rPr>
        <w:t>.</w:t>
      </w:r>
    </w:p>
    <w:p>
      <w:pPr>
        <w:spacing w:after="0" w:line="1" w:lineRule="exact"/>
        <w:rPr>
          <w:rFonts w:ascii="Arial" w:cs="Arial" w:eastAsia="Arial" w:hAnsi="Arial"/>
          <w:sz w:val="36"/>
          <w:szCs w:val="36"/>
          <w:color w:val="auto"/>
          <w:vertAlign w:val="superscript"/>
        </w:rPr>
      </w:pPr>
    </w:p>
    <w:p>
      <w:pPr>
        <w:ind w:left="340" w:hanging="332"/>
        <w:spacing w:after="0" w:line="184" w:lineRule="auto"/>
        <w:tabs>
          <w:tab w:leader="none" w:pos="340" w:val="left"/>
        </w:tabs>
        <w:numPr>
          <w:ilvl w:val="0"/>
          <w:numId w:val="4"/>
        </w:numPr>
        <w:rPr>
          <w:rFonts w:ascii="Arial" w:cs="Arial" w:eastAsia="Arial" w:hAnsi="Arial"/>
          <w:sz w:val="29"/>
          <w:szCs w:val="29"/>
          <w:color w:val="auto"/>
          <w:vertAlign w:val="superscript"/>
        </w:rPr>
      </w:pPr>
      <w:r>
        <w:rPr>
          <w:rFonts w:ascii="Arial" w:cs="Arial" w:eastAsia="Arial" w:hAnsi="Arial"/>
          <w:sz w:val="16"/>
          <w:szCs w:val="16"/>
          <w:b w:val="1"/>
          <w:bCs w:val="1"/>
          <w:color w:val="auto"/>
        </w:rPr>
        <w:t>Candy Crush Saga</w:t>
      </w:r>
      <w:r>
        <w:rPr>
          <w:rFonts w:ascii="Arial" w:cs="Arial" w:eastAsia="Arial" w:hAnsi="Arial"/>
          <w:sz w:val="25"/>
          <w:szCs w:val="25"/>
          <w:b w:val="1"/>
          <w:bCs w:val="1"/>
          <w:color w:val="auto"/>
          <w:vertAlign w:val="superscript"/>
        </w:rPr>
        <w:t>TM</w:t>
      </w:r>
      <w:r>
        <w:rPr>
          <w:rFonts w:ascii="Arial" w:cs="Arial" w:eastAsia="Arial" w:hAnsi="Arial"/>
          <w:sz w:val="16"/>
          <w:szCs w:val="16"/>
          <w:b w:val="1"/>
          <w:bCs w:val="1"/>
          <w:color w:val="auto"/>
        </w:rPr>
        <w:t xml:space="preserve"> </w:t>
      </w:r>
      <w:r>
        <w:rPr>
          <w:rFonts w:ascii="Arial" w:cs="Arial" w:eastAsia="Arial" w:hAnsi="Arial"/>
          <w:sz w:val="16"/>
          <w:szCs w:val="16"/>
          <w:color w:val="auto"/>
        </w:rPr>
        <w:t>mobile reach grew year-over-year and it was the top-grossing title in the U.S. app stores.</w:t>
      </w:r>
      <w:r>
        <w:rPr>
          <w:rFonts w:ascii="Arial" w:cs="Arial" w:eastAsia="Arial" w:hAnsi="Arial"/>
          <w:sz w:val="25"/>
          <w:szCs w:val="25"/>
          <w:color w:val="auto"/>
          <w:vertAlign w:val="superscript"/>
        </w:rPr>
        <w:t>4</w:t>
      </w:r>
    </w:p>
    <w:p>
      <w:pPr>
        <w:ind w:left="340" w:hanging="332"/>
        <w:spacing w:after="0" w:line="184" w:lineRule="auto"/>
        <w:tabs>
          <w:tab w:leader="none" w:pos="340" w:val="left"/>
        </w:tabs>
        <w:numPr>
          <w:ilvl w:val="0"/>
          <w:numId w:val="4"/>
        </w:numPr>
        <w:rPr>
          <w:rFonts w:ascii="Arial" w:cs="Arial" w:eastAsia="Arial" w:hAnsi="Arial"/>
          <w:sz w:val="29"/>
          <w:szCs w:val="29"/>
          <w:color w:val="auto"/>
          <w:vertAlign w:val="superscript"/>
        </w:rPr>
      </w:pPr>
      <w:r>
        <w:rPr>
          <w:rFonts w:ascii="Arial" w:cs="Arial" w:eastAsia="Arial" w:hAnsi="Arial"/>
          <w:sz w:val="16"/>
          <w:szCs w:val="16"/>
          <w:b w:val="1"/>
          <w:bCs w:val="1"/>
          <w:color w:val="auto"/>
        </w:rPr>
        <w:t>Candy Crush</w:t>
      </w:r>
      <w:r>
        <w:rPr>
          <w:rFonts w:ascii="Arial" w:cs="Arial" w:eastAsia="Arial" w:hAnsi="Arial"/>
          <w:sz w:val="25"/>
          <w:szCs w:val="25"/>
          <w:b w:val="1"/>
          <w:bCs w:val="1"/>
          <w:color w:val="auto"/>
          <w:vertAlign w:val="superscript"/>
        </w:rPr>
        <w:t>TM</w:t>
      </w:r>
      <w:r>
        <w:rPr>
          <w:rFonts w:ascii="Arial" w:cs="Arial" w:eastAsia="Arial" w:hAnsi="Arial"/>
          <w:sz w:val="16"/>
          <w:szCs w:val="16"/>
          <w:b w:val="1"/>
          <w:bCs w:val="1"/>
          <w:color w:val="auto"/>
        </w:rPr>
        <w:t xml:space="preserve"> </w:t>
      </w:r>
      <w:r>
        <w:rPr>
          <w:rFonts w:ascii="Arial" w:cs="Arial" w:eastAsia="Arial" w:hAnsi="Arial"/>
          <w:sz w:val="16"/>
          <w:szCs w:val="16"/>
          <w:color w:val="auto"/>
        </w:rPr>
        <w:t>was once again the top-grossing franchise in the U.S. mobile app stores in the fourth quarter and 2019.</w:t>
      </w:r>
      <w:r>
        <w:rPr>
          <w:rFonts w:ascii="Arial" w:cs="Arial" w:eastAsia="Arial" w:hAnsi="Arial"/>
          <w:sz w:val="25"/>
          <w:szCs w:val="25"/>
          <w:color w:val="auto"/>
          <w:vertAlign w:val="superscript"/>
        </w:rPr>
        <w:t>4</w:t>
      </w:r>
    </w:p>
    <w:p>
      <w:pPr>
        <w:ind w:left="340" w:hanging="332"/>
        <w:spacing w:after="0" w:line="195" w:lineRule="auto"/>
        <w:tabs>
          <w:tab w:leader="none" w:pos="340" w:val="left"/>
        </w:tabs>
        <w:numPr>
          <w:ilvl w:val="0"/>
          <w:numId w:val="4"/>
        </w:numPr>
        <w:rPr>
          <w:rFonts w:ascii="Arial" w:cs="Arial" w:eastAsia="Arial" w:hAnsi="Arial"/>
          <w:sz w:val="36"/>
          <w:szCs w:val="36"/>
          <w:color w:val="auto"/>
          <w:vertAlign w:val="superscript"/>
        </w:rPr>
      </w:pPr>
      <w:r>
        <w:rPr>
          <w:rFonts w:ascii="Arial" w:cs="Arial" w:eastAsia="Arial" w:hAnsi="Arial"/>
          <w:sz w:val="18"/>
          <w:szCs w:val="18"/>
          <w:color w:val="auto"/>
        </w:rPr>
        <w:t>Advertising net bookings</w:t>
      </w:r>
      <w:r>
        <w:rPr>
          <w:rFonts w:ascii="Arial" w:cs="Arial" w:eastAsia="Arial" w:hAnsi="Arial"/>
          <w:sz w:val="30"/>
          <w:szCs w:val="30"/>
          <w:color w:val="auto"/>
          <w:vertAlign w:val="superscript"/>
        </w:rPr>
        <w:t>B</w:t>
      </w:r>
      <w:r>
        <w:rPr>
          <w:rFonts w:ascii="Arial" w:cs="Arial" w:eastAsia="Arial" w:hAnsi="Arial"/>
          <w:sz w:val="18"/>
          <w:szCs w:val="18"/>
          <w:color w:val="auto"/>
        </w:rPr>
        <w:t xml:space="preserve"> grew over 80% year-over-year in the fourth quarter, and exceeded $150 million dollars in 2019.</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Outlook</w:t>
      </w:r>
    </w:p>
    <w:p>
      <w:pPr>
        <w:spacing w:after="0" w:line="224" w:lineRule="exact"/>
        <w:rPr>
          <w:sz w:val="20"/>
          <w:szCs w:val="20"/>
          <w:color w:val="auto"/>
        </w:rPr>
      </w:pPr>
    </w:p>
    <w:tbl>
      <w:tblPr>
        <w:tblLayout w:type="fixed"/>
        <w:tblInd w:w="590" w:type="dxa"/>
        <w:tblCellMar>
          <w:top w:w="0" w:type="dxa"/>
          <w:left w:w="0" w:type="dxa"/>
          <w:bottom w:w="0" w:type="dxa"/>
          <w:right w:w="0" w:type="dxa"/>
        </w:tblCellMar>
      </w:tblPr>
      <w:tr>
        <w:trPr>
          <w:trHeight w:val="219"/>
        </w:trPr>
        <w:tc>
          <w:tcPr>
            <w:tcW w:w="120" w:type="dxa"/>
            <w:vAlign w:val="bottom"/>
            <w:tcBorders>
              <w:top w:val="single" w:sz="8" w:color="auto"/>
              <w:left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2940" w:type="dxa"/>
            <w:vAlign w:val="bottom"/>
            <w:tcBorders>
              <w:top w:val="single" w:sz="8" w:color="auto"/>
            </w:tcBorders>
          </w:tcPr>
          <w:p>
            <w:pPr>
              <w:spacing w:after="0"/>
              <w:rPr>
                <w:sz w:val="19"/>
                <w:szCs w:val="19"/>
                <w:color w:val="auto"/>
              </w:rPr>
            </w:pPr>
          </w:p>
        </w:tc>
        <w:tc>
          <w:tcPr>
            <w:tcW w:w="21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GAAP</w:t>
            </w:r>
          </w:p>
        </w:tc>
        <w:tc>
          <w:tcPr>
            <w:tcW w:w="42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Non-GAAP</w:t>
            </w:r>
          </w:p>
        </w:tc>
        <w:tc>
          <w:tcPr>
            <w:tcW w:w="220" w:type="dxa"/>
            <w:vAlign w:val="bottom"/>
            <w:tcBorders>
              <w:top w:val="single" w:sz="8" w:color="auto"/>
            </w:tcBorders>
          </w:tcPr>
          <w:p>
            <w:pPr>
              <w:spacing w:after="0"/>
              <w:rPr>
                <w:sz w:val="19"/>
                <w:szCs w:val="19"/>
                <w:color w:val="auto"/>
              </w:rPr>
            </w:pPr>
          </w:p>
        </w:tc>
        <w:tc>
          <w:tcPr>
            <w:tcW w:w="1420" w:type="dxa"/>
            <w:vAlign w:val="bottom"/>
            <w:tcBorders>
              <w:top w:val="single" w:sz="8" w:color="auto"/>
              <w:right w:val="single" w:sz="8" w:color="auto"/>
            </w:tcBorders>
          </w:tcPr>
          <w:p>
            <w:pPr>
              <w:jc w:val="right"/>
              <w:ind w:right="30"/>
              <w:spacing w:after="0"/>
              <w:rPr>
                <w:sz w:val="20"/>
                <w:szCs w:val="20"/>
                <w:color w:val="auto"/>
              </w:rPr>
            </w:pPr>
            <w:r>
              <w:rPr>
                <w:rFonts w:ascii="Arial" w:cs="Arial" w:eastAsia="Arial" w:hAnsi="Arial"/>
                <w:sz w:val="18"/>
                <w:szCs w:val="18"/>
                <w:b w:val="1"/>
                <w:bCs w:val="1"/>
                <w:i w:val="1"/>
                <w:iCs w:val="1"/>
                <w:color w:val="auto"/>
                <w:w w:val="93"/>
              </w:rPr>
              <w:t>Impact of GAAP</w:t>
            </w:r>
          </w:p>
        </w:tc>
      </w:tr>
      <w:tr>
        <w:trPr>
          <w:trHeight w:val="267"/>
        </w:trPr>
        <w:tc>
          <w:tcPr>
            <w:tcW w:w="120" w:type="dxa"/>
            <w:vAlign w:val="bottom"/>
            <w:tcBorders>
              <w:left w:val="single" w:sz="8" w:color="auto"/>
              <w:bottom w:val="single" w:sz="8" w:color="auto"/>
            </w:tcBorders>
          </w:tcPr>
          <w:p>
            <w:pPr>
              <w:spacing w:after="0"/>
              <w:rPr>
                <w:sz w:val="23"/>
                <w:szCs w:val="23"/>
                <w:color w:val="auto"/>
              </w:rPr>
            </w:pPr>
          </w:p>
        </w:tc>
        <w:tc>
          <w:tcPr>
            <w:tcW w:w="360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rPr>
              <w:t>(in millions, except EPS)</w:t>
            </w:r>
          </w:p>
        </w:tc>
        <w:tc>
          <w:tcPr>
            <w:tcW w:w="218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Outlook</w:t>
            </w:r>
          </w:p>
        </w:tc>
        <w:tc>
          <w:tcPr>
            <w:tcW w:w="42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Outlook</w:t>
            </w:r>
          </w:p>
        </w:tc>
        <w:tc>
          <w:tcPr>
            <w:tcW w:w="220" w:type="dxa"/>
            <w:vAlign w:val="bottom"/>
            <w:tcBorders>
              <w:bottom w:val="single" w:sz="8" w:color="auto"/>
            </w:tcBorders>
          </w:tcPr>
          <w:p>
            <w:pPr>
              <w:spacing w:after="0"/>
              <w:rPr>
                <w:sz w:val="23"/>
                <w:szCs w:val="23"/>
                <w:color w:val="auto"/>
              </w:rPr>
            </w:pPr>
          </w:p>
        </w:tc>
        <w:tc>
          <w:tcPr>
            <w:tcW w:w="1420" w:type="dxa"/>
            <w:vAlign w:val="bottom"/>
            <w:tcBorders>
              <w:bottom w:val="single" w:sz="8" w:color="auto"/>
              <w:right w:val="single" w:sz="8" w:color="auto"/>
            </w:tcBorders>
          </w:tcPr>
          <w:p>
            <w:pPr>
              <w:jc w:val="right"/>
              <w:ind w:right="30"/>
              <w:spacing w:after="0" w:line="266" w:lineRule="exact"/>
              <w:rPr>
                <w:sz w:val="20"/>
                <w:szCs w:val="20"/>
                <w:color w:val="auto"/>
              </w:rPr>
            </w:pPr>
            <w:r>
              <w:rPr>
                <w:rFonts w:ascii="Arial" w:cs="Arial" w:eastAsia="Arial" w:hAnsi="Arial"/>
                <w:sz w:val="18"/>
                <w:szCs w:val="18"/>
                <w:b w:val="1"/>
                <w:bCs w:val="1"/>
                <w:i w:val="1"/>
                <w:iCs w:val="1"/>
                <w:color w:val="auto"/>
              </w:rPr>
              <w:t>deferrals</w:t>
            </w:r>
            <w:r>
              <w:rPr>
                <w:rFonts w:ascii="Arial" w:cs="Arial" w:eastAsia="Arial" w:hAnsi="Arial"/>
                <w:sz w:val="30"/>
                <w:szCs w:val="30"/>
                <w:b w:val="1"/>
                <w:bCs w:val="1"/>
                <w:i w:val="1"/>
                <w:iCs w:val="1"/>
                <w:color w:val="auto"/>
                <w:vertAlign w:val="superscript"/>
              </w:rPr>
              <w:t>A</w:t>
            </w:r>
          </w:p>
        </w:tc>
      </w:tr>
      <w:tr>
        <w:trPr>
          <w:trHeight w:val="196"/>
        </w:trPr>
        <w:tc>
          <w:tcPr>
            <w:tcW w:w="120" w:type="dxa"/>
            <w:vAlign w:val="bottom"/>
            <w:tcBorders>
              <w:left w:val="single" w:sz="8" w:color="auto"/>
            </w:tcBorders>
          </w:tcPr>
          <w:p>
            <w:pPr>
              <w:spacing w:after="0"/>
              <w:rPr>
                <w:sz w:val="17"/>
                <w:szCs w:val="17"/>
                <w:color w:val="auto"/>
              </w:rPr>
            </w:pPr>
          </w:p>
        </w:tc>
        <w:tc>
          <w:tcPr>
            <w:tcW w:w="66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b w:val="1"/>
                <w:bCs w:val="1"/>
                <w:color w:val="auto"/>
                <w:w w:val="91"/>
              </w:rPr>
              <w:t>CY 2020</w:t>
            </w:r>
          </w:p>
        </w:tc>
        <w:tc>
          <w:tcPr>
            <w:tcW w:w="294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Borders>
              <w:right w:val="single" w:sz="8" w:color="auto"/>
            </w:tcBorders>
          </w:tcPr>
          <w:p>
            <w:pPr>
              <w:spacing w:after="0"/>
              <w:rPr>
                <w:sz w:val="17"/>
                <w:szCs w:val="17"/>
                <w:color w:val="auto"/>
              </w:rPr>
            </w:pPr>
          </w:p>
        </w:tc>
      </w:tr>
      <w:tr>
        <w:trPr>
          <w:trHeight w:val="291"/>
        </w:trPr>
        <w:tc>
          <w:tcPr>
            <w:tcW w:w="120" w:type="dxa"/>
            <w:vAlign w:val="bottom"/>
            <w:tcBorders>
              <w:left w:val="single" w:sz="8" w:color="auto"/>
            </w:tcBorders>
          </w:tcPr>
          <w:p>
            <w:pPr>
              <w:spacing w:after="0"/>
              <w:rPr>
                <w:sz w:val="24"/>
                <w:szCs w:val="24"/>
                <w:color w:val="auto"/>
              </w:rPr>
            </w:pPr>
          </w:p>
        </w:tc>
        <w:tc>
          <w:tcPr>
            <w:tcW w:w="3600" w:type="dxa"/>
            <w:vAlign w:val="bottom"/>
            <w:gridSpan w:val="3"/>
          </w:tcPr>
          <w:p>
            <w:pPr>
              <w:ind w:left="80"/>
              <w:spacing w:after="0"/>
              <w:rPr>
                <w:sz w:val="20"/>
                <w:szCs w:val="20"/>
                <w:color w:val="auto"/>
              </w:rPr>
            </w:pPr>
            <w:r>
              <w:rPr>
                <w:rFonts w:ascii="Arial" w:cs="Arial" w:eastAsia="Arial" w:hAnsi="Arial"/>
                <w:sz w:val="18"/>
                <w:szCs w:val="18"/>
                <w:color w:val="auto"/>
              </w:rPr>
              <w:t>Net Revenues</w:t>
            </w:r>
          </w:p>
        </w:tc>
        <w:tc>
          <w:tcPr>
            <w:tcW w:w="218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6,450</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6,450</w:t>
            </w:r>
          </w:p>
        </w:tc>
        <w:tc>
          <w:tcPr>
            <w:tcW w:w="220" w:type="dxa"/>
            <w:vAlign w:val="bottom"/>
          </w:tcPr>
          <w:p>
            <w:pPr>
              <w:jc w:val="right"/>
              <w:spacing w:after="0"/>
              <w:rPr>
                <w:sz w:val="20"/>
                <w:szCs w:val="20"/>
                <w:color w:val="auto"/>
              </w:rPr>
            </w:pPr>
            <w:r>
              <w:rPr>
                <w:rFonts w:ascii="Arial" w:cs="Arial" w:eastAsia="Arial" w:hAnsi="Arial"/>
                <w:sz w:val="18"/>
                <w:szCs w:val="18"/>
                <w:i w:val="1"/>
                <w:iCs w:val="1"/>
                <w:color w:val="auto"/>
              </w:rPr>
              <w:t>$</w:t>
            </w:r>
          </w:p>
        </w:tc>
        <w:tc>
          <w:tcPr>
            <w:tcW w:w="14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i w:val="1"/>
                <w:iCs w:val="1"/>
                <w:color w:val="auto"/>
              </w:rPr>
              <w:t>275</w:t>
            </w:r>
          </w:p>
        </w:tc>
      </w:tr>
      <w:tr>
        <w:trPr>
          <w:trHeight w:val="270"/>
        </w:trPr>
        <w:tc>
          <w:tcPr>
            <w:tcW w:w="120" w:type="dxa"/>
            <w:vAlign w:val="bottom"/>
            <w:tcBorders>
              <w:left w:val="single" w:sz="8" w:color="auto"/>
            </w:tcBorders>
          </w:tcPr>
          <w:p>
            <w:pPr>
              <w:spacing w:after="0"/>
              <w:rPr>
                <w:sz w:val="23"/>
                <w:szCs w:val="23"/>
                <w:color w:val="auto"/>
              </w:rPr>
            </w:pPr>
          </w:p>
        </w:tc>
        <w:tc>
          <w:tcPr>
            <w:tcW w:w="3600" w:type="dxa"/>
            <w:vAlign w:val="bottom"/>
            <w:gridSpan w:val="3"/>
          </w:tcPr>
          <w:p>
            <w:pPr>
              <w:ind w:left="80"/>
              <w:spacing w:after="0"/>
              <w:rPr>
                <w:sz w:val="20"/>
                <w:szCs w:val="20"/>
                <w:color w:val="auto"/>
              </w:rPr>
            </w:pPr>
            <w:r>
              <w:rPr>
                <w:rFonts w:ascii="Arial" w:cs="Arial" w:eastAsia="Arial" w:hAnsi="Arial"/>
                <w:sz w:val="18"/>
                <w:szCs w:val="18"/>
                <w:color w:val="auto"/>
              </w:rPr>
              <w:t>EPS</w:t>
            </w:r>
          </w:p>
        </w:tc>
        <w:tc>
          <w:tcPr>
            <w:tcW w:w="218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1.85</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2.22</w:t>
            </w:r>
          </w:p>
        </w:tc>
        <w:tc>
          <w:tcPr>
            <w:tcW w:w="220" w:type="dxa"/>
            <w:vAlign w:val="bottom"/>
          </w:tcPr>
          <w:p>
            <w:pPr>
              <w:jc w:val="right"/>
              <w:spacing w:after="0"/>
              <w:rPr>
                <w:sz w:val="20"/>
                <w:szCs w:val="20"/>
                <w:color w:val="auto"/>
              </w:rPr>
            </w:pPr>
            <w:r>
              <w:rPr>
                <w:rFonts w:ascii="Arial" w:cs="Arial" w:eastAsia="Arial" w:hAnsi="Arial"/>
                <w:sz w:val="18"/>
                <w:szCs w:val="18"/>
                <w:i w:val="1"/>
                <w:iCs w:val="1"/>
                <w:color w:val="auto"/>
              </w:rPr>
              <w:t>$</w:t>
            </w:r>
          </w:p>
        </w:tc>
        <w:tc>
          <w:tcPr>
            <w:tcW w:w="14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i w:val="1"/>
                <w:iCs w:val="1"/>
                <w:color w:val="auto"/>
              </w:rPr>
              <w:t>0.13</w:t>
            </w:r>
          </w:p>
        </w:tc>
      </w:tr>
      <w:tr>
        <w:trPr>
          <w:trHeight w:val="270"/>
        </w:trPr>
        <w:tc>
          <w:tcPr>
            <w:tcW w:w="120" w:type="dxa"/>
            <w:vAlign w:val="bottom"/>
            <w:tcBorders>
              <w:left w:val="single" w:sz="8" w:color="auto"/>
            </w:tcBorders>
          </w:tcPr>
          <w:p>
            <w:pPr>
              <w:spacing w:after="0"/>
              <w:rPr>
                <w:sz w:val="23"/>
                <w:szCs w:val="23"/>
                <w:color w:val="auto"/>
              </w:rPr>
            </w:pPr>
          </w:p>
        </w:tc>
        <w:tc>
          <w:tcPr>
            <w:tcW w:w="3600" w:type="dxa"/>
            <w:vAlign w:val="bottom"/>
            <w:gridSpan w:val="3"/>
          </w:tcPr>
          <w:p>
            <w:pPr>
              <w:ind w:left="80"/>
              <w:spacing w:after="0"/>
              <w:rPr>
                <w:sz w:val="20"/>
                <w:szCs w:val="20"/>
                <w:color w:val="auto"/>
              </w:rPr>
            </w:pPr>
            <w:r>
              <w:rPr>
                <w:rFonts w:ascii="Arial" w:cs="Arial" w:eastAsia="Arial" w:hAnsi="Arial"/>
                <w:sz w:val="18"/>
                <w:szCs w:val="18"/>
                <w:color w:val="auto"/>
              </w:rPr>
              <w:t>Fully Diluted Shares</w:t>
            </w:r>
          </w:p>
        </w:tc>
        <w:tc>
          <w:tcPr>
            <w:tcW w:w="2180" w:type="dxa"/>
            <w:vAlign w:val="bottom"/>
          </w:tcPr>
          <w:p>
            <w:pPr>
              <w:spacing w:after="0"/>
              <w:rPr>
                <w:sz w:val="23"/>
                <w:szCs w:val="23"/>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778</w:t>
            </w:r>
          </w:p>
        </w:tc>
        <w:tc>
          <w:tcPr>
            <w:tcW w:w="42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778</w:t>
            </w:r>
          </w:p>
        </w:tc>
        <w:tc>
          <w:tcPr>
            <w:tcW w:w="220" w:type="dxa"/>
            <w:vAlign w:val="bottom"/>
          </w:tcPr>
          <w:p>
            <w:pPr>
              <w:spacing w:after="0"/>
              <w:rPr>
                <w:sz w:val="23"/>
                <w:szCs w:val="23"/>
                <w:color w:val="auto"/>
              </w:rPr>
            </w:pPr>
          </w:p>
        </w:tc>
        <w:tc>
          <w:tcPr>
            <w:tcW w:w="1420" w:type="dxa"/>
            <w:vAlign w:val="bottom"/>
            <w:tcBorders>
              <w:right w:val="single" w:sz="8" w:color="auto"/>
            </w:tcBorders>
          </w:tcPr>
          <w:p>
            <w:pPr>
              <w:spacing w:after="0"/>
              <w:rPr>
                <w:sz w:val="23"/>
                <w:szCs w:val="23"/>
                <w:color w:val="auto"/>
              </w:rPr>
            </w:pPr>
          </w:p>
        </w:tc>
      </w:tr>
      <w:tr>
        <w:trPr>
          <w:trHeight w:val="446"/>
        </w:trPr>
        <w:tc>
          <w:tcPr>
            <w:tcW w:w="120" w:type="dxa"/>
            <w:vAlign w:val="bottom"/>
            <w:tcBorders>
              <w:left w:val="single" w:sz="8" w:color="auto"/>
            </w:tcBorders>
          </w:tcPr>
          <w:p>
            <w:pPr>
              <w:spacing w:after="0"/>
              <w:rPr>
                <w:sz w:val="24"/>
                <w:szCs w:val="24"/>
                <w:color w:val="auto"/>
              </w:rPr>
            </w:pPr>
          </w:p>
        </w:tc>
        <w:tc>
          <w:tcPr>
            <w:tcW w:w="3600" w:type="dxa"/>
            <w:vAlign w:val="bottom"/>
            <w:gridSpan w:val="3"/>
          </w:tcPr>
          <w:p>
            <w:pPr>
              <w:spacing w:after="0"/>
              <w:rPr>
                <w:sz w:val="20"/>
                <w:szCs w:val="20"/>
                <w:color w:val="auto"/>
              </w:rPr>
            </w:pPr>
            <w:r>
              <w:rPr>
                <w:rFonts w:ascii="Arial" w:cs="Arial" w:eastAsia="Arial" w:hAnsi="Arial"/>
                <w:sz w:val="18"/>
                <w:szCs w:val="18"/>
                <w:b w:val="1"/>
                <w:bCs w:val="1"/>
                <w:color w:val="auto"/>
              </w:rPr>
              <w:t>Q1 2020</w:t>
            </w:r>
          </w:p>
        </w:tc>
        <w:tc>
          <w:tcPr>
            <w:tcW w:w="2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Borders>
              <w:right w:val="single" w:sz="8" w:color="auto"/>
            </w:tcBorders>
          </w:tcPr>
          <w:p>
            <w:pPr>
              <w:spacing w:after="0"/>
              <w:rPr>
                <w:sz w:val="24"/>
                <w:szCs w:val="24"/>
                <w:color w:val="auto"/>
              </w:rPr>
            </w:pPr>
          </w:p>
        </w:tc>
      </w:tr>
      <w:tr>
        <w:trPr>
          <w:trHeight w:val="20"/>
        </w:trPr>
        <w:tc>
          <w:tcPr>
            <w:tcW w:w="120" w:type="dxa"/>
            <w:vAlign w:val="bottom"/>
            <w:tcBorders>
              <w:left w:val="single" w:sz="8" w:color="auto"/>
            </w:tcBorders>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980" w:type="dxa"/>
            <w:vAlign w:val="bottom"/>
            <w:gridSpan w:val="2"/>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20" w:type="dxa"/>
            <w:vAlign w:val="bottom"/>
            <w:tcBorders>
              <w:right w:val="single" w:sz="8" w:color="auto"/>
            </w:tcBorders>
          </w:tcPr>
          <w:p>
            <w:pPr>
              <w:spacing w:after="0" w:line="20" w:lineRule="exact"/>
              <w:rPr>
                <w:sz w:val="1"/>
                <w:szCs w:val="1"/>
                <w:color w:val="auto"/>
              </w:rPr>
            </w:pPr>
          </w:p>
        </w:tc>
      </w:tr>
      <w:tr>
        <w:trPr>
          <w:trHeight w:val="291"/>
        </w:trPr>
        <w:tc>
          <w:tcPr>
            <w:tcW w:w="120" w:type="dxa"/>
            <w:vAlign w:val="bottom"/>
            <w:tcBorders>
              <w:left w:val="single" w:sz="8" w:color="auto"/>
            </w:tcBorders>
          </w:tcPr>
          <w:p>
            <w:pPr>
              <w:spacing w:after="0"/>
              <w:rPr>
                <w:sz w:val="24"/>
                <w:szCs w:val="24"/>
                <w:color w:val="auto"/>
              </w:rPr>
            </w:pPr>
          </w:p>
        </w:tc>
        <w:tc>
          <w:tcPr>
            <w:tcW w:w="3600" w:type="dxa"/>
            <w:vAlign w:val="bottom"/>
            <w:gridSpan w:val="3"/>
          </w:tcPr>
          <w:p>
            <w:pPr>
              <w:ind w:left="80"/>
              <w:spacing w:after="0"/>
              <w:rPr>
                <w:sz w:val="20"/>
                <w:szCs w:val="20"/>
                <w:color w:val="auto"/>
              </w:rPr>
            </w:pPr>
            <w:r>
              <w:rPr>
                <w:rFonts w:ascii="Arial" w:cs="Arial" w:eastAsia="Arial" w:hAnsi="Arial"/>
                <w:sz w:val="18"/>
                <w:szCs w:val="18"/>
                <w:color w:val="auto"/>
              </w:rPr>
              <w:t>Net Revenues</w:t>
            </w:r>
          </w:p>
        </w:tc>
        <w:tc>
          <w:tcPr>
            <w:tcW w:w="218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1,640</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1,640</w:t>
            </w:r>
          </w:p>
        </w:tc>
        <w:tc>
          <w:tcPr>
            <w:tcW w:w="220" w:type="dxa"/>
            <w:vAlign w:val="bottom"/>
          </w:tcPr>
          <w:p>
            <w:pPr>
              <w:jc w:val="right"/>
              <w:spacing w:after="0"/>
              <w:rPr>
                <w:sz w:val="20"/>
                <w:szCs w:val="20"/>
                <w:color w:val="auto"/>
              </w:rPr>
            </w:pPr>
            <w:r>
              <w:rPr>
                <w:rFonts w:ascii="Arial" w:cs="Arial" w:eastAsia="Arial" w:hAnsi="Arial"/>
                <w:sz w:val="18"/>
                <w:szCs w:val="18"/>
                <w:i w:val="1"/>
                <w:iCs w:val="1"/>
                <w:color w:val="auto"/>
              </w:rPr>
              <w:t>$</w:t>
            </w:r>
          </w:p>
        </w:tc>
        <w:tc>
          <w:tcPr>
            <w:tcW w:w="14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i w:val="1"/>
                <w:iCs w:val="1"/>
                <w:color w:val="auto"/>
              </w:rPr>
              <w:t>(365)</w:t>
            </w:r>
          </w:p>
        </w:tc>
      </w:tr>
      <w:tr>
        <w:trPr>
          <w:trHeight w:val="270"/>
        </w:trPr>
        <w:tc>
          <w:tcPr>
            <w:tcW w:w="120" w:type="dxa"/>
            <w:vAlign w:val="bottom"/>
            <w:tcBorders>
              <w:left w:val="single" w:sz="8" w:color="auto"/>
            </w:tcBorders>
          </w:tcPr>
          <w:p>
            <w:pPr>
              <w:spacing w:after="0"/>
              <w:rPr>
                <w:sz w:val="23"/>
                <w:szCs w:val="23"/>
                <w:color w:val="auto"/>
              </w:rPr>
            </w:pPr>
          </w:p>
        </w:tc>
        <w:tc>
          <w:tcPr>
            <w:tcW w:w="3600" w:type="dxa"/>
            <w:vAlign w:val="bottom"/>
            <w:gridSpan w:val="3"/>
          </w:tcPr>
          <w:p>
            <w:pPr>
              <w:ind w:left="80"/>
              <w:spacing w:after="0"/>
              <w:rPr>
                <w:sz w:val="20"/>
                <w:szCs w:val="20"/>
                <w:color w:val="auto"/>
              </w:rPr>
            </w:pPr>
            <w:r>
              <w:rPr>
                <w:rFonts w:ascii="Arial" w:cs="Arial" w:eastAsia="Arial" w:hAnsi="Arial"/>
                <w:sz w:val="18"/>
                <w:szCs w:val="18"/>
                <w:color w:val="auto"/>
              </w:rPr>
              <w:t>EPS</w:t>
            </w:r>
          </w:p>
        </w:tc>
        <w:tc>
          <w:tcPr>
            <w:tcW w:w="218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0.55</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0.66</w:t>
            </w:r>
          </w:p>
        </w:tc>
        <w:tc>
          <w:tcPr>
            <w:tcW w:w="220" w:type="dxa"/>
            <w:vAlign w:val="bottom"/>
          </w:tcPr>
          <w:p>
            <w:pPr>
              <w:jc w:val="right"/>
              <w:spacing w:after="0"/>
              <w:rPr>
                <w:sz w:val="20"/>
                <w:szCs w:val="20"/>
                <w:color w:val="auto"/>
              </w:rPr>
            </w:pPr>
            <w:r>
              <w:rPr>
                <w:rFonts w:ascii="Arial" w:cs="Arial" w:eastAsia="Arial" w:hAnsi="Arial"/>
                <w:sz w:val="18"/>
                <w:szCs w:val="18"/>
                <w:i w:val="1"/>
                <w:iCs w:val="1"/>
                <w:color w:val="auto"/>
              </w:rPr>
              <w:t>$</w:t>
            </w:r>
          </w:p>
        </w:tc>
        <w:tc>
          <w:tcPr>
            <w:tcW w:w="14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i w:val="1"/>
                <w:iCs w:val="1"/>
                <w:color w:val="auto"/>
              </w:rPr>
              <w:t>(0.31)</w:t>
            </w:r>
          </w:p>
        </w:tc>
      </w:tr>
      <w:tr>
        <w:trPr>
          <w:trHeight w:val="270"/>
        </w:trPr>
        <w:tc>
          <w:tcPr>
            <w:tcW w:w="120" w:type="dxa"/>
            <w:vAlign w:val="bottom"/>
            <w:tcBorders>
              <w:left w:val="single" w:sz="8" w:color="auto"/>
            </w:tcBorders>
          </w:tcPr>
          <w:p>
            <w:pPr>
              <w:spacing w:after="0"/>
              <w:rPr>
                <w:sz w:val="23"/>
                <w:szCs w:val="23"/>
                <w:color w:val="auto"/>
              </w:rPr>
            </w:pPr>
          </w:p>
        </w:tc>
        <w:tc>
          <w:tcPr>
            <w:tcW w:w="3600" w:type="dxa"/>
            <w:vAlign w:val="bottom"/>
            <w:gridSpan w:val="3"/>
          </w:tcPr>
          <w:p>
            <w:pPr>
              <w:ind w:left="80"/>
              <w:spacing w:after="0"/>
              <w:rPr>
                <w:sz w:val="20"/>
                <w:szCs w:val="20"/>
                <w:color w:val="auto"/>
              </w:rPr>
            </w:pPr>
            <w:r>
              <w:rPr>
                <w:rFonts w:ascii="Arial" w:cs="Arial" w:eastAsia="Arial" w:hAnsi="Arial"/>
                <w:sz w:val="18"/>
                <w:szCs w:val="18"/>
                <w:color w:val="auto"/>
              </w:rPr>
              <w:t>Fully Diluted Shares</w:t>
            </w:r>
          </w:p>
        </w:tc>
        <w:tc>
          <w:tcPr>
            <w:tcW w:w="2180" w:type="dxa"/>
            <w:vAlign w:val="bottom"/>
          </w:tcPr>
          <w:p>
            <w:pPr>
              <w:spacing w:after="0"/>
              <w:rPr>
                <w:sz w:val="23"/>
                <w:szCs w:val="23"/>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775</w:t>
            </w:r>
          </w:p>
        </w:tc>
        <w:tc>
          <w:tcPr>
            <w:tcW w:w="42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775</w:t>
            </w:r>
          </w:p>
        </w:tc>
        <w:tc>
          <w:tcPr>
            <w:tcW w:w="220" w:type="dxa"/>
            <w:vAlign w:val="bottom"/>
          </w:tcPr>
          <w:p>
            <w:pPr>
              <w:spacing w:after="0"/>
              <w:rPr>
                <w:sz w:val="23"/>
                <w:szCs w:val="23"/>
                <w:color w:val="auto"/>
              </w:rPr>
            </w:pPr>
          </w:p>
        </w:tc>
        <w:tc>
          <w:tcPr>
            <w:tcW w:w="1420" w:type="dxa"/>
            <w:vAlign w:val="bottom"/>
            <w:tcBorders>
              <w:right w:val="single" w:sz="8" w:color="auto"/>
            </w:tcBorders>
          </w:tcPr>
          <w:p>
            <w:pPr>
              <w:spacing w:after="0"/>
              <w:rPr>
                <w:sz w:val="23"/>
                <w:szCs w:val="23"/>
                <w:color w:val="auto"/>
              </w:rPr>
            </w:pPr>
          </w:p>
        </w:tc>
      </w:tr>
      <w:tr>
        <w:trPr>
          <w:trHeight w:val="27"/>
        </w:trPr>
        <w:tc>
          <w:tcPr>
            <w:tcW w:w="120" w:type="dxa"/>
            <w:vAlign w:val="bottom"/>
            <w:tcBorders>
              <w:left w:val="single" w:sz="8" w:color="auto"/>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r>
    </w:tbl>
    <w:p>
      <w:pPr>
        <w:spacing w:after="0" w:line="2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bookings</w:t>
      </w:r>
      <w:r>
        <w:rPr>
          <w:rFonts w:ascii="Arial" w:cs="Arial" w:eastAsia="Arial" w:hAnsi="Arial"/>
          <w:sz w:val="30"/>
          <w:szCs w:val="30"/>
          <w:color w:val="auto"/>
          <w:vertAlign w:val="superscript"/>
        </w:rPr>
        <w:t>B</w:t>
      </w:r>
      <w:r>
        <w:rPr>
          <w:rFonts w:ascii="Arial" w:cs="Arial" w:eastAsia="Arial" w:hAnsi="Arial"/>
          <w:sz w:val="18"/>
          <w:szCs w:val="18"/>
          <w:color w:val="auto"/>
        </w:rPr>
        <w:t xml:space="preserve"> are expected to be $6.725 billion for 2020 and $1.275 billion for the first quarter of 2020.</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Allocation</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Board of Directors declared a cash dividend of $0.41 per common share, payable on May 6, 2020 to shareholders of record at the close of business on April 15, 2020, which represents an 11% increase from 2019.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Today at 4:30 p.m. EDT, Activision Blizzard’s management will host a conference call and webcast to discuss the company’s results for the quarter ended December 31, 2019 and management’s outlook for the remainder of the calendar year. The company welcomes all members of the financial and media communities and other interested parties to visit https://investor.activision.com to listen to the conference call via live Webcast or to listen to the call live by dialing into 800-367-2403 in the U.S. with passcode 2945091. A replay of the call will also be available after the call's conclusion and archived for one year at </w:t>
      </w:r>
      <w:r>
        <w:rPr>
          <w:rFonts w:ascii="Arial" w:cs="Arial" w:eastAsia="Arial" w:hAnsi="Arial"/>
          <w:sz w:val="18"/>
          <w:szCs w:val="18"/>
          <w:u w:val="single" w:color="auto"/>
          <w:color w:val="0000FF"/>
        </w:rPr>
        <w:t>https://investor.activision.com/events.cfm</w:t>
      </w:r>
      <w:r>
        <w:rPr>
          <w:rFonts w:ascii="Arial" w:cs="Arial" w:eastAsia="Arial" w:hAnsi="Arial"/>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52" w:right="239" w:bottom="1440" w:gutter="0" w:footer="0" w:header="0"/>
        </w:sectPr>
      </w:pPr>
    </w:p>
    <w:bookmarkStart w:id="6" w:name="page7"/>
    <w:bookmarkEnd w:id="6"/>
    <w:p>
      <w:pPr>
        <w:spacing w:after="0"/>
        <w:rPr>
          <w:sz w:val="20"/>
          <w:szCs w:val="20"/>
          <w:color w:val="auto"/>
        </w:rPr>
      </w:pPr>
      <w:r>
        <w:rPr>
          <w:rFonts w:ascii="Arial" w:cs="Arial" w:eastAsia="Arial" w:hAnsi="Arial"/>
          <w:sz w:val="20"/>
          <w:szCs w:val="20"/>
          <w:i w:val="1"/>
          <w:iCs w:val="1"/>
          <w:color w:val="auto"/>
        </w:rPr>
        <w:t>Activision Blizzard Announces Q4 2019 Financial Results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Activision Blizzard</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Activision Blizzard, Inc. connects and engages the world through epic entertainment. A member of the Fortune 500 and S&amp;P 500, Activision Blizzard is a leading interactive entertainment company. We delight hundreds of millions of monthly active users around the world through franchises including Activision’s Call of Duty®, Spyro®, and Crash Bandicoot™, Blizzard Entertainment's World of Warcraft®, Overwatch®, Hearthstone®, Diablo®, StarCraft®, and Heroes of the Storm®, and King's Candy Crush™, Bubble Witch™, and Farm Heroes™. The company is one of the Fortune "100 Best Companies To Work For®." Headquartered in Santa Monica, California, Activision Blizzard has operations throughout the world. More information about Activision Blizzard and its products can be found on the company's website, </w:t>
      </w:r>
      <w:r>
        <w:rPr>
          <w:rFonts w:ascii="Arial" w:cs="Arial" w:eastAsia="Arial" w:hAnsi="Arial"/>
          <w:sz w:val="17"/>
          <w:szCs w:val="17"/>
          <w:u w:val="single" w:color="auto"/>
          <w:color w:val="0000FF"/>
        </w:rPr>
        <w:t>www.activisionblizzard.com.</w:t>
      </w:r>
    </w:p>
    <w:p>
      <w:pPr>
        <w:spacing w:after="0" w:line="119" w:lineRule="exact"/>
        <w:rPr>
          <w:sz w:val="20"/>
          <w:szCs w:val="20"/>
          <w:color w:val="auto"/>
        </w:rPr>
      </w:pPr>
    </w:p>
    <w:p>
      <w:pPr>
        <w:ind w:left="120" w:hanging="112"/>
        <w:spacing w:after="0"/>
        <w:tabs>
          <w:tab w:leader="none" w:pos="120" w:val="left"/>
        </w:tabs>
        <w:numPr>
          <w:ilvl w:val="0"/>
          <w:numId w:val="5"/>
        </w:numPr>
        <w:rPr>
          <w:rFonts w:ascii="Arial" w:cs="Arial" w:eastAsia="Arial" w:hAnsi="Arial"/>
          <w:sz w:val="27"/>
          <w:szCs w:val="27"/>
          <w:color w:val="auto"/>
          <w:vertAlign w:val="superscript"/>
        </w:rPr>
      </w:pPr>
      <w:r>
        <w:rPr>
          <w:rFonts w:ascii="Arial" w:cs="Arial" w:eastAsia="Arial" w:hAnsi="Arial"/>
          <w:sz w:val="16"/>
          <w:szCs w:val="16"/>
          <w:color w:val="auto"/>
        </w:rPr>
        <w:t>Per the NPD Group, GfK, GSD and internal estimates, based on dollar sales of front-line games.</w:t>
      </w:r>
    </w:p>
    <w:p>
      <w:pPr>
        <w:spacing w:after="0" w:line="50" w:lineRule="exact"/>
        <w:rPr>
          <w:rFonts w:ascii="Arial" w:cs="Arial" w:eastAsia="Arial" w:hAnsi="Arial"/>
          <w:sz w:val="27"/>
          <w:szCs w:val="27"/>
          <w:color w:val="auto"/>
          <w:vertAlign w:val="superscript"/>
        </w:rPr>
      </w:pPr>
    </w:p>
    <w:p>
      <w:pPr>
        <w:ind w:right="5020"/>
        <w:spacing w:after="0" w:line="187" w:lineRule="auto"/>
        <w:rPr>
          <w:rFonts w:ascii="Arial" w:cs="Arial" w:eastAsia="Arial" w:hAnsi="Arial"/>
          <w:sz w:val="27"/>
          <w:szCs w:val="27"/>
          <w:color w:val="auto"/>
          <w:vertAlign w:val="superscript"/>
        </w:rPr>
      </w:pPr>
      <w:r>
        <w:rPr>
          <w:rFonts w:ascii="Arial" w:cs="Arial" w:eastAsia="Arial" w:hAnsi="Arial"/>
          <w:sz w:val="27"/>
          <w:szCs w:val="27"/>
          <w:color w:val="auto"/>
          <w:vertAlign w:val="superscript"/>
        </w:rPr>
        <w:t>2</w:t>
      </w:r>
      <w:r>
        <w:rPr>
          <w:rFonts w:ascii="Arial" w:cs="Arial" w:eastAsia="Arial" w:hAnsi="Arial"/>
          <w:sz w:val="16"/>
          <w:szCs w:val="16"/>
          <w:color w:val="auto"/>
        </w:rPr>
        <w:t xml:space="preserve"> Per App Annie Intelligence and internal estimates for respective regions, app stores, and periods. </w:t>
      </w:r>
      <w:r>
        <w:rPr>
          <w:rFonts w:ascii="Arial" w:cs="Arial" w:eastAsia="Arial" w:hAnsi="Arial"/>
          <w:sz w:val="27"/>
          <w:szCs w:val="27"/>
          <w:color w:val="auto"/>
          <w:vertAlign w:val="superscript"/>
        </w:rPr>
        <w:t>3</w:t>
      </w:r>
      <w:r>
        <w:rPr>
          <w:rFonts w:ascii="Arial" w:cs="Arial" w:eastAsia="Arial" w:hAnsi="Arial"/>
          <w:sz w:val="16"/>
          <w:szCs w:val="16"/>
          <w:color w:val="auto"/>
        </w:rPr>
        <w:t xml:space="preserve"> Defined as players with monthly or longer-term subscriptions.</w:t>
      </w:r>
    </w:p>
    <w:p>
      <w:pPr>
        <w:spacing w:after="0" w:line="2" w:lineRule="exact"/>
        <w:rPr>
          <w:rFonts w:ascii="Arial" w:cs="Arial" w:eastAsia="Arial" w:hAnsi="Arial"/>
          <w:sz w:val="27"/>
          <w:szCs w:val="27"/>
          <w:color w:val="auto"/>
          <w:vertAlign w:val="superscript"/>
        </w:rPr>
      </w:pPr>
    </w:p>
    <w:p>
      <w:pPr>
        <w:spacing w:after="0" w:line="229" w:lineRule="auto"/>
        <w:rPr>
          <w:rFonts w:ascii="Arial" w:cs="Arial" w:eastAsia="Arial" w:hAnsi="Arial"/>
          <w:sz w:val="27"/>
          <w:szCs w:val="27"/>
          <w:color w:val="auto"/>
          <w:vertAlign w:val="superscript"/>
        </w:rPr>
      </w:pPr>
      <w:r>
        <w:rPr>
          <w:rFonts w:ascii="Arial" w:cs="Arial" w:eastAsia="Arial" w:hAnsi="Arial"/>
          <w:sz w:val="27"/>
          <w:szCs w:val="27"/>
          <w:color w:val="auto"/>
          <w:vertAlign w:val="superscript"/>
        </w:rPr>
        <w:t>4</w:t>
      </w:r>
      <w:r>
        <w:rPr>
          <w:rFonts w:ascii="Arial" w:cs="Arial" w:eastAsia="Arial" w:hAnsi="Arial"/>
          <w:sz w:val="16"/>
          <w:szCs w:val="16"/>
          <w:color w:val="auto"/>
        </w:rPr>
        <w:t xml:space="preserve"> Per App Annie Intelligence for respective regions, app stores, and periods.</w:t>
      </w:r>
    </w:p>
    <w:p>
      <w:pPr>
        <w:spacing w:after="0" w:line="135" w:lineRule="exact"/>
        <w:rPr>
          <w:sz w:val="20"/>
          <w:szCs w:val="20"/>
          <w:color w:val="auto"/>
        </w:rPr>
      </w:pPr>
    </w:p>
    <w:p>
      <w:pPr>
        <w:jc w:val="both"/>
        <w:ind w:firstLine="8"/>
        <w:spacing w:after="0" w:line="265" w:lineRule="auto"/>
        <w:tabs>
          <w:tab w:leader="none" w:pos="138" w:val="left"/>
        </w:tabs>
        <w:numPr>
          <w:ilvl w:val="0"/>
          <w:numId w:val="6"/>
        </w:numPr>
        <w:rPr>
          <w:rFonts w:ascii="Arial" w:cs="Arial" w:eastAsia="Arial" w:hAnsi="Arial"/>
          <w:sz w:val="25"/>
          <w:szCs w:val="25"/>
          <w:color w:val="auto"/>
          <w:vertAlign w:val="superscript"/>
        </w:rPr>
      </w:pPr>
      <w:r>
        <w:rPr>
          <w:rFonts w:ascii="Arial" w:cs="Arial" w:eastAsia="Arial" w:hAnsi="Arial"/>
          <w:sz w:val="15"/>
          <w:szCs w:val="15"/>
          <w:color w:val="auto"/>
        </w:rPr>
        <w:t>Net effect of accounting treatment from revenue deferrals on certain of our online-enabled products. Since certain of our games are hosted online or include significant online functionality that represents a separate performance obligation, we defer the transaction price allocable to the online functionality from the sale of these games and then recognize the attributable revenues over the relevant estimated service periods, which are generally less than a year. The related cost of revenues is deferred and recognized as an expense as the related revenues are recognized. Impact from changes in deferrals refers to the net effect from revenue deferrals accounting treatment for the purposes of revenues, along with, for the purposes of EPS, the related cost of revenues deferrals treatment and the related tax impacts. Internally, management excludes the impact of this change in deferred revenues and related cost of revenues when evaluating the company’s operating performance, when planning, forecasting and analyzing future periods, and when assessing the performance of its management team. Management believes this is appropriate because doing so enables an analysis of performance based on the timing of actual transactions with our customers. In addition, management believes excluding the change in deferred revenues and the related cost of revenues provides a much more timely indication of trends in our operating results.</w:t>
      </w:r>
    </w:p>
    <w:p>
      <w:pPr>
        <w:spacing w:after="0" w:line="225" w:lineRule="exact"/>
        <w:rPr>
          <w:sz w:val="20"/>
          <w:szCs w:val="20"/>
          <w:color w:val="auto"/>
        </w:rPr>
      </w:pPr>
    </w:p>
    <w:p>
      <w:pPr>
        <w:ind w:right="20" w:firstLine="8"/>
        <w:spacing w:after="0" w:line="198" w:lineRule="auto"/>
        <w:tabs>
          <w:tab w:leader="none" w:pos="143" w:val="left"/>
        </w:tabs>
        <w:numPr>
          <w:ilvl w:val="0"/>
          <w:numId w:val="7"/>
        </w:numPr>
        <w:rPr>
          <w:rFonts w:ascii="Arial" w:cs="Arial" w:eastAsia="Arial" w:hAnsi="Arial"/>
          <w:sz w:val="27"/>
          <w:szCs w:val="27"/>
          <w:color w:val="auto"/>
          <w:vertAlign w:val="superscript"/>
        </w:rPr>
      </w:pPr>
      <w:r>
        <w:rPr>
          <w:rFonts w:ascii="Arial" w:cs="Arial" w:eastAsia="Arial" w:hAnsi="Arial"/>
          <w:sz w:val="16"/>
          <w:szCs w:val="16"/>
          <w:color w:val="auto"/>
        </w:rPr>
        <w:t>Net bookings is an operating metric that is defined as the net amount of products and services sold digitally or sold-in physically in the period, and includes license fees, merchandise, and publisher incentives, among others, and is equal to net revenues excluding the impact from deferrals.</w:t>
      </w:r>
    </w:p>
    <w:p>
      <w:pPr>
        <w:spacing w:after="0" w:line="240" w:lineRule="exact"/>
        <w:rPr>
          <w:sz w:val="20"/>
          <w:szCs w:val="20"/>
          <w:color w:val="auto"/>
        </w:rPr>
      </w:pPr>
    </w:p>
    <w:p>
      <w:pPr>
        <w:ind w:firstLine="8"/>
        <w:spacing w:after="0" w:line="198" w:lineRule="auto"/>
        <w:tabs>
          <w:tab w:leader="none" w:pos="156" w:val="left"/>
        </w:tabs>
        <w:numPr>
          <w:ilvl w:val="0"/>
          <w:numId w:val="8"/>
        </w:numPr>
        <w:rPr>
          <w:rFonts w:ascii="Arial" w:cs="Arial" w:eastAsia="Arial" w:hAnsi="Arial"/>
          <w:sz w:val="27"/>
          <w:szCs w:val="27"/>
          <w:color w:val="auto"/>
          <w:vertAlign w:val="superscript"/>
        </w:rPr>
      </w:pPr>
      <w:r>
        <w:rPr>
          <w:rFonts w:ascii="Arial" w:cs="Arial" w:eastAsia="Arial" w:hAnsi="Arial"/>
          <w:sz w:val="16"/>
          <w:szCs w:val="16"/>
          <w:color w:val="auto"/>
        </w:rPr>
        <w:t>In-game net bookings primarily includes the net amount of downloadable content and microtransactions sold during the period, and is equal to in-game net revenues excluding the impact from deferrals.</w:t>
      </w:r>
    </w:p>
    <w:p>
      <w:pPr>
        <w:spacing w:after="0" w:line="254" w:lineRule="exact"/>
        <w:rPr>
          <w:sz w:val="20"/>
          <w:szCs w:val="20"/>
          <w:color w:val="auto"/>
        </w:rPr>
      </w:pPr>
    </w:p>
    <w:p>
      <w:pPr>
        <w:jc w:val="both"/>
        <w:ind w:firstLine="8"/>
        <w:spacing w:after="0" w:line="241" w:lineRule="auto"/>
        <w:tabs>
          <w:tab w:leader="none" w:pos="147" w:val="left"/>
        </w:tabs>
        <w:numPr>
          <w:ilvl w:val="0"/>
          <w:numId w:val="9"/>
        </w:numPr>
        <w:rPr>
          <w:rFonts w:ascii="Arial" w:cs="Arial" w:eastAsia="Arial" w:hAnsi="Arial"/>
          <w:sz w:val="27"/>
          <w:szCs w:val="27"/>
          <w:color w:val="auto"/>
          <w:vertAlign w:val="superscript"/>
        </w:rPr>
      </w:pPr>
      <w:r>
        <w:rPr>
          <w:rFonts w:ascii="Arial" w:cs="Arial" w:eastAsia="Arial" w:hAnsi="Arial"/>
          <w:sz w:val="16"/>
          <w:szCs w:val="16"/>
          <w:color w:val="auto"/>
        </w:rPr>
        <w:t>Monthly Active User (“MAU”) Definition: We monitor MAUs as a key measure of the overall size of our user base. MAUs are the number of individuals who accessed a particular game in a given month. We calculate average MAUs in a period by adding the total number of MAUs in each of the months in a given period and dividing that total by the number of months in the period. An individual who accesses two of our games would be counted as two users. In addition, due to technical limitations, for Activision and King, an individual who accesses the same game on two platforms or devices in the relevant period would be counted as two users. For Blizzard, an individual who accesses the same game on two platforms or devices in the relevant period would generally be counted as a single user. In certain instances, we rely on third parties to publish our games. In these instances, MAU data is based on information provided to us by those third parties, or, if final data is not available, reasonable estimates of MAUs for these third-party published games.</w:t>
      </w:r>
    </w:p>
    <w:p>
      <w:pPr>
        <w:spacing w:after="0" w:line="196" w:lineRule="exact"/>
        <w:rPr>
          <w:sz w:val="20"/>
          <w:szCs w:val="20"/>
          <w:color w:val="auto"/>
        </w:rPr>
      </w:pPr>
    </w:p>
    <w:p>
      <w:pPr>
        <w:jc w:val="both"/>
        <w:spacing w:after="0" w:line="299" w:lineRule="auto"/>
        <w:rPr>
          <w:sz w:val="20"/>
          <w:szCs w:val="20"/>
          <w:color w:val="auto"/>
        </w:rPr>
      </w:pPr>
      <w:r>
        <w:rPr>
          <w:rFonts w:ascii="Arial" w:cs="Arial" w:eastAsia="Arial" w:hAnsi="Arial"/>
          <w:sz w:val="15"/>
          <w:szCs w:val="15"/>
          <w:b w:val="1"/>
          <w:bCs w:val="1"/>
          <w:color w:val="auto"/>
        </w:rPr>
        <w:t xml:space="preserve">Non-GAAP Financial Measures: </w:t>
      </w:r>
      <w:r>
        <w:rPr>
          <w:rFonts w:ascii="Arial" w:cs="Arial" w:eastAsia="Arial" w:hAnsi="Arial"/>
          <w:sz w:val="15"/>
          <w:szCs w:val="15"/>
          <w:color w:val="auto"/>
        </w:rPr>
        <w:t>As a supplement to our financial measures presented in accordance with U.S. Generally Accepted Accounting Principles (“GAAP”),</w:t>
      </w:r>
      <w:r>
        <w:rPr>
          <w:rFonts w:ascii="Arial" w:cs="Arial" w:eastAsia="Arial" w:hAnsi="Arial"/>
          <w:sz w:val="15"/>
          <w:szCs w:val="15"/>
          <w:b w:val="1"/>
          <w:bCs w:val="1"/>
          <w:color w:val="auto"/>
        </w:rPr>
        <w:t xml:space="preserve"> </w:t>
      </w:r>
      <w:r>
        <w:rPr>
          <w:rFonts w:ascii="Arial" w:cs="Arial" w:eastAsia="Arial" w:hAnsi="Arial"/>
          <w:sz w:val="15"/>
          <w:szCs w:val="15"/>
          <w:color w:val="auto"/>
        </w:rPr>
        <w:t>Activision Blizzard presents certain non-GAAP measures of financial performance. These non-GAAP financial measures are not intended to be considered in isolation from, as a substitute for, or as more important than, the financial information prepared and presented in accordance with GAAP. In addition, these non-GAAP measures have limitations in that they do not reflect all of the items associated with the company’s results of operations as determined in accordance with GAAP.</w:t>
      </w:r>
    </w:p>
    <w:p>
      <w:pPr>
        <w:spacing w:after="0" w:line="382" w:lineRule="exact"/>
        <w:rPr>
          <w:sz w:val="20"/>
          <w:szCs w:val="20"/>
          <w:color w:val="auto"/>
        </w:rPr>
      </w:pPr>
    </w:p>
    <w:p>
      <w:pPr>
        <w:ind w:left="11340"/>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7" w:name="page8"/>
    <w:bookmarkEnd w:id="7"/>
    <w:p>
      <w:pPr>
        <w:spacing w:after="0"/>
        <w:rPr>
          <w:sz w:val="20"/>
          <w:szCs w:val="20"/>
          <w:color w:val="auto"/>
        </w:rPr>
      </w:pPr>
      <w:r>
        <w:rPr>
          <w:rFonts w:ascii="Arial" w:cs="Arial" w:eastAsia="Arial" w:hAnsi="Arial"/>
          <w:sz w:val="20"/>
          <w:szCs w:val="20"/>
          <w:i w:val="1"/>
          <w:iCs w:val="1"/>
          <w:color w:val="auto"/>
        </w:rPr>
        <w:t>Activision Blizzard Announces Q4 2019 Financial Results</w:t>
      </w:r>
    </w:p>
    <w:p>
      <w:pPr>
        <w:spacing w:after="0" w:line="223" w:lineRule="exact"/>
        <w:rPr>
          <w:sz w:val="20"/>
          <w:szCs w:val="20"/>
          <w:color w:val="auto"/>
        </w:rPr>
      </w:pPr>
    </w:p>
    <w:p>
      <w:pPr>
        <w:jc w:val="both"/>
        <w:spacing w:after="0" w:line="293" w:lineRule="auto"/>
        <w:rPr>
          <w:sz w:val="20"/>
          <w:szCs w:val="20"/>
          <w:color w:val="auto"/>
        </w:rPr>
      </w:pPr>
      <w:r>
        <w:rPr>
          <w:rFonts w:ascii="Arial" w:cs="Arial" w:eastAsia="Arial" w:hAnsi="Arial"/>
          <w:sz w:val="15"/>
          <w:szCs w:val="15"/>
          <w:color w:val="auto"/>
        </w:rPr>
        <w:t>Activision Blizzard provides net income (loss), earnings (loss) per share, and operating margin data and guidance both including (in accordance with GAAP) and excluding (non-GAAP) certain items. When relevant, the company also provides constant FX information to provide a framework for assessing how our underlying businesses performed excluding the effect of foreign currency rate fluctuations. In addition, Activision Blizzard provides EBITDA (defined as GAAP net income (loss) before interest (income) expense, income taxes, depreciation, and amortization) and adjusted EBITDA (defined as non-GAAP operating margin (see non-GAAP financial measure below) before depreciation). The non-GAAP financial measures exclude the following items, as applicable in any given reporting period and our outlook:</w:t>
      </w:r>
    </w:p>
    <w:p>
      <w:pPr>
        <w:spacing w:after="0" w:line="163" w:lineRule="exact"/>
        <w:rPr>
          <w:sz w:val="20"/>
          <w:szCs w:val="20"/>
          <w:color w:val="auto"/>
        </w:rPr>
      </w:pPr>
    </w:p>
    <w:p>
      <w:pPr>
        <w:ind w:left="1300" w:hanging="320"/>
        <w:spacing w:after="0"/>
        <w:tabs>
          <w:tab w:leader="none" w:pos="13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expenses related to share-based compensation;</w:t>
      </w:r>
    </w:p>
    <w:p>
      <w:pPr>
        <w:spacing w:after="0" w:line="22" w:lineRule="exact"/>
        <w:rPr>
          <w:rFonts w:ascii="Arial" w:cs="Arial" w:eastAsia="Arial" w:hAnsi="Arial"/>
          <w:sz w:val="16"/>
          <w:szCs w:val="16"/>
          <w:color w:val="auto"/>
        </w:rPr>
      </w:pPr>
    </w:p>
    <w:p>
      <w:pPr>
        <w:ind w:left="1300" w:hanging="320"/>
        <w:spacing w:after="0"/>
        <w:tabs>
          <w:tab w:leader="none" w:pos="13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amortization of intangibles from purchase price accounting;</w:t>
      </w:r>
    </w:p>
    <w:p>
      <w:pPr>
        <w:spacing w:after="0" w:line="18" w:lineRule="exact"/>
        <w:rPr>
          <w:rFonts w:ascii="Arial" w:cs="Arial" w:eastAsia="Arial" w:hAnsi="Arial"/>
          <w:sz w:val="16"/>
          <w:szCs w:val="16"/>
          <w:color w:val="auto"/>
        </w:rPr>
      </w:pPr>
    </w:p>
    <w:p>
      <w:pPr>
        <w:ind w:left="1300" w:hanging="320"/>
        <w:spacing w:after="0" w:line="264" w:lineRule="auto"/>
        <w:tabs>
          <w:tab w:leader="none" w:pos="13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fees and other expenses related to acquisitions, including related debt financings, and refinancing of long-term debt, including penalties and the write off of unamortized discount and deferred financing costs;</w:t>
      </w:r>
    </w:p>
    <w:p>
      <w:pPr>
        <w:ind w:left="1300" w:hanging="320"/>
        <w:spacing w:after="0"/>
        <w:tabs>
          <w:tab w:leader="none" w:pos="13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restructuring and related charges;</w:t>
      </w:r>
    </w:p>
    <w:p>
      <w:pPr>
        <w:spacing w:after="0" w:line="18" w:lineRule="exact"/>
        <w:rPr>
          <w:rFonts w:ascii="Arial" w:cs="Arial" w:eastAsia="Arial" w:hAnsi="Arial"/>
          <w:sz w:val="16"/>
          <w:szCs w:val="16"/>
          <w:color w:val="auto"/>
        </w:rPr>
      </w:pPr>
    </w:p>
    <w:p>
      <w:pPr>
        <w:ind w:left="1300" w:hanging="320"/>
        <w:spacing w:after="0"/>
        <w:tabs>
          <w:tab w:leader="none" w:pos="13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other non-cash charges from reclassification of certain cumulative translation adjustments into earnings as required by GAAP;</w:t>
      </w:r>
    </w:p>
    <w:p>
      <w:pPr>
        <w:spacing w:after="0" w:line="18" w:lineRule="exact"/>
        <w:rPr>
          <w:rFonts w:ascii="Arial" w:cs="Arial" w:eastAsia="Arial" w:hAnsi="Arial"/>
          <w:sz w:val="16"/>
          <w:szCs w:val="16"/>
          <w:color w:val="auto"/>
        </w:rPr>
      </w:pPr>
    </w:p>
    <w:p>
      <w:pPr>
        <w:ind w:left="1300" w:hanging="320"/>
        <w:spacing w:after="0" w:line="281" w:lineRule="auto"/>
        <w:tabs>
          <w:tab w:leader="none" w:pos="1300" w:val="left"/>
        </w:tabs>
        <w:numPr>
          <w:ilvl w:val="0"/>
          <w:numId w:val="10"/>
        </w:numPr>
        <w:rPr>
          <w:rFonts w:ascii="Arial" w:cs="Arial" w:eastAsia="Arial" w:hAnsi="Arial"/>
          <w:sz w:val="15"/>
          <w:szCs w:val="15"/>
          <w:color w:val="auto"/>
        </w:rPr>
      </w:pPr>
      <w:r>
        <w:rPr>
          <w:rFonts w:ascii="Arial" w:cs="Arial" w:eastAsia="Arial" w:hAnsi="Arial"/>
          <w:sz w:val="15"/>
          <w:szCs w:val="15"/>
          <w:color w:val="auto"/>
        </w:rPr>
        <w:t>the income tax adjustments associated with any of the above items (tax impact on non-GAAP pre-tax income is calculated under the same accounting principles applied to the GAAP pre-tax income under ASC 740, which employs an annual effective tax rate method to the results); and</w:t>
      </w:r>
    </w:p>
    <w:p>
      <w:pPr>
        <w:spacing w:after="0" w:line="1" w:lineRule="exact"/>
        <w:rPr>
          <w:rFonts w:ascii="Arial" w:cs="Arial" w:eastAsia="Arial" w:hAnsi="Arial"/>
          <w:sz w:val="15"/>
          <w:szCs w:val="15"/>
          <w:color w:val="auto"/>
        </w:rPr>
      </w:pPr>
    </w:p>
    <w:p>
      <w:pPr>
        <w:ind w:left="1300" w:hanging="320"/>
        <w:spacing w:after="0" w:line="323" w:lineRule="auto"/>
        <w:tabs>
          <w:tab w:leader="none" w:pos="1300" w:val="left"/>
        </w:tabs>
        <w:numPr>
          <w:ilvl w:val="0"/>
          <w:numId w:val="10"/>
        </w:numPr>
        <w:rPr>
          <w:rFonts w:ascii="Arial" w:cs="Arial" w:eastAsia="Arial" w:hAnsi="Arial"/>
          <w:sz w:val="15"/>
          <w:szCs w:val="15"/>
          <w:color w:val="auto"/>
        </w:rPr>
      </w:pPr>
      <w:r>
        <w:rPr>
          <w:rFonts w:ascii="Arial" w:cs="Arial" w:eastAsia="Arial" w:hAnsi="Arial"/>
          <w:sz w:val="15"/>
          <w:szCs w:val="15"/>
          <w:color w:val="auto"/>
        </w:rPr>
        <w:t>significant discrete tax-related items, including amounts related to changes in tax laws (including the Tax Cuts and Jobs Act enacted in December 2017), amounts related to the potential or final resolution of tax positions, and other unusual or unique tax-related items and activities.</w:t>
      </w:r>
    </w:p>
    <w:p>
      <w:pPr>
        <w:spacing w:after="0" w:line="153" w:lineRule="exact"/>
        <w:rPr>
          <w:sz w:val="20"/>
          <w:szCs w:val="20"/>
          <w:color w:val="auto"/>
        </w:rPr>
      </w:pPr>
    </w:p>
    <w:p>
      <w:pPr>
        <w:jc w:val="both"/>
        <w:spacing w:after="0" w:line="313" w:lineRule="auto"/>
        <w:rPr>
          <w:sz w:val="20"/>
          <w:szCs w:val="20"/>
          <w:color w:val="auto"/>
        </w:rPr>
      </w:pPr>
      <w:r>
        <w:rPr>
          <w:rFonts w:ascii="Arial" w:cs="Arial" w:eastAsia="Arial" w:hAnsi="Arial"/>
          <w:sz w:val="14"/>
          <w:szCs w:val="14"/>
          <w:color w:val="auto"/>
        </w:rPr>
        <w:t>In the future, Activision Blizzard may also consider whether other items should also be excluded in calculating the non-GAAP financial measures used by the company. Management believes that the presentation of these non-GAAP financial measures provides investors with additional useful information to measure Activision Blizzard’s financial and operating performance. In particular, the measures facilitate comparison of operating performance between periods and help investors to better understand the operating results of Activision Blizzard by excluding certain items that may not be indicative of the company’s core business, operating results, or future outlook. Additionally, we consider quantitative and qualitative factors in assessing whether to adjust for the impact of items that may be significant or that could affect an understanding of our ongoing financial and business performance or trends. Internally, management uses these non-GAAP financial measures, along with others, in assessing the company’s operating results, and measuring compliance with the requirements of the company’s debt financing agreements, as well as in planning and forecasting.</w:t>
      </w:r>
    </w:p>
    <w:p>
      <w:pPr>
        <w:spacing w:after="0" w:line="164"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Activision Blizzard’s non-GAAP financial measures are not based on a comprehensive set of accounting rules or principles, and the terms non-GAAP net income, non-GAAP earnings per share, non-GAAP operating margin, and non-GAAP or adjusted EBITDA do not have a standardized meaning. Therefore, other companies may use the same or similarly named measures, but exclude different items, which may not provide investors a comparable view of Activision Blizzard’s performance in relation to other companies.</w:t>
      </w:r>
    </w:p>
    <w:p>
      <w:pPr>
        <w:spacing w:after="0" w:line="189"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Management compensates for the limitations resulting from the exclusion of these items by considering the impact of the items separately and by considering Activision Blizzard’s GAAP, as well as non-GAAP, results and outlook, and by presenting the most comparable GAAP measures directly ahead of non-GAAP measures, and by providing a reconciliation that indicates and describes the adjustments made.</w:t>
      </w:r>
    </w:p>
    <w:p>
      <w:pPr>
        <w:spacing w:after="0" w:line="180" w:lineRule="exact"/>
        <w:rPr>
          <w:sz w:val="20"/>
          <w:szCs w:val="20"/>
          <w:color w:val="auto"/>
        </w:rPr>
      </w:pPr>
    </w:p>
    <w:p>
      <w:pPr>
        <w:jc w:val="both"/>
        <w:spacing w:after="0" w:line="269" w:lineRule="auto"/>
        <w:rPr>
          <w:sz w:val="20"/>
          <w:szCs w:val="20"/>
          <w:color w:val="auto"/>
        </w:rPr>
      </w:pPr>
      <w:r>
        <w:rPr>
          <w:rFonts w:ascii="Arial" w:cs="Arial" w:eastAsia="Arial" w:hAnsi="Arial"/>
          <w:sz w:val="16"/>
          <w:szCs w:val="16"/>
          <w:b w:val="1"/>
          <w:bCs w:val="1"/>
          <w:color w:val="auto"/>
        </w:rPr>
        <w:t xml:space="preserve">Cautionary Note Regarding Forward-looking Statements: </w:t>
      </w:r>
      <w:r>
        <w:rPr>
          <w:rFonts w:ascii="Arial" w:cs="Arial" w:eastAsia="Arial" w:hAnsi="Arial"/>
          <w:sz w:val="16"/>
          <w:szCs w:val="16"/>
          <w:color w:val="auto"/>
        </w:rPr>
        <w:t>The statements contained herein that are not historical facts are forward-looking statements, including, but not</w:t>
      </w:r>
      <w:r>
        <w:rPr>
          <w:rFonts w:ascii="Arial" w:cs="Arial" w:eastAsia="Arial" w:hAnsi="Arial"/>
          <w:sz w:val="16"/>
          <w:szCs w:val="16"/>
          <w:b w:val="1"/>
          <w:bCs w:val="1"/>
          <w:color w:val="auto"/>
        </w:rPr>
        <w:t xml:space="preserve"> </w:t>
      </w:r>
      <w:r>
        <w:rPr>
          <w:rFonts w:ascii="Arial" w:cs="Arial" w:eastAsia="Arial" w:hAnsi="Arial"/>
          <w:sz w:val="16"/>
          <w:szCs w:val="16"/>
          <w:color w:val="auto"/>
        </w:rPr>
        <w:t>limited to, statements about: (1) projections of revenues, expenses, income or loss, earnings or loss per share, cash flow or other financial items; (2) statements of our plans and objectives, including those related to releases of products and services and restructuring activities; (3) statements of future financial or operating performance, including the impact of tax items thereon; and (4) statements of assumptions underlying such statements. The company generally uses words such as “outlook,” “forecast,” “will,” “could,” “should,” “would,” “to be,” “plan,” “plans,” “believes,” “may,” “might,” “expects,” “intends,” “intends as,” “anticipates,” “estimate,” “future,” “positioned,” “potential,” “project,” “remain,” “scheduled,” “set to,” “subject to,” “upcoming,” and other similar expressions to help identify forward-looking statements. Forward-looking statements are subject to business and economic risks, reflect management’s current expectations, estimates, and projections about our business, and are inherently uncertain and difficult to predict.</w:t>
      </w:r>
    </w:p>
    <w:p>
      <w:pPr>
        <w:spacing w:after="0" w:line="191" w:lineRule="exact"/>
        <w:rPr>
          <w:sz w:val="20"/>
          <w:szCs w:val="20"/>
          <w:color w:val="auto"/>
        </w:rPr>
      </w:pPr>
    </w:p>
    <w:p>
      <w:pPr>
        <w:jc w:val="both"/>
        <w:spacing w:after="0" w:line="285" w:lineRule="auto"/>
        <w:rPr>
          <w:sz w:val="20"/>
          <w:szCs w:val="20"/>
          <w:color w:val="auto"/>
        </w:rPr>
      </w:pPr>
      <w:r>
        <w:rPr>
          <w:rFonts w:ascii="Arial" w:cs="Arial" w:eastAsia="Arial" w:hAnsi="Arial"/>
          <w:sz w:val="15"/>
          <w:szCs w:val="15"/>
          <w:color w:val="auto"/>
        </w:rPr>
        <w:t>We caution that a number of important factors could cause our actual future results and other future circumstances to differ materially from those expressed in any forward-looking statements. Such factors include, but are not limited to: our ability to consistently deliver popular, high-quality titles in a timely manner; our ability to satisfy the expectations of consumers with respect to our brands, games, services, and/or business practices; concentration of revenue among a small number of titles; the continued growth in the scope and complexity of our business, including the diversion of management time and attention to issues relating to the operations of our newly acquired or started businesses and the potential impact of our expansion into new businesses on our existing businesses; our ability to realize the expected financial and operational benefits of, and effectively manage, our recently announced restructuring plans; increasing importance of revenues derived from digital distribution channels; risks associated with the retail sales business model; substantial influence of third-party platform providers over our products and costs; success and availability of video game consoles manufactured by third parties; risks associated with the free-to-play business model, including dependence on a relatively small number of consumers for a significant portion of revenues and profits from any given game; risks and costs associated with legal proceedings; changes in tax rates or exposure to additional tax liabilities, as well as the outcome of current or future tax disputes; rapid changes in technology and industry standards; competition, including from other forms of entertainment; our ability to sell products at assumed pricing levels; our ability to attract, retain, and motivate skilled personnel; reliance on external developers for development of some of our software products; the amount of our debt and the limitations imposed by the covenants in the agreements governing our debt; counterparty risks relating to customers, licensees, licensors, and manufacturers; intellectual property claims; piracy and unauthorized copying of our products; risks and uncertainties of conducting business outside the U.S.; fluctuations in currency exchange rates; increasing regulation of our business, products, and distribution in key territories; compliance with continually evolving laws and regulations concerning data privacy; potential data breaches and other cybersecurity risks; and the other factors identified in “Risk Factors” included in Part I, Item 1A of our Annual Report on Form 10-K for the year ended December 31, 2018.</w:t>
      </w:r>
    </w:p>
    <w:p>
      <w:pPr>
        <w:spacing w:after="0" w:line="39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8" w:name="page9"/>
    <w:bookmarkEnd w:id="8"/>
    <w:p>
      <w:pPr>
        <w:spacing w:after="0"/>
        <w:rPr>
          <w:sz w:val="20"/>
          <w:szCs w:val="20"/>
          <w:color w:val="auto"/>
        </w:rPr>
      </w:pPr>
      <w:r>
        <w:rPr>
          <w:rFonts w:ascii="Arial" w:cs="Arial" w:eastAsia="Arial" w:hAnsi="Arial"/>
          <w:sz w:val="20"/>
          <w:szCs w:val="20"/>
          <w:i w:val="1"/>
          <w:iCs w:val="1"/>
          <w:color w:val="auto"/>
        </w:rPr>
        <w:t>Activision Blizzard Announces Q4 2019 Financial Results</w:t>
      </w:r>
    </w:p>
    <w:p>
      <w:pPr>
        <w:spacing w:after="0" w:line="223"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The forward-looking statements in this press release are based on information available to the company at this time and we assume no obligation to update any such forward-looking statements. Although these forward-looking statements are believed to be true when made, they may ultimately prove to be incorrect. These statements are not guarantees of our future performance and are subject to risks, uncertainties, and other factors, some of which are beyond our control and may cause actual results to differ materially from current expectations.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Activision Blizzard,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Investors and Analysts: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ir@activisionblizzard.com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pr@activisionblizzard.com</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(Tables to Follow)</w:t>
      </w:r>
    </w:p>
    <w:p>
      <w:pPr>
        <w:spacing w:after="0" w:line="200" w:lineRule="exact"/>
        <w:rPr>
          <w:sz w:val="20"/>
          <w:szCs w:val="20"/>
          <w:color w:val="auto"/>
        </w:rPr>
      </w:pPr>
    </w:p>
    <w:p>
      <w:pPr>
        <w:spacing w:after="0" w:line="23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b w:val="1"/>
          <w:bCs w:val="1"/>
          <w:color w:val="auto"/>
        </w:rPr>
        <w:t>1</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ACTIVISION BLIZZARD,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in millions, except per share data)</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700" w:type="dxa"/>
            <w:vAlign w:val="bottom"/>
          </w:tcPr>
          <w:p>
            <w:pPr>
              <w:spacing w:after="0"/>
              <w:rPr>
                <w:sz w:val="18"/>
                <w:szCs w:val="18"/>
                <w:color w:val="auto"/>
              </w:rPr>
            </w:pPr>
          </w:p>
        </w:tc>
        <w:tc>
          <w:tcPr>
            <w:tcW w:w="3340" w:type="dxa"/>
            <w:vAlign w:val="bottom"/>
            <w:tcBorders>
              <w:bottom w:val="single" w:sz="8" w:color="auto"/>
            </w:tcBorders>
            <w:gridSpan w:val="5"/>
          </w:tcPr>
          <w:p>
            <w:pPr>
              <w:jc w:val="right"/>
              <w:ind w:right="359"/>
              <w:spacing w:after="0"/>
              <w:rPr>
                <w:sz w:val="20"/>
                <w:szCs w:val="20"/>
                <w:color w:val="auto"/>
              </w:rPr>
            </w:pPr>
            <w:r>
              <w:rPr>
                <w:rFonts w:ascii="Arial" w:cs="Arial" w:eastAsia="Arial" w:hAnsi="Arial"/>
                <w:sz w:val="16"/>
                <w:szCs w:val="16"/>
                <w:b w:val="1"/>
                <w:bCs w:val="1"/>
                <w:color w:val="auto"/>
              </w:rPr>
              <w:t>Three Months Ended December 31,</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5"/>
          </w:tcPr>
          <w:p>
            <w:pPr>
              <w:jc w:val="right"/>
              <w:ind w:right="659"/>
              <w:spacing w:after="0"/>
              <w:rPr>
                <w:sz w:val="20"/>
                <w:szCs w:val="20"/>
                <w:color w:val="auto"/>
              </w:rPr>
            </w:pPr>
            <w:r>
              <w:rPr>
                <w:rFonts w:ascii="Arial" w:cs="Arial" w:eastAsia="Arial" w:hAnsi="Arial"/>
                <w:sz w:val="16"/>
                <w:szCs w:val="16"/>
                <w:b w:val="1"/>
                <w:bCs w:val="1"/>
                <w:color w:val="auto"/>
              </w:rPr>
              <w:t>Year Ended December 31,</w:t>
            </w:r>
          </w:p>
        </w:tc>
        <w:tc>
          <w:tcPr>
            <w:tcW w:w="0" w:type="dxa"/>
            <w:vAlign w:val="bottom"/>
          </w:tcPr>
          <w:p>
            <w:pPr>
              <w:spacing w:after="0"/>
              <w:rPr>
                <w:sz w:val="1"/>
                <w:szCs w:val="1"/>
                <w:color w:val="auto"/>
              </w:rPr>
            </w:pPr>
          </w:p>
        </w:tc>
      </w:tr>
      <w:tr>
        <w:trPr>
          <w:trHeight w:val="240"/>
        </w:trPr>
        <w:tc>
          <w:tcPr>
            <w:tcW w:w="4700" w:type="dxa"/>
            <w:vAlign w:val="bottom"/>
          </w:tcPr>
          <w:p>
            <w:pPr>
              <w:spacing w:after="0"/>
              <w:rPr>
                <w:sz w:val="20"/>
                <w:szCs w:val="20"/>
                <w:color w:val="auto"/>
              </w:rPr>
            </w:pPr>
          </w:p>
        </w:tc>
        <w:tc>
          <w:tcPr>
            <w:tcW w:w="10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2019</w:t>
            </w:r>
          </w:p>
        </w:tc>
        <w:tc>
          <w:tcPr>
            <w:tcW w:w="5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99"/>
              <w:spacing w:after="0" w:line="240" w:lineRule="exact"/>
              <w:rPr>
                <w:sz w:val="20"/>
                <w:szCs w:val="20"/>
                <w:color w:val="auto"/>
              </w:rPr>
            </w:pPr>
            <w:r>
              <w:rPr>
                <w:rFonts w:ascii="Arial" w:cs="Arial" w:eastAsia="Arial" w:hAnsi="Arial"/>
                <w:sz w:val="16"/>
                <w:szCs w:val="16"/>
                <w:b w:val="1"/>
                <w:bCs w:val="1"/>
                <w:color w:val="auto"/>
              </w:rPr>
              <w:t xml:space="preserve">2018 </w:t>
            </w:r>
            <w:r>
              <w:rPr>
                <w:rFonts w:ascii="Arial" w:cs="Arial" w:eastAsia="Arial" w:hAnsi="Arial"/>
                <w:sz w:val="27"/>
                <w:szCs w:val="27"/>
                <w:b w:val="1"/>
                <w:bCs w:val="1"/>
                <w:color w:val="auto"/>
                <w:vertAlign w:val="superscript"/>
              </w:rPr>
              <w:t>1</w:t>
            </w:r>
          </w:p>
        </w:tc>
        <w:tc>
          <w:tcPr>
            <w:tcW w:w="1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99"/>
              <w:spacing w:after="0" w:line="240" w:lineRule="exact"/>
              <w:rPr>
                <w:sz w:val="20"/>
                <w:szCs w:val="20"/>
                <w:color w:val="auto"/>
              </w:rPr>
            </w:pPr>
            <w:r>
              <w:rPr>
                <w:rFonts w:ascii="Arial" w:cs="Arial" w:eastAsia="Arial" w:hAnsi="Arial"/>
                <w:sz w:val="16"/>
                <w:szCs w:val="16"/>
                <w:b w:val="1"/>
                <w:bCs w:val="1"/>
                <w:color w:val="auto"/>
              </w:rPr>
              <w:t xml:space="preserve">2018 </w:t>
            </w:r>
            <w:r>
              <w:rPr>
                <w:rFonts w:ascii="Arial" w:cs="Arial" w:eastAsia="Arial" w:hAnsi="Arial"/>
                <w:sz w:val="27"/>
                <w:szCs w:val="27"/>
                <w:b w:val="1"/>
                <w:bCs w:val="1"/>
                <w:color w:val="auto"/>
                <w:vertAlign w:val="superscript"/>
              </w:rPr>
              <w:t>1</w:t>
            </w:r>
          </w:p>
        </w:tc>
        <w:tc>
          <w:tcPr>
            <w:tcW w:w="0" w:type="dxa"/>
            <w:vAlign w:val="bottom"/>
          </w:tcPr>
          <w:p>
            <w:pPr>
              <w:spacing w:after="0"/>
              <w:rPr>
                <w:sz w:val="1"/>
                <w:szCs w:val="1"/>
                <w:color w:val="auto"/>
              </w:rPr>
            </w:pPr>
          </w:p>
        </w:tc>
      </w:tr>
      <w:tr>
        <w:trPr>
          <w:trHeight w:val="389"/>
        </w:trPr>
        <w:tc>
          <w:tcPr>
            <w:tcW w:w="4700" w:type="dxa"/>
            <w:vAlign w:val="bottom"/>
          </w:tcPr>
          <w:p>
            <w:pPr>
              <w:spacing w:after="0"/>
              <w:rPr>
                <w:sz w:val="20"/>
                <w:szCs w:val="20"/>
                <w:color w:val="auto"/>
              </w:rPr>
            </w:pPr>
            <w:r>
              <w:rPr>
                <w:rFonts w:ascii="Arial" w:cs="Arial" w:eastAsia="Arial" w:hAnsi="Arial"/>
                <w:sz w:val="16"/>
                <w:szCs w:val="16"/>
                <w:b w:val="1"/>
                <w:bCs w:val="1"/>
                <w:color w:val="auto"/>
              </w:rPr>
              <w:t>Net revenues</w:t>
            </w:r>
          </w:p>
        </w:tc>
        <w:tc>
          <w:tcPr>
            <w:tcW w:w="10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4700" w:type="dxa"/>
            <w:vAlign w:val="bottom"/>
          </w:tcPr>
          <w:p>
            <w:pPr>
              <w:ind w:left="180"/>
              <w:spacing w:after="0"/>
              <w:rPr>
                <w:sz w:val="20"/>
                <w:szCs w:val="20"/>
                <w:color w:val="auto"/>
              </w:rPr>
            </w:pPr>
            <w:r>
              <w:rPr>
                <w:rFonts w:ascii="Arial" w:cs="Arial" w:eastAsia="Arial" w:hAnsi="Arial"/>
                <w:sz w:val="16"/>
                <w:szCs w:val="16"/>
                <w:color w:val="auto"/>
              </w:rPr>
              <w:t>Product sales</w:t>
            </w:r>
          </w:p>
        </w:tc>
        <w:tc>
          <w:tcPr>
            <w:tcW w:w="1040" w:type="dxa"/>
            <w:vAlign w:val="bottom"/>
          </w:tcPr>
          <w:p>
            <w:pPr>
              <w:jc w:val="right"/>
              <w:ind w:right="882"/>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699</w:t>
            </w:r>
          </w:p>
        </w:tc>
        <w:tc>
          <w:tcPr>
            <w:tcW w:w="120" w:type="dxa"/>
            <w:vAlign w:val="bottom"/>
          </w:tcPr>
          <w:p>
            <w:pPr>
              <w:spacing w:after="0"/>
              <w:rPr>
                <w:sz w:val="17"/>
                <w:szCs w:val="17"/>
                <w:color w:val="auto"/>
              </w:rPr>
            </w:pPr>
          </w:p>
        </w:tc>
        <w:tc>
          <w:tcPr>
            <w:tcW w:w="340" w:type="dxa"/>
            <w:vAlign w:val="bottom"/>
          </w:tcPr>
          <w:p>
            <w:pPr>
              <w:jc w:val="right"/>
              <w:ind w:right="184"/>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808</w:t>
            </w:r>
          </w:p>
        </w:tc>
        <w:tc>
          <w:tcPr>
            <w:tcW w:w="460" w:type="dxa"/>
            <w:vAlign w:val="bottom"/>
            <w:gridSpan w:val="2"/>
          </w:tcPr>
          <w:p>
            <w:pPr>
              <w:jc w:val="right"/>
              <w:ind w:right="184"/>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1,975</w:t>
            </w:r>
          </w:p>
        </w:tc>
        <w:tc>
          <w:tcPr>
            <w:tcW w:w="100" w:type="dxa"/>
            <w:vAlign w:val="bottom"/>
          </w:tcPr>
          <w:p>
            <w:pPr>
              <w:spacing w:after="0"/>
              <w:rPr>
                <w:sz w:val="17"/>
                <w:szCs w:val="17"/>
                <w:color w:val="auto"/>
              </w:rPr>
            </w:pPr>
          </w:p>
        </w:tc>
        <w:tc>
          <w:tcPr>
            <w:tcW w:w="320" w:type="dxa"/>
            <w:vAlign w:val="bottom"/>
            <w:gridSpan w:val="2"/>
          </w:tcPr>
          <w:p>
            <w:pPr>
              <w:jc w:val="right"/>
              <w:ind w:right="189"/>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2,255</w:t>
            </w:r>
          </w:p>
        </w:tc>
        <w:tc>
          <w:tcPr>
            <w:tcW w:w="0" w:type="dxa"/>
            <w:vAlign w:val="bottom"/>
          </w:tcPr>
          <w:p>
            <w:pPr>
              <w:spacing w:after="0"/>
              <w:rPr>
                <w:sz w:val="1"/>
                <w:szCs w:val="1"/>
                <w:color w:val="auto"/>
              </w:rPr>
            </w:pPr>
          </w:p>
        </w:tc>
      </w:tr>
      <w:tr>
        <w:trPr>
          <w:trHeight w:val="254"/>
        </w:trPr>
        <w:tc>
          <w:tcPr>
            <w:tcW w:w="4700" w:type="dxa"/>
            <w:vAlign w:val="bottom"/>
          </w:tcPr>
          <w:p>
            <w:pPr>
              <w:ind w:left="180"/>
              <w:spacing w:after="0" w:line="254" w:lineRule="exact"/>
              <w:rPr>
                <w:sz w:val="20"/>
                <w:szCs w:val="20"/>
                <w:color w:val="auto"/>
              </w:rPr>
            </w:pPr>
            <w:r>
              <w:rPr>
                <w:rFonts w:ascii="Arial" w:cs="Arial" w:eastAsia="Arial" w:hAnsi="Arial"/>
                <w:sz w:val="16"/>
                <w:szCs w:val="16"/>
                <w:color w:val="auto"/>
              </w:rPr>
              <w:t>Subscription, licensing, and other revenues</w:t>
            </w:r>
            <w:r>
              <w:rPr>
                <w:rFonts w:ascii="Arial" w:cs="Arial" w:eastAsia="Arial" w:hAnsi="Arial"/>
                <w:sz w:val="27"/>
                <w:szCs w:val="27"/>
                <w:color w:val="auto"/>
                <w:vertAlign w:val="superscript"/>
              </w:rPr>
              <w:t>2</w:t>
            </w:r>
          </w:p>
        </w:tc>
        <w:tc>
          <w:tcPr>
            <w:tcW w:w="104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1,287</w:t>
            </w:r>
          </w:p>
        </w:tc>
        <w:tc>
          <w:tcPr>
            <w:tcW w:w="1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1,573</w:t>
            </w:r>
          </w:p>
        </w:tc>
        <w:tc>
          <w:tcPr>
            <w:tcW w:w="1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4,514</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5,245</w:t>
            </w:r>
          </w:p>
        </w:tc>
        <w:tc>
          <w:tcPr>
            <w:tcW w:w="0" w:type="dxa"/>
            <w:vAlign w:val="bottom"/>
          </w:tcPr>
          <w:p>
            <w:pPr>
              <w:spacing w:after="0"/>
              <w:rPr>
                <w:sz w:val="1"/>
                <w:szCs w:val="1"/>
                <w:color w:val="auto"/>
              </w:rPr>
            </w:pPr>
          </w:p>
        </w:tc>
      </w:tr>
      <w:tr>
        <w:trPr>
          <w:trHeight w:val="200"/>
        </w:trPr>
        <w:tc>
          <w:tcPr>
            <w:tcW w:w="4700" w:type="dxa"/>
            <w:vAlign w:val="bottom"/>
          </w:tcPr>
          <w:p>
            <w:pPr>
              <w:spacing w:after="0"/>
              <w:rPr>
                <w:sz w:val="20"/>
                <w:szCs w:val="20"/>
                <w:color w:val="auto"/>
              </w:rPr>
            </w:pPr>
            <w:r>
              <w:rPr>
                <w:rFonts w:ascii="Arial" w:cs="Arial" w:eastAsia="Arial" w:hAnsi="Arial"/>
                <w:sz w:val="16"/>
                <w:szCs w:val="16"/>
                <w:color w:val="auto"/>
              </w:rPr>
              <w:t>Total net revenues</w:t>
            </w:r>
          </w:p>
        </w:tc>
        <w:tc>
          <w:tcPr>
            <w:tcW w:w="1040" w:type="dxa"/>
            <w:vAlign w:val="bottom"/>
          </w:tcPr>
          <w:p>
            <w:pPr>
              <w:spacing w:after="0"/>
              <w:rPr>
                <w:sz w:val="17"/>
                <w:szCs w:val="17"/>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1,986</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2,381</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6,489</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7,500</w:t>
            </w:r>
          </w:p>
        </w:tc>
        <w:tc>
          <w:tcPr>
            <w:tcW w:w="0" w:type="dxa"/>
            <w:vAlign w:val="bottom"/>
          </w:tcPr>
          <w:p>
            <w:pPr>
              <w:spacing w:after="0"/>
              <w:rPr>
                <w:sz w:val="1"/>
                <w:szCs w:val="1"/>
                <w:color w:val="auto"/>
              </w:rPr>
            </w:pPr>
          </w:p>
        </w:tc>
      </w:tr>
      <w:tr>
        <w:trPr>
          <w:trHeight w:val="391"/>
        </w:trPr>
        <w:tc>
          <w:tcPr>
            <w:tcW w:w="4700" w:type="dxa"/>
            <w:vAlign w:val="bottom"/>
          </w:tcPr>
          <w:p>
            <w:pPr>
              <w:spacing w:after="0"/>
              <w:rPr>
                <w:sz w:val="20"/>
                <w:szCs w:val="20"/>
                <w:color w:val="auto"/>
              </w:rPr>
            </w:pPr>
            <w:r>
              <w:rPr>
                <w:rFonts w:ascii="Arial" w:cs="Arial" w:eastAsia="Arial" w:hAnsi="Arial"/>
                <w:sz w:val="16"/>
                <w:szCs w:val="16"/>
                <w:b w:val="1"/>
                <w:bCs w:val="1"/>
                <w:color w:val="auto"/>
              </w:rPr>
              <w:t>Costs and expenses</w:t>
            </w:r>
          </w:p>
        </w:tc>
        <w:tc>
          <w:tcPr>
            <w:tcW w:w="10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700" w:type="dxa"/>
            <w:vAlign w:val="bottom"/>
          </w:tcPr>
          <w:p>
            <w:pPr>
              <w:ind w:left="180"/>
              <w:spacing w:after="0"/>
              <w:rPr>
                <w:sz w:val="20"/>
                <w:szCs w:val="20"/>
                <w:color w:val="auto"/>
              </w:rPr>
            </w:pPr>
            <w:r>
              <w:rPr>
                <w:rFonts w:ascii="Arial" w:cs="Arial" w:eastAsia="Arial" w:hAnsi="Arial"/>
                <w:sz w:val="16"/>
                <w:szCs w:val="16"/>
                <w:color w:val="auto"/>
              </w:rPr>
              <w:t>Cost of revenues—product sales:</w:t>
            </w:r>
          </w:p>
        </w:tc>
        <w:tc>
          <w:tcPr>
            <w:tcW w:w="10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00" w:type="dxa"/>
            <w:vAlign w:val="bottom"/>
          </w:tcPr>
          <w:p>
            <w:pPr>
              <w:ind w:left="340"/>
              <w:spacing w:after="0"/>
              <w:rPr>
                <w:sz w:val="20"/>
                <w:szCs w:val="20"/>
                <w:color w:val="auto"/>
              </w:rPr>
            </w:pPr>
            <w:r>
              <w:rPr>
                <w:rFonts w:ascii="Arial" w:cs="Arial" w:eastAsia="Arial" w:hAnsi="Arial"/>
                <w:sz w:val="16"/>
                <w:szCs w:val="16"/>
                <w:color w:val="auto"/>
              </w:rPr>
              <w:t>Product costs</w:t>
            </w:r>
          </w:p>
        </w:tc>
        <w:tc>
          <w:tcPr>
            <w:tcW w:w="1040" w:type="dxa"/>
            <w:vAlign w:val="bottom"/>
          </w:tcPr>
          <w:p>
            <w:pPr>
              <w:spacing w:after="0"/>
              <w:rPr>
                <w:sz w:val="17"/>
                <w:szCs w:val="17"/>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268</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303</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656</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719</w:t>
            </w:r>
          </w:p>
        </w:tc>
        <w:tc>
          <w:tcPr>
            <w:tcW w:w="0" w:type="dxa"/>
            <w:vAlign w:val="bottom"/>
          </w:tcPr>
          <w:p>
            <w:pPr>
              <w:spacing w:after="0"/>
              <w:rPr>
                <w:sz w:val="1"/>
                <w:szCs w:val="1"/>
                <w:color w:val="auto"/>
              </w:rPr>
            </w:pPr>
          </w:p>
        </w:tc>
      </w:tr>
      <w:tr>
        <w:trPr>
          <w:trHeight w:val="203"/>
        </w:trPr>
        <w:tc>
          <w:tcPr>
            <w:tcW w:w="4700" w:type="dxa"/>
            <w:vAlign w:val="bottom"/>
          </w:tcPr>
          <w:p>
            <w:pPr>
              <w:ind w:left="340"/>
              <w:spacing w:after="0"/>
              <w:rPr>
                <w:sz w:val="20"/>
                <w:szCs w:val="20"/>
                <w:color w:val="auto"/>
              </w:rPr>
            </w:pPr>
            <w:r>
              <w:rPr>
                <w:rFonts w:ascii="Arial" w:cs="Arial" w:eastAsia="Arial" w:hAnsi="Arial"/>
                <w:sz w:val="16"/>
                <w:szCs w:val="16"/>
                <w:color w:val="auto"/>
                <w:w w:val="93"/>
              </w:rPr>
              <w:t>Software royalties, amortization, and intellectual property licenses</w:t>
            </w:r>
          </w:p>
        </w:tc>
        <w:tc>
          <w:tcPr>
            <w:tcW w:w="1040" w:type="dxa"/>
            <w:vAlign w:val="bottom"/>
          </w:tcPr>
          <w:p>
            <w:pPr>
              <w:spacing w:after="0"/>
              <w:rPr>
                <w:sz w:val="17"/>
                <w:szCs w:val="17"/>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69</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157</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240</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371</w:t>
            </w:r>
          </w:p>
        </w:tc>
        <w:tc>
          <w:tcPr>
            <w:tcW w:w="0" w:type="dxa"/>
            <w:vAlign w:val="bottom"/>
          </w:tcPr>
          <w:p>
            <w:pPr>
              <w:spacing w:after="0"/>
              <w:rPr>
                <w:sz w:val="1"/>
                <w:szCs w:val="1"/>
                <w:color w:val="auto"/>
              </w:rPr>
            </w:pPr>
          </w:p>
        </w:tc>
      </w:tr>
      <w:tr>
        <w:trPr>
          <w:trHeight w:val="203"/>
        </w:trPr>
        <w:tc>
          <w:tcPr>
            <w:tcW w:w="4700" w:type="dxa"/>
            <w:vAlign w:val="bottom"/>
          </w:tcPr>
          <w:p>
            <w:pPr>
              <w:ind w:left="180"/>
              <w:spacing w:after="0"/>
              <w:rPr>
                <w:sz w:val="20"/>
                <w:szCs w:val="20"/>
                <w:color w:val="auto"/>
              </w:rPr>
            </w:pPr>
            <w:r>
              <w:rPr>
                <w:rFonts w:ascii="Arial" w:cs="Arial" w:eastAsia="Arial" w:hAnsi="Arial"/>
                <w:sz w:val="16"/>
                <w:szCs w:val="16"/>
                <w:color w:val="auto"/>
              </w:rPr>
              <w:t>Cost of revenues—subscription, licensing, and other:</w:t>
            </w:r>
          </w:p>
        </w:tc>
        <w:tc>
          <w:tcPr>
            <w:tcW w:w="10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00" w:type="dxa"/>
            <w:vAlign w:val="bottom"/>
          </w:tcPr>
          <w:p>
            <w:pPr>
              <w:ind w:left="340"/>
              <w:spacing w:after="0"/>
              <w:rPr>
                <w:sz w:val="20"/>
                <w:szCs w:val="20"/>
                <w:color w:val="auto"/>
              </w:rPr>
            </w:pPr>
            <w:r>
              <w:rPr>
                <w:rFonts w:ascii="Arial" w:cs="Arial" w:eastAsia="Arial" w:hAnsi="Arial"/>
                <w:sz w:val="16"/>
                <w:szCs w:val="16"/>
                <w:color w:val="auto"/>
              </w:rPr>
              <w:t>Game operations and distribution costs</w:t>
            </w:r>
          </w:p>
        </w:tc>
        <w:tc>
          <w:tcPr>
            <w:tcW w:w="1040" w:type="dxa"/>
            <w:vAlign w:val="bottom"/>
          </w:tcPr>
          <w:p>
            <w:pPr>
              <w:spacing w:after="0"/>
              <w:rPr>
                <w:sz w:val="17"/>
                <w:szCs w:val="17"/>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251</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251</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965</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1,028</w:t>
            </w:r>
          </w:p>
        </w:tc>
        <w:tc>
          <w:tcPr>
            <w:tcW w:w="0" w:type="dxa"/>
            <w:vAlign w:val="bottom"/>
          </w:tcPr>
          <w:p>
            <w:pPr>
              <w:spacing w:after="0"/>
              <w:rPr>
                <w:sz w:val="1"/>
                <w:szCs w:val="1"/>
                <w:color w:val="auto"/>
              </w:rPr>
            </w:pPr>
          </w:p>
        </w:tc>
      </w:tr>
      <w:tr>
        <w:trPr>
          <w:trHeight w:val="203"/>
        </w:trPr>
        <w:tc>
          <w:tcPr>
            <w:tcW w:w="4700" w:type="dxa"/>
            <w:vAlign w:val="bottom"/>
          </w:tcPr>
          <w:p>
            <w:pPr>
              <w:ind w:left="340"/>
              <w:spacing w:after="0"/>
              <w:rPr>
                <w:sz w:val="20"/>
                <w:szCs w:val="20"/>
                <w:color w:val="auto"/>
              </w:rPr>
            </w:pPr>
            <w:r>
              <w:rPr>
                <w:rFonts w:ascii="Arial" w:cs="Arial" w:eastAsia="Arial" w:hAnsi="Arial"/>
                <w:sz w:val="16"/>
                <w:szCs w:val="16"/>
                <w:color w:val="auto"/>
                <w:w w:val="93"/>
              </w:rPr>
              <w:t>Software royalties, amortization, and intellectual property licenses</w:t>
            </w:r>
          </w:p>
        </w:tc>
        <w:tc>
          <w:tcPr>
            <w:tcW w:w="1040" w:type="dxa"/>
            <w:vAlign w:val="bottom"/>
          </w:tcPr>
          <w:p>
            <w:pPr>
              <w:spacing w:after="0"/>
              <w:rPr>
                <w:sz w:val="17"/>
                <w:szCs w:val="17"/>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68</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121</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233</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399</w:t>
            </w:r>
          </w:p>
        </w:tc>
        <w:tc>
          <w:tcPr>
            <w:tcW w:w="0" w:type="dxa"/>
            <w:vAlign w:val="bottom"/>
          </w:tcPr>
          <w:p>
            <w:pPr>
              <w:spacing w:after="0"/>
              <w:rPr>
                <w:sz w:val="1"/>
                <w:szCs w:val="1"/>
                <w:color w:val="auto"/>
              </w:rPr>
            </w:pPr>
          </w:p>
        </w:tc>
      </w:tr>
      <w:tr>
        <w:trPr>
          <w:trHeight w:val="203"/>
        </w:trPr>
        <w:tc>
          <w:tcPr>
            <w:tcW w:w="4700" w:type="dxa"/>
            <w:vAlign w:val="bottom"/>
          </w:tcPr>
          <w:p>
            <w:pPr>
              <w:ind w:left="180"/>
              <w:spacing w:after="0"/>
              <w:rPr>
                <w:sz w:val="20"/>
                <w:szCs w:val="20"/>
                <w:color w:val="auto"/>
              </w:rPr>
            </w:pPr>
            <w:r>
              <w:rPr>
                <w:rFonts w:ascii="Arial" w:cs="Arial" w:eastAsia="Arial" w:hAnsi="Arial"/>
                <w:sz w:val="16"/>
                <w:szCs w:val="16"/>
                <w:color w:val="auto"/>
              </w:rPr>
              <w:t>Product development</w:t>
            </w:r>
          </w:p>
        </w:tc>
        <w:tc>
          <w:tcPr>
            <w:tcW w:w="1040" w:type="dxa"/>
            <w:vAlign w:val="bottom"/>
          </w:tcPr>
          <w:p>
            <w:pPr>
              <w:spacing w:after="0"/>
              <w:rPr>
                <w:sz w:val="17"/>
                <w:szCs w:val="17"/>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296</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325</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998</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1,101</w:t>
            </w:r>
          </w:p>
        </w:tc>
        <w:tc>
          <w:tcPr>
            <w:tcW w:w="0" w:type="dxa"/>
            <w:vAlign w:val="bottom"/>
          </w:tcPr>
          <w:p>
            <w:pPr>
              <w:spacing w:after="0"/>
              <w:rPr>
                <w:sz w:val="1"/>
                <w:szCs w:val="1"/>
                <w:color w:val="auto"/>
              </w:rPr>
            </w:pPr>
          </w:p>
        </w:tc>
      </w:tr>
      <w:tr>
        <w:trPr>
          <w:trHeight w:val="203"/>
        </w:trPr>
        <w:tc>
          <w:tcPr>
            <w:tcW w:w="4700" w:type="dxa"/>
            <w:vAlign w:val="bottom"/>
          </w:tcPr>
          <w:p>
            <w:pPr>
              <w:ind w:left="180"/>
              <w:spacing w:after="0"/>
              <w:rPr>
                <w:sz w:val="20"/>
                <w:szCs w:val="20"/>
                <w:color w:val="auto"/>
              </w:rPr>
            </w:pPr>
            <w:r>
              <w:rPr>
                <w:rFonts w:ascii="Arial" w:cs="Arial" w:eastAsia="Arial" w:hAnsi="Arial"/>
                <w:sz w:val="16"/>
                <w:szCs w:val="16"/>
                <w:color w:val="auto"/>
              </w:rPr>
              <w:t>Sales and marketing</w:t>
            </w:r>
          </w:p>
        </w:tc>
        <w:tc>
          <w:tcPr>
            <w:tcW w:w="1040" w:type="dxa"/>
            <w:vAlign w:val="bottom"/>
          </w:tcPr>
          <w:p>
            <w:pPr>
              <w:spacing w:after="0"/>
              <w:rPr>
                <w:sz w:val="17"/>
                <w:szCs w:val="17"/>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346</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321</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926</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1,062</w:t>
            </w:r>
          </w:p>
        </w:tc>
        <w:tc>
          <w:tcPr>
            <w:tcW w:w="0" w:type="dxa"/>
            <w:vAlign w:val="bottom"/>
          </w:tcPr>
          <w:p>
            <w:pPr>
              <w:spacing w:after="0"/>
              <w:rPr>
                <w:sz w:val="1"/>
                <w:szCs w:val="1"/>
                <w:color w:val="auto"/>
              </w:rPr>
            </w:pPr>
          </w:p>
        </w:tc>
      </w:tr>
      <w:tr>
        <w:trPr>
          <w:trHeight w:val="203"/>
        </w:trPr>
        <w:tc>
          <w:tcPr>
            <w:tcW w:w="4700" w:type="dxa"/>
            <w:vAlign w:val="bottom"/>
          </w:tcPr>
          <w:p>
            <w:pPr>
              <w:ind w:left="180"/>
              <w:spacing w:after="0"/>
              <w:rPr>
                <w:sz w:val="20"/>
                <w:szCs w:val="20"/>
                <w:color w:val="auto"/>
              </w:rPr>
            </w:pPr>
            <w:r>
              <w:rPr>
                <w:rFonts w:ascii="Arial" w:cs="Arial" w:eastAsia="Arial" w:hAnsi="Arial"/>
                <w:sz w:val="16"/>
                <w:szCs w:val="16"/>
                <w:color w:val="auto"/>
              </w:rPr>
              <w:t>General and administrative</w:t>
            </w:r>
          </w:p>
        </w:tc>
        <w:tc>
          <w:tcPr>
            <w:tcW w:w="1040" w:type="dxa"/>
            <w:vAlign w:val="bottom"/>
          </w:tcPr>
          <w:p>
            <w:pPr>
              <w:spacing w:after="0"/>
              <w:rPr>
                <w:sz w:val="17"/>
                <w:szCs w:val="17"/>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205</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199</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732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822</w:t>
            </w:r>
          </w:p>
        </w:tc>
        <w:tc>
          <w:tcPr>
            <w:tcW w:w="0" w:type="dxa"/>
            <w:vAlign w:val="bottom"/>
          </w:tcPr>
          <w:p>
            <w:pPr>
              <w:spacing w:after="0"/>
              <w:rPr>
                <w:sz w:val="1"/>
                <w:szCs w:val="1"/>
                <w:color w:val="auto"/>
              </w:rPr>
            </w:pPr>
          </w:p>
        </w:tc>
      </w:tr>
      <w:tr>
        <w:trPr>
          <w:trHeight w:val="206"/>
        </w:trPr>
        <w:tc>
          <w:tcPr>
            <w:tcW w:w="4700" w:type="dxa"/>
            <w:vAlign w:val="bottom"/>
          </w:tcPr>
          <w:p>
            <w:pPr>
              <w:ind w:left="180"/>
              <w:spacing w:after="0"/>
              <w:rPr>
                <w:sz w:val="20"/>
                <w:szCs w:val="20"/>
                <w:color w:val="auto"/>
              </w:rPr>
            </w:pPr>
            <w:r>
              <w:rPr>
                <w:rFonts w:ascii="Arial" w:cs="Arial" w:eastAsia="Arial" w:hAnsi="Arial"/>
                <w:sz w:val="16"/>
                <w:szCs w:val="16"/>
                <w:color w:val="auto"/>
              </w:rPr>
              <w:t>Restructuring and related costs</w:t>
            </w:r>
          </w:p>
        </w:tc>
        <w:tc>
          <w:tcPr>
            <w:tcW w:w="10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29</w:t>
            </w: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132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02"/>
        </w:trPr>
        <w:tc>
          <w:tcPr>
            <w:tcW w:w="4700" w:type="dxa"/>
            <w:vAlign w:val="bottom"/>
          </w:tcPr>
          <w:p>
            <w:pPr>
              <w:spacing w:after="0"/>
              <w:rPr>
                <w:sz w:val="20"/>
                <w:szCs w:val="20"/>
                <w:color w:val="auto"/>
              </w:rPr>
            </w:pPr>
            <w:r>
              <w:rPr>
                <w:rFonts w:ascii="Arial" w:cs="Arial" w:eastAsia="Arial" w:hAnsi="Arial"/>
                <w:sz w:val="16"/>
                <w:szCs w:val="16"/>
                <w:color w:val="auto"/>
              </w:rPr>
              <w:t>Total costs and expenses</w:t>
            </w:r>
          </w:p>
        </w:tc>
        <w:tc>
          <w:tcPr>
            <w:tcW w:w="10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1,532</w:t>
            </w: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1,687</w:t>
            </w: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4,882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5,512</w:t>
            </w:r>
          </w:p>
        </w:tc>
        <w:tc>
          <w:tcPr>
            <w:tcW w:w="0" w:type="dxa"/>
            <w:vAlign w:val="bottom"/>
          </w:tcPr>
          <w:p>
            <w:pPr>
              <w:spacing w:after="0"/>
              <w:rPr>
                <w:sz w:val="1"/>
                <w:szCs w:val="1"/>
                <w:color w:val="auto"/>
              </w:rPr>
            </w:pPr>
          </w:p>
        </w:tc>
      </w:tr>
      <w:tr>
        <w:trPr>
          <w:trHeight w:val="389"/>
        </w:trPr>
        <w:tc>
          <w:tcPr>
            <w:tcW w:w="4700" w:type="dxa"/>
            <w:vAlign w:val="bottom"/>
          </w:tcPr>
          <w:p>
            <w:pPr>
              <w:spacing w:after="0"/>
              <w:rPr>
                <w:sz w:val="20"/>
                <w:szCs w:val="20"/>
                <w:color w:val="auto"/>
              </w:rPr>
            </w:pPr>
            <w:r>
              <w:rPr>
                <w:rFonts w:ascii="Arial" w:cs="Arial" w:eastAsia="Arial" w:hAnsi="Arial"/>
                <w:sz w:val="16"/>
                <w:szCs w:val="16"/>
                <w:color w:val="auto"/>
              </w:rPr>
              <w:t>Operating income</w:t>
            </w:r>
          </w:p>
        </w:tc>
        <w:tc>
          <w:tcPr>
            <w:tcW w:w="1040" w:type="dxa"/>
            <w:vAlign w:val="bottom"/>
          </w:tcPr>
          <w:p>
            <w:pPr>
              <w:spacing w:after="0"/>
              <w:rPr>
                <w:sz w:val="24"/>
                <w:szCs w:val="24"/>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454</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694</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1,607</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1,988</w:t>
            </w:r>
          </w:p>
        </w:tc>
        <w:tc>
          <w:tcPr>
            <w:tcW w:w="0" w:type="dxa"/>
            <w:vAlign w:val="bottom"/>
          </w:tcPr>
          <w:p>
            <w:pPr>
              <w:spacing w:after="0"/>
              <w:rPr>
                <w:sz w:val="1"/>
                <w:szCs w:val="1"/>
                <w:color w:val="auto"/>
              </w:rPr>
            </w:pPr>
          </w:p>
        </w:tc>
      </w:tr>
      <w:tr>
        <w:trPr>
          <w:trHeight w:val="203"/>
        </w:trPr>
        <w:tc>
          <w:tcPr>
            <w:tcW w:w="4700" w:type="dxa"/>
            <w:vAlign w:val="bottom"/>
          </w:tcPr>
          <w:p>
            <w:pPr>
              <w:spacing w:after="0"/>
              <w:rPr>
                <w:sz w:val="20"/>
                <w:szCs w:val="20"/>
                <w:color w:val="auto"/>
              </w:rPr>
            </w:pPr>
            <w:r>
              <w:rPr>
                <w:rFonts w:ascii="Arial" w:cs="Arial" w:eastAsia="Arial" w:hAnsi="Arial"/>
                <w:sz w:val="16"/>
                <w:szCs w:val="16"/>
                <w:color w:val="auto"/>
              </w:rPr>
              <w:t>Interest and other expense (income), net</w:t>
            </w:r>
          </w:p>
        </w:tc>
        <w:tc>
          <w:tcPr>
            <w:tcW w:w="1040" w:type="dxa"/>
            <w:vAlign w:val="bottom"/>
          </w:tcPr>
          <w:p>
            <w:pPr>
              <w:spacing w:after="0"/>
              <w:rPr>
                <w:sz w:val="17"/>
                <w:szCs w:val="17"/>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71</w:t>
            </w:r>
          </w:p>
        </w:tc>
        <w:tc>
          <w:tcPr>
            <w:tcW w:w="0" w:type="dxa"/>
            <w:vAlign w:val="bottom"/>
          </w:tcPr>
          <w:p>
            <w:pPr>
              <w:spacing w:after="0"/>
              <w:rPr>
                <w:sz w:val="1"/>
                <w:szCs w:val="1"/>
                <w:color w:val="auto"/>
              </w:rPr>
            </w:pPr>
          </w:p>
        </w:tc>
      </w:tr>
      <w:tr>
        <w:trPr>
          <w:trHeight w:val="206"/>
        </w:trPr>
        <w:tc>
          <w:tcPr>
            <w:tcW w:w="4700" w:type="dxa"/>
            <w:vAlign w:val="bottom"/>
          </w:tcPr>
          <w:p>
            <w:pPr>
              <w:spacing w:after="0"/>
              <w:rPr>
                <w:sz w:val="20"/>
                <w:szCs w:val="20"/>
                <w:color w:val="auto"/>
              </w:rPr>
            </w:pPr>
            <w:r>
              <w:rPr>
                <w:rFonts w:ascii="Arial" w:cs="Arial" w:eastAsia="Arial" w:hAnsi="Arial"/>
                <w:sz w:val="16"/>
                <w:szCs w:val="16"/>
                <w:color w:val="auto"/>
              </w:rPr>
              <w:t>Loss on extinguishment of debt</w:t>
            </w:r>
          </w:p>
        </w:tc>
        <w:tc>
          <w:tcPr>
            <w:tcW w:w="1040" w:type="dxa"/>
            <w:vAlign w:val="bottom"/>
          </w:tcPr>
          <w:p>
            <w:pPr>
              <w:spacing w:after="0"/>
              <w:rPr>
                <w:sz w:val="17"/>
                <w:szCs w:val="17"/>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06"/>
        </w:trPr>
        <w:tc>
          <w:tcPr>
            <w:tcW w:w="4700" w:type="dxa"/>
            <w:vAlign w:val="bottom"/>
          </w:tcPr>
          <w:p>
            <w:pPr>
              <w:spacing w:after="0"/>
              <w:rPr>
                <w:sz w:val="20"/>
                <w:szCs w:val="20"/>
                <w:color w:val="auto"/>
              </w:rPr>
            </w:pPr>
            <w:r>
              <w:rPr>
                <w:rFonts w:ascii="Arial" w:cs="Arial" w:eastAsia="Arial" w:hAnsi="Arial"/>
                <w:sz w:val="16"/>
                <w:szCs w:val="16"/>
                <w:color w:val="auto"/>
              </w:rPr>
              <w:t>Income before income tax expense (benefit)</w:t>
            </w:r>
          </w:p>
        </w:tc>
        <w:tc>
          <w:tcPr>
            <w:tcW w:w="104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447</w:t>
            </w:r>
          </w:p>
        </w:tc>
        <w:tc>
          <w:tcPr>
            <w:tcW w:w="1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690</w:t>
            </w:r>
          </w:p>
        </w:tc>
        <w:tc>
          <w:tcPr>
            <w:tcW w:w="1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1,633</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1,877</w:t>
            </w:r>
          </w:p>
        </w:tc>
        <w:tc>
          <w:tcPr>
            <w:tcW w:w="0" w:type="dxa"/>
            <w:vAlign w:val="bottom"/>
          </w:tcPr>
          <w:p>
            <w:pPr>
              <w:spacing w:after="0"/>
              <w:rPr>
                <w:sz w:val="1"/>
                <w:szCs w:val="1"/>
                <w:color w:val="auto"/>
              </w:rPr>
            </w:pPr>
          </w:p>
        </w:tc>
      </w:tr>
      <w:tr>
        <w:trPr>
          <w:trHeight w:val="395"/>
        </w:trPr>
        <w:tc>
          <w:tcPr>
            <w:tcW w:w="4700" w:type="dxa"/>
            <w:vAlign w:val="bottom"/>
          </w:tcPr>
          <w:p>
            <w:pPr>
              <w:spacing w:after="0"/>
              <w:rPr>
                <w:sz w:val="20"/>
                <w:szCs w:val="20"/>
                <w:color w:val="auto"/>
              </w:rPr>
            </w:pPr>
            <w:r>
              <w:rPr>
                <w:rFonts w:ascii="Arial" w:cs="Arial" w:eastAsia="Arial" w:hAnsi="Arial"/>
                <w:sz w:val="16"/>
                <w:szCs w:val="16"/>
                <w:color w:val="auto"/>
              </w:rPr>
              <w:t>Income tax expense (benefit)</w:t>
            </w:r>
          </w:p>
        </w:tc>
        <w:tc>
          <w:tcPr>
            <w:tcW w:w="10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(78)</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130</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09"/>
        </w:trPr>
        <w:tc>
          <w:tcPr>
            <w:tcW w:w="4700" w:type="dxa"/>
            <w:vAlign w:val="bottom"/>
            <w:vMerge w:val="restart"/>
          </w:tcPr>
          <w:p>
            <w:pPr>
              <w:spacing w:after="0"/>
              <w:rPr>
                <w:sz w:val="20"/>
                <w:szCs w:val="20"/>
                <w:color w:val="auto"/>
              </w:rPr>
            </w:pPr>
            <w:r>
              <w:rPr>
                <w:rFonts w:ascii="Arial" w:cs="Arial" w:eastAsia="Arial" w:hAnsi="Arial"/>
                <w:sz w:val="16"/>
                <w:szCs w:val="16"/>
                <w:color w:val="auto"/>
              </w:rPr>
              <w:t>Net income</w:t>
            </w:r>
          </w:p>
        </w:tc>
        <w:tc>
          <w:tcPr>
            <w:tcW w:w="10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60" w:type="dxa"/>
            <w:vAlign w:val="bottom"/>
            <w:gridSpan w:val="2"/>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gridSpan w:val="2"/>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700" w:type="dxa"/>
            <w:vAlign w:val="bottom"/>
            <w:vMerge w:val="continue"/>
          </w:tcPr>
          <w:p>
            <w:pPr>
              <w:spacing w:after="0"/>
              <w:rPr>
                <w:sz w:val="17"/>
                <w:szCs w:val="17"/>
                <w:color w:val="auto"/>
              </w:rPr>
            </w:pPr>
          </w:p>
        </w:tc>
        <w:tc>
          <w:tcPr>
            <w:tcW w:w="1040" w:type="dxa"/>
            <w:vAlign w:val="bottom"/>
            <w:tcBorders>
              <w:top w:val="single" w:sz="8" w:color="auto"/>
              <w:bottom w:val="single" w:sz="8" w:color="auto"/>
            </w:tcBorders>
          </w:tcPr>
          <w:p>
            <w:pPr>
              <w:jc w:val="right"/>
              <w:ind w:right="882"/>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525</w:t>
            </w:r>
          </w:p>
        </w:tc>
        <w:tc>
          <w:tcPr>
            <w:tcW w:w="12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84"/>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685</w:t>
            </w:r>
          </w:p>
        </w:tc>
        <w:tc>
          <w:tcPr>
            <w:tcW w:w="12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84"/>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1,503</w:t>
            </w:r>
          </w:p>
        </w:tc>
        <w:tc>
          <w:tcPr>
            <w:tcW w:w="1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jc w:val="right"/>
              <w:ind w:right="189"/>
              <w:spacing w:after="0"/>
              <w:rPr>
                <w:sz w:val="20"/>
                <w:szCs w:val="20"/>
                <w:color w:val="auto"/>
              </w:rPr>
            </w:pPr>
            <w:r>
              <w:rPr>
                <w:rFonts w:ascii="Arial" w:cs="Arial" w:eastAsia="Arial" w:hAnsi="Arial"/>
                <w:sz w:val="10"/>
                <w:szCs w:val="10"/>
                <w:color w:val="auto"/>
                <w:w w:val="71"/>
              </w:rPr>
              <w:t>$</w:t>
            </w:r>
          </w:p>
        </w:tc>
        <w:tc>
          <w:tcPr>
            <w:tcW w:w="12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1,848</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6"/>
        </w:trPr>
        <w:tc>
          <w:tcPr>
            <w:tcW w:w="4700" w:type="dxa"/>
            <w:vAlign w:val="bottom"/>
          </w:tcPr>
          <w:p>
            <w:pPr>
              <w:spacing w:after="0"/>
              <w:rPr>
                <w:sz w:val="20"/>
                <w:szCs w:val="20"/>
                <w:color w:val="auto"/>
              </w:rPr>
            </w:pPr>
            <w:r>
              <w:rPr>
                <w:rFonts w:ascii="Arial" w:cs="Arial" w:eastAsia="Arial" w:hAnsi="Arial"/>
                <w:sz w:val="16"/>
                <w:szCs w:val="16"/>
                <w:color w:val="auto"/>
              </w:rPr>
              <w:t>Basic earnings per common share</w:t>
            </w:r>
          </w:p>
        </w:tc>
        <w:tc>
          <w:tcPr>
            <w:tcW w:w="1040" w:type="dxa"/>
            <w:vAlign w:val="bottom"/>
          </w:tcPr>
          <w:p>
            <w:pPr>
              <w:jc w:val="right"/>
              <w:ind w:right="882"/>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0.68</w:t>
            </w:r>
          </w:p>
        </w:tc>
        <w:tc>
          <w:tcPr>
            <w:tcW w:w="120" w:type="dxa"/>
            <w:vAlign w:val="bottom"/>
          </w:tcPr>
          <w:p>
            <w:pPr>
              <w:spacing w:after="0"/>
              <w:rPr>
                <w:sz w:val="24"/>
                <w:szCs w:val="24"/>
                <w:color w:val="auto"/>
              </w:rPr>
            </w:pPr>
          </w:p>
        </w:tc>
        <w:tc>
          <w:tcPr>
            <w:tcW w:w="340" w:type="dxa"/>
            <w:vAlign w:val="bottom"/>
          </w:tcPr>
          <w:p>
            <w:pPr>
              <w:jc w:val="right"/>
              <w:ind w:right="184"/>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0.90</w:t>
            </w:r>
          </w:p>
        </w:tc>
        <w:tc>
          <w:tcPr>
            <w:tcW w:w="460" w:type="dxa"/>
            <w:vAlign w:val="bottom"/>
            <w:gridSpan w:val="2"/>
          </w:tcPr>
          <w:p>
            <w:pPr>
              <w:jc w:val="right"/>
              <w:ind w:right="184"/>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1.96</w:t>
            </w:r>
          </w:p>
        </w:tc>
        <w:tc>
          <w:tcPr>
            <w:tcW w:w="100" w:type="dxa"/>
            <w:vAlign w:val="bottom"/>
          </w:tcPr>
          <w:p>
            <w:pPr>
              <w:spacing w:after="0"/>
              <w:rPr>
                <w:sz w:val="24"/>
                <w:szCs w:val="24"/>
                <w:color w:val="auto"/>
              </w:rPr>
            </w:pPr>
          </w:p>
        </w:tc>
        <w:tc>
          <w:tcPr>
            <w:tcW w:w="320" w:type="dxa"/>
            <w:vAlign w:val="bottom"/>
            <w:gridSpan w:val="2"/>
          </w:tcPr>
          <w:p>
            <w:pPr>
              <w:jc w:val="right"/>
              <w:ind w:right="189"/>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2.43</w:t>
            </w:r>
          </w:p>
        </w:tc>
        <w:tc>
          <w:tcPr>
            <w:tcW w:w="0" w:type="dxa"/>
            <w:vAlign w:val="bottom"/>
          </w:tcPr>
          <w:p>
            <w:pPr>
              <w:spacing w:after="0"/>
              <w:rPr>
                <w:sz w:val="1"/>
                <w:szCs w:val="1"/>
                <w:color w:val="auto"/>
              </w:rPr>
            </w:pPr>
          </w:p>
        </w:tc>
      </w:tr>
      <w:tr>
        <w:trPr>
          <w:trHeight w:val="206"/>
        </w:trPr>
        <w:tc>
          <w:tcPr>
            <w:tcW w:w="4700" w:type="dxa"/>
            <w:vAlign w:val="bottom"/>
          </w:tcPr>
          <w:p>
            <w:pPr>
              <w:spacing w:after="0"/>
              <w:rPr>
                <w:sz w:val="20"/>
                <w:szCs w:val="20"/>
                <w:color w:val="auto"/>
              </w:rPr>
            </w:pPr>
            <w:r>
              <w:rPr>
                <w:rFonts w:ascii="Arial" w:cs="Arial" w:eastAsia="Arial" w:hAnsi="Arial"/>
                <w:sz w:val="16"/>
                <w:szCs w:val="16"/>
                <w:color w:val="auto"/>
              </w:rPr>
              <w:t>Weighted average common shares outstanding</w:t>
            </w:r>
          </w:p>
        </w:tc>
        <w:tc>
          <w:tcPr>
            <w:tcW w:w="1040" w:type="dxa"/>
            <w:vAlign w:val="bottom"/>
          </w:tcPr>
          <w:p>
            <w:pPr>
              <w:spacing w:after="0"/>
              <w:rPr>
                <w:sz w:val="17"/>
                <w:szCs w:val="17"/>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768</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763</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767</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762</w:t>
            </w:r>
          </w:p>
        </w:tc>
        <w:tc>
          <w:tcPr>
            <w:tcW w:w="0" w:type="dxa"/>
            <w:vAlign w:val="bottom"/>
          </w:tcPr>
          <w:p>
            <w:pPr>
              <w:spacing w:after="0"/>
              <w:rPr>
                <w:sz w:val="1"/>
                <w:szCs w:val="1"/>
                <w:color w:val="auto"/>
              </w:rPr>
            </w:pPr>
          </w:p>
        </w:tc>
      </w:tr>
      <w:tr>
        <w:trPr>
          <w:trHeight w:val="401"/>
        </w:trPr>
        <w:tc>
          <w:tcPr>
            <w:tcW w:w="4700" w:type="dxa"/>
            <w:vAlign w:val="bottom"/>
          </w:tcPr>
          <w:p>
            <w:pPr>
              <w:spacing w:after="0"/>
              <w:rPr>
                <w:sz w:val="20"/>
                <w:szCs w:val="20"/>
                <w:color w:val="auto"/>
              </w:rPr>
            </w:pPr>
            <w:r>
              <w:rPr>
                <w:rFonts w:ascii="Arial" w:cs="Arial" w:eastAsia="Arial" w:hAnsi="Arial"/>
                <w:sz w:val="16"/>
                <w:szCs w:val="16"/>
                <w:color w:val="auto"/>
              </w:rPr>
              <w:t>Diluted earnings per common share</w:t>
            </w:r>
          </w:p>
        </w:tc>
        <w:tc>
          <w:tcPr>
            <w:tcW w:w="1040" w:type="dxa"/>
            <w:vAlign w:val="bottom"/>
          </w:tcPr>
          <w:p>
            <w:pPr>
              <w:jc w:val="right"/>
              <w:ind w:right="882"/>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0.68</w:t>
            </w:r>
          </w:p>
        </w:tc>
        <w:tc>
          <w:tcPr>
            <w:tcW w:w="120" w:type="dxa"/>
            <w:vAlign w:val="bottom"/>
          </w:tcPr>
          <w:p>
            <w:pPr>
              <w:spacing w:after="0"/>
              <w:rPr>
                <w:sz w:val="24"/>
                <w:szCs w:val="24"/>
                <w:color w:val="auto"/>
              </w:rPr>
            </w:pPr>
          </w:p>
        </w:tc>
        <w:tc>
          <w:tcPr>
            <w:tcW w:w="340" w:type="dxa"/>
            <w:vAlign w:val="bottom"/>
          </w:tcPr>
          <w:p>
            <w:pPr>
              <w:jc w:val="right"/>
              <w:ind w:right="184"/>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0.89</w:t>
            </w:r>
          </w:p>
        </w:tc>
        <w:tc>
          <w:tcPr>
            <w:tcW w:w="460" w:type="dxa"/>
            <w:vAlign w:val="bottom"/>
            <w:gridSpan w:val="2"/>
          </w:tcPr>
          <w:p>
            <w:pPr>
              <w:jc w:val="right"/>
              <w:ind w:right="184"/>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1.95</w:t>
            </w:r>
          </w:p>
        </w:tc>
        <w:tc>
          <w:tcPr>
            <w:tcW w:w="100" w:type="dxa"/>
            <w:vAlign w:val="bottom"/>
          </w:tcPr>
          <w:p>
            <w:pPr>
              <w:spacing w:after="0"/>
              <w:rPr>
                <w:sz w:val="24"/>
                <w:szCs w:val="24"/>
                <w:color w:val="auto"/>
              </w:rPr>
            </w:pPr>
          </w:p>
        </w:tc>
        <w:tc>
          <w:tcPr>
            <w:tcW w:w="320" w:type="dxa"/>
            <w:vAlign w:val="bottom"/>
            <w:gridSpan w:val="2"/>
          </w:tcPr>
          <w:p>
            <w:pPr>
              <w:jc w:val="right"/>
              <w:ind w:right="189"/>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2.40</w:t>
            </w:r>
          </w:p>
        </w:tc>
        <w:tc>
          <w:tcPr>
            <w:tcW w:w="0" w:type="dxa"/>
            <w:vAlign w:val="bottom"/>
          </w:tcPr>
          <w:p>
            <w:pPr>
              <w:spacing w:after="0"/>
              <w:rPr>
                <w:sz w:val="1"/>
                <w:szCs w:val="1"/>
                <w:color w:val="auto"/>
              </w:rPr>
            </w:pPr>
          </w:p>
        </w:tc>
      </w:tr>
      <w:tr>
        <w:trPr>
          <w:trHeight w:val="206"/>
        </w:trPr>
        <w:tc>
          <w:tcPr>
            <w:tcW w:w="4700" w:type="dxa"/>
            <w:vAlign w:val="bottom"/>
          </w:tcPr>
          <w:p>
            <w:pPr>
              <w:spacing w:after="0"/>
              <w:rPr>
                <w:sz w:val="20"/>
                <w:szCs w:val="20"/>
                <w:color w:val="auto"/>
              </w:rPr>
            </w:pPr>
            <w:r>
              <w:rPr>
                <w:rFonts w:ascii="Arial" w:cs="Arial" w:eastAsia="Arial" w:hAnsi="Arial"/>
                <w:sz w:val="16"/>
                <w:szCs w:val="16"/>
                <w:color w:val="auto"/>
              </w:rPr>
              <w:t>Weighted average common shares outstanding assuming dilution</w:t>
            </w:r>
          </w:p>
        </w:tc>
        <w:tc>
          <w:tcPr>
            <w:tcW w:w="1040" w:type="dxa"/>
            <w:vAlign w:val="bottom"/>
          </w:tcPr>
          <w:p>
            <w:pPr>
              <w:spacing w:after="0"/>
              <w:rPr>
                <w:sz w:val="17"/>
                <w:szCs w:val="17"/>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773</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771</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771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771</w:t>
            </w:r>
          </w:p>
        </w:tc>
        <w:tc>
          <w:tcPr>
            <w:tcW w:w="0" w:type="dxa"/>
            <w:vAlign w:val="bottom"/>
          </w:tcPr>
          <w:p>
            <w:pPr>
              <w:spacing w:after="0"/>
              <w:rPr>
                <w:sz w:val="1"/>
                <w:szCs w:val="1"/>
                <w:color w:val="auto"/>
              </w:rPr>
            </w:pPr>
          </w:p>
        </w:tc>
      </w:tr>
    </w:tbl>
    <w:p>
      <w:pPr>
        <w:spacing w:after="0" w:line="199" w:lineRule="exact"/>
        <w:rPr>
          <w:sz w:val="20"/>
          <w:szCs w:val="20"/>
          <w:color w:val="auto"/>
        </w:rPr>
      </w:pPr>
    </w:p>
    <w:p>
      <w:pPr>
        <w:jc w:val="both"/>
        <w:ind w:left="340" w:right="100" w:hanging="332"/>
        <w:spacing w:after="0" w:line="216" w:lineRule="auto"/>
        <w:tabs>
          <w:tab w:leader="none" w:pos="340" w:val="left"/>
        </w:tabs>
        <w:numPr>
          <w:ilvl w:val="0"/>
          <w:numId w:val="11"/>
        </w:numPr>
        <w:rPr>
          <w:rFonts w:ascii="Arial" w:cs="Arial" w:eastAsia="Arial" w:hAnsi="Arial"/>
          <w:sz w:val="27"/>
          <w:szCs w:val="27"/>
          <w:color w:val="auto"/>
          <w:vertAlign w:val="superscript"/>
        </w:rPr>
      </w:pPr>
      <w:r>
        <w:rPr>
          <w:rFonts w:ascii="Arial" w:cs="Arial" w:eastAsia="Arial" w:hAnsi="Arial"/>
          <w:sz w:val="16"/>
          <w:szCs w:val="16"/>
          <w:color w:val="auto"/>
        </w:rPr>
        <w:t>During the three months ended March 31, 2019, we identified an amount which should have been recorded in the fourth quarter of 2018 to reduce income tax expense by $35 million. Our statement of operations for the three months and year ended December 31, 2018, as presented above, has been revised to reflect the correction. Refer to our forthcoming Annual Report on Form 10-K for the year ended December 31, 2019, for additional information.</w:t>
      </w:r>
    </w:p>
    <w:p>
      <w:pPr>
        <w:spacing w:after="0" w:line="200" w:lineRule="exact"/>
        <w:rPr>
          <w:sz w:val="20"/>
          <w:szCs w:val="20"/>
          <w:color w:val="auto"/>
        </w:rPr>
      </w:pPr>
    </w:p>
    <w:p>
      <w:pPr>
        <w:ind w:left="340" w:right="140" w:hanging="332"/>
        <w:spacing w:after="0" w:line="198" w:lineRule="auto"/>
        <w:tabs>
          <w:tab w:leader="none" w:pos="340" w:val="left"/>
        </w:tabs>
        <w:numPr>
          <w:ilvl w:val="0"/>
          <w:numId w:val="12"/>
        </w:numPr>
        <w:rPr>
          <w:rFonts w:ascii="Arial" w:cs="Arial" w:eastAsia="Arial" w:hAnsi="Arial"/>
          <w:sz w:val="27"/>
          <w:szCs w:val="27"/>
          <w:color w:val="auto"/>
          <w:vertAlign w:val="superscript"/>
        </w:rPr>
      </w:pPr>
      <w:r>
        <w:rPr>
          <w:rFonts w:ascii="Arial" w:cs="Arial" w:eastAsia="Arial" w:hAnsi="Arial"/>
          <w:sz w:val="16"/>
          <w:szCs w:val="16"/>
          <w:color w:val="auto"/>
        </w:rPr>
        <w:t>Subscription, licensing, and other revenues represent revenues from World of Warcraft subscriptions, licensing royalties from our products and franchises, downloadable content, microtransactions, and other miscellaneous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0" w:name="page11"/>
    <w:bookmarkEnd w:id="10"/>
    <w:p>
      <w:pPr>
        <w:jc w:val="right"/>
        <w:spacing w:after="0"/>
        <w:rPr>
          <w:sz w:val="20"/>
          <w:szCs w:val="20"/>
          <w:color w:val="auto"/>
        </w:rPr>
      </w:pPr>
      <w:r>
        <w:rPr>
          <w:rFonts w:ascii="Arial" w:cs="Arial" w:eastAsia="Arial" w:hAnsi="Arial"/>
          <w:sz w:val="18"/>
          <w:szCs w:val="18"/>
          <w:b w:val="1"/>
          <w:bCs w:val="1"/>
          <w:color w:val="auto"/>
        </w:rPr>
        <w:t>2</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ACTIVISION BLIZZARD,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in millions)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310"/>
        </w:trPr>
        <w:tc>
          <w:tcPr>
            <w:tcW w:w="6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gridSpan w:val="2"/>
          </w:tcPr>
          <w:p>
            <w:pPr>
              <w:ind w:left="160"/>
              <w:spacing w:after="0"/>
              <w:rPr>
                <w:sz w:val="20"/>
                <w:szCs w:val="20"/>
                <w:color w:val="auto"/>
              </w:rPr>
            </w:pPr>
            <w:r>
              <w:rPr>
                <w:rFonts w:ascii="Arial" w:cs="Arial" w:eastAsia="Arial" w:hAnsi="Arial"/>
                <w:sz w:val="16"/>
                <w:szCs w:val="16"/>
                <w:b w:val="1"/>
                <w:bCs w:val="1"/>
                <w:color w:val="auto"/>
              </w:rPr>
              <w:t xml:space="preserve">December 31, 2019 </w:t>
            </w:r>
            <w:r>
              <w:rPr>
                <w:rFonts w:ascii="Arial" w:cs="Arial" w:eastAsia="Arial" w:hAnsi="Arial"/>
                <w:sz w:val="27"/>
                <w:szCs w:val="27"/>
                <w:b w:val="1"/>
                <w:bCs w:val="1"/>
                <w:color w:val="auto"/>
                <w:vertAlign w:val="superscript"/>
              </w:rPr>
              <w:t>1</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20" w:type="dxa"/>
            <w:vAlign w:val="bottom"/>
          </w:tcPr>
          <w:p>
            <w:pPr>
              <w:jc w:val="right"/>
              <w:ind w:right="279"/>
              <w:spacing w:after="0"/>
              <w:rPr>
                <w:sz w:val="20"/>
                <w:szCs w:val="20"/>
                <w:color w:val="auto"/>
              </w:rPr>
            </w:pPr>
            <w:r>
              <w:rPr>
                <w:rFonts w:ascii="Arial" w:cs="Arial" w:eastAsia="Arial" w:hAnsi="Arial"/>
                <w:sz w:val="16"/>
                <w:szCs w:val="16"/>
                <w:b w:val="1"/>
                <w:bCs w:val="1"/>
                <w:color w:val="auto"/>
                <w:w w:val="97"/>
              </w:rPr>
              <w:t xml:space="preserve">December 31, 2018 </w:t>
            </w:r>
            <w:r>
              <w:rPr>
                <w:rFonts w:ascii="Arial" w:cs="Arial" w:eastAsia="Arial" w:hAnsi="Arial"/>
                <w:sz w:val="27"/>
                <w:szCs w:val="27"/>
                <w:b w:val="1"/>
                <w:bCs w:val="1"/>
                <w:color w:val="auto"/>
                <w:w w:val="97"/>
                <w:vertAlign w:val="superscript"/>
              </w:rPr>
              <w:t>2</w:t>
            </w:r>
          </w:p>
        </w:tc>
        <w:tc>
          <w:tcPr>
            <w:tcW w:w="0" w:type="dxa"/>
            <w:vAlign w:val="bottom"/>
          </w:tcPr>
          <w:p>
            <w:pPr>
              <w:spacing w:after="0"/>
              <w:rPr>
                <w:sz w:val="1"/>
                <w:szCs w:val="1"/>
                <w:color w:val="auto"/>
              </w:rPr>
            </w:pPr>
          </w:p>
        </w:tc>
      </w:tr>
      <w:tr>
        <w:trPr>
          <w:trHeight w:val="186"/>
        </w:trPr>
        <w:tc>
          <w:tcPr>
            <w:tcW w:w="6980" w:type="dxa"/>
            <w:vAlign w:val="bottom"/>
          </w:tcPr>
          <w:p>
            <w:pPr>
              <w:spacing w:after="0"/>
              <w:rPr>
                <w:sz w:val="20"/>
                <w:szCs w:val="20"/>
                <w:color w:val="auto"/>
              </w:rPr>
            </w:pPr>
            <w:r>
              <w:rPr>
                <w:rFonts w:ascii="Arial" w:cs="Arial" w:eastAsia="Arial" w:hAnsi="Arial"/>
                <w:sz w:val="16"/>
                <w:szCs w:val="16"/>
                <w:b w:val="1"/>
                <w:bCs w:val="1"/>
                <w:color w:val="auto"/>
              </w:rPr>
              <w:t>Assets</w:t>
            </w:r>
          </w:p>
        </w:tc>
        <w:tc>
          <w:tcPr>
            <w:tcW w:w="220" w:type="dxa"/>
            <w:vAlign w:val="bottom"/>
            <w:tcBorders>
              <w:top w:val="single" w:sz="8" w:color="auto"/>
            </w:tcBorders>
          </w:tcPr>
          <w:p>
            <w:pPr>
              <w:spacing w:after="0"/>
              <w:rPr>
                <w:sz w:val="16"/>
                <w:szCs w:val="16"/>
                <w:color w:val="auto"/>
              </w:rPr>
            </w:pPr>
          </w:p>
        </w:tc>
        <w:tc>
          <w:tcPr>
            <w:tcW w:w="19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9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980" w:type="dxa"/>
            <w:vAlign w:val="bottom"/>
          </w:tcPr>
          <w:p>
            <w:pPr>
              <w:ind w:left="180"/>
              <w:spacing w:after="0"/>
              <w:rPr>
                <w:sz w:val="20"/>
                <w:szCs w:val="20"/>
                <w:color w:val="auto"/>
              </w:rPr>
            </w:pPr>
            <w:r>
              <w:rPr>
                <w:rFonts w:ascii="Arial" w:cs="Arial" w:eastAsia="Arial" w:hAnsi="Arial"/>
                <w:sz w:val="16"/>
                <w:szCs w:val="16"/>
                <w:color w:val="auto"/>
              </w:rPr>
              <w:t>Current assets</w:t>
            </w:r>
          </w:p>
        </w:tc>
        <w:tc>
          <w:tcPr>
            <w:tcW w:w="2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80" w:type="dxa"/>
            <w:vAlign w:val="bottom"/>
          </w:tcPr>
          <w:p>
            <w:pPr>
              <w:ind w:left="340"/>
              <w:spacing w:after="0"/>
              <w:rPr>
                <w:sz w:val="20"/>
                <w:szCs w:val="20"/>
                <w:color w:val="auto"/>
              </w:rPr>
            </w:pPr>
            <w:r>
              <w:rPr>
                <w:rFonts w:ascii="Arial" w:cs="Arial" w:eastAsia="Arial" w:hAnsi="Arial"/>
                <w:sz w:val="16"/>
                <w:szCs w:val="16"/>
                <w:color w:val="auto"/>
              </w:rPr>
              <w:t>Cash and cash equivalents</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1960" w:type="dxa"/>
            <w:vAlign w:val="bottom"/>
          </w:tcPr>
          <w:p>
            <w:pPr>
              <w:jc w:val="right"/>
              <w:ind w:right="39"/>
              <w:spacing w:after="0"/>
              <w:rPr>
                <w:sz w:val="20"/>
                <w:szCs w:val="20"/>
                <w:color w:val="auto"/>
              </w:rPr>
            </w:pPr>
            <w:r>
              <w:rPr>
                <w:rFonts w:ascii="Arial" w:cs="Arial" w:eastAsia="Arial" w:hAnsi="Arial"/>
                <w:sz w:val="16"/>
                <w:szCs w:val="16"/>
                <w:color w:val="auto"/>
              </w:rPr>
              <w:t>5,794</w:t>
            </w:r>
          </w:p>
        </w:tc>
        <w:tc>
          <w:tcPr>
            <w:tcW w:w="120" w:type="dxa"/>
            <w:vAlign w:val="bottom"/>
          </w:tcPr>
          <w:p>
            <w:pPr>
              <w:spacing w:after="0"/>
              <w:rPr>
                <w:sz w:val="17"/>
                <w:szCs w:val="17"/>
                <w:color w:val="auto"/>
              </w:rPr>
            </w:pPr>
          </w:p>
        </w:tc>
        <w:tc>
          <w:tcPr>
            <w:tcW w:w="220" w:type="dxa"/>
            <w:vAlign w:val="bottom"/>
            <w:gridSpan w:val="2"/>
          </w:tcPr>
          <w:p>
            <w:pPr>
              <w:jc w:val="right"/>
              <w:ind w:right="89"/>
              <w:spacing w:after="0"/>
              <w:rPr>
                <w:sz w:val="20"/>
                <w:szCs w:val="20"/>
                <w:color w:val="auto"/>
              </w:rPr>
            </w:pPr>
            <w:r>
              <w:rPr>
                <w:rFonts w:ascii="Arial" w:cs="Arial" w:eastAsia="Arial" w:hAnsi="Arial"/>
                <w:sz w:val="15"/>
                <w:szCs w:val="15"/>
                <w:color w:val="auto"/>
                <w:w w:val="71"/>
              </w:rPr>
              <w:t>$</w:t>
            </w:r>
          </w:p>
        </w:tc>
        <w:tc>
          <w:tcPr>
            <w:tcW w:w="1920" w:type="dxa"/>
            <w:vAlign w:val="bottom"/>
          </w:tcPr>
          <w:p>
            <w:pPr>
              <w:jc w:val="right"/>
              <w:ind w:right="19"/>
              <w:spacing w:after="0"/>
              <w:rPr>
                <w:sz w:val="20"/>
                <w:szCs w:val="20"/>
                <w:color w:val="auto"/>
              </w:rPr>
            </w:pPr>
            <w:r>
              <w:rPr>
                <w:rFonts w:ascii="Arial" w:cs="Arial" w:eastAsia="Arial" w:hAnsi="Arial"/>
                <w:sz w:val="16"/>
                <w:szCs w:val="16"/>
                <w:color w:val="auto"/>
              </w:rPr>
              <w:t>4,225</w:t>
            </w:r>
          </w:p>
        </w:tc>
        <w:tc>
          <w:tcPr>
            <w:tcW w:w="0" w:type="dxa"/>
            <w:vAlign w:val="bottom"/>
          </w:tcPr>
          <w:p>
            <w:pPr>
              <w:spacing w:after="0"/>
              <w:rPr>
                <w:sz w:val="1"/>
                <w:szCs w:val="1"/>
                <w:color w:val="auto"/>
              </w:rPr>
            </w:pPr>
          </w:p>
        </w:tc>
      </w:tr>
      <w:tr>
        <w:trPr>
          <w:trHeight w:val="203"/>
        </w:trPr>
        <w:tc>
          <w:tcPr>
            <w:tcW w:w="6980" w:type="dxa"/>
            <w:vAlign w:val="bottom"/>
          </w:tcPr>
          <w:p>
            <w:pPr>
              <w:ind w:left="340"/>
              <w:spacing w:after="0"/>
              <w:rPr>
                <w:sz w:val="20"/>
                <w:szCs w:val="20"/>
                <w:color w:val="auto"/>
              </w:rPr>
            </w:pPr>
            <w:r>
              <w:rPr>
                <w:rFonts w:ascii="Arial" w:cs="Arial" w:eastAsia="Arial" w:hAnsi="Arial"/>
                <w:sz w:val="16"/>
                <w:szCs w:val="16"/>
                <w:color w:val="auto"/>
              </w:rPr>
              <w:t>Accounts receivable, net</w:t>
            </w:r>
          </w:p>
        </w:tc>
        <w:tc>
          <w:tcPr>
            <w:tcW w:w="220" w:type="dxa"/>
            <w:vAlign w:val="bottom"/>
          </w:tcPr>
          <w:p>
            <w:pPr>
              <w:spacing w:after="0"/>
              <w:rPr>
                <w:sz w:val="17"/>
                <w:szCs w:val="17"/>
                <w:color w:val="auto"/>
              </w:rPr>
            </w:pPr>
          </w:p>
        </w:tc>
        <w:tc>
          <w:tcPr>
            <w:tcW w:w="1960" w:type="dxa"/>
            <w:vAlign w:val="bottom"/>
          </w:tcPr>
          <w:p>
            <w:pPr>
              <w:jc w:val="right"/>
              <w:ind w:right="39"/>
              <w:spacing w:after="0"/>
              <w:rPr>
                <w:sz w:val="20"/>
                <w:szCs w:val="20"/>
                <w:color w:val="auto"/>
              </w:rPr>
            </w:pPr>
            <w:r>
              <w:rPr>
                <w:rFonts w:ascii="Arial" w:cs="Arial" w:eastAsia="Arial" w:hAnsi="Arial"/>
                <w:sz w:val="16"/>
                <w:szCs w:val="16"/>
                <w:color w:val="auto"/>
              </w:rPr>
              <w:t>848</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20" w:type="dxa"/>
            <w:vAlign w:val="bottom"/>
          </w:tcPr>
          <w:p>
            <w:pPr>
              <w:jc w:val="right"/>
              <w:ind w:right="19"/>
              <w:spacing w:after="0"/>
              <w:rPr>
                <w:sz w:val="20"/>
                <w:szCs w:val="20"/>
                <w:color w:val="auto"/>
              </w:rPr>
            </w:pPr>
            <w:r>
              <w:rPr>
                <w:rFonts w:ascii="Arial" w:cs="Arial" w:eastAsia="Arial" w:hAnsi="Arial"/>
                <w:sz w:val="16"/>
                <w:szCs w:val="16"/>
                <w:color w:val="auto"/>
              </w:rPr>
              <w:t>1,035</w:t>
            </w:r>
          </w:p>
        </w:tc>
        <w:tc>
          <w:tcPr>
            <w:tcW w:w="0" w:type="dxa"/>
            <w:vAlign w:val="bottom"/>
          </w:tcPr>
          <w:p>
            <w:pPr>
              <w:spacing w:after="0"/>
              <w:rPr>
                <w:sz w:val="1"/>
                <w:szCs w:val="1"/>
                <w:color w:val="auto"/>
              </w:rPr>
            </w:pPr>
          </w:p>
        </w:tc>
      </w:tr>
      <w:tr>
        <w:trPr>
          <w:trHeight w:val="203"/>
        </w:trPr>
        <w:tc>
          <w:tcPr>
            <w:tcW w:w="6980" w:type="dxa"/>
            <w:vAlign w:val="bottom"/>
          </w:tcPr>
          <w:p>
            <w:pPr>
              <w:ind w:left="340"/>
              <w:spacing w:after="0"/>
              <w:rPr>
                <w:sz w:val="20"/>
                <w:szCs w:val="20"/>
                <w:color w:val="auto"/>
              </w:rPr>
            </w:pPr>
            <w:r>
              <w:rPr>
                <w:rFonts w:ascii="Arial" w:cs="Arial" w:eastAsia="Arial" w:hAnsi="Arial"/>
                <w:sz w:val="16"/>
                <w:szCs w:val="16"/>
                <w:color w:val="auto"/>
              </w:rPr>
              <w:t>Inventories, net</w:t>
            </w:r>
          </w:p>
        </w:tc>
        <w:tc>
          <w:tcPr>
            <w:tcW w:w="220" w:type="dxa"/>
            <w:vAlign w:val="bottom"/>
          </w:tcPr>
          <w:p>
            <w:pPr>
              <w:spacing w:after="0"/>
              <w:rPr>
                <w:sz w:val="17"/>
                <w:szCs w:val="17"/>
                <w:color w:val="auto"/>
              </w:rPr>
            </w:pPr>
          </w:p>
        </w:tc>
        <w:tc>
          <w:tcPr>
            <w:tcW w:w="1960" w:type="dxa"/>
            <w:vAlign w:val="bottom"/>
          </w:tcPr>
          <w:p>
            <w:pPr>
              <w:jc w:val="right"/>
              <w:ind w:right="39"/>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20" w:type="dxa"/>
            <w:vAlign w:val="bottom"/>
          </w:tcPr>
          <w:p>
            <w:pPr>
              <w:jc w:val="right"/>
              <w:ind w:right="19"/>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203"/>
        </w:trPr>
        <w:tc>
          <w:tcPr>
            <w:tcW w:w="6980" w:type="dxa"/>
            <w:vAlign w:val="bottom"/>
          </w:tcPr>
          <w:p>
            <w:pPr>
              <w:ind w:left="340"/>
              <w:spacing w:after="0"/>
              <w:rPr>
                <w:sz w:val="20"/>
                <w:szCs w:val="20"/>
                <w:color w:val="auto"/>
              </w:rPr>
            </w:pPr>
            <w:r>
              <w:rPr>
                <w:rFonts w:ascii="Arial" w:cs="Arial" w:eastAsia="Arial" w:hAnsi="Arial"/>
                <w:sz w:val="16"/>
                <w:szCs w:val="16"/>
                <w:color w:val="auto"/>
              </w:rPr>
              <w:t>Software development</w:t>
            </w:r>
          </w:p>
        </w:tc>
        <w:tc>
          <w:tcPr>
            <w:tcW w:w="220" w:type="dxa"/>
            <w:vAlign w:val="bottom"/>
          </w:tcPr>
          <w:p>
            <w:pPr>
              <w:spacing w:after="0"/>
              <w:rPr>
                <w:sz w:val="17"/>
                <w:szCs w:val="17"/>
                <w:color w:val="auto"/>
              </w:rPr>
            </w:pPr>
          </w:p>
        </w:tc>
        <w:tc>
          <w:tcPr>
            <w:tcW w:w="1960" w:type="dxa"/>
            <w:vAlign w:val="bottom"/>
          </w:tcPr>
          <w:p>
            <w:pPr>
              <w:jc w:val="right"/>
              <w:ind w:right="39"/>
              <w:spacing w:after="0"/>
              <w:rPr>
                <w:sz w:val="20"/>
                <w:szCs w:val="20"/>
                <w:color w:val="auto"/>
              </w:rPr>
            </w:pPr>
            <w:r>
              <w:rPr>
                <w:rFonts w:ascii="Arial" w:cs="Arial" w:eastAsia="Arial" w:hAnsi="Arial"/>
                <w:sz w:val="16"/>
                <w:szCs w:val="16"/>
                <w:color w:val="auto"/>
              </w:rPr>
              <w:t>322</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20" w:type="dxa"/>
            <w:vAlign w:val="bottom"/>
          </w:tcPr>
          <w:p>
            <w:pPr>
              <w:jc w:val="right"/>
              <w:ind w:right="19"/>
              <w:spacing w:after="0"/>
              <w:rPr>
                <w:sz w:val="20"/>
                <w:szCs w:val="20"/>
                <w:color w:val="auto"/>
              </w:rPr>
            </w:pPr>
            <w:r>
              <w:rPr>
                <w:rFonts w:ascii="Arial" w:cs="Arial" w:eastAsia="Arial" w:hAnsi="Arial"/>
                <w:sz w:val="16"/>
                <w:szCs w:val="16"/>
                <w:color w:val="auto"/>
              </w:rPr>
              <w:t>264</w:t>
            </w:r>
          </w:p>
        </w:tc>
        <w:tc>
          <w:tcPr>
            <w:tcW w:w="0" w:type="dxa"/>
            <w:vAlign w:val="bottom"/>
          </w:tcPr>
          <w:p>
            <w:pPr>
              <w:spacing w:after="0"/>
              <w:rPr>
                <w:sz w:val="1"/>
                <w:szCs w:val="1"/>
                <w:color w:val="auto"/>
              </w:rPr>
            </w:pPr>
          </w:p>
        </w:tc>
      </w:tr>
      <w:tr>
        <w:trPr>
          <w:trHeight w:val="206"/>
        </w:trPr>
        <w:tc>
          <w:tcPr>
            <w:tcW w:w="6980" w:type="dxa"/>
            <w:vAlign w:val="bottom"/>
          </w:tcPr>
          <w:p>
            <w:pPr>
              <w:ind w:left="340"/>
              <w:spacing w:after="0"/>
              <w:rPr>
                <w:sz w:val="20"/>
                <w:szCs w:val="20"/>
                <w:color w:val="auto"/>
              </w:rPr>
            </w:pPr>
            <w:r>
              <w:rPr>
                <w:rFonts w:ascii="Arial" w:cs="Arial" w:eastAsia="Arial" w:hAnsi="Arial"/>
                <w:sz w:val="16"/>
                <w:szCs w:val="16"/>
                <w:color w:val="auto"/>
              </w:rPr>
              <w:t>Other current assets</w:t>
            </w:r>
          </w:p>
        </w:tc>
        <w:tc>
          <w:tcPr>
            <w:tcW w:w="22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296</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539</w:t>
            </w:r>
          </w:p>
        </w:tc>
        <w:tc>
          <w:tcPr>
            <w:tcW w:w="0" w:type="dxa"/>
            <w:vAlign w:val="bottom"/>
          </w:tcPr>
          <w:p>
            <w:pPr>
              <w:spacing w:after="0"/>
              <w:rPr>
                <w:sz w:val="1"/>
                <w:szCs w:val="1"/>
                <w:color w:val="auto"/>
              </w:rPr>
            </w:pPr>
          </w:p>
        </w:tc>
      </w:tr>
      <w:tr>
        <w:trPr>
          <w:trHeight w:val="192"/>
        </w:trPr>
        <w:tc>
          <w:tcPr>
            <w:tcW w:w="6980" w:type="dxa"/>
            <w:vAlign w:val="bottom"/>
          </w:tcPr>
          <w:p>
            <w:pPr>
              <w:ind w:left="500"/>
              <w:spacing w:after="0"/>
              <w:rPr>
                <w:sz w:val="20"/>
                <w:szCs w:val="20"/>
                <w:color w:val="auto"/>
              </w:rPr>
            </w:pPr>
            <w:r>
              <w:rPr>
                <w:rFonts w:ascii="Arial" w:cs="Arial" w:eastAsia="Arial" w:hAnsi="Arial"/>
                <w:sz w:val="16"/>
                <w:szCs w:val="16"/>
                <w:color w:val="auto"/>
              </w:rPr>
              <w:t>Total current assets</w:t>
            </w:r>
          </w:p>
        </w:tc>
        <w:tc>
          <w:tcPr>
            <w:tcW w:w="220" w:type="dxa"/>
            <w:vAlign w:val="bottom"/>
          </w:tcPr>
          <w:p>
            <w:pPr>
              <w:spacing w:after="0"/>
              <w:rPr>
                <w:sz w:val="16"/>
                <w:szCs w:val="16"/>
                <w:color w:val="auto"/>
              </w:rPr>
            </w:pPr>
          </w:p>
        </w:tc>
        <w:tc>
          <w:tcPr>
            <w:tcW w:w="1960" w:type="dxa"/>
            <w:vAlign w:val="bottom"/>
          </w:tcPr>
          <w:p>
            <w:pPr>
              <w:jc w:val="right"/>
              <w:ind w:right="39"/>
              <w:spacing w:after="0"/>
              <w:rPr>
                <w:sz w:val="20"/>
                <w:szCs w:val="20"/>
                <w:color w:val="auto"/>
              </w:rPr>
            </w:pPr>
            <w:r>
              <w:rPr>
                <w:rFonts w:ascii="Arial" w:cs="Arial" w:eastAsia="Arial" w:hAnsi="Arial"/>
                <w:sz w:val="16"/>
                <w:szCs w:val="16"/>
                <w:color w:val="auto"/>
              </w:rPr>
              <w:t>7,292</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20" w:type="dxa"/>
            <w:vAlign w:val="bottom"/>
          </w:tcPr>
          <w:p>
            <w:pPr>
              <w:jc w:val="right"/>
              <w:ind w:right="19"/>
              <w:spacing w:after="0"/>
              <w:rPr>
                <w:sz w:val="20"/>
                <w:szCs w:val="20"/>
                <w:color w:val="auto"/>
              </w:rPr>
            </w:pPr>
            <w:r>
              <w:rPr>
                <w:rFonts w:ascii="Arial" w:cs="Arial" w:eastAsia="Arial" w:hAnsi="Arial"/>
                <w:sz w:val="16"/>
                <w:szCs w:val="16"/>
                <w:color w:val="auto"/>
              </w:rPr>
              <w:t>6,106</w:t>
            </w:r>
          </w:p>
        </w:tc>
        <w:tc>
          <w:tcPr>
            <w:tcW w:w="0" w:type="dxa"/>
            <w:vAlign w:val="bottom"/>
          </w:tcPr>
          <w:p>
            <w:pPr>
              <w:spacing w:after="0"/>
              <w:rPr>
                <w:sz w:val="1"/>
                <w:szCs w:val="1"/>
                <w:color w:val="auto"/>
              </w:rPr>
            </w:pPr>
          </w:p>
        </w:tc>
      </w:tr>
      <w:tr>
        <w:trPr>
          <w:trHeight w:val="203"/>
        </w:trPr>
        <w:tc>
          <w:tcPr>
            <w:tcW w:w="6980" w:type="dxa"/>
            <w:vAlign w:val="bottom"/>
          </w:tcPr>
          <w:p>
            <w:pPr>
              <w:ind w:left="180"/>
              <w:spacing w:after="0"/>
              <w:rPr>
                <w:sz w:val="20"/>
                <w:szCs w:val="20"/>
                <w:color w:val="auto"/>
              </w:rPr>
            </w:pPr>
            <w:r>
              <w:rPr>
                <w:rFonts w:ascii="Arial" w:cs="Arial" w:eastAsia="Arial" w:hAnsi="Arial"/>
                <w:sz w:val="16"/>
                <w:szCs w:val="16"/>
                <w:color w:val="auto"/>
              </w:rPr>
              <w:t>Software development</w:t>
            </w:r>
          </w:p>
        </w:tc>
        <w:tc>
          <w:tcPr>
            <w:tcW w:w="220" w:type="dxa"/>
            <w:vAlign w:val="bottom"/>
          </w:tcPr>
          <w:p>
            <w:pPr>
              <w:spacing w:after="0"/>
              <w:rPr>
                <w:sz w:val="17"/>
                <w:szCs w:val="17"/>
                <w:color w:val="auto"/>
              </w:rPr>
            </w:pPr>
          </w:p>
        </w:tc>
        <w:tc>
          <w:tcPr>
            <w:tcW w:w="1960" w:type="dxa"/>
            <w:vAlign w:val="bottom"/>
          </w:tcPr>
          <w:p>
            <w:pPr>
              <w:jc w:val="right"/>
              <w:ind w:right="39"/>
              <w:spacing w:after="0"/>
              <w:rPr>
                <w:sz w:val="20"/>
                <w:szCs w:val="20"/>
                <w:color w:val="auto"/>
              </w:rPr>
            </w:pPr>
            <w:r>
              <w:rPr>
                <w:rFonts w:ascii="Arial" w:cs="Arial" w:eastAsia="Arial" w:hAnsi="Arial"/>
                <w:sz w:val="16"/>
                <w:szCs w:val="16"/>
                <w:color w:val="auto"/>
              </w:rPr>
              <w:t>54</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20" w:type="dxa"/>
            <w:vAlign w:val="bottom"/>
          </w:tcPr>
          <w:p>
            <w:pPr>
              <w:jc w:val="right"/>
              <w:ind w:right="19"/>
              <w:spacing w:after="0"/>
              <w:rPr>
                <w:sz w:val="20"/>
                <w:szCs w:val="20"/>
                <w:color w:val="auto"/>
              </w:rPr>
            </w:pPr>
            <w:r>
              <w:rPr>
                <w:rFonts w:ascii="Arial" w:cs="Arial" w:eastAsia="Arial" w:hAnsi="Arial"/>
                <w:sz w:val="16"/>
                <w:szCs w:val="16"/>
                <w:color w:val="auto"/>
              </w:rPr>
              <w:t>65</w:t>
            </w:r>
          </w:p>
        </w:tc>
        <w:tc>
          <w:tcPr>
            <w:tcW w:w="0" w:type="dxa"/>
            <w:vAlign w:val="bottom"/>
          </w:tcPr>
          <w:p>
            <w:pPr>
              <w:spacing w:after="0"/>
              <w:rPr>
                <w:sz w:val="1"/>
                <w:szCs w:val="1"/>
                <w:color w:val="auto"/>
              </w:rPr>
            </w:pPr>
          </w:p>
        </w:tc>
      </w:tr>
      <w:tr>
        <w:trPr>
          <w:trHeight w:val="203"/>
        </w:trPr>
        <w:tc>
          <w:tcPr>
            <w:tcW w:w="6980" w:type="dxa"/>
            <w:vAlign w:val="bottom"/>
          </w:tcPr>
          <w:p>
            <w:pPr>
              <w:ind w:left="180"/>
              <w:spacing w:after="0"/>
              <w:rPr>
                <w:sz w:val="20"/>
                <w:szCs w:val="20"/>
                <w:color w:val="auto"/>
              </w:rPr>
            </w:pPr>
            <w:r>
              <w:rPr>
                <w:rFonts w:ascii="Arial" w:cs="Arial" w:eastAsia="Arial" w:hAnsi="Arial"/>
                <w:sz w:val="16"/>
                <w:szCs w:val="16"/>
                <w:color w:val="auto"/>
              </w:rPr>
              <w:t>Property and equipment, net</w:t>
            </w:r>
          </w:p>
        </w:tc>
        <w:tc>
          <w:tcPr>
            <w:tcW w:w="220" w:type="dxa"/>
            <w:vAlign w:val="bottom"/>
          </w:tcPr>
          <w:p>
            <w:pPr>
              <w:spacing w:after="0"/>
              <w:rPr>
                <w:sz w:val="17"/>
                <w:szCs w:val="17"/>
                <w:color w:val="auto"/>
              </w:rPr>
            </w:pPr>
          </w:p>
        </w:tc>
        <w:tc>
          <w:tcPr>
            <w:tcW w:w="1960" w:type="dxa"/>
            <w:vAlign w:val="bottom"/>
          </w:tcPr>
          <w:p>
            <w:pPr>
              <w:jc w:val="right"/>
              <w:ind w:right="39"/>
              <w:spacing w:after="0"/>
              <w:rPr>
                <w:sz w:val="20"/>
                <w:szCs w:val="20"/>
                <w:color w:val="auto"/>
              </w:rPr>
            </w:pPr>
            <w:r>
              <w:rPr>
                <w:rFonts w:ascii="Arial" w:cs="Arial" w:eastAsia="Arial" w:hAnsi="Arial"/>
                <w:sz w:val="16"/>
                <w:szCs w:val="16"/>
                <w:color w:val="auto"/>
              </w:rPr>
              <w:t>253</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20" w:type="dxa"/>
            <w:vAlign w:val="bottom"/>
          </w:tcPr>
          <w:p>
            <w:pPr>
              <w:jc w:val="right"/>
              <w:ind w:right="19"/>
              <w:spacing w:after="0"/>
              <w:rPr>
                <w:sz w:val="20"/>
                <w:szCs w:val="20"/>
                <w:color w:val="auto"/>
              </w:rPr>
            </w:pPr>
            <w:r>
              <w:rPr>
                <w:rFonts w:ascii="Arial" w:cs="Arial" w:eastAsia="Arial" w:hAnsi="Arial"/>
                <w:sz w:val="16"/>
                <w:szCs w:val="16"/>
                <w:color w:val="auto"/>
              </w:rPr>
              <w:t>282</w:t>
            </w:r>
          </w:p>
        </w:tc>
        <w:tc>
          <w:tcPr>
            <w:tcW w:w="0" w:type="dxa"/>
            <w:vAlign w:val="bottom"/>
          </w:tcPr>
          <w:p>
            <w:pPr>
              <w:spacing w:after="0"/>
              <w:rPr>
                <w:sz w:val="1"/>
                <w:szCs w:val="1"/>
                <w:color w:val="auto"/>
              </w:rPr>
            </w:pPr>
          </w:p>
        </w:tc>
      </w:tr>
      <w:tr>
        <w:trPr>
          <w:trHeight w:val="203"/>
        </w:trPr>
        <w:tc>
          <w:tcPr>
            <w:tcW w:w="6980" w:type="dxa"/>
            <w:vAlign w:val="bottom"/>
          </w:tcPr>
          <w:p>
            <w:pPr>
              <w:ind w:left="180"/>
              <w:spacing w:after="0"/>
              <w:rPr>
                <w:sz w:val="20"/>
                <w:szCs w:val="20"/>
                <w:color w:val="auto"/>
              </w:rPr>
            </w:pPr>
            <w:r>
              <w:rPr>
                <w:rFonts w:ascii="Arial" w:cs="Arial" w:eastAsia="Arial" w:hAnsi="Arial"/>
                <w:sz w:val="16"/>
                <w:szCs w:val="16"/>
                <w:color w:val="auto"/>
              </w:rPr>
              <w:t>Deferred income taxes, net</w:t>
            </w:r>
          </w:p>
        </w:tc>
        <w:tc>
          <w:tcPr>
            <w:tcW w:w="220" w:type="dxa"/>
            <w:vAlign w:val="bottom"/>
          </w:tcPr>
          <w:p>
            <w:pPr>
              <w:spacing w:after="0"/>
              <w:rPr>
                <w:sz w:val="17"/>
                <w:szCs w:val="17"/>
                <w:color w:val="auto"/>
              </w:rPr>
            </w:pPr>
          </w:p>
        </w:tc>
        <w:tc>
          <w:tcPr>
            <w:tcW w:w="1960" w:type="dxa"/>
            <w:vAlign w:val="bottom"/>
          </w:tcPr>
          <w:p>
            <w:pPr>
              <w:jc w:val="right"/>
              <w:ind w:right="39"/>
              <w:spacing w:after="0"/>
              <w:rPr>
                <w:sz w:val="20"/>
                <w:szCs w:val="20"/>
                <w:color w:val="auto"/>
              </w:rPr>
            </w:pPr>
            <w:r>
              <w:rPr>
                <w:rFonts w:ascii="Arial" w:cs="Arial" w:eastAsia="Arial" w:hAnsi="Arial"/>
                <w:sz w:val="16"/>
                <w:szCs w:val="16"/>
                <w:color w:val="auto"/>
              </w:rPr>
              <w:t>1,293</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20" w:type="dxa"/>
            <w:vAlign w:val="bottom"/>
          </w:tcPr>
          <w:p>
            <w:pPr>
              <w:jc w:val="right"/>
              <w:ind w:right="19"/>
              <w:spacing w:after="0"/>
              <w:rPr>
                <w:sz w:val="20"/>
                <w:szCs w:val="20"/>
                <w:color w:val="auto"/>
              </w:rPr>
            </w:pPr>
            <w:r>
              <w:rPr>
                <w:rFonts w:ascii="Arial" w:cs="Arial" w:eastAsia="Arial" w:hAnsi="Arial"/>
                <w:sz w:val="16"/>
                <w:szCs w:val="16"/>
                <w:color w:val="auto"/>
              </w:rPr>
              <w:t>458</w:t>
            </w:r>
          </w:p>
        </w:tc>
        <w:tc>
          <w:tcPr>
            <w:tcW w:w="0" w:type="dxa"/>
            <w:vAlign w:val="bottom"/>
          </w:tcPr>
          <w:p>
            <w:pPr>
              <w:spacing w:after="0"/>
              <w:rPr>
                <w:sz w:val="1"/>
                <w:szCs w:val="1"/>
                <w:color w:val="auto"/>
              </w:rPr>
            </w:pPr>
          </w:p>
        </w:tc>
      </w:tr>
      <w:tr>
        <w:trPr>
          <w:trHeight w:val="203"/>
        </w:trPr>
        <w:tc>
          <w:tcPr>
            <w:tcW w:w="6980" w:type="dxa"/>
            <w:vAlign w:val="bottom"/>
          </w:tcPr>
          <w:p>
            <w:pPr>
              <w:ind w:left="180"/>
              <w:spacing w:after="0"/>
              <w:rPr>
                <w:sz w:val="20"/>
                <w:szCs w:val="20"/>
                <w:color w:val="auto"/>
              </w:rPr>
            </w:pPr>
            <w:r>
              <w:rPr>
                <w:rFonts w:ascii="Arial" w:cs="Arial" w:eastAsia="Arial" w:hAnsi="Arial"/>
                <w:sz w:val="16"/>
                <w:szCs w:val="16"/>
                <w:color w:val="auto"/>
              </w:rPr>
              <w:t>Other assets</w:t>
            </w:r>
          </w:p>
        </w:tc>
        <w:tc>
          <w:tcPr>
            <w:tcW w:w="220" w:type="dxa"/>
            <w:vAlign w:val="bottom"/>
          </w:tcPr>
          <w:p>
            <w:pPr>
              <w:spacing w:after="0"/>
              <w:rPr>
                <w:sz w:val="17"/>
                <w:szCs w:val="17"/>
                <w:color w:val="auto"/>
              </w:rPr>
            </w:pPr>
          </w:p>
        </w:tc>
        <w:tc>
          <w:tcPr>
            <w:tcW w:w="1960" w:type="dxa"/>
            <w:vAlign w:val="bottom"/>
          </w:tcPr>
          <w:p>
            <w:pPr>
              <w:jc w:val="right"/>
              <w:ind w:right="39"/>
              <w:spacing w:after="0"/>
              <w:rPr>
                <w:sz w:val="20"/>
                <w:szCs w:val="20"/>
                <w:color w:val="auto"/>
              </w:rPr>
            </w:pPr>
            <w:r>
              <w:rPr>
                <w:rFonts w:ascii="Arial" w:cs="Arial" w:eastAsia="Arial" w:hAnsi="Arial"/>
                <w:sz w:val="16"/>
                <w:szCs w:val="16"/>
                <w:color w:val="auto"/>
              </w:rPr>
              <w:t>658</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20" w:type="dxa"/>
            <w:vAlign w:val="bottom"/>
          </w:tcPr>
          <w:p>
            <w:pPr>
              <w:jc w:val="right"/>
              <w:ind w:right="19"/>
              <w:spacing w:after="0"/>
              <w:rPr>
                <w:sz w:val="20"/>
                <w:szCs w:val="20"/>
                <w:color w:val="auto"/>
              </w:rPr>
            </w:pPr>
            <w:r>
              <w:rPr>
                <w:rFonts w:ascii="Arial" w:cs="Arial" w:eastAsia="Arial" w:hAnsi="Arial"/>
                <w:sz w:val="16"/>
                <w:szCs w:val="16"/>
                <w:color w:val="auto"/>
              </w:rPr>
              <w:t>482</w:t>
            </w:r>
          </w:p>
        </w:tc>
        <w:tc>
          <w:tcPr>
            <w:tcW w:w="0" w:type="dxa"/>
            <w:vAlign w:val="bottom"/>
          </w:tcPr>
          <w:p>
            <w:pPr>
              <w:spacing w:after="0"/>
              <w:rPr>
                <w:sz w:val="1"/>
                <w:szCs w:val="1"/>
                <w:color w:val="auto"/>
              </w:rPr>
            </w:pPr>
          </w:p>
        </w:tc>
      </w:tr>
      <w:tr>
        <w:trPr>
          <w:trHeight w:val="203"/>
        </w:trPr>
        <w:tc>
          <w:tcPr>
            <w:tcW w:w="6980" w:type="dxa"/>
            <w:vAlign w:val="bottom"/>
          </w:tcPr>
          <w:p>
            <w:pPr>
              <w:ind w:left="180"/>
              <w:spacing w:after="0"/>
              <w:rPr>
                <w:sz w:val="20"/>
                <w:szCs w:val="20"/>
                <w:color w:val="auto"/>
              </w:rPr>
            </w:pPr>
            <w:r>
              <w:rPr>
                <w:rFonts w:ascii="Arial" w:cs="Arial" w:eastAsia="Arial" w:hAnsi="Arial"/>
                <w:sz w:val="16"/>
                <w:szCs w:val="16"/>
                <w:color w:val="auto"/>
              </w:rPr>
              <w:t>Intangible assets, net</w:t>
            </w:r>
          </w:p>
        </w:tc>
        <w:tc>
          <w:tcPr>
            <w:tcW w:w="220" w:type="dxa"/>
            <w:vAlign w:val="bottom"/>
          </w:tcPr>
          <w:p>
            <w:pPr>
              <w:spacing w:after="0"/>
              <w:rPr>
                <w:sz w:val="17"/>
                <w:szCs w:val="17"/>
                <w:color w:val="auto"/>
              </w:rPr>
            </w:pPr>
          </w:p>
        </w:tc>
        <w:tc>
          <w:tcPr>
            <w:tcW w:w="1960" w:type="dxa"/>
            <w:vAlign w:val="bottom"/>
          </w:tcPr>
          <w:p>
            <w:pPr>
              <w:jc w:val="right"/>
              <w:ind w:right="39"/>
              <w:spacing w:after="0"/>
              <w:rPr>
                <w:sz w:val="20"/>
                <w:szCs w:val="20"/>
                <w:color w:val="auto"/>
              </w:rPr>
            </w:pPr>
            <w:r>
              <w:rPr>
                <w:rFonts w:ascii="Arial" w:cs="Arial" w:eastAsia="Arial" w:hAnsi="Arial"/>
                <w:sz w:val="16"/>
                <w:szCs w:val="16"/>
                <w:color w:val="auto"/>
              </w:rPr>
              <w:t>531</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20" w:type="dxa"/>
            <w:vAlign w:val="bottom"/>
          </w:tcPr>
          <w:p>
            <w:pPr>
              <w:jc w:val="right"/>
              <w:ind w:right="19"/>
              <w:spacing w:after="0"/>
              <w:rPr>
                <w:sz w:val="20"/>
                <w:szCs w:val="20"/>
                <w:color w:val="auto"/>
              </w:rPr>
            </w:pPr>
            <w:r>
              <w:rPr>
                <w:rFonts w:ascii="Arial" w:cs="Arial" w:eastAsia="Arial" w:hAnsi="Arial"/>
                <w:sz w:val="16"/>
                <w:szCs w:val="16"/>
                <w:color w:val="auto"/>
              </w:rPr>
              <w:t>735</w:t>
            </w:r>
          </w:p>
        </w:tc>
        <w:tc>
          <w:tcPr>
            <w:tcW w:w="0" w:type="dxa"/>
            <w:vAlign w:val="bottom"/>
          </w:tcPr>
          <w:p>
            <w:pPr>
              <w:spacing w:after="0"/>
              <w:rPr>
                <w:sz w:val="1"/>
                <w:szCs w:val="1"/>
                <w:color w:val="auto"/>
              </w:rPr>
            </w:pPr>
          </w:p>
        </w:tc>
      </w:tr>
      <w:tr>
        <w:trPr>
          <w:trHeight w:val="206"/>
        </w:trPr>
        <w:tc>
          <w:tcPr>
            <w:tcW w:w="6980" w:type="dxa"/>
            <w:vAlign w:val="bottom"/>
          </w:tcPr>
          <w:p>
            <w:pPr>
              <w:ind w:left="180"/>
              <w:spacing w:after="0"/>
              <w:rPr>
                <w:sz w:val="20"/>
                <w:szCs w:val="20"/>
                <w:color w:val="auto"/>
              </w:rPr>
            </w:pPr>
            <w:r>
              <w:rPr>
                <w:rFonts w:ascii="Arial" w:cs="Arial" w:eastAsia="Arial" w:hAnsi="Arial"/>
                <w:sz w:val="16"/>
                <w:szCs w:val="16"/>
                <w:color w:val="auto"/>
              </w:rPr>
              <w:t>Goodwill</w:t>
            </w:r>
          </w:p>
        </w:tc>
        <w:tc>
          <w:tcPr>
            <w:tcW w:w="22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9,764</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9,762</w:t>
            </w:r>
          </w:p>
        </w:tc>
        <w:tc>
          <w:tcPr>
            <w:tcW w:w="0" w:type="dxa"/>
            <w:vAlign w:val="bottom"/>
          </w:tcPr>
          <w:p>
            <w:pPr>
              <w:spacing w:after="0"/>
              <w:rPr>
                <w:sz w:val="1"/>
                <w:szCs w:val="1"/>
                <w:color w:val="auto"/>
              </w:rPr>
            </w:pPr>
          </w:p>
        </w:tc>
      </w:tr>
      <w:tr>
        <w:trPr>
          <w:trHeight w:val="202"/>
        </w:trPr>
        <w:tc>
          <w:tcPr>
            <w:tcW w:w="6980" w:type="dxa"/>
            <w:vAlign w:val="bottom"/>
          </w:tcPr>
          <w:p>
            <w:pPr>
              <w:ind w:left="500"/>
              <w:spacing w:after="0"/>
              <w:rPr>
                <w:sz w:val="20"/>
                <w:szCs w:val="20"/>
                <w:color w:val="auto"/>
              </w:rPr>
            </w:pPr>
            <w:r>
              <w:rPr>
                <w:rFonts w:ascii="Arial" w:cs="Arial" w:eastAsia="Arial" w:hAnsi="Arial"/>
                <w:sz w:val="16"/>
                <w:szCs w:val="16"/>
                <w:color w:val="auto"/>
              </w:rPr>
              <w:t>Total assets</w:t>
            </w:r>
          </w:p>
        </w:tc>
        <w:tc>
          <w:tcPr>
            <w:tcW w:w="22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w w:val="71"/>
              </w:rPr>
              <w:t>$</w:t>
            </w:r>
          </w:p>
        </w:tc>
        <w:tc>
          <w:tcPr>
            <w:tcW w:w="1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19,845</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1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17,890</w:t>
            </w:r>
          </w:p>
        </w:tc>
        <w:tc>
          <w:tcPr>
            <w:tcW w:w="0" w:type="dxa"/>
            <w:vAlign w:val="bottom"/>
          </w:tcPr>
          <w:p>
            <w:pPr>
              <w:spacing w:after="0"/>
              <w:rPr>
                <w:sz w:val="1"/>
                <w:szCs w:val="1"/>
                <w:color w:val="auto"/>
              </w:rPr>
            </w:pPr>
          </w:p>
        </w:tc>
      </w:tr>
      <w:tr>
        <w:trPr>
          <w:trHeight w:val="20"/>
        </w:trPr>
        <w:tc>
          <w:tcPr>
            <w:tcW w:w="6980" w:type="dxa"/>
            <w:vAlign w:val="bottom"/>
            <w:vMerge w:val="restart"/>
          </w:tcPr>
          <w:p>
            <w:pPr>
              <w:spacing w:after="0"/>
              <w:rPr>
                <w:sz w:val="20"/>
                <w:szCs w:val="20"/>
                <w:color w:val="auto"/>
              </w:rPr>
            </w:pPr>
            <w:r>
              <w:rPr>
                <w:rFonts w:ascii="Arial" w:cs="Arial" w:eastAsia="Arial" w:hAnsi="Arial"/>
                <w:sz w:val="16"/>
                <w:szCs w:val="16"/>
                <w:b w:val="1"/>
                <w:bCs w:val="1"/>
                <w:color w:val="auto"/>
              </w:rPr>
              <w:t>Liabilities and Shareholders' Equity</w:t>
            </w:r>
          </w:p>
        </w:tc>
        <w:tc>
          <w:tcPr>
            <w:tcW w:w="2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6"/>
        </w:trPr>
        <w:tc>
          <w:tcPr>
            <w:tcW w:w="69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980" w:type="dxa"/>
            <w:vAlign w:val="bottom"/>
          </w:tcPr>
          <w:p>
            <w:pPr>
              <w:ind w:left="180"/>
              <w:spacing w:after="0"/>
              <w:rPr>
                <w:sz w:val="20"/>
                <w:szCs w:val="20"/>
                <w:color w:val="auto"/>
              </w:rPr>
            </w:pPr>
            <w:r>
              <w:rPr>
                <w:rFonts w:ascii="Arial" w:cs="Arial" w:eastAsia="Arial" w:hAnsi="Arial"/>
                <w:sz w:val="16"/>
                <w:szCs w:val="16"/>
                <w:color w:val="auto"/>
              </w:rPr>
              <w:t>Current liabilities</w:t>
            </w:r>
          </w:p>
        </w:tc>
        <w:tc>
          <w:tcPr>
            <w:tcW w:w="2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80" w:type="dxa"/>
            <w:vAlign w:val="bottom"/>
          </w:tcPr>
          <w:p>
            <w:pPr>
              <w:ind w:left="340"/>
              <w:spacing w:after="0"/>
              <w:rPr>
                <w:sz w:val="20"/>
                <w:szCs w:val="20"/>
                <w:color w:val="auto"/>
              </w:rPr>
            </w:pPr>
            <w:r>
              <w:rPr>
                <w:rFonts w:ascii="Arial" w:cs="Arial" w:eastAsia="Arial" w:hAnsi="Arial"/>
                <w:sz w:val="16"/>
                <w:szCs w:val="16"/>
                <w:color w:val="auto"/>
              </w:rPr>
              <w:t>Accounts payable</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1960" w:type="dxa"/>
            <w:vAlign w:val="bottom"/>
          </w:tcPr>
          <w:p>
            <w:pPr>
              <w:jc w:val="right"/>
              <w:ind w:right="39"/>
              <w:spacing w:after="0"/>
              <w:rPr>
                <w:sz w:val="20"/>
                <w:szCs w:val="20"/>
                <w:color w:val="auto"/>
              </w:rPr>
            </w:pPr>
            <w:r>
              <w:rPr>
                <w:rFonts w:ascii="Arial" w:cs="Arial" w:eastAsia="Arial" w:hAnsi="Arial"/>
                <w:sz w:val="16"/>
                <w:szCs w:val="16"/>
                <w:color w:val="auto"/>
              </w:rPr>
              <w:t>292</w:t>
            </w:r>
          </w:p>
        </w:tc>
        <w:tc>
          <w:tcPr>
            <w:tcW w:w="120" w:type="dxa"/>
            <w:vAlign w:val="bottom"/>
          </w:tcPr>
          <w:p>
            <w:pPr>
              <w:spacing w:after="0"/>
              <w:rPr>
                <w:sz w:val="17"/>
                <w:szCs w:val="17"/>
                <w:color w:val="auto"/>
              </w:rPr>
            </w:pPr>
          </w:p>
        </w:tc>
        <w:tc>
          <w:tcPr>
            <w:tcW w:w="220" w:type="dxa"/>
            <w:vAlign w:val="bottom"/>
            <w:gridSpan w:val="2"/>
          </w:tcPr>
          <w:p>
            <w:pPr>
              <w:jc w:val="right"/>
              <w:ind w:right="89"/>
              <w:spacing w:after="0"/>
              <w:rPr>
                <w:sz w:val="20"/>
                <w:szCs w:val="20"/>
                <w:color w:val="auto"/>
              </w:rPr>
            </w:pPr>
            <w:r>
              <w:rPr>
                <w:rFonts w:ascii="Arial" w:cs="Arial" w:eastAsia="Arial" w:hAnsi="Arial"/>
                <w:sz w:val="15"/>
                <w:szCs w:val="15"/>
                <w:color w:val="auto"/>
                <w:w w:val="71"/>
              </w:rPr>
              <w:t>$</w:t>
            </w:r>
          </w:p>
        </w:tc>
        <w:tc>
          <w:tcPr>
            <w:tcW w:w="1920" w:type="dxa"/>
            <w:vAlign w:val="bottom"/>
          </w:tcPr>
          <w:p>
            <w:pPr>
              <w:jc w:val="right"/>
              <w:ind w:right="19"/>
              <w:spacing w:after="0"/>
              <w:rPr>
                <w:sz w:val="20"/>
                <w:szCs w:val="20"/>
                <w:color w:val="auto"/>
              </w:rPr>
            </w:pPr>
            <w:r>
              <w:rPr>
                <w:rFonts w:ascii="Arial" w:cs="Arial" w:eastAsia="Arial" w:hAnsi="Arial"/>
                <w:sz w:val="16"/>
                <w:szCs w:val="16"/>
                <w:color w:val="auto"/>
              </w:rPr>
              <w:t>253</w:t>
            </w:r>
          </w:p>
        </w:tc>
        <w:tc>
          <w:tcPr>
            <w:tcW w:w="0" w:type="dxa"/>
            <w:vAlign w:val="bottom"/>
          </w:tcPr>
          <w:p>
            <w:pPr>
              <w:spacing w:after="0"/>
              <w:rPr>
                <w:sz w:val="1"/>
                <w:szCs w:val="1"/>
                <w:color w:val="auto"/>
              </w:rPr>
            </w:pPr>
          </w:p>
        </w:tc>
      </w:tr>
      <w:tr>
        <w:trPr>
          <w:trHeight w:val="203"/>
        </w:trPr>
        <w:tc>
          <w:tcPr>
            <w:tcW w:w="6980" w:type="dxa"/>
            <w:vAlign w:val="bottom"/>
          </w:tcPr>
          <w:p>
            <w:pPr>
              <w:ind w:left="340"/>
              <w:spacing w:after="0"/>
              <w:rPr>
                <w:sz w:val="20"/>
                <w:szCs w:val="20"/>
                <w:color w:val="auto"/>
              </w:rPr>
            </w:pPr>
            <w:r>
              <w:rPr>
                <w:rFonts w:ascii="Arial" w:cs="Arial" w:eastAsia="Arial" w:hAnsi="Arial"/>
                <w:sz w:val="16"/>
                <w:szCs w:val="16"/>
                <w:color w:val="auto"/>
              </w:rPr>
              <w:t>Deferred revenues</w:t>
            </w:r>
          </w:p>
        </w:tc>
        <w:tc>
          <w:tcPr>
            <w:tcW w:w="220" w:type="dxa"/>
            <w:vAlign w:val="bottom"/>
          </w:tcPr>
          <w:p>
            <w:pPr>
              <w:spacing w:after="0"/>
              <w:rPr>
                <w:sz w:val="17"/>
                <w:szCs w:val="17"/>
                <w:color w:val="auto"/>
              </w:rPr>
            </w:pPr>
          </w:p>
        </w:tc>
        <w:tc>
          <w:tcPr>
            <w:tcW w:w="1960" w:type="dxa"/>
            <w:vAlign w:val="bottom"/>
          </w:tcPr>
          <w:p>
            <w:pPr>
              <w:jc w:val="right"/>
              <w:ind w:right="39"/>
              <w:spacing w:after="0"/>
              <w:rPr>
                <w:sz w:val="20"/>
                <w:szCs w:val="20"/>
                <w:color w:val="auto"/>
              </w:rPr>
            </w:pPr>
            <w:r>
              <w:rPr>
                <w:rFonts w:ascii="Arial" w:cs="Arial" w:eastAsia="Arial" w:hAnsi="Arial"/>
                <w:sz w:val="16"/>
                <w:szCs w:val="16"/>
                <w:color w:val="auto"/>
              </w:rPr>
              <w:t>1,375</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20" w:type="dxa"/>
            <w:vAlign w:val="bottom"/>
          </w:tcPr>
          <w:p>
            <w:pPr>
              <w:jc w:val="right"/>
              <w:ind w:right="19"/>
              <w:spacing w:after="0"/>
              <w:rPr>
                <w:sz w:val="20"/>
                <w:szCs w:val="20"/>
                <w:color w:val="auto"/>
              </w:rPr>
            </w:pPr>
            <w:r>
              <w:rPr>
                <w:rFonts w:ascii="Arial" w:cs="Arial" w:eastAsia="Arial" w:hAnsi="Arial"/>
                <w:sz w:val="16"/>
                <w:szCs w:val="16"/>
                <w:color w:val="auto"/>
              </w:rPr>
              <w:t>1,493</w:t>
            </w:r>
          </w:p>
        </w:tc>
        <w:tc>
          <w:tcPr>
            <w:tcW w:w="0" w:type="dxa"/>
            <w:vAlign w:val="bottom"/>
          </w:tcPr>
          <w:p>
            <w:pPr>
              <w:spacing w:after="0"/>
              <w:rPr>
                <w:sz w:val="1"/>
                <w:szCs w:val="1"/>
                <w:color w:val="auto"/>
              </w:rPr>
            </w:pPr>
          </w:p>
        </w:tc>
      </w:tr>
      <w:tr>
        <w:trPr>
          <w:trHeight w:val="206"/>
        </w:trPr>
        <w:tc>
          <w:tcPr>
            <w:tcW w:w="6980" w:type="dxa"/>
            <w:vAlign w:val="bottom"/>
          </w:tcPr>
          <w:p>
            <w:pPr>
              <w:ind w:left="340"/>
              <w:spacing w:after="0"/>
              <w:rPr>
                <w:sz w:val="20"/>
                <w:szCs w:val="20"/>
                <w:color w:val="auto"/>
              </w:rPr>
            </w:pPr>
            <w:r>
              <w:rPr>
                <w:rFonts w:ascii="Arial" w:cs="Arial" w:eastAsia="Arial" w:hAnsi="Arial"/>
                <w:sz w:val="16"/>
                <w:szCs w:val="16"/>
                <w:color w:val="auto"/>
              </w:rPr>
              <w:t>Accrued expenses and other liabilities</w:t>
            </w:r>
          </w:p>
        </w:tc>
        <w:tc>
          <w:tcPr>
            <w:tcW w:w="22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1,248</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896</w:t>
            </w:r>
          </w:p>
        </w:tc>
        <w:tc>
          <w:tcPr>
            <w:tcW w:w="0" w:type="dxa"/>
            <w:vAlign w:val="bottom"/>
          </w:tcPr>
          <w:p>
            <w:pPr>
              <w:spacing w:after="0"/>
              <w:rPr>
                <w:sz w:val="1"/>
                <w:szCs w:val="1"/>
                <w:color w:val="auto"/>
              </w:rPr>
            </w:pPr>
          </w:p>
        </w:tc>
      </w:tr>
      <w:tr>
        <w:trPr>
          <w:trHeight w:val="192"/>
        </w:trPr>
        <w:tc>
          <w:tcPr>
            <w:tcW w:w="6980" w:type="dxa"/>
            <w:vAlign w:val="bottom"/>
          </w:tcPr>
          <w:p>
            <w:pPr>
              <w:ind w:left="500"/>
              <w:spacing w:after="0"/>
              <w:rPr>
                <w:sz w:val="20"/>
                <w:szCs w:val="20"/>
                <w:color w:val="auto"/>
              </w:rPr>
            </w:pPr>
            <w:r>
              <w:rPr>
                <w:rFonts w:ascii="Arial" w:cs="Arial" w:eastAsia="Arial" w:hAnsi="Arial"/>
                <w:sz w:val="16"/>
                <w:szCs w:val="16"/>
                <w:color w:val="auto"/>
              </w:rPr>
              <w:t>Total current liabilities</w:t>
            </w:r>
          </w:p>
        </w:tc>
        <w:tc>
          <w:tcPr>
            <w:tcW w:w="220" w:type="dxa"/>
            <w:vAlign w:val="bottom"/>
          </w:tcPr>
          <w:p>
            <w:pPr>
              <w:spacing w:after="0"/>
              <w:rPr>
                <w:sz w:val="16"/>
                <w:szCs w:val="16"/>
                <w:color w:val="auto"/>
              </w:rPr>
            </w:pPr>
          </w:p>
        </w:tc>
        <w:tc>
          <w:tcPr>
            <w:tcW w:w="1960" w:type="dxa"/>
            <w:vAlign w:val="bottom"/>
          </w:tcPr>
          <w:p>
            <w:pPr>
              <w:jc w:val="right"/>
              <w:ind w:right="39"/>
              <w:spacing w:after="0"/>
              <w:rPr>
                <w:sz w:val="20"/>
                <w:szCs w:val="20"/>
                <w:color w:val="auto"/>
              </w:rPr>
            </w:pPr>
            <w:r>
              <w:rPr>
                <w:rFonts w:ascii="Arial" w:cs="Arial" w:eastAsia="Arial" w:hAnsi="Arial"/>
                <w:sz w:val="16"/>
                <w:szCs w:val="16"/>
                <w:color w:val="auto"/>
              </w:rPr>
              <w:t>2,915</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20" w:type="dxa"/>
            <w:vAlign w:val="bottom"/>
          </w:tcPr>
          <w:p>
            <w:pPr>
              <w:jc w:val="right"/>
              <w:ind w:right="19"/>
              <w:spacing w:after="0"/>
              <w:rPr>
                <w:sz w:val="20"/>
                <w:szCs w:val="20"/>
                <w:color w:val="auto"/>
              </w:rPr>
            </w:pPr>
            <w:r>
              <w:rPr>
                <w:rFonts w:ascii="Arial" w:cs="Arial" w:eastAsia="Arial" w:hAnsi="Arial"/>
                <w:sz w:val="16"/>
                <w:szCs w:val="16"/>
                <w:color w:val="auto"/>
              </w:rPr>
              <w:t>2,642</w:t>
            </w:r>
          </w:p>
        </w:tc>
        <w:tc>
          <w:tcPr>
            <w:tcW w:w="0" w:type="dxa"/>
            <w:vAlign w:val="bottom"/>
          </w:tcPr>
          <w:p>
            <w:pPr>
              <w:spacing w:after="0"/>
              <w:rPr>
                <w:sz w:val="1"/>
                <w:szCs w:val="1"/>
                <w:color w:val="auto"/>
              </w:rPr>
            </w:pPr>
          </w:p>
        </w:tc>
      </w:tr>
      <w:tr>
        <w:trPr>
          <w:trHeight w:val="203"/>
        </w:trPr>
        <w:tc>
          <w:tcPr>
            <w:tcW w:w="6980" w:type="dxa"/>
            <w:vAlign w:val="bottom"/>
          </w:tcPr>
          <w:p>
            <w:pPr>
              <w:ind w:left="180"/>
              <w:spacing w:after="0"/>
              <w:rPr>
                <w:sz w:val="20"/>
                <w:szCs w:val="20"/>
                <w:color w:val="auto"/>
              </w:rPr>
            </w:pPr>
            <w:r>
              <w:rPr>
                <w:rFonts w:ascii="Arial" w:cs="Arial" w:eastAsia="Arial" w:hAnsi="Arial"/>
                <w:sz w:val="16"/>
                <w:szCs w:val="16"/>
                <w:color w:val="auto"/>
              </w:rPr>
              <w:t>Long-term debt, net</w:t>
            </w:r>
          </w:p>
        </w:tc>
        <w:tc>
          <w:tcPr>
            <w:tcW w:w="220" w:type="dxa"/>
            <w:vAlign w:val="bottom"/>
          </w:tcPr>
          <w:p>
            <w:pPr>
              <w:spacing w:after="0"/>
              <w:rPr>
                <w:sz w:val="17"/>
                <w:szCs w:val="17"/>
                <w:color w:val="auto"/>
              </w:rPr>
            </w:pPr>
          </w:p>
        </w:tc>
        <w:tc>
          <w:tcPr>
            <w:tcW w:w="1960" w:type="dxa"/>
            <w:vAlign w:val="bottom"/>
          </w:tcPr>
          <w:p>
            <w:pPr>
              <w:jc w:val="right"/>
              <w:ind w:right="39"/>
              <w:spacing w:after="0"/>
              <w:rPr>
                <w:sz w:val="20"/>
                <w:szCs w:val="20"/>
                <w:color w:val="auto"/>
              </w:rPr>
            </w:pPr>
            <w:r>
              <w:rPr>
                <w:rFonts w:ascii="Arial" w:cs="Arial" w:eastAsia="Arial" w:hAnsi="Arial"/>
                <w:sz w:val="16"/>
                <w:szCs w:val="16"/>
                <w:color w:val="auto"/>
              </w:rPr>
              <w:t>2,675</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20" w:type="dxa"/>
            <w:vAlign w:val="bottom"/>
          </w:tcPr>
          <w:p>
            <w:pPr>
              <w:jc w:val="right"/>
              <w:ind w:right="19"/>
              <w:spacing w:after="0"/>
              <w:rPr>
                <w:sz w:val="20"/>
                <w:szCs w:val="20"/>
                <w:color w:val="auto"/>
              </w:rPr>
            </w:pPr>
            <w:r>
              <w:rPr>
                <w:rFonts w:ascii="Arial" w:cs="Arial" w:eastAsia="Arial" w:hAnsi="Arial"/>
                <w:sz w:val="16"/>
                <w:szCs w:val="16"/>
                <w:color w:val="auto"/>
              </w:rPr>
              <w:t>2,671</w:t>
            </w:r>
          </w:p>
        </w:tc>
        <w:tc>
          <w:tcPr>
            <w:tcW w:w="0" w:type="dxa"/>
            <w:vAlign w:val="bottom"/>
          </w:tcPr>
          <w:p>
            <w:pPr>
              <w:spacing w:after="0"/>
              <w:rPr>
                <w:sz w:val="1"/>
                <w:szCs w:val="1"/>
                <w:color w:val="auto"/>
              </w:rPr>
            </w:pPr>
          </w:p>
        </w:tc>
      </w:tr>
      <w:tr>
        <w:trPr>
          <w:trHeight w:val="203"/>
        </w:trPr>
        <w:tc>
          <w:tcPr>
            <w:tcW w:w="6980" w:type="dxa"/>
            <w:vAlign w:val="bottom"/>
          </w:tcPr>
          <w:p>
            <w:pPr>
              <w:ind w:left="180"/>
              <w:spacing w:after="0"/>
              <w:rPr>
                <w:sz w:val="20"/>
                <w:szCs w:val="20"/>
                <w:color w:val="auto"/>
              </w:rPr>
            </w:pPr>
            <w:r>
              <w:rPr>
                <w:rFonts w:ascii="Arial" w:cs="Arial" w:eastAsia="Arial" w:hAnsi="Arial"/>
                <w:sz w:val="16"/>
                <w:szCs w:val="16"/>
                <w:color w:val="auto"/>
              </w:rPr>
              <w:t>Deferred income taxes, net</w:t>
            </w:r>
          </w:p>
        </w:tc>
        <w:tc>
          <w:tcPr>
            <w:tcW w:w="220" w:type="dxa"/>
            <w:vAlign w:val="bottom"/>
          </w:tcPr>
          <w:p>
            <w:pPr>
              <w:spacing w:after="0"/>
              <w:rPr>
                <w:sz w:val="17"/>
                <w:szCs w:val="17"/>
                <w:color w:val="auto"/>
              </w:rPr>
            </w:pPr>
          </w:p>
        </w:tc>
        <w:tc>
          <w:tcPr>
            <w:tcW w:w="1960" w:type="dxa"/>
            <w:vAlign w:val="bottom"/>
          </w:tcPr>
          <w:p>
            <w:pPr>
              <w:jc w:val="right"/>
              <w:ind w:right="39"/>
              <w:spacing w:after="0"/>
              <w:rPr>
                <w:sz w:val="20"/>
                <w:szCs w:val="20"/>
                <w:color w:val="auto"/>
              </w:rPr>
            </w:pPr>
            <w:r>
              <w:rPr>
                <w:rFonts w:ascii="Arial" w:cs="Arial" w:eastAsia="Arial" w:hAnsi="Arial"/>
                <w:sz w:val="16"/>
                <w:szCs w:val="16"/>
                <w:color w:val="auto"/>
              </w:rPr>
              <w:t>505</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20" w:type="dxa"/>
            <w:vAlign w:val="bottom"/>
          </w:tcPr>
          <w:p>
            <w:pPr>
              <w:jc w:val="right"/>
              <w:ind w:right="19"/>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06"/>
        </w:trPr>
        <w:tc>
          <w:tcPr>
            <w:tcW w:w="6980" w:type="dxa"/>
            <w:vAlign w:val="bottom"/>
          </w:tcPr>
          <w:p>
            <w:pPr>
              <w:ind w:left="180"/>
              <w:spacing w:after="0"/>
              <w:rPr>
                <w:sz w:val="20"/>
                <w:szCs w:val="20"/>
                <w:color w:val="auto"/>
              </w:rPr>
            </w:pPr>
            <w:r>
              <w:rPr>
                <w:rFonts w:ascii="Arial" w:cs="Arial" w:eastAsia="Arial" w:hAnsi="Arial"/>
                <w:sz w:val="16"/>
                <w:szCs w:val="16"/>
                <w:color w:val="auto"/>
              </w:rPr>
              <w:t>Other liabilities</w:t>
            </w:r>
          </w:p>
        </w:tc>
        <w:tc>
          <w:tcPr>
            <w:tcW w:w="22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945</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1,167</w:t>
            </w:r>
          </w:p>
        </w:tc>
        <w:tc>
          <w:tcPr>
            <w:tcW w:w="0" w:type="dxa"/>
            <w:vAlign w:val="bottom"/>
          </w:tcPr>
          <w:p>
            <w:pPr>
              <w:spacing w:after="0"/>
              <w:rPr>
                <w:sz w:val="1"/>
                <w:szCs w:val="1"/>
                <w:color w:val="auto"/>
              </w:rPr>
            </w:pPr>
          </w:p>
        </w:tc>
      </w:tr>
      <w:tr>
        <w:trPr>
          <w:trHeight w:val="202"/>
        </w:trPr>
        <w:tc>
          <w:tcPr>
            <w:tcW w:w="6980" w:type="dxa"/>
            <w:vAlign w:val="bottom"/>
          </w:tcPr>
          <w:p>
            <w:pPr>
              <w:ind w:left="500"/>
              <w:spacing w:after="0"/>
              <w:rPr>
                <w:sz w:val="20"/>
                <w:szCs w:val="20"/>
                <w:color w:val="auto"/>
              </w:rPr>
            </w:pPr>
            <w:r>
              <w:rPr>
                <w:rFonts w:ascii="Arial" w:cs="Arial" w:eastAsia="Arial" w:hAnsi="Arial"/>
                <w:sz w:val="16"/>
                <w:szCs w:val="16"/>
                <w:color w:val="auto"/>
              </w:rPr>
              <w:t>Total liabilities</w:t>
            </w:r>
          </w:p>
        </w:tc>
        <w:tc>
          <w:tcPr>
            <w:tcW w:w="22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7,040</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6,498</w:t>
            </w:r>
          </w:p>
        </w:tc>
        <w:tc>
          <w:tcPr>
            <w:tcW w:w="0" w:type="dxa"/>
            <w:vAlign w:val="bottom"/>
          </w:tcPr>
          <w:p>
            <w:pPr>
              <w:spacing w:after="0"/>
              <w:rPr>
                <w:sz w:val="1"/>
                <w:szCs w:val="1"/>
                <w:color w:val="auto"/>
              </w:rPr>
            </w:pPr>
          </w:p>
        </w:tc>
      </w:tr>
      <w:tr>
        <w:trPr>
          <w:trHeight w:val="389"/>
        </w:trPr>
        <w:tc>
          <w:tcPr>
            <w:tcW w:w="6980" w:type="dxa"/>
            <w:vAlign w:val="bottom"/>
          </w:tcPr>
          <w:p>
            <w:pPr>
              <w:spacing w:after="0"/>
              <w:rPr>
                <w:sz w:val="20"/>
                <w:szCs w:val="20"/>
                <w:color w:val="auto"/>
              </w:rPr>
            </w:pPr>
            <w:r>
              <w:rPr>
                <w:rFonts w:ascii="Arial" w:cs="Arial" w:eastAsia="Arial" w:hAnsi="Arial"/>
                <w:sz w:val="16"/>
                <w:szCs w:val="16"/>
                <w:color w:val="auto"/>
              </w:rPr>
              <w:t>Shareholders' equity</w:t>
            </w:r>
          </w:p>
        </w:tc>
        <w:tc>
          <w:tcPr>
            <w:tcW w:w="2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980" w:type="dxa"/>
            <w:vAlign w:val="bottom"/>
          </w:tcPr>
          <w:p>
            <w:pPr>
              <w:ind w:left="180"/>
              <w:spacing w:after="0"/>
              <w:rPr>
                <w:sz w:val="20"/>
                <w:szCs w:val="20"/>
                <w:color w:val="auto"/>
              </w:rPr>
            </w:pPr>
            <w:r>
              <w:rPr>
                <w:rFonts w:ascii="Arial" w:cs="Arial" w:eastAsia="Arial" w:hAnsi="Arial"/>
                <w:sz w:val="16"/>
                <w:szCs w:val="16"/>
                <w:color w:val="auto"/>
              </w:rPr>
              <w:t>Common stock</w:t>
            </w:r>
          </w:p>
        </w:tc>
        <w:tc>
          <w:tcPr>
            <w:tcW w:w="220" w:type="dxa"/>
            <w:vAlign w:val="bottom"/>
          </w:tcPr>
          <w:p>
            <w:pPr>
              <w:spacing w:after="0"/>
              <w:rPr>
                <w:sz w:val="17"/>
                <w:szCs w:val="17"/>
                <w:color w:val="auto"/>
              </w:rPr>
            </w:pPr>
          </w:p>
        </w:tc>
        <w:tc>
          <w:tcPr>
            <w:tcW w:w="20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6980" w:type="dxa"/>
            <w:vAlign w:val="bottom"/>
          </w:tcPr>
          <w:p>
            <w:pPr>
              <w:ind w:left="180"/>
              <w:spacing w:after="0"/>
              <w:rPr>
                <w:sz w:val="20"/>
                <w:szCs w:val="20"/>
                <w:color w:val="auto"/>
              </w:rPr>
            </w:pPr>
            <w:r>
              <w:rPr>
                <w:rFonts w:ascii="Arial" w:cs="Arial" w:eastAsia="Arial" w:hAnsi="Arial"/>
                <w:sz w:val="16"/>
                <w:szCs w:val="16"/>
                <w:color w:val="auto"/>
              </w:rPr>
              <w:t>Additional paid-in capital</w:t>
            </w:r>
          </w:p>
        </w:tc>
        <w:tc>
          <w:tcPr>
            <w:tcW w:w="220" w:type="dxa"/>
            <w:vAlign w:val="bottom"/>
          </w:tcPr>
          <w:p>
            <w:pPr>
              <w:spacing w:after="0"/>
              <w:rPr>
                <w:sz w:val="17"/>
                <w:szCs w:val="17"/>
                <w:color w:val="auto"/>
              </w:rPr>
            </w:pPr>
          </w:p>
        </w:tc>
        <w:tc>
          <w:tcPr>
            <w:tcW w:w="1960" w:type="dxa"/>
            <w:vAlign w:val="bottom"/>
          </w:tcPr>
          <w:p>
            <w:pPr>
              <w:jc w:val="right"/>
              <w:ind w:right="39"/>
              <w:spacing w:after="0"/>
              <w:rPr>
                <w:sz w:val="20"/>
                <w:szCs w:val="20"/>
                <w:color w:val="auto"/>
              </w:rPr>
            </w:pPr>
            <w:r>
              <w:rPr>
                <w:rFonts w:ascii="Arial" w:cs="Arial" w:eastAsia="Arial" w:hAnsi="Arial"/>
                <w:sz w:val="16"/>
                <w:szCs w:val="16"/>
                <w:color w:val="auto"/>
              </w:rPr>
              <w:t>11,174</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20" w:type="dxa"/>
            <w:vAlign w:val="bottom"/>
          </w:tcPr>
          <w:p>
            <w:pPr>
              <w:jc w:val="right"/>
              <w:ind w:right="19"/>
              <w:spacing w:after="0"/>
              <w:rPr>
                <w:sz w:val="20"/>
                <w:szCs w:val="20"/>
                <w:color w:val="auto"/>
              </w:rPr>
            </w:pPr>
            <w:r>
              <w:rPr>
                <w:rFonts w:ascii="Arial" w:cs="Arial" w:eastAsia="Arial" w:hAnsi="Arial"/>
                <w:sz w:val="16"/>
                <w:szCs w:val="16"/>
                <w:color w:val="auto"/>
              </w:rPr>
              <w:t>10,963</w:t>
            </w:r>
          </w:p>
        </w:tc>
        <w:tc>
          <w:tcPr>
            <w:tcW w:w="0" w:type="dxa"/>
            <w:vAlign w:val="bottom"/>
          </w:tcPr>
          <w:p>
            <w:pPr>
              <w:spacing w:after="0"/>
              <w:rPr>
                <w:sz w:val="1"/>
                <w:szCs w:val="1"/>
                <w:color w:val="auto"/>
              </w:rPr>
            </w:pPr>
          </w:p>
        </w:tc>
      </w:tr>
      <w:tr>
        <w:trPr>
          <w:trHeight w:val="203"/>
        </w:trPr>
        <w:tc>
          <w:tcPr>
            <w:tcW w:w="6980" w:type="dxa"/>
            <w:vAlign w:val="bottom"/>
          </w:tcPr>
          <w:p>
            <w:pPr>
              <w:ind w:left="180"/>
              <w:spacing w:after="0"/>
              <w:rPr>
                <w:sz w:val="20"/>
                <w:szCs w:val="20"/>
                <w:color w:val="auto"/>
              </w:rPr>
            </w:pPr>
            <w:r>
              <w:rPr>
                <w:rFonts w:ascii="Arial" w:cs="Arial" w:eastAsia="Arial" w:hAnsi="Arial"/>
                <w:sz w:val="16"/>
                <w:szCs w:val="16"/>
                <w:color w:val="auto"/>
              </w:rPr>
              <w:t>Treasury stock</w:t>
            </w:r>
          </w:p>
        </w:tc>
        <w:tc>
          <w:tcPr>
            <w:tcW w:w="220" w:type="dxa"/>
            <w:vAlign w:val="bottom"/>
          </w:tcPr>
          <w:p>
            <w:pPr>
              <w:spacing w:after="0"/>
              <w:rPr>
                <w:sz w:val="17"/>
                <w:szCs w:val="17"/>
                <w:color w:val="auto"/>
              </w:rPr>
            </w:pPr>
          </w:p>
        </w:tc>
        <w:tc>
          <w:tcPr>
            <w:tcW w:w="1960" w:type="dxa"/>
            <w:vAlign w:val="bottom"/>
          </w:tcPr>
          <w:p>
            <w:pPr>
              <w:jc w:val="right"/>
              <w:spacing w:after="0"/>
              <w:rPr>
                <w:sz w:val="20"/>
                <w:szCs w:val="20"/>
                <w:color w:val="auto"/>
              </w:rPr>
            </w:pPr>
            <w:r>
              <w:rPr>
                <w:rFonts w:ascii="Arial" w:cs="Arial" w:eastAsia="Arial" w:hAnsi="Arial"/>
                <w:sz w:val="16"/>
                <w:szCs w:val="16"/>
                <w:color w:val="auto"/>
              </w:rPr>
              <w:t>(5,563)</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(5,563)</w:t>
            </w:r>
          </w:p>
        </w:tc>
        <w:tc>
          <w:tcPr>
            <w:tcW w:w="0" w:type="dxa"/>
            <w:vAlign w:val="bottom"/>
          </w:tcPr>
          <w:p>
            <w:pPr>
              <w:spacing w:after="0"/>
              <w:rPr>
                <w:sz w:val="1"/>
                <w:szCs w:val="1"/>
                <w:color w:val="auto"/>
              </w:rPr>
            </w:pPr>
          </w:p>
        </w:tc>
      </w:tr>
      <w:tr>
        <w:trPr>
          <w:trHeight w:val="203"/>
        </w:trPr>
        <w:tc>
          <w:tcPr>
            <w:tcW w:w="6980" w:type="dxa"/>
            <w:vAlign w:val="bottom"/>
          </w:tcPr>
          <w:p>
            <w:pPr>
              <w:ind w:left="180"/>
              <w:spacing w:after="0"/>
              <w:rPr>
                <w:sz w:val="20"/>
                <w:szCs w:val="20"/>
                <w:color w:val="auto"/>
              </w:rPr>
            </w:pPr>
            <w:r>
              <w:rPr>
                <w:rFonts w:ascii="Arial" w:cs="Arial" w:eastAsia="Arial" w:hAnsi="Arial"/>
                <w:sz w:val="16"/>
                <w:szCs w:val="16"/>
                <w:color w:val="auto"/>
              </w:rPr>
              <w:t>Retained earnings</w:t>
            </w:r>
          </w:p>
        </w:tc>
        <w:tc>
          <w:tcPr>
            <w:tcW w:w="220" w:type="dxa"/>
            <w:vAlign w:val="bottom"/>
          </w:tcPr>
          <w:p>
            <w:pPr>
              <w:spacing w:after="0"/>
              <w:rPr>
                <w:sz w:val="17"/>
                <w:szCs w:val="17"/>
                <w:color w:val="auto"/>
              </w:rPr>
            </w:pPr>
          </w:p>
        </w:tc>
        <w:tc>
          <w:tcPr>
            <w:tcW w:w="1960" w:type="dxa"/>
            <w:vAlign w:val="bottom"/>
          </w:tcPr>
          <w:p>
            <w:pPr>
              <w:jc w:val="right"/>
              <w:ind w:right="39"/>
              <w:spacing w:after="0"/>
              <w:rPr>
                <w:sz w:val="20"/>
                <w:szCs w:val="20"/>
                <w:color w:val="auto"/>
              </w:rPr>
            </w:pPr>
            <w:r>
              <w:rPr>
                <w:rFonts w:ascii="Arial" w:cs="Arial" w:eastAsia="Arial" w:hAnsi="Arial"/>
                <w:sz w:val="16"/>
                <w:szCs w:val="16"/>
                <w:color w:val="auto"/>
              </w:rPr>
              <w:t>7,813</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20" w:type="dxa"/>
            <w:vAlign w:val="bottom"/>
          </w:tcPr>
          <w:p>
            <w:pPr>
              <w:jc w:val="right"/>
              <w:ind w:right="19"/>
              <w:spacing w:after="0"/>
              <w:rPr>
                <w:sz w:val="20"/>
                <w:szCs w:val="20"/>
                <w:color w:val="auto"/>
              </w:rPr>
            </w:pPr>
            <w:r>
              <w:rPr>
                <w:rFonts w:ascii="Arial" w:cs="Arial" w:eastAsia="Arial" w:hAnsi="Arial"/>
                <w:sz w:val="16"/>
                <w:szCs w:val="16"/>
                <w:color w:val="auto"/>
              </w:rPr>
              <w:t>6,593</w:t>
            </w:r>
          </w:p>
        </w:tc>
        <w:tc>
          <w:tcPr>
            <w:tcW w:w="0" w:type="dxa"/>
            <w:vAlign w:val="bottom"/>
          </w:tcPr>
          <w:p>
            <w:pPr>
              <w:spacing w:after="0"/>
              <w:rPr>
                <w:sz w:val="1"/>
                <w:szCs w:val="1"/>
                <w:color w:val="auto"/>
              </w:rPr>
            </w:pPr>
          </w:p>
        </w:tc>
      </w:tr>
      <w:tr>
        <w:trPr>
          <w:trHeight w:val="206"/>
        </w:trPr>
        <w:tc>
          <w:tcPr>
            <w:tcW w:w="6980" w:type="dxa"/>
            <w:vAlign w:val="bottom"/>
          </w:tcPr>
          <w:p>
            <w:pPr>
              <w:ind w:left="180"/>
              <w:spacing w:after="0"/>
              <w:rPr>
                <w:sz w:val="20"/>
                <w:szCs w:val="20"/>
                <w:color w:val="auto"/>
              </w:rPr>
            </w:pPr>
            <w:r>
              <w:rPr>
                <w:rFonts w:ascii="Arial" w:cs="Arial" w:eastAsia="Arial" w:hAnsi="Arial"/>
                <w:sz w:val="16"/>
                <w:szCs w:val="16"/>
                <w:color w:val="auto"/>
              </w:rPr>
              <w:t>Accumulated other comprehensive loss</w:t>
            </w:r>
          </w:p>
        </w:tc>
        <w:tc>
          <w:tcPr>
            <w:tcW w:w="22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(619)</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(601)</w:t>
            </w:r>
          </w:p>
        </w:tc>
        <w:tc>
          <w:tcPr>
            <w:tcW w:w="0" w:type="dxa"/>
            <w:vAlign w:val="bottom"/>
          </w:tcPr>
          <w:p>
            <w:pPr>
              <w:spacing w:after="0"/>
              <w:rPr>
                <w:sz w:val="1"/>
                <w:szCs w:val="1"/>
                <w:color w:val="auto"/>
              </w:rPr>
            </w:pPr>
          </w:p>
        </w:tc>
      </w:tr>
      <w:tr>
        <w:trPr>
          <w:trHeight w:val="202"/>
        </w:trPr>
        <w:tc>
          <w:tcPr>
            <w:tcW w:w="6980" w:type="dxa"/>
            <w:vAlign w:val="bottom"/>
          </w:tcPr>
          <w:p>
            <w:pPr>
              <w:ind w:left="500"/>
              <w:spacing w:after="0"/>
              <w:rPr>
                <w:sz w:val="20"/>
                <w:szCs w:val="20"/>
                <w:color w:val="auto"/>
              </w:rPr>
            </w:pPr>
            <w:r>
              <w:rPr>
                <w:rFonts w:ascii="Arial" w:cs="Arial" w:eastAsia="Arial" w:hAnsi="Arial"/>
                <w:sz w:val="16"/>
                <w:szCs w:val="16"/>
                <w:color w:val="auto"/>
              </w:rPr>
              <w:t>Total shareholders’ equity</w:t>
            </w:r>
          </w:p>
        </w:tc>
        <w:tc>
          <w:tcPr>
            <w:tcW w:w="22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12,805</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11,392</w:t>
            </w:r>
          </w:p>
        </w:tc>
        <w:tc>
          <w:tcPr>
            <w:tcW w:w="0" w:type="dxa"/>
            <w:vAlign w:val="bottom"/>
          </w:tcPr>
          <w:p>
            <w:pPr>
              <w:spacing w:after="0"/>
              <w:rPr>
                <w:sz w:val="1"/>
                <w:szCs w:val="1"/>
                <w:color w:val="auto"/>
              </w:rPr>
            </w:pPr>
          </w:p>
        </w:tc>
      </w:tr>
      <w:tr>
        <w:trPr>
          <w:trHeight w:val="196"/>
        </w:trPr>
        <w:tc>
          <w:tcPr>
            <w:tcW w:w="6980" w:type="dxa"/>
            <w:vAlign w:val="bottom"/>
          </w:tcPr>
          <w:p>
            <w:pPr>
              <w:ind w:left="500"/>
              <w:spacing w:after="0"/>
              <w:rPr>
                <w:sz w:val="20"/>
                <w:szCs w:val="20"/>
                <w:color w:val="auto"/>
              </w:rPr>
            </w:pPr>
            <w:r>
              <w:rPr>
                <w:rFonts w:ascii="Arial" w:cs="Arial" w:eastAsia="Arial" w:hAnsi="Arial"/>
                <w:sz w:val="16"/>
                <w:szCs w:val="16"/>
                <w:color w:val="auto"/>
              </w:rPr>
              <w:t>Total liabilities and shareholders’ equity</w:t>
            </w:r>
          </w:p>
        </w:tc>
        <w:tc>
          <w:tcPr>
            <w:tcW w:w="22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w w:val="71"/>
              </w:rPr>
              <w:t>$</w:t>
            </w:r>
          </w:p>
        </w:tc>
        <w:tc>
          <w:tcPr>
            <w:tcW w:w="1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19,845</w:t>
            </w:r>
          </w:p>
        </w:tc>
        <w:tc>
          <w:tcPr>
            <w:tcW w:w="1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1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17,890</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ind w:left="340" w:right="120" w:hanging="332"/>
        <w:spacing w:after="0" w:line="216" w:lineRule="auto"/>
        <w:tabs>
          <w:tab w:leader="none" w:pos="340" w:val="left"/>
        </w:tabs>
        <w:numPr>
          <w:ilvl w:val="0"/>
          <w:numId w:val="13"/>
        </w:numPr>
        <w:rPr>
          <w:rFonts w:ascii="Arial" w:cs="Arial" w:eastAsia="Arial" w:hAnsi="Arial"/>
          <w:sz w:val="27"/>
          <w:szCs w:val="27"/>
          <w:color w:val="auto"/>
          <w:vertAlign w:val="superscript"/>
        </w:rPr>
      </w:pPr>
      <w:r>
        <w:rPr>
          <w:rFonts w:ascii="Arial" w:cs="Arial" w:eastAsia="Arial" w:hAnsi="Arial"/>
          <w:sz w:val="16"/>
          <w:szCs w:val="16"/>
          <w:color w:val="auto"/>
        </w:rPr>
        <w:t>We adopted a new lease accounting standard in the first quarter of 2019. The new lease accounting standard increased our “Other assets,” “Accrued expenses and other liabilities,” and “Other liabilities” as of December 31, 2019. Refer to our forthcoming Annual Report on Form 10-K for the year ended December 31, 2019 for additional information.</w:t>
      </w:r>
    </w:p>
    <w:p>
      <w:pPr>
        <w:spacing w:after="0" w:line="200" w:lineRule="exact"/>
        <w:rPr>
          <w:sz w:val="20"/>
          <w:szCs w:val="20"/>
          <w:color w:val="auto"/>
        </w:rPr>
      </w:pPr>
    </w:p>
    <w:p>
      <w:pPr>
        <w:jc w:val="both"/>
        <w:ind w:left="340" w:right="100" w:hanging="332"/>
        <w:spacing w:after="0" w:line="216" w:lineRule="auto"/>
        <w:tabs>
          <w:tab w:leader="none" w:pos="340" w:val="left"/>
        </w:tabs>
        <w:numPr>
          <w:ilvl w:val="0"/>
          <w:numId w:val="14"/>
        </w:numPr>
        <w:rPr>
          <w:rFonts w:ascii="Arial" w:cs="Arial" w:eastAsia="Arial" w:hAnsi="Arial"/>
          <w:sz w:val="27"/>
          <w:szCs w:val="27"/>
          <w:color w:val="auto"/>
          <w:vertAlign w:val="superscript"/>
        </w:rPr>
      </w:pPr>
      <w:r>
        <w:rPr>
          <w:rFonts w:ascii="Arial" w:cs="Arial" w:eastAsia="Arial" w:hAnsi="Arial"/>
          <w:sz w:val="16"/>
          <w:szCs w:val="16"/>
          <w:color w:val="auto"/>
        </w:rPr>
        <w:t>During the three months ended March 31, 2019, we identified an amount which should have been recorded in the fourth quarter of 2018 to reduce income tax expense by $35 million. Our balance sheet as of December 31, 2018, as presented above, has been revised to reflect the correction. Refer to our forthcoming Annual Report on Form 10-K for the year ended December 31, 2019, for 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1" w:name="page12"/>
    <w:bookmarkEnd w:id="11"/>
    <w:p>
      <w:pPr>
        <w:jc w:val="right"/>
        <w:spacing w:after="0"/>
        <w:rPr>
          <w:sz w:val="20"/>
          <w:szCs w:val="20"/>
          <w:color w:val="auto"/>
        </w:rPr>
      </w:pPr>
      <w:r>
        <w:rPr>
          <w:rFonts w:ascii="Arial" w:cs="Arial" w:eastAsia="Arial" w:hAnsi="Arial"/>
          <w:sz w:val="18"/>
          <w:szCs w:val="18"/>
          <w:b w:val="1"/>
          <w:bCs w:val="1"/>
          <w:color w:val="auto"/>
        </w:rPr>
        <w:t>3</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ACTIVISION BLIZZARD,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in millions)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580" w:type="dxa"/>
            <w:vAlign w:val="bottom"/>
          </w:tcPr>
          <w:p>
            <w:pPr>
              <w:spacing w:after="0"/>
              <w:rPr>
                <w:sz w:val="18"/>
                <w:szCs w:val="18"/>
                <w:color w:val="auto"/>
              </w:rPr>
            </w:pPr>
          </w:p>
        </w:tc>
        <w:tc>
          <w:tcPr>
            <w:tcW w:w="2840" w:type="dxa"/>
            <w:vAlign w:val="bottom"/>
            <w:tcBorders>
              <w:bottom w:val="single" w:sz="8" w:color="auto"/>
            </w:tcBorders>
            <w:gridSpan w:val="6"/>
          </w:tcPr>
          <w:p>
            <w:pPr>
              <w:jc w:val="right"/>
              <w:ind w:right="439"/>
              <w:spacing w:after="0"/>
              <w:rPr>
                <w:sz w:val="20"/>
                <w:szCs w:val="20"/>
                <w:color w:val="auto"/>
              </w:rPr>
            </w:pPr>
            <w:r>
              <w:rPr>
                <w:rFonts w:ascii="Arial" w:cs="Arial" w:eastAsia="Arial" w:hAnsi="Arial"/>
                <w:sz w:val="16"/>
                <w:szCs w:val="16"/>
                <w:b w:val="1"/>
                <w:bCs w:val="1"/>
                <w:color w:val="auto"/>
              </w:rPr>
              <w:t>Year Ended December 31,</w:t>
            </w:r>
          </w:p>
        </w:tc>
      </w:tr>
      <w:tr>
        <w:trPr>
          <w:trHeight w:val="240"/>
        </w:trPr>
        <w:tc>
          <w:tcPr>
            <w:tcW w:w="8580" w:type="dxa"/>
            <w:vAlign w:val="bottom"/>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5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79"/>
              <w:spacing w:after="0" w:line="240" w:lineRule="exact"/>
              <w:rPr>
                <w:sz w:val="20"/>
                <w:szCs w:val="20"/>
                <w:color w:val="auto"/>
              </w:rPr>
            </w:pPr>
            <w:r>
              <w:rPr>
                <w:rFonts w:ascii="Arial" w:cs="Arial" w:eastAsia="Arial" w:hAnsi="Arial"/>
                <w:sz w:val="16"/>
                <w:szCs w:val="16"/>
                <w:b w:val="1"/>
                <w:bCs w:val="1"/>
                <w:color w:val="auto"/>
              </w:rPr>
              <w:t xml:space="preserve">2018 </w:t>
            </w:r>
            <w:r>
              <w:rPr>
                <w:rFonts w:ascii="Arial" w:cs="Arial" w:eastAsia="Arial" w:hAnsi="Arial"/>
                <w:sz w:val="27"/>
                <w:szCs w:val="27"/>
                <w:b w:val="1"/>
                <w:bCs w:val="1"/>
                <w:color w:val="auto"/>
                <w:vertAlign w:val="superscript"/>
              </w:rPr>
              <w:t>1</w:t>
            </w:r>
          </w:p>
        </w:tc>
      </w:tr>
      <w:tr>
        <w:trPr>
          <w:trHeight w:val="186"/>
        </w:trPr>
        <w:tc>
          <w:tcPr>
            <w:tcW w:w="8580" w:type="dxa"/>
            <w:vAlign w:val="bottom"/>
          </w:tcPr>
          <w:p>
            <w:pPr>
              <w:spacing w:after="0"/>
              <w:rPr>
                <w:sz w:val="20"/>
                <w:szCs w:val="20"/>
                <w:color w:val="auto"/>
              </w:rPr>
            </w:pPr>
            <w:r>
              <w:rPr>
                <w:rFonts w:ascii="Arial" w:cs="Arial" w:eastAsia="Arial" w:hAnsi="Arial"/>
                <w:sz w:val="16"/>
                <w:szCs w:val="16"/>
                <w:color w:val="auto"/>
              </w:rPr>
              <w:t>Cash flows from operating activities:</w:t>
            </w:r>
          </w:p>
        </w:tc>
        <w:tc>
          <w:tcPr>
            <w:tcW w:w="8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03"/>
        </w:trPr>
        <w:tc>
          <w:tcPr>
            <w:tcW w:w="8580" w:type="dxa"/>
            <w:vAlign w:val="bottom"/>
          </w:tcPr>
          <w:p>
            <w:pPr>
              <w:ind w:left="180"/>
              <w:spacing w:after="0"/>
              <w:rPr>
                <w:sz w:val="20"/>
                <w:szCs w:val="20"/>
                <w:color w:val="auto"/>
              </w:rPr>
            </w:pPr>
            <w:r>
              <w:rPr>
                <w:rFonts w:ascii="Arial" w:cs="Arial" w:eastAsia="Arial" w:hAnsi="Arial"/>
                <w:sz w:val="16"/>
                <w:szCs w:val="16"/>
                <w:color w:val="auto"/>
              </w:rPr>
              <w:t>Net income</w:t>
            </w:r>
          </w:p>
        </w:tc>
        <w:tc>
          <w:tcPr>
            <w:tcW w:w="880" w:type="dxa"/>
            <w:vAlign w:val="bottom"/>
          </w:tcPr>
          <w:p>
            <w:pPr>
              <w:jc w:val="right"/>
              <w:ind w:right="722"/>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ind w:right="39"/>
              <w:spacing w:after="0"/>
              <w:rPr>
                <w:sz w:val="20"/>
                <w:szCs w:val="20"/>
                <w:color w:val="auto"/>
              </w:rPr>
            </w:pPr>
            <w:r>
              <w:rPr>
                <w:rFonts w:ascii="Arial" w:cs="Arial" w:eastAsia="Arial" w:hAnsi="Arial"/>
                <w:sz w:val="16"/>
                <w:szCs w:val="16"/>
                <w:color w:val="auto"/>
                <w:w w:val="89"/>
              </w:rPr>
              <w:t>1,503</w:t>
            </w:r>
          </w:p>
        </w:tc>
        <w:tc>
          <w:tcPr>
            <w:tcW w:w="100" w:type="dxa"/>
            <w:vAlign w:val="bottom"/>
          </w:tcPr>
          <w:p>
            <w:pPr>
              <w:spacing w:after="0"/>
              <w:rPr>
                <w:sz w:val="17"/>
                <w:szCs w:val="17"/>
                <w:color w:val="auto"/>
              </w:rPr>
            </w:pPr>
          </w:p>
        </w:tc>
        <w:tc>
          <w:tcPr>
            <w:tcW w:w="280" w:type="dxa"/>
            <w:vAlign w:val="bottom"/>
            <w:gridSpan w:val="2"/>
          </w:tcPr>
          <w:p>
            <w:pPr>
              <w:jc w:val="right"/>
              <w:ind w:right="104"/>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1,848</w:t>
            </w:r>
          </w:p>
        </w:tc>
      </w:tr>
      <w:tr>
        <w:trPr>
          <w:trHeight w:val="203"/>
        </w:trPr>
        <w:tc>
          <w:tcPr>
            <w:tcW w:w="8580" w:type="dxa"/>
            <w:vAlign w:val="bottom"/>
          </w:tcPr>
          <w:p>
            <w:pPr>
              <w:ind w:left="18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8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3"/>
        </w:trPr>
        <w:tc>
          <w:tcPr>
            <w:tcW w:w="8580" w:type="dxa"/>
            <w:vAlign w:val="bottom"/>
          </w:tcPr>
          <w:p>
            <w:pPr>
              <w:ind w:left="340"/>
              <w:spacing w:after="0"/>
              <w:rPr>
                <w:sz w:val="20"/>
                <w:szCs w:val="20"/>
                <w:color w:val="auto"/>
              </w:rPr>
            </w:pPr>
            <w:r>
              <w:rPr>
                <w:rFonts w:ascii="Arial" w:cs="Arial" w:eastAsia="Arial" w:hAnsi="Arial"/>
                <w:sz w:val="16"/>
                <w:szCs w:val="16"/>
                <w:color w:val="auto"/>
              </w:rPr>
              <w:t>Deferred income taxes</w:t>
            </w:r>
          </w:p>
        </w:tc>
        <w:tc>
          <w:tcPr>
            <w:tcW w:w="8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(352)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(35)</w:t>
            </w:r>
          </w:p>
        </w:tc>
      </w:tr>
      <w:tr>
        <w:trPr>
          <w:trHeight w:val="203"/>
        </w:trPr>
        <w:tc>
          <w:tcPr>
            <w:tcW w:w="8580" w:type="dxa"/>
            <w:vAlign w:val="bottom"/>
          </w:tcPr>
          <w:p>
            <w:pPr>
              <w:ind w:left="340"/>
              <w:spacing w:after="0"/>
              <w:rPr>
                <w:sz w:val="20"/>
                <w:szCs w:val="20"/>
                <w:color w:val="auto"/>
              </w:rPr>
            </w:pPr>
            <w:r>
              <w:rPr>
                <w:rFonts w:ascii="Arial" w:cs="Arial" w:eastAsia="Arial" w:hAnsi="Arial"/>
                <w:sz w:val="16"/>
                <w:szCs w:val="16"/>
                <w:color w:val="auto"/>
              </w:rPr>
              <w:t>Provision for inventories</w:t>
            </w:r>
          </w:p>
        </w:tc>
        <w:tc>
          <w:tcPr>
            <w:tcW w:w="880" w:type="dxa"/>
            <w:vAlign w:val="bottom"/>
          </w:tcPr>
          <w:p>
            <w:pPr>
              <w:spacing w:after="0"/>
              <w:rPr>
                <w:sz w:val="17"/>
                <w:szCs w:val="17"/>
                <w:color w:val="auto"/>
              </w:rPr>
            </w:pPr>
          </w:p>
        </w:tc>
        <w:tc>
          <w:tcPr>
            <w:tcW w:w="500" w:type="dxa"/>
            <w:vAlign w:val="bottom"/>
          </w:tcPr>
          <w:p>
            <w:pPr>
              <w:jc w:val="right"/>
              <w:ind w:right="39"/>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6</w:t>
            </w:r>
          </w:p>
        </w:tc>
      </w:tr>
      <w:tr>
        <w:trPr>
          <w:trHeight w:val="203"/>
        </w:trPr>
        <w:tc>
          <w:tcPr>
            <w:tcW w:w="8580" w:type="dxa"/>
            <w:vAlign w:val="bottom"/>
          </w:tcPr>
          <w:p>
            <w:pPr>
              <w:ind w:left="340"/>
              <w:spacing w:after="0"/>
              <w:rPr>
                <w:sz w:val="20"/>
                <w:szCs w:val="20"/>
                <w:color w:val="auto"/>
              </w:rPr>
            </w:pPr>
            <w:r>
              <w:rPr>
                <w:rFonts w:ascii="Arial" w:cs="Arial" w:eastAsia="Arial" w:hAnsi="Arial"/>
                <w:sz w:val="16"/>
                <w:szCs w:val="16"/>
                <w:color w:val="auto"/>
              </w:rPr>
              <w:t>Non-cash operating lease cost</w:t>
            </w:r>
          </w:p>
        </w:tc>
        <w:tc>
          <w:tcPr>
            <w:tcW w:w="880" w:type="dxa"/>
            <w:vAlign w:val="bottom"/>
          </w:tcPr>
          <w:p>
            <w:pPr>
              <w:spacing w:after="0"/>
              <w:rPr>
                <w:sz w:val="17"/>
                <w:szCs w:val="17"/>
                <w:color w:val="auto"/>
              </w:rPr>
            </w:pPr>
          </w:p>
        </w:tc>
        <w:tc>
          <w:tcPr>
            <w:tcW w:w="500" w:type="dxa"/>
            <w:vAlign w:val="bottom"/>
          </w:tcPr>
          <w:p>
            <w:pPr>
              <w:jc w:val="right"/>
              <w:ind w:right="39"/>
              <w:spacing w:after="0"/>
              <w:rPr>
                <w:sz w:val="20"/>
                <w:szCs w:val="20"/>
                <w:color w:val="auto"/>
              </w:rPr>
            </w:pPr>
            <w:r>
              <w:rPr>
                <w:rFonts w:ascii="Arial" w:cs="Arial" w:eastAsia="Arial" w:hAnsi="Arial"/>
                <w:sz w:val="16"/>
                <w:szCs w:val="16"/>
                <w:color w:val="auto"/>
              </w:rPr>
              <w:t>64</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02"/>
        </w:trPr>
        <w:tc>
          <w:tcPr>
            <w:tcW w:w="8580" w:type="dxa"/>
            <w:vAlign w:val="bottom"/>
          </w:tcPr>
          <w:p>
            <w:pPr>
              <w:ind w:left="340"/>
              <w:spacing w:after="0"/>
              <w:rPr>
                <w:sz w:val="20"/>
                <w:szCs w:val="20"/>
                <w:color w:val="auto"/>
              </w:rPr>
            </w:pPr>
            <w:r>
              <w:rPr>
                <w:rFonts w:ascii="Arial" w:cs="Arial" w:eastAsia="Arial" w:hAnsi="Arial"/>
                <w:sz w:val="16"/>
                <w:szCs w:val="16"/>
                <w:color w:val="auto"/>
              </w:rPr>
              <w:t>Depreciation and amortization</w:t>
            </w:r>
          </w:p>
        </w:tc>
        <w:tc>
          <w:tcPr>
            <w:tcW w:w="880" w:type="dxa"/>
            <w:vAlign w:val="bottom"/>
          </w:tcPr>
          <w:p>
            <w:pPr>
              <w:spacing w:after="0"/>
              <w:rPr>
                <w:sz w:val="17"/>
                <w:szCs w:val="17"/>
                <w:color w:val="auto"/>
              </w:rPr>
            </w:pPr>
          </w:p>
        </w:tc>
        <w:tc>
          <w:tcPr>
            <w:tcW w:w="500" w:type="dxa"/>
            <w:vAlign w:val="bottom"/>
          </w:tcPr>
          <w:p>
            <w:pPr>
              <w:jc w:val="right"/>
              <w:ind w:right="39"/>
              <w:spacing w:after="0"/>
              <w:rPr>
                <w:sz w:val="20"/>
                <w:szCs w:val="20"/>
                <w:color w:val="auto"/>
              </w:rPr>
            </w:pPr>
            <w:r>
              <w:rPr>
                <w:rFonts w:ascii="Arial" w:cs="Arial" w:eastAsia="Arial" w:hAnsi="Arial"/>
                <w:sz w:val="16"/>
                <w:szCs w:val="16"/>
                <w:color w:val="auto"/>
              </w:rPr>
              <w:t>328</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509</w:t>
            </w:r>
          </w:p>
        </w:tc>
      </w:tr>
      <w:tr>
        <w:trPr>
          <w:trHeight w:val="244"/>
        </w:trPr>
        <w:tc>
          <w:tcPr>
            <w:tcW w:w="8580" w:type="dxa"/>
            <w:vAlign w:val="bottom"/>
          </w:tcPr>
          <w:p>
            <w:pPr>
              <w:ind w:left="340"/>
              <w:spacing w:after="0" w:line="244" w:lineRule="exact"/>
              <w:rPr>
                <w:sz w:val="20"/>
                <w:szCs w:val="20"/>
                <w:color w:val="auto"/>
              </w:rPr>
            </w:pPr>
            <w:r>
              <w:rPr>
                <w:rFonts w:ascii="Arial" w:cs="Arial" w:eastAsia="Arial" w:hAnsi="Arial"/>
                <w:sz w:val="16"/>
                <w:szCs w:val="16"/>
                <w:color w:val="auto"/>
              </w:rPr>
              <w:t>Amortization of capitalized software development costs and intellectual property licenses</w:t>
            </w:r>
            <w:r>
              <w:rPr>
                <w:rFonts w:ascii="Arial" w:cs="Arial" w:eastAsia="Arial" w:hAnsi="Arial"/>
                <w:sz w:val="27"/>
                <w:szCs w:val="27"/>
                <w:color w:val="auto"/>
                <w:vertAlign w:val="superscript"/>
              </w:rPr>
              <w:t>2</w:t>
            </w:r>
          </w:p>
        </w:tc>
        <w:tc>
          <w:tcPr>
            <w:tcW w:w="880" w:type="dxa"/>
            <w:vAlign w:val="bottom"/>
          </w:tcPr>
          <w:p>
            <w:pPr>
              <w:spacing w:after="0"/>
              <w:rPr>
                <w:sz w:val="21"/>
                <w:szCs w:val="21"/>
                <w:color w:val="auto"/>
              </w:rPr>
            </w:pPr>
          </w:p>
        </w:tc>
        <w:tc>
          <w:tcPr>
            <w:tcW w:w="500" w:type="dxa"/>
            <w:vAlign w:val="bottom"/>
          </w:tcPr>
          <w:p>
            <w:pPr>
              <w:jc w:val="right"/>
              <w:ind w:right="39"/>
              <w:spacing w:after="0"/>
              <w:rPr>
                <w:sz w:val="20"/>
                <w:szCs w:val="20"/>
                <w:color w:val="auto"/>
              </w:rPr>
            </w:pPr>
            <w:r>
              <w:rPr>
                <w:rFonts w:ascii="Arial" w:cs="Arial" w:eastAsia="Arial" w:hAnsi="Arial"/>
                <w:sz w:val="16"/>
                <w:szCs w:val="16"/>
                <w:color w:val="auto"/>
              </w:rPr>
              <w:t>225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489</w:t>
            </w:r>
          </w:p>
        </w:tc>
      </w:tr>
      <w:tr>
        <w:trPr>
          <w:trHeight w:val="202"/>
        </w:trPr>
        <w:tc>
          <w:tcPr>
            <w:tcW w:w="8580" w:type="dxa"/>
            <w:vAlign w:val="bottom"/>
          </w:tcPr>
          <w:p>
            <w:pPr>
              <w:ind w:left="340"/>
              <w:spacing w:after="0"/>
              <w:rPr>
                <w:sz w:val="20"/>
                <w:szCs w:val="20"/>
                <w:color w:val="auto"/>
              </w:rPr>
            </w:pPr>
            <w:r>
              <w:rPr>
                <w:rFonts w:ascii="Arial" w:cs="Arial" w:eastAsia="Arial" w:hAnsi="Arial"/>
                <w:sz w:val="16"/>
                <w:szCs w:val="16"/>
                <w:color w:val="auto"/>
              </w:rPr>
              <w:t>Loss on extinguishment of debt</w:t>
            </w:r>
          </w:p>
        </w:tc>
        <w:tc>
          <w:tcPr>
            <w:tcW w:w="880" w:type="dxa"/>
            <w:vAlign w:val="bottom"/>
          </w:tcPr>
          <w:p>
            <w:pPr>
              <w:spacing w:after="0"/>
              <w:rPr>
                <w:sz w:val="17"/>
                <w:szCs w:val="17"/>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40</w:t>
            </w:r>
          </w:p>
        </w:tc>
      </w:tr>
      <w:tr>
        <w:trPr>
          <w:trHeight w:val="244"/>
        </w:trPr>
        <w:tc>
          <w:tcPr>
            <w:tcW w:w="8580" w:type="dxa"/>
            <w:vAlign w:val="bottom"/>
          </w:tcPr>
          <w:p>
            <w:pPr>
              <w:ind w:left="340"/>
              <w:spacing w:after="0" w:line="244" w:lineRule="exact"/>
              <w:rPr>
                <w:sz w:val="20"/>
                <w:szCs w:val="20"/>
                <w:color w:val="auto"/>
              </w:rPr>
            </w:pPr>
            <w:r>
              <w:rPr>
                <w:rFonts w:ascii="Arial" w:cs="Arial" w:eastAsia="Arial" w:hAnsi="Arial"/>
                <w:sz w:val="16"/>
                <w:szCs w:val="16"/>
                <w:color w:val="auto"/>
              </w:rPr>
              <w:t>Share-based compensation expense</w:t>
            </w:r>
            <w:r>
              <w:rPr>
                <w:rFonts w:ascii="Arial" w:cs="Arial" w:eastAsia="Arial" w:hAnsi="Arial"/>
                <w:sz w:val="27"/>
                <w:szCs w:val="27"/>
                <w:color w:val="auto"/>
                <w:vertAlign w:val="superscript"/>
              </w:rPr>
              <w:t>3</w:t>
            </w:r>
          </w:p>
        </w:tc>
        <w:tc>
          <w:tcPr>
            <w:tcW w:w="880" w:type="dxa"/>
            <w:vAlign w:val="bottom"/>
          </w:tcPr>
          <w:p>
            <w:pPr>
              <w:spacing w:after="0"/>
              <w:rPr>
                <w:sz w:val="21"/>
                <w:szCs w:val="21"/>
                <w:color w:val="auto"/>
              </w:rPr>
            </w:pPr>
          </w:p>
        </w:tc>
        <w:tc>
          <w:tcPr>
            <w:tcW w:w="500" w:type="dxa"/>
            <w:vAlign w:val="bottom"/>
          </w:tcPr>
          <w:p>
            <w:pPr>
              <w:jc w:val="right"/>
              <w:ind w:right="39"/>
              <w:spacing w:after="0"/>
              <w:rPr>
                <w:sz w:val="20"/>
                <w:szCs w:val="20"/>
                <w:color w:val="auto"/>
              </w:rPr>
            </w:pPr>
            <w:r>
              <w:rPr>
                <w:rFonts w:ascii="Arial" w:cs="Arial" w:eastAsia="Arial" w:hAnsi="Arial"/>
                <w:sz w:val="16"/>
                <w:szCs w:val="16"/>
                <w:color w:val="auto"/>
              </w:rPr>
              <w:t>166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209</w:t>
            </w:r>
          </w:p>
        </w:tc>
      </w:tr>
      <w:tr>
        <w:trPr>
          <w:trHeight w:val="203"/>
        </w:trPr>
        <w:tc>
          <w:tcPr>
            <w:tcW w:w="8580" w:type="dxa"/>
            <w:vAlign w:val="bottom"/>
          </w:tcPr>
          <w:p>
            <w:pPr>
              <w:ind w:left="340"/>
              <w:spacing w:after="0"/>
              <w:rPr>
                <w:sz w:val="20"/>
                <w:szCs w:val="20"/>
                <w:color w:val="auto"/>
              </w:rPr>
            </w:pPr>
            <w:r>
              <w:rPr>
                <w:rFonts w:ascii="Arial" w:cs="Arial" w:eastAsia="Arial" w:hAnsi="Arial"/>
                <w:sz w:val="16"/>
                <w:szCs w:val="16"/>
                <w:color w:val="auto"/>
              </w:rPr>
              <w:t>Unrealized gain on equity investment</w:t>
            </w:r>
          </w:p>
        </w:tc>
        <w:tc>
          <w:tcPr>
            <w:tcW w:w="8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03"/>
        </w:trPr>
        <w:tc>
          <w:tcPr>
            <w:tcW w:w="8580" w:type="dxa"/>
            <w:vAlign w:val="bottom"/>
          </w:tcPr>
          <w:p>
            <w:pPr>
              <w:ind w:left="340"/>
              <w:spacing w:after="0"/>
              <w:rPr>
                <w:sz w:val="20"/>
                <w:szCs w:val="20"/>
                <w:color w:val="auto"/>
              </w:rPr>
            </w:pPr>
            <w:r>
              <w:rPr>
                <w:rFonts w:ascii="Arial" w:cs="Arial" w:eastAsia="Arial" w:hAnsi="Arial"/>
                <w:sz w:val="16"/>
                <w:szCs w:val="16"/>
                <w:color w:val="auto"/>
              </w:rPr>
              <w:t>Other</w:t>
            </w:r>
          </w:p>
        </w:tc>
        <w:tc>
          <w:tcPr>
            <w:tcW w:w="880" w:type="dxa"/>
            <w:vAlign w:val="bottom"/>
          </w:tcPr>
          <w:p>
            <w:pPr>
              <w:spacing w:after="0"/>
              <w:rPr>
                <w:sz w:val="17"/>
                <w:szCs w:val="17"/>
                <w:color w:val="auto"/>
              </w:rPr>
            </w:pPr>
          </w:p>
        </w:tc>
        <w:tc>
          <w:tcPr>
            <w:tcW w:w="500" w:type="dxa"/>
            <w:vAlign w:val="bottom"/>
          </w:tcPr>
          <w:p>
            <w:pPr>
              <w:jc w:val="right"/>
              <w:ind w:right="39"/>
              <w:spacing w:after="0"/>
              <w:rPr>
                <w:sz w:val="20"/>
                <w:szCs w:val="20"/>
                <w:color w:val="auto"/>
              </w:rPr>
            </w:pPr>
            <w:r>
              <w:rPr>
                <w:rFonts w:ascii="Arial" w:cs="Arial" w:eastAsia="Arial" w:hAnsi="Arial"/>
                <w:sz w:val="16"/>
                <w:szCs w:val="16"/>
                <w:color w:val="auto"/>
              </w:rPr>
              <w:t>51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7</w:t>
            </w:r>
          </w:p>
        </w:tc>
      </w:tr>
      <w:tr>
        <w:trPr>
          <w:trHeight w:val="203"/>
        </w:trPr>
        <w:tc>
          <w:tcPr>
            <w:tcW w:w="8580" w:type="dxa"/>
            <w:vAlign w:val="bottom"/>
          </w:tcPr>
          <w:p>
            <w:pPr>
              <w:ind w:left="180"/>
              <w:spacing w:after="0"/>
              <w:rPr>
                <w:sz w:val="20"/>
                <w:szCs w:val="20"/>
                <w:color w:val="auto"/>
              </w:rPr>
            </w:pPr>
            <w:r>
              <w:rPr>
                <w:rFonts w:ascii="Arial" w:cs="Arial" w:eastAsia="Arial" w:hAnsi="Arial"/>
                <w:sz w:val="16"/>
                <w:szCs w:val="16"/>
                <w:color w:val="auto"/>
              </w:rPr>
              <w:t>Changes in operating assets and liabilities, net of effect from business acquisitions:</w:t>
            </w:r>
          </w:p>
        </w:tc>
        <w:tc>
          <w:tcPr>
            <w:tcW w:w="8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3"/>
        </w:trPr>
        <w:tc>
          <w:tcPr>
            <w:tcW w:w="8580" w:type="dxa"/>
            <w:vAlign w:val="bottom"/>
          </w:tcPr>
          <w:p>
            <w:pPr>
              <w:ind w:left="340"/>
              <w:spacing w:after="0"/>
              <w:rPr>
                <w:sz w:val="20"/>
                <w:szCs w:val="20"/>
                <w:color w:val="auto"/>
              </w:rPr>
            </w:pPr>
            <w:r>
              <w:rPr>
                <w:rFonts w:ascii="Arial" w:cs="Arial" w:eastAsia="Arial" w:hAnsi="Arial"/>
                <w:sz w:val="16"/>
                <w:szCs w:val="16"/>
                <w:color w:val="auto"/>
              </w:rPr>
              <w:t>Accounts receivable, net</w:t>
            </w:r>
          </w:p>
        </w:tc>
        <w:tc>
          <w:tcPr>
            <w:tcW w:w="880" w:type="dxa"/>
            <w:vAlign w:val="bottom"/>
          </w:tcPr>
          <w:p>
            <w:pPr>
              <w:spacing w:after="0"/>
              <w:rPr>
                <w:sz w:val="17"/>
                <w:szCs w:val="17"/>
                <w:color w:val="auto"/>
              </w:rPr>
            </w:pPr>
          </w:p>
        </w:tc>
        <w:tc>
          <w:tcPr>
            <w:tcW w:w="500" w:type="dxa"/>
            <w:vAlign w:val="bottom"/>
          </w:tcPr>
          <w:p>
            <w:pPr>
              <w:jc w:val="right"/>
              <w:ind w:right="39"/>
              <w:spacing w:after="0"/>
              <w:rPr>
                <w:sz w:val="20"/>
                <w:szCs w:val="20"/>
                <w:color w:val="auto"/>
              </w:rPr>
            </w:pPr>
            <w:r>
              <w:rPr>
                <w:rFonts w:ascii="Arial" w:cs="Arial" w:eastAsia="Arial" w:hAnsi="Arial"/>
                <w:sz w:val="16"/>
                <w:szCs w:val="16"/>
                <w:color w:val="auto"/>
              </w:rPr>
              <w:t>182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(114)</w:t>
            </w:r>
          </w:p>
        </w:tc>
      </w:tr>
      <w:tr>
        <w:trPr>
          <w:trHeight w:val="203"/>
        </w:trPr>
        <w:tc>
          <w:tcPr>
            <w:tcW w:w="8580" w:type="dxa"/>
            <w:vAlign w:val="bottom"/>
          </w:tcPr>
          <w:p>
            <w:pPr>
              <w:ind w:left="340"/>
              <w:spacing w:after="0"/>
              <w:rPr>
                <w:sz w:val="20"/>
                <w:szCs w:val="20"/>
                <w:color w:val="auto"/>
              </w:rPr>
            </w:pPr>
            <w:r>
              <w:rPr>
                <w:rFonts w:ascii="Arial" w:cs="Arial" w:eastAsia="Arial" w:hAnsi="Arial"/>
                <w:sz w:val="16"/>
                <w:szCs w:val="16"/>
                <w:color w:val="auto"/>
              </w:rPr>
              <w:t>Inventories</w:t>
            </w:r>
          </w:p>
        </w:tc>
        <w:tc>
          <w:tcPr>
            <w:tcW w:w="880" w:type="dxa"/>
            <w:vAlign w:val="bottom"/>
          </w:tcPr>
          <w:p>
            <w:pPr>
              <w:spacing w:after="0"/>
              <w:rPr>
                <w:sz w:val="17"/>
                <w:szCs w:val="17"/>
                <w:color w:val="auto"/>
              </w:rPr>
            </w:pPr>
          </w:p>
        </w:tc>
        <w:tc>
          <w:tcPr>
            <w:tcW w:w="500" w:type="dxa"/>
            <w:vAlign w:val="bottom"/>
          </w:tcPr>
          <w:p>
            <w:pPr>
              <w:jc w:val="right"/>
              <w:ind w:right="39"/>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03"/>
        </w:trPr>
        <w:tc>
          <w:tcPr>
            <w:tcW w:w="8580" w:type="dxa"/>
            <w:vAlign w:val="bottom"/>
          </w:tcPr>
          <w:p>
            <w:pPr>
              <w:ind w:left="340"/>
              <w:spacing w:after="0"/>
              <w:rPr>
                <w:sz w:val="20"/>
                <w:szCs w:val="20"/>
                <w:color w:val="auto"/>
              </w:rPr>
            </w:pPr>
            <w:r>
              <w:rPr>
                <w:rFonts w:ascii="Arial" w:cs="Arial" w:eastAsia="Arial" w:hAnsi="Arial"/>
                <w:sz w:val="16"/>
                <w:szCs w:val="16"/>
                <w:color w:val="auto"/>
              </w:rPr>
              <w:t>Software development and intellectual property licenses</w:t>
            </w:r>
          </w:p>
        </w:tc>
        <w:tc>
          <w:tcPr>
            <w:tcW w:w="8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(275)</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(372)</w:t>
            </w:r>
          </w:p>
        </w:tc>
      </w:tr>
      <w:tr>
        <w:trPr>
          <w:trHeight w:val="203"/>
        </w:trPr>
        <w:tc>
          <w:tcPr>
            <w:tcW w:w="8580" w:type="dxa"/>
            <w:vAlign w:val="bottom"/>
          </w:tcPr>
          <w:p>
            <w:pPr>
              <w:ind w:left="340"/>
              <w:spacing w:after="0"/>
              <w:rPr>
                <w:sz w:val="20"/>
                <w:szCs w:val="20"/>
                <w:color w:val="auto"/>
              </w:rPr>
            </w:pPr>
            <w:r>
              <w:rPr>
                <w:rFonts w:ascii="Arial" w:cs="Arial" w:eastAsia="Arial" w:hAnsi="Arial"/>
                <w:sz w:val="16"/>
                <w:szCs w:val="16"/>
                <w:color w:val="auto"/>
              </w:rPr>
              <w:t>Other assets</w:t>
            </w:r>
          </w:p>
        </w:tc>
        <w:tc>
          <w:tcPr>
            <w:tcW w:w="880" w:type="dxa"/>
            <w:vAlign w:val="bottom"/>
          </w:tcPr>
          <w:p>
            <w:pPr>
              <w:spacing w:after="0"/>
              <w:rPr>
                <w:sz w:val="17"/>
                <w:szCs w:val="17"/>
                <w:color w:val="auto"/>
              </w:rPr>
            </w:pPr>
          </w:p>
        </w:tc>
        <w:tc>
          <w:tcPr>
            <w:tcW w:w="500" w:type="dxa"/>
            <w:vAlign w:val="bottom"/>
          </w:tcPr>
          <w:p>
            <w:pPr>
              <w:jc w:val="right"/>
              <w:ind w:right="39"/>
              <w:spacing w:after="0"/>
              <w:rPr>
                <w:sz w:val="20"/>
                <w:szCs w:val="20"/>
                <w:color w:val="auto"/>
              </w:rPr>
            </w:pPr>
            <w:r>
              <w:rPr>
                <w:rFonts w:ascii="Arial" w:cs="Arial" w:eastAsia="Arial" w:hAnsi="Arial"/>
                <w:sz w:val="16"/>
                <w:szCs w:val="16"/>
                <w:color w:val="auto"/>
              </w:rPr>
              <w:t>164</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(51)</w:t>
            </w:r>
          </w:p>
        </w:tc>
      </w:tr>
      <w:tr>
        <w:trPr>
          <w:trHeight w:val="203"/>
        </w:trPr>
        <w:tc>
          <w:tcPr>
            <w:tcW w:w="8580" w:type="dxa"/>
            <w:vAlign w:val="bottom"/>
          </w:tcPr>
          <w:p>
            <w:pPr>
              <w:ind w:left="340"/>
              <w:spacing w:after="0"/>
              <w:rPr>
                <w:sz w:val="20"/>
                <w:szCs w:val="20"/>
                <w:color w:val="auto"/>
              </w:rPr>
            </w:pPr>
            <w:r>
              <w:rPr>
                <w:rFonts w:ascii="Arial" w:cs="Arial" w:eastAsia="Arial" w:hAnsi="Arial"/>
                <w:sz w:val="16"/>
                <w:szCs w:val="16"/>
                <w:color w:val="auto"/>
              </w:rPr>
              <w:t>Deferred revenues</w:t>
            </w:r>
          </w:p>
        </w:tc>
        <w:tc>
          <w:tcPr>
            <w:tcW w:w="8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(154)</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(122)</w:t>
            </w:r>
          </w:p>
        </w:tc>
      </w:tr>
      <w:tr>
        <w:trPr>
          <w:trHeight w:val="203"/>
        </w:trPr>
        <w:tc>
          <w:tcPr>
            <w:tcW w:w="8580" w:type="dxa"/>
            <w:vAlign w:val="bottom"/>
          </w:tcPr>
          <w:p>
            <w:pPr>
              <w:ind w:left="340"/>
              <w:spacing w:after="0"/>
              <w:rPr>
                <w:sz w:val="20"/>
                <w:szCs w:val="20"/>
                <w:color w:val="auto"/>
              </w:rPr>
            </w:pPr>
            <w:r>
              <w:rPr>
                <w:rFonts w:ascii="Arial" w:cs="Arial" w:eastAsia="Arial" w:hAnsi="Arial"/>
                <w:sz w:val="16"/>
                <w:szCs w:val="16"/>
                <w:color w:val="auto"/>
              </w:rPr>
              <w:t>Accounts payable</w:t>
            </w:r>
          </w:p>
        </w:tc>
        <w:tc>
          <w:tcPr>
            <w:tcW w:w="880" w:type="dxa"/>
            <w:vAlign w:val="bottom"/>
          </w:tcPr>
          <w:p>
            <w:pPr>
              <w:spacing w:after="0"/>
              <w:rPr>
                <w:sz w:val="17"/>
                <w:szCs w:val="17"/>
                <w:color w:val="auto"/>
              </w:rPr>
            </w:pPr>
          </w:p>
        </w:tc>
        <w:tc>
          <w:tcPr>
            <w:tcW w:w="500" w:type="dxa"/>
            <w:vAlign w:val="bottom"/>
          </w:tcPr>
          <w:p>
            <w:pPr>
              <w:jc w:val="right"/>
              <w:ind w:right="39"/>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(65)</w:t>
            </w:r>
          </w:p>
        </w:tc>
      </w:tr>
      <w:tr>
        <w:trPr>
          <w:trHeight w:val="206"/>
        </w:trPr>
        <w:tc>
          <w:tcPr>
            <w:tcW w:w="8580" w:type="dxa"/>
            <w:vAlign w:val="bottom"/>
          </w:tcPr>
          <w:p>
            <w:pPr>
              <w:ind w:left="340"/>
              <w:spacing w:after="0"/>
              <w:rPr>
                <w:sz w:val="20"/>
                <w:szCs w:val="20"/>
                <w:color w:val="auto"/>
              </w:rPr>
            </w:pPr>
            <w:r>
              <w:rPr>
                <w:rFonts w:ascii="Arial" w:cs="Arial" w:eastAsia="Arial" w:hAnsi="Arial"/>
                <w:sz w:val="16"/>
                <w:szCs w:val="16"/>
                <w:color w:val="auto"/>
              </w:rPr>
              <w:t>Accrued expenses and other liabilities</w:t>
            </w:r>
          </w:p>
        </w:tc>
        <w:tc>
          <w:tcPr>
            <w:tcW w:w="8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(554)</w:t>
            </w:r>
          </w:p>
        </w:tc>
      </w:tr>
      <w:tr>
        <w:trPr>
          <w:trHeight w:val="202"/>
        </w:trPr>
        <w:tc>
          <w:tcPr>
            <w:tcW w:w="8580" w:type="dxa"/>
            <w:vAlign w:val="bottom"/>
          </w:tcPr>
          <w:p>
            <w:pPr>
              <w:ind w:left="180"/>
              <w:spacing w:after="0"/>
              <w:rPr>
                <w:sz w:val="20"/>
                <w:szCs w:val="20"/>
                <w:color w:val="auto"/>
              </w:rPr>
            </w:pPr>
            <w:r>
              <w:rPr>
                <w:rFonts w:ascii="Arial" w:cs="Arial" w:eastAsia="Arial" w:hAnsi="Arial"/>
                <w:sz w:val="16"/>
                <w:szCs w:val="16"/>
                <w:color w:val="auto"/>
              </w:rPr>
              <w:t>Net cash provided by operating activities</w:t>
            </w:r>
          </w:p>
        </w:tc>
        <w:tc>
          <w:tcPr>
            <w:tcW w:w="8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1,831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1,790</w:t>
            </w:r>
          </w:p>
        </w:tc>
      </w:tr>
      <w:tr>
        <w:trPr>
          <w:trHeight w:val="186"/>
        </w:trPr>
        <w:tc>
          <w:tcPr>
            <w:tcW w:w="8580" w:type="dxa"/>
            <w:vAlign w:val="bottom"/>
          </w:tcPr>
          <w:p>
            <w:pPr>
              <w:spacing w:after="0"/>
              <w:rPr>
                <w:sz w:val="20"/>
                <w:szCs w:val="20"/>
                <w:color w:val="auto"/>
              </w:rPr>
            </w:pPr>
            <w:r>
              <w:rPr>
                <w:rFonts w:ascii="Arial" w:cs="Arial" w:eastAsia="Arial" w:hAnsi="Arial"/>
                <w:sz w:val="16"/>
                <w:szCs w:val="16"/>
                <w:color w:val="auto"/>
              </w:rPr>
              <w:t>Cash flows from investing activities:</w:t>
            </w:r>
          </w:p>
        </w:tc>
        <w:tc>
          <w:tcPr>
            <w:tcW w:w="8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03"/>
        </w:trPr>
        <w:tc>
          <w:tcPr>
            <w:tcW w:w="8580" w:type="dxa"/>
            <w:vAlign w:val="bottom"/>
          </w:tcPr>
          <w:p>
            <w:pPr>
              <w:ind w:left="180"/>
              <w:spacing w:after="0"/>
              <w:rPr>
                <w:sz w:val="20"/>
                <w:szCs w:val="20"/>
                <w:color w:val="auto"/>
              </w:rPr>
            </w:pPr>
            <w:r>
              <w:rPr>
                <w:rFonts w:ascii="Arial" w:cs="Arial" w:eastAsia="Arial" w:hAnsi="Arial"/>
                <w:sz w:val="16"/>
                <w:szCs w:val="16"/>
                <w:color w:val="auto"/>
              </w:rPr>
              <w:t>Proceeds from maturities of available-for-sale investments</w:t>
            </w:r>
          </w:p>
        </w:tc>
        <w:tc>
          <w:tcPr>
            <w:tcW w:w="880" w:type="dxa"/>
            <w:vAlign w:val="bottom"/>
          </w:tcPr>
          <w:p>
            <w:pPr>
              <w:spacing w:after="0"/>
              <w:rPr>
                <w:sz w:val="17"/>
                <w:szCs w:val="17"/>
                <w:color w:val="auto"/>
              </w:rPr>
            </w:pPr>
          </w:p>
        </w:tc>
        <w:tc>
          <w:tcPr>
            <w:tcW w:w="500" w:type="dxa"/>
            <w:vAlign w:val="bottom"/>
          </w:tcPr>
          <w:p>
            <w:pPr>
              <w:jc w:val="right"/>
              <w:ind w:right="39"/>
              <w:spacing w:after="0"/>
              <w:rPr>
                <w:sz w:val="20"/>
                <w:szCs w:val="20"/>
                <w:color w:val="auto"/>
              </w:rPr>
            </w:pPr>
            <w:r>
              <w:rPr>
                <w:rFonts w:ascii="Arial" w:cs="Arial" w:eastAsia="Arial" w:hAnsi="Arial"/>
                <w:sz w:val="16"/>
                <w:szCs w:val="16"/>
                <w:color w:val="auto"/>
              </w:rPr>
              <w:t>153</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116</w:t>
            </w:r>
          </w:p>
        </w:tc>
      </w:tr>
      <w:tr>
        <w:trPr>
          <w:trHeight w:val="203"/>
        </w:trPr>
        <w:tc>
          <w:tcPr>
            <w:tcW w:w="8580" w:type="dxa"/>
            <w:vAlign w:val="bottom"/>
          </w:tcPr>
          <w:p>
            <w:pPr>
              <w:ind w:left="180"/>
              <w:spacing w:after="0"/>
              <w:rPr>
                <w:sz w:val="20"/>
                <w:szCs w:val="20"/>
                <w:color w:val="auto"/>
              </w:rPr>
            </w:pPr>
            <w:r>
              <w:rPr>
                <w:rFonts w:ascii="Arial" w:cs="Arial" w:eastAsia="Arial" w:hAnsi="Arial"/>
                <w:sz w:val="16"/>
                <w:szCs w:val="16"/>
                <w:color w:val="auto"/>
              </w:rPr>
              <w:t>Purchases of available-for-sale investments</w:t>
            </w:r>
          </w:p>
        </w:tc>
        <w:tc>
          <w:tcPr>
            <w:tcW w:w="8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(65)</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(209)</w:t>
            </w:r>
          </w:p>
        </w:tc>
      </w:tr>
      <w:tr>
        <w:trPr>
          <w:trHeight w:val="203"/>
        </w:trPr>
        <w:tc>
          <w:tcPr>
            <w:tcW w:w="8580" w:type="dxa"/>
            <w:vAlign w:val="bottom"/>
          </w:tcPr>
          <w:p>
            <w:pPr>
              <w:ind w:left="180"/>
              <w:spacing w:after="0"/>
              <w:rPr>
                <w:sz w:val="20"/>
                <w:szCs w:val="20"/>
                <w:color w:val="auto"/>
              </w:rPr>
            </w:pPr>
            <w:r>
              <w:rPr>
                <w:rFonts w:ascii="Arial" w:cs="Arial" w:eastAsia="Arial" w:hAnsi="Arial"/>
                <w:sz w:val="16"/>
                <w:szCs w:val="16"/>
                <w:color w:val="auto"/>
              </w:rPr>
              <w:t>Capital expenditures</w:t>
            </w:r>
          </w:p>
        </w:tc>
        <w:tc>
          <w:tcPr>
            <w:tcW w:w="8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(116)</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(131)</w:t>
            </w:r>
          </w:p>
        </w:tc>
      </w:tr>
      <w:tr>
        <w:trPr>
          <w:trHeight w:val="206"/>
        </w:trPr>
        <w:tc>
          <w:tcPr>
            <w:tcW w:w="8580" w:type="dxa"/>
            <w:vAlign w:val="bottom"/>
          </w:tcPr>
          <w:p>
            <w:pPr>
              <w:ind w:left="180"/>
              <w:spacing w:after="0"/>
              <w:rPr>
                <w:sz w:val="20"/>
                <w:szCs w:val="20"/>
                <w:color w:val="auto"/>
              </w:rPr>
            </w:pPr>
            <w:r>
              <w:rPr>
                <w:rFonts w:ascii="Arial" w:cs="Arial" w:eastAsia="Arial" w:hAnsi="Arial"/>
                <w:sz w:val="16"/>
                <w:szCs w:val="16"/>
                <w:color w:val="auto"/>
              </w:rPr>
              <w:t>Other investing activities</w:t>
            </w:r>
          </w:p>
        </w:tc>
        <w:tc>
          <w:tcPr>
            <w:tcW w:w="8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r>
      <w:tr>
        <w:trPr>
          <w:trHeight w:val="202"/>
        </w:trPr>
        <w:tc>
          <w:tcPr>
            <w:tcW w:w="8580" w:type="dxa"/>
            <w:vAlign w:val="bottom"/>
          </w:tcPr>
          <w:p>
            <w:pPr>
              <w:ind w:left="180"/>
              <w:spacing w:after="0"/>
              <w:rPr>
                <w:sz w:val="20"/>
                <w:szCs w:val="20"/>
                <w:color w:val="auto"/>
              </w:rPr>
            </w:pPr>
            <w:r>
              <w:rPr>
                <w:rFonts w:ascii="Arial" w:cs="Arial" w:eastAsia="Arial" w:hAnsi="Arial"/>
                <w:sz w:val="16"/>
                <w:szCs w:val="16"/>
                <w:color w:val="auto"/>
              </w:rPr>
              <w:t>Net cash used in investing activities</w:t>
            </w:r>
          </w:p>
        </w:tc>
        <w:tc>
          <w:tcPr>
            <w:tcW w:w="8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(230)</w:t>
            </w:r>
          </w:p>
        </w:tc>
      </w:tr>
      <w:tr>
        <w:trPr>
          <w:trHeight w:val="186"/>
        </w:trPr>
        <w:tc>
          <w:tcPr>
            <w:tcW w:w="8580" w:type="dxa"/>
            <w:vAlign w:val="bottom"/>
          </w:tcPr>
          <w:p>
            <w:pPr>
              <w:spacing w:after="0"/>
              <w:rPr>
                <w:sz w:val="20"/>
                <w:szCs w:val="20"/>
                <w:color w:val="auto"/>
              </w:rPr>
            </w:pPr>
            <w:r>
              <w:rPr>
                <w:rFonts w:ascii="Arial" w:cs="Arial" w:eastAsia="Arial" w:hAnsi="Arial"/>
                <w:sz w:val="16"/>
                <w:szCs w:val="16"/>
                <w:color w:val="auto"/>
              </w:rPr>
              <w:t>Cash flows from financing activities:</w:t>
            </w:r>
          </w:p>
        </w:tc>
        <w:tc>
          <w:tcPr>
            <w:tcW w:w="8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03"/>
        </w:trPr>
        <w:tc>
          <w:tcPr>
            <w:tcW w:w="8580" w:type="dxa"/>
            <w:vAlign w:val="bottom"/>
          </w:tcPr>
          <w:p>
            <w:pPr>
              <w:ind w:left="180"/>
              <w:spacing w:after="0"/>
              <w:rPr>
                <w:sz w:val="20"/>
                <w:szCs w:val="20"/>
                <w:color w:val="auto"/>
              </w:rPr>
            </w:pPr>
            <w:r>
              <w:rPr>
                <w:rFonts w:ascii="Arial" w:cs="Arial" w:eastAsia="Arial" w:hAnsi="Arial"/>
                <w:sz w:val="16"/>
                <w:szCs w:val="16"/>
                <w:color w:val="auto"/>
              </w:rPr>
              <w:t>Proceeds from issuance of common stock to employees</w:t>
            </w:r>
          </w:p>
        </w:tc>
        <w:tc>
          <w:tcPr>
            <w:tcW w:w="880" w:type="dxa"/>
            <w:vAlign w:val="bottom"/>
          </w:tcPr>
          <w:p>
            <w:pPr>
              <w:spacing w:after="0"/>
              <w:rPr>
                <w:sz w:val="17"/>
                <w:szCs w:val="17"/>
                <w:color w:val="auto"/>
              </w:rPr>
            </w:pPr>
          </w:p>
        </w:tc>
        <w:tc>
          <w:tcPr>
            <w:tcW w:w="500" w:type="dxa"/>
            <w:vAlign w:val="bottom"/>
          </w:tcPr>
          <w:p>
            <w:pPr>
              <w:jc w:val="right"/>
              <w:ind w:right="39"/>
              <w:spacing w:after="0"/>
              <w:rPr>
                <w:sz w:val="20"/>
                <w:szCs w:val="20"/>
                <w:color w:val="auto"/>
              </w:rPr>
            </w:pPr>
            <w:r>
              <w:rPr>
                <w:rFonts w:ascii="Arial" w:cs="Arial" w:eastAsia="Arial" w:hAnsi="Arial"/>
                <w:sz w:val="16"/>
                <w:szCs w:val="16"/>
                <w:color w:val="auto"/>
              </w:rPr>
              <w:t>105</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99</w:t>
            </w:r>
          </w:p>
        </w:tc>
      </w:tr>
      <w:tr>
        <w:trPr>
          <w:trHeight w:val="203"/>
        </w:trPr>
        <w:tc>
          <w:tcPr>
            <w:tcW w:w="8580" w:type="dxa"/>
            <w:vAlign w:val="bottom"/>
          </w:tcPr>
          <w:p>
            <w:pPr>
              <w:ind w:left="180"/>
              <w:spacing w:after="0"/>
              <w:rPr>
                <w:sz w:val="20"/>
                <w:szCs w:val="20"/>
                <w:color w:val="auto"/>
              </w:rPr>
            </w:pPr>
            <w:r>
              <w:rPr>
                <w:rFonts w:ascii="Arial" w:cs="Arial" w:eastAsia="Arial" w:hAnsi="Arial"/>
                <w:sz w:val="16"/>
                <w:szCs w:val="16"/>
                <w:color w:val="auto"/>
              </w:rPr>
              <w:t>Tax payment related to net share settlements on restricted stock units</w:t>
            </w:r>
          </w:p>
        </w:tc>
        <w:tc>
          <w:tcPr>
            <w:tcW w:w="8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(59)</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(94)</w:t>
            </w:r>
          </w:p>
        </w:tc>
      </w:tr>
      <w:tr>
        <w:trPr>
          <w:trHeight w:val="203"/>
        </w:trPr>
        <w:tc>
          <w:tcPr>
            <w:tcW w:w="8580" w:type="dxa"/>
            <w:vAlign w:val="bottom"/>
          </w:tcPr>
          <w:p>
            <w:pPr>
              <w:ind w:left="180"/>
              <w:spacing w:after="0"/>
              <w:rPr>
                <w:sz w:val="20"/>
                <w:szCs w:val="20"/>
                <w:color w:val="auto"/>
              </w:rPr>
            </w:pPr>
            <w:r>
              <w:rPr>
                <w:rFonts w:ascii="Arial" w:cs="Arial" w:eastAsia="Arial" w:hAnsi="Arial"/>
                <w:sz w:val="16"/>
                <w:szCs w:val="16"/>
                <w:color w:val="auto"/>
              </w:rPr>
              <w:t>Dividends paid</w:t>
            </w:r>
          </w:p>
        </w:tc>
        <w:tc>
          <w:tcPr>
            <w:tcW w:w="8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(283)</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(259)</w:t>
            </w:r>
          </w:p>
        </w:tc>
      </w:tr>
      <w:tr>
        <w:trPr>
          <w:trHeight w:val="203"/>
        </w:trPr>
        <w:tc>
          <w:tcPr>
            <w:tcW w:w="8580" w:type="dxa"/>
            <w:vAlign w:val="bottom"/>
          </w:tcPr>
          <w:p>
            <w:pPr>
              <w:ind w:left="180"/>
              <w:spacing w:after="0"/>
              <w:rPr>
                <w:sz w:val="20"/>
                <w:szCs w:val="20"/>
                <w:color w:val="auto"/>
              </w:rPr>
            </w:pPr>
            <w:r>
              <w:rPr>
                <w:rFonts w:ascii="Arial" w:cs="Arial" w:eastAsia="Arial" w:hAnsi="Arial"/>
                <w:sz w:val="16"/>
                <w:szCs w:val="16"/>
                <w:color w:val="auto"/>
              </w:rPr>
              <w:t>Repayment of long-term debt</w:t>
            </w:r>
          </w:p>
        </w:tc>
        <w:tc>
          <w:tcPr>
            <w:tcW w:w="880" w:type="dxa"/>
            <w:vAlign w:val="bottom"/>
          </w:tcPr>
          <w:p>
            <w:pPr>
              <w:spacing w:after="0"/>
              <w:rPr>
                <w:sz w:val="17"/>
                <w:szCs w:val="17"/>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(1,740)</w:t>
            </w:r>
          </w:p>
        </w:tc>
      </w:tr>
      <w:tr>
        <w:trPr>
          <w:trHeight w:val="203"/>
        </w:trPr>
        <w:tc>
          <w:tcPr>
            <w:tcW w:w="8580" w:type="dxa"/>
            <w:vAlign w:val="bottom"/>
          </w:tcPr>
          <w:p>
            <w:pPr>
              <w:ind w:left="180"/>
              <w:spacing w:after="0"/>
              <w:rPr>
                <w:sz w:val="20"/>
                <w:szCs w:val="20"/>
                <w:color w:val="auto"/>
              </w:rPr>
            </w:pPr>
            <w:r>
              <w:rPr>
                <w:rFonts w:ascii="Arial" w:cs="Arial" w:eastAsia="Arial" w:hAnsi="Arial"/>
                <w:sz w:val="16"/>
                <w:szCs w:val="16"/>
                <w:color w:val="auto"/>
              </w:rPr>
              <w:t>Premium payment for early redemption of note</w:t>
            </w:r>
          </w:p>
        </w:tc>
        <w:tc>
          <w:tcPr>
            <w:tcW w:w="880" w:type="dxa"/>
            <w:vAlign w:val="bottom"/>
          </w:tcPr>
          <w:p>
            <w:pPr>
              <w:spacing w:after="0"/>
              <w:rPr>
                <w:sz w:val="17"/>
                <w:szCs w:val="17"/>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206"/>
        </w:trPr>
        <w:tc>
          <w:tcPr>
            <w:tcW w:w="8580" w:type="dxa"/>
            <w:vAlign w:val="bottom"/>
          </w:tcPr>
          <w:p>
            <w:pPr>
              <w:ind w:left="180"/>
              <w:spacing w:after="0"/>
              <w:rPr>
                <w:sz w:val="20"/>
                <w:szCs w:val="20"/>
                <w:color w:val="auto"/>
              </w:rPr>
            </w:pPr>
            <w:r>
              <w:rPr>
                <w:rFonts w:ascii="Arial" w:cs="Arial" w:eastAsia="Arial" w:hAnsi="Arial"/>
                <w:sz w:val="16"/>
                <w:szCs w:val="16"/>
                <w:color w:val="auto"/>
              </w:rPr>
              <w:t>Other financing activities</w:t>
            </w:r>
          </w:p>
        </w:tc>
        <w:tc>
          <w:tcPr>
            <w:tcW w:w="880" w:type="dxa"/>
            <w:vAlign w:val="bottom"/>
          </w:tcPr>
          <w:p>
            <w:pPr>
              <w:spacing w:after="0"/>
              <w:rPr>
                <w:sz w:val="17"/>
                <w:szCs w:val="17"/>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02"/>
        </w:trPr>
        <w:tc>
          <w:tcPr>
            <w:tcW w:w="8580" w:type="dxa"/>
            <w:vAlign w:val="bottom"/>
          </w:tcPr>
          <w:p>
            <w:pPr>
              <w:ind w:left="180"/>
              <w:spacing w:after="0"/>
              <w:rPr>
                <w:sz w:val="20"/>
                <w:szCs w:val="20"/>
                <w:color w:val="auto"/>
              </w:rPr>
            </w:pPr>
            <w:r>
              <w:rPr>
                <w:rFonts w:ascii="Arial" w:cs="Arial" w:eastAsia="Arial" w:hAnsi="Arial"/>
                <w:sz w:val="16"/>
                <w:szCs w:val="16"/>
                <w:color w:val="auto"/>
              </w:rPr>
              <w:t>Net cash used in financing activities</w:t>
            </w:r>
          </w:p>
        </w:tc>
        <w:tc>
          <w:tcPr>
            <w:tcW w:w="880" w:type="dxa"/>
            <w:vAlign w:val="bottom"/>
            <w:tcBorders>
              <w:top w:val="single" w:sz="8" w:color="auto"/>
              <w:bottom w:val="single" w:sz="8" w:color="auto"/>
            </w:tcBorders>
          </w:tcPr>
          <w:p>
            <w:pPr>
              <w:spacing w:after="0"/>
              <w:rPr>
                <w:sz w:val="17"/>
                <w:szCs w:val="17"/>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(237)</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(2,020)</w:t>
            </w:r>
          </w:p>
        </w:tc>
      </w:tr>
      <w:tr>
        <w:trPr>
          <w:trHeight w:val="196"/>
        </w:trPr>
        <w:tc>
          <w:tcPr>
            <w:tcW w:w="8580" w:type="dxa"/>
            <w:vAlign w:val="bottom"/>
          </w:tcPr>
          <w:p>
            <w:pPr>
              <w:spacing w:after="0"/>
              <w:rPr>
                <w:sz w:val="20"/>
                <w:szCs w:val="20"/>
                <w:color w:val="auto"/>
              </w:rPr>
            </w:pPr>
            <w:r>
              <w:rPr>
                <w:rFonts w:ascii="Arial" w:cs="Arial" w:eastAsia="Arial" w:hAnsi="Arial"/>
                <w:sz w:val="16"/>
                <w:szCs w:val="16"/>
                <w:color w:val="auto"/>
              </w:rPr>
              <w:t>Effect of foreign exchange rate changes on cash and cash equivalents</w:t>
            </w:r>
          </w:p>
        </w:tc>
        <w:tc>
          <w:tcPr>
            <w:tcW w:w="8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w:t>
            </w:r>
          </w:p>
        </w:tc>
      </w:tr>
      <w:tr>
        <w:trPr>
          <w:trHeight w:val="196"/>
        </w:trPr>
        <w:tc>
          <w:tcPr>
            <w:tcW w:w="8580" w:type="dxa"/>
            <w:vAlign w:val="bottom"/>
          </w:tcPr>
          <w:p>
            <w:pPr>
              <w:spacing w:after="0"/>
              <w:rPr>
                <w:sz w:val="20"/>
                <w:szCs w:val="20"/>
                <w:color w:val="auto"/>
              </w:rPr>
            </w:pPr>
            <w:r>
              <w:rPr>
                <w:rFonts w:ascii="Arial" w:cs="Arial" w:eastAsia="Arial" w:hAnsi="Arial"/>
                <w:sz w:val="16"/>
                <w:szCs w:val="16"/>
                <w:color w:val="auto"/>
              </w:rPr>
              <w:t>Net increase (decrease) in cash and cash equivalents and restricted cash</w:t>
            </w:r>
          </w:p>
        </w:tc>
        <w:tc>
          <w:tcPr>
            <w:tcW w:w="8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1,569</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(491)</w:t>
            </w:r>
          </w:p>
        </w:tc>
      </w:tr>
      <w:tr>
        <w:trPr>
          <w:trHeight w:val="196"/>
        </w:trPr>
        <w:tc>
          <w:tcPr>
            <w:tcW w:w="8580" w:type="dxa"/>
            <w:vAlign w:val="bottom"/>
          </w:tcPr>
          <w:p>
            <w:pPr>
              <w:spacing w:after="0"/>
              <w:rPr>
                <w:sz w:val="20"/>
                <w:szCs w:val="20"/>
                <w:color w:val="auto"/>
              </w:rPr>
            </w:pPr>
            <w:r>
              <w:rPr>
                <w:rFonts w:ascii="Arial" w:cs="Arial" w:eastAsia="Arial" w:hAnsi="Arial"/>
                <w:sz w:val="16"/>
                <w:szCs w:val="16"/>
                <w:color w:val="auto"/>
              </w:rPr>
              <w:t>Cash and cash equivalents and restricted cash at beginning of period</w:t>
            </w:r>
          </w:p>
        </w:tc>
        <w:tc>
          <w:tcPr>
            <w:tcW w:w="8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4,229</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4,720</w:t>
            </w:r>
          </w:p>
        </w:tc>
      </w:tr>
      <w:tr>
        <w:trPr>
          <w:trHeight w:val="196"/>
        </w:trPr>
        <w:tc>
          <w:tcPr>
            <w:tcW w:w="8580" w:type="dxa"/>
            <w:vAlign w:val="bottom"/>
          </w:tcPr>
          <w:p>
            <w:pPr>
              <w:spacing w:after="0"/>
              <w:rPr>
                <w:sz w:val="20"/>
                <w:szCs w:val="20"/>
                <w:color w:val="auto"/>
              </w:rPr>
            </w:pPr>
            <w:r>
              <w:rPr>
                <w:rFonts w:ascii="Arial" w:cs="Arial" w:eastAsia="Arial" w:hAnsi="Arial"/>
                <w:sz w:val="16"/>
                <w:szCs w:val="16"/>
                <w:color w:val="auto"/>
              </w:rPr>
              <w:t>Cash and cash equivalents and restricted cash at end of period</w:t>
            </w:r>
          </w:p>
        </w:tc>
        <w:tc>
          <w:tcPr>
            <w:tcW w:w="880" w:type="dxa"/>
            <w:vAlign w:val="bottom"/>
            <w:tcBorders>
              <w:bottom w:val="single" w:sz="8" w:color="auto"/>
            </w:tcBorders>
          </w:tcPr>
          <w:p>
            <w:pPr>
              <w:jc w:val="right"/>
              <w:ind w:right="722"/>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5,798</w:t>
            </w:r>
          </w:p>
        </w:tc>
        <w:tc>
          <w:tcPr>
            <w:tcW w:w="1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4,229</w:t>
            </w:r>
          </w:p>
        </w:tc>
      </w:tr>
      <w:tr>
        <w:trPr>
          <w:trHeight w:val="20"/>
        </w:trPr>
        <w:tc>
          <w:tcPr>
            <w:tcW w:w="85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47" w:lineRule="exact"/>
        <w:rPr>
          <w:sz w:val="20"/>
          <w:szCs w:val="20"/>
          <w:color w:val="auto"/>
        </w:rPr>
      </w:pPr>
    </w:p>
    <w:p>
      <w:pPr>
        <w:ind w:right="100" w:firstLine="8"/>
        <w:spacing w:after="0" w:line="213" w:lineRule="auto"/>
        <w:tabs>
          <w:tab w:leader="none" w:pos="101" w:val="left"/>
        </w:tabs>
        <w:numPr>
          <w:ilvl w:val="0"/>
          <w:numId w:val="15"/>
        </w:numPr>
        <w:rPr>
          <w:rFonts w:ascii="Arial" w:cs="Arial" w:eastAsia="Arial" w:hAnsi="Arial"/>
          <w:sz w:val="25"/>
          <w:szCs w:val="25"/>
          <w:color w:val="auto"/>
          <w:vertAlign w:val="superscript"/>
        </w:rPr>
      </w:pPr>
      <w:r>
        <w:rPr>
          <w:rFonts w:ascii="Arial" w:cs="Arial" w:eastAsia="Arial" w:hAnsi="Arial"/>
          <w:sz w:val="15"/>
          <w:szCs w:val="15"/>
          <w:color w:val="auto"/>
        </w:rPr>
        <w:t>Our statement of cash flows for the year ended December 31, 2018, as presented above, has been revised to reflect the reduction in income tax expense for Q4 2018 that was identified in Q1 2019, as previously discussed. The correction did not change our total operating, investing, or financing cash flows.</w:t>
      </w:r>
    </w:p>
    <w:p>
      <w:pPr>
        <w:spacing w:after="0" w:line="170" w:lineRule="exact"/>
        <w:rPr>
          <w:sz w:val="20"/>
          <w:szCs w:val="20"/>
          <w:color w:val="auto"/>
        </w:rPr>
      </w:pPr>
    </w:p>
    <w:p>
      <w:pPr>
        <w:ind w:left="100" w:hanging="92"/>
        <w:spacing w:after="0"/>
        <w:tabs>
          <w:tab w:leader="none" w:pos="100" w:val="left"/>
        </w:tabs>
        <w:numPr>
          <w:ilvl w:val="0"/>
          <w:numId w:val="16"/>
        </w:numPr>
        <w:rPr>
          <w:rFonts w:ascii="Arial" w:cs="Arial" w:eastAsia="Arial" w:hAnsi="Arial"/>
          <w:sz w:val="24"/>
          <w:szCs w:val="24"/>
          <w:color w:val="auto"/>
          <w:vertAlign w:val="superscript"/>
        </w:rPr>
      </w:pPr>
      <w:r>
        <w:rPr>
          <w:rFonts w:ascii="Arial" w:cs="Arial" w:eastAsia="Arial" w:hAnsi="Arial"/>
          <w:sz w:val="15"/>
          <w:szCs w:val="15"/>
          <w:color w:val="auto"/>
        </w:rPr>
        <w:t>Excludes deferral and amortization of share-based compensation expense.</w:t>
      </w:r>
    </w:p>
    <w:p>
      <w:pPr>
        <w:spacing w:after="0" w:line="170" w:lineRule="exact"/>
        <w:rPr>
          <w:sz w:val="20"/>
          <w:szCs w:val="20"/>
          <w:color w:val="auto"/>
        </w:rPr>
      </w:pPr>
    </w:p>
    <w:p>
      <w:pPr>
        <w:ind w:left="100" w:hanging="92"/>
        <w:spacing w:after="0"/>
        <w:tabs>
          <w:tab w:leader="none" w:pos="100" w:val="left"/>
        </w:tabs>
        <w:numPr>
          <w:ilvl w:val="0"/>
          <w:numId w:val="17"/>
        </w:numPr>
        <w:rPr>
          <w:rFonts w:ascii="Arial" w:cs="Arial" w:eastAsia="Arial" w:hAnsi="Arial"/>
          <w:sz w:val="24"/>
          <w:szCs w:val="24"/>
          <w:color w:val="auto"/>
          <w:vertAlign w:val="superscript"/>
        </w:rPr>
      </w:pPr>
      <w:r>
        <w:rPr>
          <w:rFonts w:ascii="Arial" w:cs="Arial" w:eastAsia="Arial" w:hAnsi="Arial"/>
          <w:sz w:val="15"/>
          <w:szCs w:val="15"/>
          <w:color w:val="auto"/>
        </w:rPr>
        <w:t>Includes the net effects of capitalization, deferral, and amortization of share-based compensation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424180</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2" w:name="page13"/>
    <w:bookmarkEnd w:id="12"/>
    <w:p>
      <w:pPr>
        <w:jc w:val="right"/>
        <w:spacing w:after="0"/>
        <w:rPr>
          <w:sz w:val="20"/>
          <w:szCs w:val="20"/>
          <w:color w:val="auto"/>
        </w:rPr>
      </w:pPr>
      <w:r>
        <w:rPr>
          <w:rFonts w:ascii="Arial" w:cs="Arial" w:eastAsia="Arial" w:hAnsi="Arial"/>
          <w:sz w:val="18"/>
          <w:szCs w:val="18"/>
          <w:b w:val="1"/>
          <w:bCs w:val="1"/>
          <w:color w:val="auto"/>
        </w:rPr>
        <w:t>4</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ACTIVISION BLIZZARD,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CASH FLOW INFORMATION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in millions)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6"/>
          </w:tcPr>
          <w:p>
            <w:pPr>
              <w:ind w:left="20"/>
              <w:spacing w:after="0"/>
              <w:rPr>
                <w:sz w:val="20"/>
                <w:szCs w:val="20"/>
                <w:color w:val="auto"/>
              </w:rPr>
            </w:pPr>
            <w:r>
              <w:rPr>
                <w:rFonts w:ascii="Arial" w:cs="Arial" w:eastAsia="Arial" w:hAnsi="Arial"/>
                <w:sz w:val="13"/>
                <w:szCs w:val="13"/>
                <w:b w:val="1"/>
                <w:bCs w:val="1"/>
                <w:color w:val="auto"/>
                <w:w w:val="93"/>
              </w:rPr>
              <w:t>Three Months Ended</w:t>
            </w:r>
          </w:p>
        </w:tc>
        <w:tc>
          <w:tcPr>
            <w:tcW w:w="7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2"/>
              </w:rPr>
              <w:t>Year</w:t>
            </w: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5"/>
          </w:tcPr>
          <w:p>
            <w:pPr>
              <w:ind w:left="200"/>
              <w:spacing w:after="0"/>
              <w:rPr>
                <w:sz w:val="20"/>
                <w:szCs w:val="20"/>
                <w:color w:val="auto"/>
              </w:rPr>
            </w:pPr>
            <w:r>
              <w:rPr>
                <w:rFonts w:ascii="Arial" w:cs="Arial" w:eastAsia="Arial" w:hAnsi="Arial"/>
                <w:sz w:val="13"/>
                <w:szCs w:val="13"/>
                <w:b w:val="1"/>
                <w:bCs w:val="1"/>
                <w:color w:val="auto"/>
              </w:rPr>
              <w:t>Three Months Ended</w:t>
            </w: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center"/>
              <w:ind w:right="100"/>
              <w:spacing w:after="0"/>
              <w:rPr>
                <w:sz w:val="20"/>
                <w:szCs w:val="20"/>
                <w:color w:val="auto"/>
              </w:rPr>
            </w:pPr>
            <w:r>
              <w:rPr>
                <w:rFonts w:ascii="Arial" w:cs="Arial" w:eastAsia="Arial" w:hAnsi="Arial"/>
                <w:sz w:val="13"/>
                <w:szCs w:val="13"/>
                <w:b w:val="1"/>
                <w:bCs w:val="1"/>
                <w:color w:val="auto"/>
                <w:w w:val="92"/>
              </w:rPr>
              <w:t>Year</w:t>
            </w:r>
          </w:p>
        </w:tc>
        <w:tc>
          <w:tcPr>
            <w:tcW w:w="0" w:type="dxa"/>
            <w:vAlign w:val="bottom"/>
          </w:tcPr>
          <w:p>
            <w:pPr>
              <w:spacing w:after="0"/>
              <w:rPr>
                <w:sz w:val="1"/>
                <w:szCs w:val="1"/>
                <w:color w:val="auto"/>
              </w:rPr>
            </w:pPr>
          </w:p>
        </w:tc>
      </w:tr>
      <w:tr>
        <w:trPr>
          <w:trHeight w:val="103"/>
        </w:trPr>
        <w:tc>
          <w:tcPr>
            <w:tcW w:w="1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gridSpan w:val="2"/>
          </w:tcPr>
          <w:p>
            <w:pPr>
              <w:jc w:val="center"/>
              <w:ind w:right="280"/>
              <w:spacing w:after="0" w:line="104" w:lineRule="exact"/>
              <w:rPr>
                <w:sz w:val="20"/>
                <w:szCs w:val="20"/>
                <w:color w:val="auto"/>
              </w:rPr>
            </w:pPr>
            <w:r>
              <w:rPr>
                <w:rFonts w:ascii="Arial" w:cs="Arial" w:eastAsia="Arial" w:hAnsi="Arial"/>
                <w:sz w:val="11"/>
                <w:szCs w:val="11"/>
                <w:b w:val="1"/>
                <w:bCs w:val="1"/>
                <w:color w:val="auto"/>
              </w:rPr>
              <w:t>over Year</w:t>
            </w: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jc w:val="center"/>
              <w:ind w:right="80"/>
              <w:spacing w:after="0" w:line="104" w:lineRule="exact"/>
              <w:rPr>
                <w:sz w:val="20"/>
                <w:szCs w:val="20"/>
                <w:color w:val="auto"/>
              </w:rPr>
            </w:pPr>
            <w:r>
              <w:rPr>
                <w:rFonts w:ascii="Arial" w:cs="Arial" w:eastAsia="Arial" w:hAnsi="Arial"/>
                <w:sz w:val="11"/>
                <w:szCs w:val="11"/>
                <w:b w:val="1"/>
                <w:bCs w:val="1"/>
                <w:color w:val="auto"/>
              </w:rPr>
              <w:t>over Year</w:t>
            </w:r>
          </w:p>
        </w:tc>
        <w:tc>
          <w:tcPr>
            <w:tcW w:w="0" w:type="dxa"/>
            <w:vAlign w:val="bottom"/>
          </w:tcPr>
          <w:p>
            <w:pPr>
              <w:spacing w:after="0"/>
              <w:rPr>
                <w:sz w:val="1"/>
                <w:szCs w:val="1"/>
                <w:color w:val="auto"/>
              </w:rPr>
            </w:pPr>
          </w:p>
        </w:tc>
      </w:tr>
      <w:tr>
        <w:trPr>
          <w:trHeight w:val="135"/>
        </w:trPr>
        <w:tc>
          <w:tcPr>
            <w:tcW w:w="1280" w:type="dxa"/>
            <w:vAlign w:val="bottom"/>
          </w:tcPr>
          <w:p>
            <w:pPr>
              <w:spacing w:after="0"/>
              <w:rPr>
                <w:sz w:val="11"/>
                <w:szCs w:val="11"/>
                <w:color w:val="auto"/>
              </w:rPr>
            </w:pPr>
          </w:p>
        </w:tc>
        <w:tc>
          <w:tcPr>
            <w:tcW w:w="960" w:type="dxa"/>
            <w:vAlign w:val="bottom"/>
            <w:gridSpan w:val="3"/>
          </w:tcPr>
          <w:p>
            <w:pPr>
              <w:ind w:left="120"/>
              <w:spacing w:after="0" w:line="135" w:lineRule="exact"/>
              <w:rPr>
                <w:sz w:val="20"/>
                <w:szCs w:val="20"/>
                <w:color w:val="auto"/>
              </w:rPr>
            </w:pPr>
            <w:r>
              <w:rPr>
                <w:rFonts w:ascii="Arial" w:cs="Arial" w:eastAsia="Arial" w:hAnsi="Arial"/>
                <w:sz w:val="13"/>
                <w:szCs w:val="13"/>
                <w:b w:val="1"/>
                <w:bCs w:val="1"/>
                <w:color w:val="auto"/>
                <w:w w:val="96"/>
              </w:rPr>
              <w:t>December 31,</w:t>
            </w:r>
          </w:p>
        </w:tc>
        <w:tc>
          <w:tcPr>
            <w:tcW w:w="100" w:type="dxa"/>
            <w:vAlign w:val="bottom"/>
          </w:tcPr>
          <w:p>
            <w:pPr>
              <w:spacing w:after="0"/>
              <w:rPr>
                <w:sz w:val="11"/>
                <w:szCs w:val="11"/>
                <w:color w:val="auto"/>
              </w:rPr>
            </w:pPr>
          </w:p>
        </w:tc>
        <w:tc>
          <w:tcPr>
            <w:tcW w:w="660" w:type="dxa"/>
            <w:vAlign w:val="bottom"/>
            <w:gridSpan w:val="2"/>
          </w:tcPr>
          <w:p>
            <w:pPr>
              <w:jc w:val="right"/>
              <w:spacing w:after="0" w:line="135" w:lineRule="exact"/>
              <w:rPr>
                <w:sz w:val="20"/>
                <w:szCs w:val="20"/>
                <w:color w:val="auto"/>
              </w:rPr>
            </w:pPr>
            <w:r>
              <w:rPr>
                <w:rFonts w:ascii="Arial" w:cs="Arial" w:eastAsia="Arial" w:hAnsi="Arial"/>
                <w:sz w:val="13"/>
                <w:szCs w:val="13"/>
                <w:b w:val="1"/>
                <w:bCs w:val="1"/>
                <w:color w:val="auto"/>
                <w:w w:val="96"/>
              </w:rPr>
              <w:t>March 31,</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rPr>
              <w:t>June 30,</w:t>
            </w:r>
          </w:p>
        </w:tc>
        <w:tc>
          <w:tcPr>
            <w:tcW w:w="86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w w:val="94"/>
              </w:rPr>
              <w:t>September 30,</w:t>
            </w:r>
          </w:p>
        </w:tc>
        <w:tc>
          <w:tcPr>
            <w:tcW w:w="940" w:type="dxa"/>
            <w:vAlign w:val="bottom"/>
            <w:gridSpan w:val="4"/>
          </w:tcPr>
          <w:p>
            <w:pPr>
              <w:ind w:left="100"/>
              <w:spacing w:after="0" w:line="135" w:lineRule="exact"/>
              <w:rPr>
                <w:sz w:val="20"/>
                <w:szCs w:val="20"/>
                <w:color w:val="auto"/>
              </w:rPr>
            </w:pPr>
            <w:r>
              <w:rPr>
                <w:rFonts w:ascii="Arial" w:cs="Arial" w:eastAsia="Arial" w:hAnsi="Arial"/>
                <w:sz w:val="13"/>
                <w:szCs w:val="13"/>
                <w:b w:val="1"/>
                <w:bCs w:val="1"/>
                <w:color w:val="auto"/>
                <w:w w:val="96"/>
              </w:rPr>
              <w:t>December 31,</w:t>
            </w:r>
          </w:p>
        </w:tc>
        <w:tc>
          <w:tcPr>
            <w:tcW w:w="120" w:type="dxa"/>
            <w:vAlign w:val="bottom"/>
          </w:tcPr>
          <w:p>
            <w:pPr>
              <w:spacing w:after="0"/>
              <w:rPr>
                <w:sz w:val="11"/>
                <w:szCs w:val="11"/>
                <w:color w:val="auto"/>
              </w:rPr>
            </w:pPr>
          </w:p>
        </w:tc>
        <w:tc>
          <w:tcPr>
            <w:tcW w:w="92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1"/>
              </w:rPr>
              <w:t>% Increase</w:t>
            </w:r>
          </w:p>
        </w:tc>
        <w:tc>
          <w:tcPr>
            <w:tcW w:w="880" w:type="dxa"/>
            <w:vAlign w:val="bottom"/>
            <w:gridSpan w:val="3"/>
          </w:tcPr>
          <w:p>
            <w:pPr>
              <w:ind w:left="60"/>
              <w:spacing w:after="0" w:line="135" w:lineRule="exact"/>
              <w:rPr>
                <w:sz w:val="20"/>
                <w:szCs w:val="20"/>
                <w:color w:val="auto"/>
              </w:rPr>
            </w:pPr>
            <w:r>
              <w:rPr>
                <w:rFonts w:ascii="Arial" w:cs="Arial" w:eastAsia="Arial" w:hAnsi="Arial"/>
                <w:sz w:val="13"/>
                <w:szCs w:val="13"/>
                <w:b w:val="1"/>
                <w:bCs w:val="1"/>
                <w:color w:val="auto"/>
              </w:rPr>
              <w:t>March 31,</w:t>
            </w:r>
          </w:p>
        </w:tc>
        <w:tc>
          <w:tcPr>
            <w:tcW w:w="80" w:type="dxa"/>
            <w:vAlign w:val="bottom"/>
          </w:tcPr>
          <w:p>
            <w:pPr>
              <w:spacing w:after="0"/>
              <w:rPr>
                <w:sz w:val="11"/>
                <w:szCs w:val="11"/>
                <w:color w:val="auto"/>
              </w:rPr>
            </w:pPr>
          </w:p>
        </w:tc>
        <w:tc>
          <w:tcPr>
            <w:tcW w:w="800" w:type="dxa"/>
            <w:vAlign w:val="bottom"/>
            <w:gridSpan w:val="2"/>
          </w:tcPr>
          <w:p>
            <w:pPr>
              <w:ind w:left="20"/>
              <w:spacing w:after="0" w:line="135" w:lineRule="exact"/>
              <w:rPr>
                <w:sz w:val="20"/>
                <w:szCs w:val="20"/>
                <w:color w:val="auto"/>
              </w:rPr>
            </w:pPr>
            <w:r>
              <w:rPr>
                <w:rFonts w:ascii="Arial" w:cs="Arial" w:eastAsia="Arial" w:hAnsi="Arial"/>
                <w:sz w:val="13"/>
                <w:szCs w:val="13"/>
                <w:b w:val="1"/>
                <w:bCs w:val="1"/>
                <w:color w:val="auto"/>
              </w:rPr>
              <w:t>June 30,</w:t>
            </w:r>
          </w:p>
        </w:tc>
        <w:tc>
          <w:tcPr>
            <w:tcW w:w="980" w:type="dxa"/>
            <w:vAlign w:val="bottom"/>
            <w:gridSpan w:val="3"/>
          </w:tcPr>
          <w:p>
            <w:pPr>
              <w:spacing w:after="0" w:line="135" w:lineRule="exact"/>
              <w:rPr>
                <w:sz w:val="20"/>
                <w:szCs w:val="20"/>
                <w:color w:val="auto"/>
              </w:rPr>
            </w:pPr>
            <w:r>
              <w:rPr>
                <w:rFonts w:ascii="Arial" w:cs="Arial" w:eastAsia="Arial" w:hAnsi="Arial"/>
                <w:sz w:val="13"/>
                <w:szCs w:val="13"/>
                <w:b w:val="1"/>
                <w:bCs w:val="1"/>
                <w:color w:val="auto"/>
              </w:rPr>
              <w:t>September 30,</w:t>
            </w:r>
          </w:p>
        </w:tc>
        <w:tc>
          <w:tcPr>
            <w:tcW w:w="820" w:type="dxa"/>
            <w:vAlign w:val="bottom"/>
            <w:gridSpan w:val="3"/>
          </w:tcPr>
          <w:p>
            <w:pPr>
              <w:spacing w:after="0" w:line="135" w:lineRule="exact"/>
              <w:rPr>
                <w:sz w:val="20"/>
                <w:szCs w:val="20"/>
                <w:color w:val="auto"/>
              </w:rPr>
            </w:pPr>
            <w:r>
              <w:rPr>
                <w:rFonts w:ascii="Arial" w:cs="Arial" w:eastAsia="Arial" w:hAnsi="Arial"/>
                <w:sz w:val="13"/>
                <w:szCs w:val="13"/>
                <w:b w:val="1"/>
                <w:bCs w:val="1"/>
                <w:color w:val="auto"/>
                <w:w w:val="94"/>
              </w:rPr>
              <w:t>December 31,</w:t>
            </w:r>
          </w:p>
        </w:tc>
        <w:tc>
          <w:tcPr>
            <w:tcW w:w="120" w:type="dxa"/>
            <w:vAlign w:val="bottom"/>
          </w:tcPr>
          <w:p>
            <w:pPr>
              <w:spacing w:after="0"/>
              <w:rPr>
                <w:sz w:val="11"/>
                <w:szCs w:val="11"/>
                <w:color w:val="auto"/>
              </w:rPr>
            </w:pPr>
          </w:p>
        </w:tc>
        <w:tc>
          <w:tcPr>
            <w:tcW w:w="820" w:type="dxa"/>
            <w:vAlign w:val="bottom"/>
          </w:tcPr>
          <w:p>
            <w:pPr>
              <w:jc w:val="center"/>
              <w:ind w:right="100"/>
              <w:spacing w:after="0" w:line="135" w:lineRule="exact"/>
              <w:rPr>
                <w:sz w:val="20"/>
                <w:szCs w:val="20"/>
                <w:color w:val="auto"/>
              </w:rPr>
            </w:pPr>
            <w:r>
              <w:rPr>
                <w:rFonts w:ascii="Arial" w:cs="Arial" w:eastAsia="Arial" w:hAnsi="Arial"/>
                <w:sz w:val="13"/>
                <w:szCs w:val="13"/>
                <w:b w:val="1"/>
                <w:bCs w:val="1"/>
                <w:color w:val="auto"/>
                <w:w w:val="91"/>
              </w:rPr>
              <w:t>% Increase</w:t>
            </w:r>
          </w:p>
        </w:tc>
        <w:tc>
          <w:tcPr>
            <w:tcW w:w="0" w:type="dxa"/>
            <w:vAlign w:val="bottom"/>
          </w:tcPr>
          <w:p>
            <w:pPr>
              <w:spacing w:after="0"/>
              <w:rPr>
                <w:sz w:val="1"/>
                <w:szCs w:val="1"/>
                <w:color w:val="auto"/>
              </w:rPr>
            </w:pPr>
          </w:p>
        </w:tc>
      </w:tr>
      <w:tr>
        <w:trPr>
          <w:trHeight w:val="153"/>
        </w:trPr>
        <w:tc>
          <w:tcPr>
            <w:tcW w:w="1280" w:type="dxa"/>
            <w:vAlign w:val="bottom"/>
            <w:vMerge w:val="restart"/>
          </w:tcPr>
          <w:p>
            <w:pPr>
              <w:spacing w:after="0"/>
              <w:rPr>
                <w:sz w:val="20"/>
                <w:szCs w:val="20"/>
                <w:color w:val="auto"/>
              </w:rPr>
            </w:pPr>
            <w:r>
              <w:rPr>
                <w:rFonts w:ascii="Arial" w:cs="Arial" w:eastAsia="Arial" w:hAnsi="Arial"/>
                <w:sz w:val="13"/>
                <w:szCs w:val="13"/>
                <w:b w:val="1"/>
                <w:bCs w:val="1"/>
                <w:color w:val="auto"/>
              </w:rPr>
              <w:t>Cash Flow Data</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jc w:val="right"/>
              <w:ind w:right="297"/>
              <w:spacing w:after="0"/>
              <w:rPr>
                <w:sz w:val="20"/>
                <w:szCs w:val="20"/>
                <w:color w:val="auto"/>
              </w:rPr>
            </w:pPr>
            <w:r>
              <w:rPr>
                <w:rFonts w:ascii="Arial" w:cs="Arial" w:eastAsia="Arial" w:hAnsi="Arial"/>
                <w:sz w:val="13"/>
                <w:szCs w:val="13"/>
                <w:b w:val="1"/>
                <w:bCs w:val="1"/>
                <w:color w:val="auto"/>
              </w:rPr>
              <w:t>2017</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ind w:right="137"/>
              <w:spacing w:after="0"/>
              <w:rPr>
                <w:sz w:val="20"/>
                <w:szCs w:val="20"/>
                <w:color w:val="auto"/>
              </w:rPr>
            </w:pPr>
            <w:r>
              <w:rPr>
                <w:rFonts w:ascii="Arial" w:cs="Arial" w:eastAsia="Arial" w:hAnsi="Arial"/>
                <w:sz w:val="13"/>
                <w:szCs w:val="13"/>
                <w:b w:val="1"/>
                <w:bCs w:val="1"/>
                <w:color w:val="auto"/>
              </w:rPr>
              <w:t>2018</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jc w:val="right"/>
              <w:ind w:right="237"/>
              <w:spacing w:after="0"/>
              <w:rPr>
                <w:sz w:val="20"/>
                <w:szCs w:val="20"/>
                <w:color w:val="auto"/>
              </w:rPr>
            </w:pPr>
            <w:r>
              <w:rPr>
                <w:rFonts w:ascii="Arial" w:cs="Arial" w:eastAsia="Arial" w:hAnsi="Arial"/>
                <w:sz w:val="13"/>
                <w:szCs w:val="13"/>
                <w:b w:val="1"/>
                <w:bCs w:val="1"/>
                <w:color w:val="auto"/>
              </w:rPr>
              <w:t>2018</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jc w:val="right"/>
              <w:ind w:right="297"/>
              <w:spacing w:after="0"/>
              <w:rPr>
                <w:sz w:val="20"/>
                <w:szCs w:val="20"/>
                <w:color w:val="auto"/>
              </w:rPr>
            </w:pPr>
            <w:r>
              <w:rPr>
                <w:rFonts w:ascii="Arial" w:cs="Arial" w:eastAsia="Arial" w:hAnsi="Arial"/>
                <w:sz w:val="13"/>
                <w:szCs w:val="13"/>
                <w:b w:val="1"/>
                <w:bCs w:val="1"/>
                <w:color w:val="auto"/>
              </w:rPr>
              <w:t>2018</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jc w:val="right"/>
              <w:ind w:right="177"/>
              <w:spacing w:after="0"/>
              <w:rPr>
                <w:sz w:val="20"/>
                <w:szCs w:val="20"/>
                <w:color w:val="auto"/>
              </w:rPr>
            </w:pPr>
            <w:r>
              <w:rPr>
                <w:rFonts w:ascii="Arial" w:cs="Arial" w:eastAsia="Arial" w:hAnsi="Arial"/>
                <w:sz w:val="13"/>
                <w:szCs w:val="13"/>
                <w:b w:val="1"/>
                <w:bCs w:val="1"/>
                <w:color w:val="auto"/>
              </w:rPr>
              <w:t>2018</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7"/>
              </w:rPr>
              <w:t>(Decrease)</w:t>
            </w:r>
          </w:p>
        </w:tc>
        <w:tc>
          <w:tcPr>
            <w:tcW w:w="140" w:type="dxa"/>
            <w:vAlign w:val="bottom"/>
          </w:tcPr>
          <w:p>
            <w:pPr>
              <w:spacing w:after="0"/>
              <w:rPr>
                <w:sz w:val="13"/>
                <w:szCs w:val="13"/>
                <w:color w:val="auto"/>
              </w:rPr>
            </w:pPr>
          </w:p>
        </w:tc>
        <w:tc>
          <w:tcPr>
            <w:tcW w:w="640" w:type="dxa"/>
            <w:vAlign w:val="bottom"/>
          </w:tcPr>
          <w:p>
            <w:pPr>
              <w:jc w:val="right"/>
              <w:ind w:right="257"/>
              <w:spacing w:after="0"/>
              <w:rPr>
                <w:sz w:val="20"/>
                <w:szCs w:val="20"/>
                <w:color w:val="auto"/>
              </w:rPr>
            </w:pPr>
            <w:r>
              <w:rPr>
                <w:rFonts w:ascii="Arial" w:cs="Arial" w:eastAsia="Arial" w:hAnsi="Arial"/>
                <w:sz w:val="13"/>
                <w:szCs w:val="13"/>
                <w:b w:val="1"/>
                <w:bCs w:val="1"/>
                <w:color w:val="auto"/>
              </w:rPr>
              <w:t>2019</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right"/>
              <w:ind w:right="257"/>
              <w:spacing w:after="0"/>
              <w:rPr>
                <w:sz w:val="20"/>
                <w:szCs w:val="20"/>
                <w:color w:val="auto"/>
              </w:rPr>
            </w:pPr>
            <w:r>
              <w:rPr>
                <w:rFonts w:ascii="Arial" w:cs="Arial" w:eastAsia="Arial" w:hAnsi="Arial"/>
                <w:sz w:val="13"/>
                <w:szCs w:val="13"/>
                <w:b w:val="1"/>
                <w:bCs w:val="1"/>
                <w:color w:val="auto"/>
              </w:rPr>
              <w:t>2019</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jc w:val="right"/>
              <w:ind w:right="297"/>
              <w:spacing w:after="0"/>
              <w:rPr>
                <w:sz w:val="20"/>
                <w:szCs w:val="20"/>
                <w:color w:val="auto"/>
              </w:rPr>
            </w:pPr>
            <w:r>
              <w:rPr>
                <w:rFonts w:ascii="Arial" w:cs="Arial" w:eastAsia="Arial" w:hAnsi="Arial"/>
                <w:sz w:val="13"/>
                <w:szCs w:val="13"/>
                <w:b w:val="1"/>
                <w:bCs w:val="1"/>
                <w:color w:val="auto"/>
              </w:rPr>
              <w:t>2019</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jc w:val="right"/>
              <w:ind w:right="177"/>
              <w:spacing w:after="0"/>
              <w:rPr>
                <w:sz w:val="20"/>
                <w:szCs w:val="20"/>
                <w:color w:val="auto"/>
              </w:rPr>
            </w:pPr>
            <w:r>
              <w:rPr>
                <w:rFonts w:ascii="Arial" w:cs="Arial" w:eastAsia="Arial" w:hAnsi="Arial"/>
                <w:sz w:val="13"/>
                <w:szCs w:val="13"/>
                <w:b w:val="1"/>
                <w:bCs w:val="1"/>
                <w:color w:val="auto"/>
              </w:rPr>
              <w:t>2019</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center"/>
              <w:ind w:right="80"/>
              <w:spacing w:after="0"/>
              <w:rPr>
                <w:sz w:val="20"/>
                <w:szCs w:val="20"/>
                <w:color w:val="auto"/>
              </w:rPr>
            </w:pPr>
            <w:r>
              <w:rPr>
                <w:rFonts w:ascii="Arial" w:cs="Arial" w:eastAsia="Arial" w:hAnsi="Arial"/>
                <w:sz w:val="13"/>
                <w:szCs w:val="13"/>
                <w:b w:val="1"/>
                <w:bCs w:val="1"/>
                <w:color w:val="auto"/>
                <w:w w:val="84"/>
              </w:rPr>
              <w:t>(Decrease)</w:t>
            </w:r>
          </w:p>
        </w:tc>
        <w:tc>
          <w:tcPr>
            <w:tcW w:w="0" w:type="dxa"/>
            <w:vAlign w:val="bottom"/>
          </w:tcPr>
          <w:p>
            <w:pPr>
              <w:spacing w:after="0"/>
              <w:rPr>
                <w:sz w:val="1"/>
                <w:szCs w:val="1"/>
                <w:color w:val="auto"/>
              </w:rPr>
            </w:pPr>
          </w:p>
        </w:tc>
      </w:tr>
      <w:tr>
        <w:trPr>
          <w:trHeight w:val="114"/>
        </w:trPr>
        <w:tc>
          <w:tcPr>
            <w:tcW w:w="12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280" w:type="dxa"/>
            <w:vAlign w:val="bottom"/>
          </w:tcPr>
          <w:p>
            <w:pPr>
              <w:spacing w:after="0" w:line="135" w:lineRule="exact"/>
              <w:rPr>
                <w:sz w:val="20"/>
                <w:szCs w:val="20"/>
                <w:color w:val="auto"/>
              </w:rPr>
            </w:pPr>
            <w:r>
              <w:rPr>
                <w:rFonts w:ascii="Arial" w:cs="Arial" w:eastAsia="Arial" w:hAnsi="Arial"/>
                <w:sz w:val="13"/>
                <w:szCs w:val="13"/>
                <w:color w:val="auto"/>
              </w:rPr>
              <w:t>Operating Cash Flow</w:t>
            </w:r>
          </w:p>
        </w:tc>
        <w:tc>
          <w:tcPr>
            <w:tcW w:w="260" w:type="dxa"/>
            <w:vAlign w:val="bottom"/>
            <w:gridSpan w:val="2"/>
          </w:tcPr>
          <w:p>
            <w:pPr>
              <w:ind w:left="120"/>
              <w:spacing w:after="0" w:line="135" w:lineRule="exact"/>
              <w:rPr>
                <w:sz w:val="20"/>
                <w:szCs w:val="20"/>
                <w:color w:val="auto"/>
              </w:rPr>
            </w:pPr>
            <w:r>
              <w:rPr>
                <w:rFonts w:ascii="Arial" w:cs="Arial" w:eastAsia="Arial" w:hAnsi="Arial"/>
                <w:sz w:val="13"/>
                <w:szCs w:val="13"/>
                <w:color w:val="auto"/>
              </w:rPr>
              <w:t>$</w:t>
            </w:r>
          </w:p>
        </w:tc>
        <w:tc>
          <w:tcPr>
            <w:tcW w:w="700" w:type="dxa"/>
            <w:vAlign w:val="bottom"/>
          </w:tcPr>
          <w:p>
            <w:pPr>
              <w:jc w:val="right"/>
              <w:ind w:right="57"/>
              <w:spacing w:after="0" w:line="135" w:lineRule="exact"/>
              <w:rPr>
                <w:sz w:val="20"/>
                <w:szCs w:val="20"/>
                <w:color w:val="auto"/>
              </w:rPr>
            </w:pPr>
            <w:r>
              <w:rPr>
                <w:rFonts w:ascii="Arial" w:cs="Arial" w:eastAsia="Arial" w:hAnsi="Arial"/>
                <w:sz w:val="13"/>
                <w:szCs w:val="13"/>
                <w:color w:val="auto"/>
              </w:rPr>
              <w:t>1,158</w:t>
            </w:r>
          </w:p>
        </w:tc>
        <w:tc>
          <w:tcPr>
            <w:tcW w:w="240" w:type="dxa"/>
            <w:vAlign w:val="bottom"/>
            <w:gridSpan w:val="2"/>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529</w:t>
            </w:r>
          </w:p>
        </w:tc>
        <w:tc>
          <w:tcPr>
            <w:tcW w:w="300" w:type="dxa"/>
            <w:vAlign w:val="bottom"/>
            <w:gridSpan w:val="3"/>
          </w:tcPr>
          <w:p>
            <w:pPr>
              <w:jc w:val="right"/>
              <w:ind w:right="20"/>
              <w:spacing w:after="0" w:line="135" w:lineRule="exact"/>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line="135" w:lineRule="exact"/>
              <w:rPr>
                <w:sz w:val="20"/>
                <w:szCs w:val="20"/>
                <w:color w:val="auto"/>
              </w:rPr>
            </w:pPr>
            <w:r>
              <w:rPr>
                <w:rFonts w:ascii="Arial" w:cs="Arial" w:eastAsia="Arial" w:hAnsi="Arial"/>
                <w:sz w:val="13"/>
                <w:szCs w:val="13"/>
                <w:color w:val="auto"/>
              </w:rPr>
              <w:t>9</w:t>
            </w:r>
          </w:p>
        </w:tc>
        <w:tc>
          <w:tcPr>
            <w:tcW w:w="120" w:type="dxa"/>
            <w:vAlign w:val="bottom"/>
          </w:tcPr>
          <w:p>
            <w:pPr>
              <w:spacing w:after="0"/>
              <w:rPr>
                <w:sz w:val="11"/>
                <w:szCs w:val="11"/>
                <w:color w:val="auto"/>
              </w:rPr>
            </w:pPr>
          </w:p>
        </w:tc>
        <w:tc>
          <w:tcPr>
            <w:tcW w:w="16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700" w:type="dxa"/>
            <w:vAlign w:val="bottom"/>
          </w:tcPr>
          <w:p>
            <w:pPr>
              <w:jc w:val="right"/>
              <w:ind w:right="57"/>
              <w:spacing w:after="0" w:line="135" w:lineRule="exact"/>
              <w:rPr>
                <w:sz w:val="20"/>
                <w:szCs w:val="20"/>
                <w:color w:val="auto"/>
              </w:rPr>
            </w:pPr>
            <w:r>
              <w:rPr>
                <w:rFonts w:ascii="Arial" w:cs="Arial" w:eastAsia="Arial" w:hAnsi="Arial"/>
                <w:sz w:val="13"/>
                <w:szCs w:val="13"/>
                <w:color w:val="auto"/>
              </w:rPr>
              <w:t>253</w:t>
            </w:r>
          </w:p>
        </w:tc>
        <w:tc>
          <w:tcPr>
            <w:tcW w:w="260" w:type="dxa"/>
            <w:vAlign w:val="bottom"/>
            <w:gridSpan w:val="2"/>
          </w:tcPr>
          <w:p>
            <w:pPr>
              <w:ind w:left="100"/>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999</w:t>
            </w:r>
          </w:p>
        </w:tc>
        <w:tc>
          <w:tcPr>
            <w:tcW w:w="940" w:type="dxa"/>
            <w:vAlign w:val="bottom"/>
            <w:gridSpan w:val="2"/>
          </w:tcPr>
          <w:p>
            <w:pPr>
              <w:ind w:left="620"/>
              <w:spacing w:after="0" w:line="135" w:lineRule="exact"/>
              <w:rPr>
                <w:sz w:val="20"/>
                <w:szCs w:val="20"/>
                <w:color w:val="auto"/>
              </w:rPr>
            </w:pPr>
            <w:r>
              <w:rPr>
                <w:rFonts w:ascii="Arial" w:cs="Arial" w:eastAsia="Arial" w:hAnsi="Arial"/>
                <w:sz w:val="13"/>
                <w:szCs w:val="13"/>
                <w:color w:val="auto"/>
                <w:w w:val="86"/>
              </w:rPr>
              <w:t>(14)%</w:t>
            </w:r>
          </w:p>
        </w:tc>
        <w:tc>
          <w:tcPr>
            <w:tcW w:w="100" w:type="dxa"/>
            <w:vAlign w:val="bottom"/>
          </w:tcPr>
          <w:p>
            <w:pPr>
              <w:spacing w:after="0"/>
              <w:rPr>
                <w:sz w:val="11"/>
                <w:szCs w:val="11"/>
                <w:color w:val="auto"/>
              </w:rPr>
            </w:pPr>
          </w:p>
        </w:tc>
        <w:tc>
          <w:tcPr>
            <w:tcW w:w="140" w:type="dxa"/>
            <w:vAlign w:val="bottom"/>
          </w:tcPr>
          <w:p>
            <w:pPr>
              <w:jc w:val="right"/>
              <w:ind w:right="30"/>
              <w:spacing w:after="0"/>
              <w:rPr>
                <w:sz w:val="20"/>
                <w:szCs w:val="20"/>
                <w:color w:val="auto"/>
              </w:rPr>
            </w:pPr>
            <w:r>
              <w:rPr>
                <w:rFonts w:ascii="Arial" w:cs="Arial" w:eastAsia="Arial" w:hAnsi="Arial"/>
                <w:sz w:val="9"/>
                <w:szCs w:val="9"/>
                <w:color w:val="auto"/>
                <w:w w:val="78"/>
              </w:rPr>
              <w:t>$</w:t>
            </w:r>
          </w:p>
        </w:tc>
        <w:tc>
          <w:tcPr>
            <w:tcW w:w="640" w:type="dxa"/>
            <w:vAlign w:val="bottom"/>
          </w:tcPr>
          <w:p>
            <w:pPr>
              <w:jc w:val="right"/>
              <w:ind w:right="57"/>
              <w:spacing w:after="0" w:line="135" w:lineRule="exact"/>
              <w:rPr>
                <w:sz w:val="20"/>
                <w:szCs w:val="20"/>
                <w:color w:val="auto"/>
              </w:rPr>
            </w:pPr>
            <w:r>
              <w:rPr>
                <w:rFonts w:ascii="Arial" w:cs="Arial" w:eastAsia="Arial" w:hAnsi="Arial"/>
                <w:sz w:val="13"/>
                <w:szCs w:val="13"/>
                <w:color w:val="auto"/>
              </w:rPr>
              <w:t>450</w:t>
            </w:r>
          </w:p>
        </w:tc>
        <w:tc>
          <w:tcPr>
            <w:tcW w:w="10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700" w:type="dxa"/>
            <w:vAlign w:val="bottom"/>
          </w:tcPr>
          <w:p>
            <w:pPr>
              <w:jc w:val="right"/>
              <w:ind w:right="57"/>
              <w:spacing w:after="0" w:line="135" w:lineRule="exact"/>
              <w:rPr>
                <w:sz w:val="20"/>
                <w:szCs w:val="20"/>
                <w:color w:val="auto"/>
              </w:rPr>
            </w:pPr>
            <w:r>
              <w:rPr>
                <w:rFonts w:ascii="Arial" w:cs="Arial" w:eastAsia="Arial" w:hAnsi="Arial"/>
                <w:sz w:val="13"/>
                <w:szCs w:val="13"/>
                <w:color w:val="auto"/>
              </w:rPr>
              <w:t>154</w:t>
            </w:r>
          </w:p>
        </w:tc>
        <w:tc>
          <w:tcPr>
            <w:tcW w:w="100" w:type="dxa"/>
            <w:vAlign w:val="bottom"/>
          </w:tcPr>
          <w:p>
            <w:pPr>
              <w:spacing w:after="0"/>
              <w:rPr>
                <w:sz w:val="11"/>
                <w:szCs w:val="11"/>
                <w:color w:val="auto"/>
              </w:rPr>
            </w:pPr>
          </w:p>
        </w:tc>
        <w:tc>
          <w:tcPr>
            <w:tcW w:w="16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700" w:type="dxa"/>
            <w:vAlign w:val="bottom"/>
          </w:tcPr>
          <w:p>
            <w:pPr>
              <w:jc w:val="right"/>
              <w:ind w:right="37"/>
              <w:spacing w:after="0" w:line="135" w:lineRule="exact"/>
              <w:rPr>
                <w:sz w:val="20"/>
                <w:szCs w:val="20"/>
                <w:color w:val="auto"/>
              </w:rPr>
            </w:pPr>
            <w:r>
              <w:rPr>
                <w:rFonts w:ascii="Arial" w:cs="Arial" w:eastAsia="Arial" w:hAnsi="Arial"/>
                <w:sz w:val="13"/>
                <w:szCs w:val="13"/>
                <w:color w:val="auto"/>
              </w:rPr>
              <w:t>309</w:t>
            </w:r>
          </w:p>
        </w:tc>
        <w:tc>
          <w:tcPr>
            <w:tcW w:w="120" w:type="dxa"/>
            <w:vAlign w:val="bottom"/>
          </w:tcPr>
          <w:p>
            <w:pPr>
              <w:spacing w:after="0"/>
              <w:rPr>
                <w:sz w:val="11"/>
                <w:szCs w:val="11"/>
                <w:color w:val="auto"/>
              </w:rPr>
            </w:pPr>
          </w:p>
        </w:tc>
        <w:tc>
          <w:tcPr>
            <w:tcW w:w="14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918</w:t>
            </w:r>
          </w:p>
        </w:tc>
        <w:tc>
          <w:tcPr>
            <w:tcW w:w="9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(8)%</w:t>
            </w:r>
          </w:p>
        </w:tc>
        <w:tc>
          <w:tcPr>
            <w:tcW w:w="0" w:type="dxa"/>
            <w:vAlign w:val="bottom"/>
          </w:tcPr>
          <w:p>
            <w:pPr>
              <w:spacing w:after="0"/>
              <w:rPr>
                <w:sz w:val="1"/>
                <w:szCs w:val="1"/>
                <w:color w:val="auto"/>
              </w:rPr>
            </w:pPr>
          </w:p>
        </w:tc>
      </w:tr>
      <w:tr>
        <w:trPr>
          <w:trHeight w:val="143"/>
        </w:trPr>
        <w:tc>
          <w:tcPr>
            <w:tcW w:w="1280" w:type="dxa"/>
            <w:vAlign w:val="bottom"/>
          </w:tcPr>
          <w:p>
            <w:pPr>
              <w:spacing w:after="0" w:line="135" w:lineRule="exact"/>
              <w:rPr>
                <w:sz w:val="20"/>
                <w:szCs w:val="20"/>
                <w:color w:val="auto"/>
              </w:rPr>
            </w:pPr>
            <w:r>
              <w:rPr>
                <w:rFonts w:ascii="Arial" w:cs="Arial" w:eastAsia="Arial" w:hAnsi="Arial"/>
                <w:sz w:val="13"/>
                <w:szCs w:val="13"/>
                <w:color w:val="auto"/>
              </w:rPr>
              <w:t>Capital Expenditures</w:t>
            </w: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57"/>
              <w:spacing w:after="0" w:line="135" w:lineRule="exact"/>
              <w:rPr>
                <w:sz w:val="20"/>
                <w:szCs w:val="20"/>
                <w:color w:val="auto"/>
              </w:rPr>
            </w:pPr>
            <w:r>
              <w:rPr>
                <w:rFonts w:ascii="Arial" w:cs="Arial" w:eastAsia="Arial" w:hAnsi="Arial"/>
                <w:sz w:val="13"/>
                <w:szCs w:val="13"/>
                <w:color w:val="auto"/>
              </w:rPr>
              <w:t>69</w:t>
            </w: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31</w:t>
            </w:r>
          </w:p>
        </w:tc>
        <w:tc>
          <w:tcPr>
            <w:tcW w:w="1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37"/>
              <w:spacing w:after="0" w:line="135" w:lineRule="exact"/>
              <w:rPr>
                <w:sz w:val="20"/>
                <w:szCs w:val="20"/>
                <w:color w:val="auto"/>
              </w:rPr>
            </w:pPr>
            <w:r>
              <w:rPr>
                <w:rFonts w:ascii="Arial" w:cs="Arial" w:eastAsia="Arial" w:hAnsi="Arial"/>
                <w:sz w:val="13"/>
                <w:szCs w:val="13"/>
                <w:color w:val="auto"/>
              </w:rPr>
              <w:t>30</w:t>
            </w: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57"/>
              <w:spacing w:after="0" w:line="135" w:lineRule="exact"/>
              <w:rPr>
                <w:sz w:val="20"/>
                <w:szCs w:val="20"/>
                <w:color w:val="auto"/>
              </w:rPr>
            </w:pPr>
            <w:r>
              <w:rPr>
                <w:rFonts w:ascii="Arial" w:cs="Arial" w:eastAsia="Arial" w:hAnsi="Arial"/>
                <w:sz w:val="13"/>
                <w:szCs w:val="13"/>
                <w:color w:val="auto"/>
              </w:rPr>
              <w:t>36</w:t>
            </w: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gridSpan w:val="2"/>
          </w:tcPr>
          <w:p>
            <w:pPr>
              <w:jc w:val="right"/>
              <w:ind w:right="100"/>
              <w:spacing w:after="0" w:line="135" w:lineRule="exact"/>
              <w:rPr>
                <w:sz w:val="20"/>
                <w:szCs w:val="20"/>
                <w:color w:val="auto"/>
              </w:rPr>
            </w:pPr>
            <w:r>
              <w:rPr>
                <w:rFonts w:ascii="Arial" w:cs="Arial" w:eastAsia="Arial" w:hAnsi="Arial"/>
                <w:sz w:val="13"/>
                <w:szCs w:val="13"/>
                <w:color w:val="auto"/>
              </w:rPr>
              <w:t>34</w:t>
            </w:r>
          </w:p>
        </w:tc>
        <w:tc>
          <w:tcPr>
            <w:tcW w:w="940" w:type="dxa"/>
            <w:vAlign w:val="bottom"/>
            <w:gridSpan w:val="2"/>
          </w:tcPr>
          <w:p>
            <w:pPr>
              <w:ind w:left="620"/>
              <w:spacing w:after="0" w:line="135" w:lineRule="exact"/>
              <w:rPr>
                <w:sz w:val="20"/>
                <w:szCs w:val="20"/>
                <w:color w:val="auto"/>
              </w:rPr>
            </w:pPr>
            <w:r>
              <w:rPr>
                <w:rFonts w:ascii="Arial" w:cs="Arial" w:eastAsia="Arial" w:hAnsi="Arial"/>
                <w:sz w:val="13"/>
                <w:szCs w:val="13"/>
                <w:color w:val="auto"/>
              </w:rPr>
              <w:t>(51)</w:t>
            </w: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57"/>
              <w:spacing w:after="0" w:line="135" w:lineRule="exact"/>
              <w:rPr>
                <w:sz w:val="20"/>
                <w:szCs w:val="20"/>
                <w:color w:val="auto"/>
              </w:rPr>
            </w:pPr>
            <w:r>
              <w:rPr>
                <w:rFonts w:ascii="Arial" w:cs="Arial" w:eastAsia="Arial" w:hAnsi="Arial"/>
                <w:sz w:val="13"/>
                <w:szCs w:val="13"/>
                <w:color w:val="auto"/>
              </w:rPr>
              <w:t>18</w:t>
            </w: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57"/>
              <w:spacing w:after="0" w:line="135" w:lineRule="exact"/>
              <w:rPr>
                <w:sz w:val="20"/>
                <w:szCs w:val="20"/>
                <w:color w:val="auto"/>
              </w:rPr>
            </w:pPr>
            <w:r>
              <w:rPr>
                <w:rFonts w:ascii="Arial" w:cs="Arial" w:eastAsia="Arial" w:hAnsi="Arial"/>
                <w:sz w:val="13"/>
                <w:szCs w:val="13"/>
                <w:color w:val="auto"/>
              </w:rPr>
              <w:t>27</w:t>
            </w: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37"/>
              <w:spacing w:after="0" w:line="135" w:lineRule="exact"/>
              <w:rPr>
                <w:sz w:val="20"/>
                <w:szCs w:val="20"/>
                <w:color w:val="auto"/>
              </w:rPr>
            </w:pPr>
            <w:r>
              <w:rPr>
                <w:rFonts w:ascii="Arial" w:cs="Arial" w:eastAsia="Arial" w:hAnsi="Arial"/>
                <w:sz w:val="13"/>
                <w:szCs w:val="13"/>
                <w:color w:val="auto"/>
              </w:rPr>
              <w:t>34</w:t>
            </w: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37</w:t>
            </w:r>
          </w:p>
        </w:tc>
        <w:tc>
          <w:tcPr>
            <w:tcW w:w="100" w:type="dxa"/>
            <w:vAlign w:val="bottom"/>
            <w:tcBorders>
              <w:bottom w:val="single" w:sz="8" w:color="auto"/>
            </w:tcBorders>
          </w:tcPr>
          <w:p>
            <w:pPr>
              <w:spacing w:after="0"/>
              <w:rPr>
                <w:sz w:val="12"/>
                <w:szCs w:val="12"/>
                <w:color w:val="auto"/>
              </w:rPr>
            </w:pPr>
          </w:p>
        </w:tc>
        <w:tc>
          <w:tcPr>
            <w:tcW w:w="94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9</w:t>
            </w:r>
          </w:p>
        </w:tc>
        <w:tc>
          <w:tcPr>
            <w:tcW w:w="0" w:type="dxa"/>
            <w:vAlign w:val="bottom"/>
          </w:tcPr>
          <w:p>
            <w:pPr>
              <w:spacing w:after="0"/>
              <w:rPr>
                <w:sz w:val="1"/>
                <w:szCs w:val="1"/>
                <w:color w:val="auto"/>
              </w:rPr>
            </w:pPr>
          </w:p>
        </w:tc>
      </w:tr>
      <w:tr>
        <w:trPr>
          <w:trHeight w:val="115"/>
        </w:trPr>
        <w:tc>
          <w:tcPr>
            <w:tcW w:w="1280" w:type="dxa"/>
            <w:vAlign w:val="bottom"/>
          </w:tcPr>
          <w:p>
            <w:pPr>
              <w:spacing w:after="0" w:line="114" w:lineRule="exact"/>
              <w:rPr>
                <w:sz w:val="20"/>
                <w:szCs w:val="20"/>
                <w:color w:val="auto"/>
              </w:rPr>
            </w:pPr>
            <w:r>
              <w:rPr>
                <w:rFonts w:ascii="Arial" w:cs="Arial" w:eastAsia="Arial" w:hAnsi="Arial"/>
                <w:sz w:val="13"/>
                <w:szCs w:val="13"/>
                <w:color w:val="auto"/>
                <w:w w:val="97"/>
              </w:rPr>
              <w:t>Non-GAAP Free Cash</w:t>
            </w: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1280" w:type="dxa"/>
            <w:vAlign w:val="bottom"/>
          </w:tcPr>
          <w:p>
            <w:pPr>
              <w:spacing w:after="0" w:line="168" w:lineRule="exact"/>
              <w:rPr>
                <w:sz w:val="20"/>
                <w:szCs w:val="20"/>
                <w:color w:val="auto"/>
              </w:rPr>
            </w:pPr>
            <w:r>
              <w:rPr>
                <w:rFonts w:ascii="Arial" w:cs="Arial" w:eastAsia="Arial" w:hAnsi="Arial"/>
                <w:sz w:val="12"/>
                <w:szCs w:val="12"/>
                <w:color w:val="auto"/>
              </w:rPr>
              <w:t>Flow</w:t>
            </w:r>
            <w:r>
              <w:rPr>
                <w:rFonts w:ascii="Arial" w:cs="Arial" w:eastAsia="Arial" w:hAnsi="Arial"/>
                <w:sz w:val="19"/>
                <w:szCs w:val="19"/>
                <w:color w:val="auto"/>
                <w:vertAlign w:val="superscript"/>
              </w:rPr>
              <w:t>1</w:t>
            </w:r>
          </w:p>
        </w:tc>
        <w:tc>
          <w:tcPr>
            <w:tcW w:w="260" w:type="dxa"/>
            <w:vAlign w:val="bottom"/>
            <w:gridSpan w:val="2"/>
          </w:tcPr>
          <w:p>
            <w:pPr>
              <w:ind w:left="120"/>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1,089</w:t>
            </w:r>
          </w:p>
        </w:tc>
        <w:tc>
          <w:tcPr>
            <w:tcW w:w="240" w:type="dxa"/>
            <w:vAlign w:val="bottom"/>
            <w:gridSpan w:val="2"/>
          </w:tcPr>
          <w:p>
            <w:pPr>
              <w:jc w:val="right"/>
              <w:ind w:right="17"/>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498</w:t>
            </w:r>
          </w:p>
        </w:tc>
        <w:tc>
          <w:tcPr>
            <w:tcW w:w="300" w:type="dxa"/>
            <w:vAlign w:val="bottom"/>
            <w:gridSpan w:val="3"/>
          </w:tcPr>
          <w:p>
            <w:pPr>
              <w:jc w:val="right"/>
              <w:ind w:right="20"/>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(21)</w:t>
            </w:r>
          </w:p>
        </w:tc>
        <w:tc>
          <w:tcPr>
            <w:tcW w:w="120" w:type="dxa"/>
            <w:vAlign w:val="bottom"/>
          </w:tcPr>
          <w:p>
            <w:pPr>
              <w:spacing w:after="0"/>
              <w:rPr>
                <w:sz w:val="14"/>
                <w:szCs w:val="14"/>
                <w:color w:val="auto"/>
              </w:rPr>
            </w:pPr>
          </w:p>
        </w:tc>
        <w:tc>
          <w:tcPr>
            <w:tcW w:w="160" w:type="dxa"/>
            <w:vAlign w:val="bottom"/>
          </w:tcPr>
          <w:p>
            <w:pPr>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217</w:t>
            </w:r>
          </w:p>
        </w:tc>
        <w:tc>
          <w:tcPr>
            <w:tcW w:w="260" w:type="dxa"/>
            <w:vAlign w:val="bottom"/>
            <w:gridSpan w:val="2"/>
          </w:tcPr>
          <w:p>
            <w:pPr>
              <w:ind w:left="10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965</w:t>
            </w:r>
          </w:p>
        </w:tc>
        <w:tc>
          <w:tcPr>
            <w:tcW w:w="940" w:type="dxa"/>
            <w:vAlign w:val="bottom"/>
            <w:gridSpan w:val="2"/>
          </w:tcPr>
          <w:p>
            <w:pPr>
              <w:ind w:left="620"/>
              <w:spacing w:after="0"/>
              <w:rPr>
                <w:sz w:val="20"/>
                <w:szCs w:val="20"/>
                <w:color w:val="auto"/>
              </w:rPr>
            </w:pPr>
            <w:r>
              <w:rPr>
                <w:rFonts w:ascii="Arial" w:cs="Arial" w:eastAsia="Arial" w:hAnsi="Arial"/>
                <w:sz w:val="13"/>
                <w:szCs w:val="13"/>
                <w:color w:val="auto"/>
              </w:rPr>
              <w:t>(11)</w:t>
            </w:r>
          </w:p>
        </w:tc>
        <w:tc>
          <w:tcPr>
            <w:tcW w:w="100" w:type="dxa"/>
            <w:vAlign w:val="bottom"/>
          </w:tcPr>
          <w:p>
            <w:pPr>
              <w:spacing w:after="0"/>
              <w:rPr>
                <w:sz w:val="14"/>
                <w:szCs w:val="14"/>
                <w:color w:val="auto"/>
              </w:rPr>
            </w:pPr>
          </w:p>
        </w:tc>
        <w:tc>
          <w:tcPr>
            <w:tcW w:w="140" w:type="dxa"/>
            <w:vAlign w:val="bottom"/>
          </w:tcPr>
          <w:p>
            <w:pPr>
              <w:jc w:val="right"/>
              <w:ind w:right="30"/>
              <w:spacing w:after="0"/>
              <w:rPr>
                <w:sz w:val="20"/>
                <w:szCs w:val="20"/>
                <w:color w:val="auto"/>
              </w:rPr>
            </w:pPr>
            <w:r>
              <w:rPr>
                <w:rFonts w:ascii="Arial" w:cs="Arial" w:eastAsia="Arial" w:hAnsi="Arial"/>
                <w:sz w:val="9"/>
                <w:szCs w:val="9"/>
                <w:color w:val="auto"/>
                <w:w w:val="78"/>
              </w:rPr>
              <w:t>$</w:t>
            </w:r>
          </w:p>
        </w:tc>
        <w:tc>
          <w:tcPr>
            <w:tcW w:w="640" w:type="dxa"/>
            <w:vAlign w:val="bottom"/>
          </w:tcPr>
          <w:p>
            <w:pPr>
              <w:jc w:val="right"/>
              <w:ind w:right="57"/>
              <w:spacing w:after="0"/>
              <w:rPr>
                <w:sz w:val="20"/>
                <w:szCs w:val="20"/>
                <w:color w:val="auto"/>
              </w:rPr>
            </w:pPr>
            <w:r>
              <w:rPr>
                <w:rFonts w:ascii="Arial" w:cs="Arial" w:eastAsia="Arial" w:hAnsi="Arial"/>
                <w:sz w:val="13"/>
                <w:szCs w:val="13"/>
                <w:color w:val="auto"/>
              </w:rPr>
              <w:t>432</w:t>
            </w:r>
          </w:p>
        </w:tc>
        <w:tc>
          <w:tcPr>
            <w:tcW w:w="1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127</w:t>
            </w:r>
          </w:p>
        </w:tc>
        <w:tc>
          <w:tcPr>
            <w:tcW w:w="100" w:type="dxa"/>
            <w:vAlign w:val="bottom"/>
          </w:tcPr>
          <w:p>
            <w:pPr>
              <w:spacing w:after="0"/>
              <w:rPr>
                <w:sz w:val="14"/>
                <w:szCs w:val="14"/>
                <w:color w:val="auto"/>
              </w:rPr>
            </w:pPr>
          </w:p>
        </w:tc>
        <w:tc>
          <w:tcPr>
            <w:tcW w:w="160" w:type="dxa"/>
            <w:vAlign w:val="bottom"/>
          </w:tcPr>
          <w:p>
            <w:pPr>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275</w:t>
            </w:r>
          </w:p>
        </w:tc>
        <w:tc>
          <w:tcPr>
            <w:tcW w:w="120" w:type="dxa"/>
            <w:vAlign w:val="bottom"/>
          </w:tcPr>
          <w:p>
            <w:pPr>
              <w:spacing w:after="0"/>
              <w:rPr>
                <w:sz w:val="14"/>
                <w:szCs w:val="14"/>
                <w:color w:val="auto"/>
              </w:rPr>
            </w:pPr>
          </w:p>
        </w:tc>
        <w:tc>
          <w:tcPr>
            <w:tcW w:w="140" w:type="dxa"/>
            <w:vAlign w:val="bottom"/>
          </w:tcPr>
          <w:p>
            <w:pPr>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881</w:t>
            </w:r>
          </w:p>
        </w:tc>
        <w:tc>
          <w:tcPr>
            <w:tcW w:w="940" w:type="dxa"/>
            <w:vAlign w:val="bottom"/>
            <w:gridSpan w:val="2"/>
          </w:tcPr>
          <w:p>
            <w:pPr>
              <w:jc w:val="right"/>
              <w:ind w:right="40"/>
              <w:spacing w:after="0"/>
              <w:rPr>
                <w:sz w:val="20"/>
                <w:szCs w:val="20"/>
                <w:color w:val="auto"/>
              </w:rPr>
            </w:pPr>
            <w:r>
              <w:rPr>
                <w:rFonts w:ascii="Arial" w:cs="Arial" w:eastAsia="Arial" w:hAnsi="Arial"/>
                <w:sz w:val="13"/>
                <w:szCs w:val="13"/>
                <w:color w:val="auto"/>
              </w:rPr>
              <w:t>(9)</w:t>
            </w:r>
          </w:p>
        </w:tc>
        <w:tc>
          <w:tcPr>
            <w:tcW w:w="0" w:type="dxa"/>
            <w:vAlign w:val="bottom"/>
          </w:tcPr>
          <w:p>
            <w:pPr>
              <w:spacing w:after="0"/>
              <w:rPr>
                <w:sz w:val="1"/>
                <w:szCs w:val="1"/>
                <w:color w:val="auto"/>
              </w:rPr>
            </w:pPr>
          </w:p>
        </w:tc>
      </w:tr>
      <w:tr>
        <w:trPr>
          <w:trHeight w:val="142"/>
        </w:trPr>
        <w:tc>
          <w:tcPr>
            <w:tcW w:w="1280" w:type="dxa"/>
            <w:vAlign w:val="bottom"/>
          </w:tcPr>
          <w:p>
            <w:pPr>
              <w:spacing w:after="0" w:line="143" w:lineRule="exact"/>
              <w:rPr>
                <w:sz w:val="20"/>
                <w:szCs w:val="20"/>
                <w:color w:val="auto"/>
              </w:rPr>
            </w:pPr>
            <w:r>
              <w:rPr>
                <w:rFonts w:ascii="Arial" w:cs="Arial" w:eastAsia="Arial" w:hAnsi="Arial"/>
                <w:sz w:val="13"/>
                <w:szCs w:val="13"/>
                <w:color w:val="auto"/>
                <w:w w:val="96"/>
              </w:rPr>
              <w:t>Operating Cash Flow -</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280" w:type="dxa"/>
            <w:vAlign w:val="bottom"/>
          </w:tcPr>
          <w:p>
            <w:pPr>
              <w:spacing w:after="0" w:line="168" w:lineRule="exact"/>
              <w:rPr>
                <w:sz w:val="20"/>
                <w:szCs w:val="20"/>
                <w:color w:val="auto"/>
              </w:rPr>
            </w:pPr>
            <w:r>
              <w:rPr>
                <w:rFonts w:ascii="Arial" w:cs="Arial" w:eastAsia="Arial" w:hAnsi="Arial"/>
                <w:sz w:val="12"/>
                <w:szCs w:val="12"/>
                <w:color w:val="auto"/>
              </w:rPr>
              <w:t>TTM</w:t>
            </w:r>
            <w:r>
              <w:rPr>
                <w:rFonts w:ascii="Arial" w:cs="Arial" w:eastAsia="Arial" w:hAnsi="Arial"/>
                <w:sz w:val="19"/>
                <w:szCs w:val="19"/>
                <w:color w:val="auto"/>
                <w:vertAlign w:val="superscript"/>
              </w:rPr>
              <w:t>2</w:t>
            </w:r>
          </w:p>
        </w:tc>
        <w:tc>
          <w:tcPr>
            <w:tcW w:w="260" w:type="dxa"/>
            <w:vAlign w:val="bottom"/>
            <w:gridSpan w:val="2"/>
          </w:tcPr>
          <w:p>
            <w:pPr>
              <w:ind w:left="120"/>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2,213</w:t>
            </w:r>
          </w:p>
        </w:tc>
        <w:tc>
          <w:tcPr>
            <w:tcW w:w="240" w:type="dxa"/>
            <w:vAlign w:val="bottom"/>
            <w:gridSpan w:val="2"/>
          </w:tcPr>
          <w:p>
            <w:pPr>
              <w:jc w:val="right"/>
              <w:ind w:right="17"/>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2,331</w:t>
            </w:r>
          </w:p>
        </w:tc>
        <w:tc>
          <w:tcPr>
            <w:tcW w:w="300" w:type="dxa"/>
            <w:vAlign w:val="bottom"/>
            <w:gridSpan w:val="3"/>
          </w:tcPr>
          <w:p>
            <w:pPr>
              <w:jc w:val="right"/>
              <w:ind w:right="20"/>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2,075</w:t>
            </w:r>
          </w:p>
        </w:tc>
        <w:tc>
          <w:tcPr>
            <w:tcW w:w="120" w:type="dxa"/>
            <w:vAlign w:val="bottom"/>
          </w:tcPr>
          <w:p>
            <w:pPr>
              <w:spacing w:after="0"/>
              <w:rPr>
                <w:sz w:val="14"/>
                <w:szCs w:val="14"/>
                <w:color w:val="auto"/>
              </w:rPr>
            </w:pPr>
          </w:p>
        </w:tc>
        <w:tc>
          <w:tcPr>
            <w:tcW w:w="160" w:type="dxa"/>
            <w:vAlign w:val="bottom"/>
          </w:tcPr>
          <w:p>
            <w:pPr>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1,949</w:t>
            </w:r>
          </w:p>
        </w:tc>
        <w:tc>
          <w:tcPr>
            <w:tcW w:w="260" w:type="dxa"/>
            <w:vAlign w:val="bottom"/>
            <w:gridSpan w:val="2"/>
          </w:tcPr>
          <w:p>
            <w:pPr>
              <w:ind w:left="10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1,790</w:t>
            </w:r>
          </w:p>
        </w:tc>
        <w:tc>
          <w:tcPr>
            <w:tcW w:w="940" w:type="dxa"/>
            <w:vAlign w:val="bottom"/>
            <w:gridSpan w:val="2"/>
          </w:tcPr>
          <w:p>
            <w:pPr>
              <w:ind w:left="620"/>
              <w:spacing w:after="0"/>
              <w:rPr>
                <w:sz w:val="20"/>
                <w:szCs w:val="20"/>
                <w:color w:val="auto"/>
              </w:rPr>
            </w:pPr>
            <w:r>
              <w:rPr>
                <w:rFonts w:ascii="Arial" w:cs="Arial" w:eastAsia="Arial" w:hAnsi="Arial"/>
                <w:sz w:val="13"/>
                <w:szCs w:val="13"/>
                <w:color w:val="auto"/>
              </w:rPr>
              <w:t>(19)</w:t>
            </w:r>
          </w:p>
        </w:tc>
        <w:tc>
          <w:tcPr>
            <w:tcW w:w="100" w:type="dxa"/>
            <w:vAlign w:val="bottom"/>
          </w:tcPr>
          <w:p>
            <w:pPr>
              <w:spacing w:after="0"/>
              <w:rPr>
                <w:sz w:val="14"/>
                <w:szCs w:val="14"/>
                <w:color w:val="auto"/>
              </w:rPr>
            </w:pPr>
          </w:p>
        </w:tc>
        <w:tc>
          <w:tcPr>
            <w:tcW w:w="140" w:type="dxa"/>
            <w:vAlign w:val="bottom"/>
          </w:tcPr>
          <w:p>
            <w:pPr>
              <w:jc w:val="right"/>
              <w:ind w:right="30"/>
              <w:spacing w:after="0"/>
              <w:rPr>
                <w:sz w:val="20"/>
                <w:szCs w:val="20"/>
                <w:color w:val="auto"/>
              </w:rPr>
            </w:pPr>
            <w:r>
              <w:rPr>
                <w:rFonts w:ascii="Arial" w:cs="Arial" w:eastAsia="Arial" w:hAnsi="Arial"/>
                <w:sz w:val="9"/>
                <w:szCs w:val="9"/>
                <w:color w:val="auto"/>
                <w:w w:val="78"/>
              </w:rPr>
              <w:t>$</w:t>
            </w:r>
          </w:p>
        </w:tc>
        <w:tc>
          <w:tcPr>
            <w:tcW w:w="640" w:type="dxa"/>
            <w:vAlign w:val="bottom"/>
          </w:tcPr>
          <w:p>
            <w:pPr>
              <w:jc w:val="right"/>
              <w:ind w:right="57"/>
              <w:spacing w:after="0"/>
              <w:rPr>
                <w:sz w:val="20"/>
                <w:szCs w:val="20"/>
                <w:color w:val="auto"/>
              </w:rPr>
            </w:pPr>
            <w:r>
              <w:rPr>
                <w:rFonts w:ascii="Arial" w:cs="Arial" w:eastAsia="Arial" w:hAnsi="Arial"/>
                <w:sz w:val="13"/>
                <w:szCs w:val="13"/>
                <w:color w:val="auto"/>
              </w:rPr>
              <w:t>1,711</w:t>
            </w:r>
          </w:p>
        </w:tc>
        <w:tc>
          <w:tcPr>
            <w:tcW w:w="1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1,856</w:t>
            </w:r>
          </w:p>
        </w:tc>
        <w:tc>
          <w:tcPr>
            <w:tcW w:w="100" w:type="dxa"/>
            <w:vAlign w:val="bottom"/>
          </w:tcPr>
          <w:p>
            <w:pPr>
              <w:spacing w:after="0"/>
              <w:rPr>
                <w:sz w:val="14"/>
                <w:szCs w:val="14"/>
                <w:color w:val="auto"/>
              </w:rPr>
            </w:pPr>
          </w:p>
        </w:tc>
        <w:tc>
          <w:tcPr>
            <w:tcW w:w="160" w:type="dxa"/>
            <w:vAlign w:val="bottom"/>
          </w:tcPr>
          <w:p>
            <w:pPr>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1,912</w:t>
            </w:r>
          </w:p>
        </w:tc>
        <w:tc>
          <w:tcPr>
            <w:tcW w:w="120" w:type="dxa"/>
            <w:vAlign w:val="bottom"/>
          </w:tcPr>
          <w:p>
            <w:pPr>
              <w:spacing w:after="0"/>
              <w:rPr>
                <w:sz w:val="14"/>
                <w:szCs w:val="14"/>
                <w:color w:val="auto"/>
              </w:rPr>
            </w:pPr>
          </w:p>
        </w:tc>
        <w:tc>
          <w:tcPr>
            <w:tcW w:w="140" w:type="dxa"/>
            <w:vAlign w:val="bottom"/>
          </w:tcPr>
          <w:p>
            <w:pPr>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1,831</w:t>
            </w:r>
          </w:p>
        </w:tc>
        <w:tc>
          <w:tcPr>
            <w:tcW w:w="940" w:type="dxa"/>
            <w:vAlign w:val="bottom"/>
            <w:gridSpan w:val="2"/>
          </w:tcPr>
          <w:p>
            <w:pPr>
              <w:jc w:val="right"/>
              <w:ind w:right="80"/>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42"/>
        </w:trPr>
        <w:tc>
          <w:tcPr>
            <w:tcW w:w="1280" w:type="dxa"/>
            <w:vAlign w:val="bottom"/>
          </w:tcPr>
          <w:p>
            <w:pPr>
              <w:spacing w:after="0" w:line="143" w:lineRule="exact"/>
              <w:rPr>
                <w:sz w:val="20"/>
                <w:szCs w:val="20"/>
                <w:color w:val="auto"/>
              </w:rPr>
            </w:pPr>
            <w:r>
              <w:rPr>
                <w:rFonts w:ascii="Arial" w:cs="Arial" w:eastAsia="Arial" w:hAnsi="Arial"/>
                <w:sz w:val="13"/>
                <w:szCs w:val="13"/>
                <w:color w:val="auto"/>
                <w:w w:val="98"/>
              </w:rPr>
              <w:t>Capital Expenditures -</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1280" w:type="dxa"/>
            <w:vAlign w:val="bottom"/>
          </w:tcPr>
          <w:p>
            <w:pPr>
              <w:spacing w:after="0" w:line="168" w:lineRule="exact"/>
              <w:rPr>
                <w:sz w:val="20"/>
                <w:szCs w:val="20"/>
                <w:color w:val="auto"/>
              </w:rPr>
            </w:pPr>
            <w:r>
              <w:rPr>
                <w:rFonts w:ascii="Arial" w:cs="Arial" w:eastAsia="Arial" w:hAnsi="Arial"/>
                <w:sz w:val="12"/>
                <w:szCs w:val="12"/>
                <w:color w:val="auto"/>
              </w:rPr>
              <w:t>TTM</w:t>
            </w:r>
            <w:r>
              <w:rPr>
                <w:rFonts w:ascii="Arial" w:cs="Arial" w:eastAsia="Arial" w:hAnsi="Arial"/>
                <w:sz w:val="19"/>
                <w:szCs w:val="19"/>
                <w:color w:val="auto"/>
                <w:vertAlign w:val="superscript"/>
              </w:rPr>
              <w:t>2</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155</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165</w:t>
            </w:r>
          </w:p>
        </w:tc>
        <w:tc>
          <w:tcPr>
            <w:tcW w:w="1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164</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166</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3"/>
                <w:szCs w:val="13"/>
                <w:color w:val="auto"/>
              </w:rPr>
              <w:t>131</w:t>
            </w:r>
          </w:p>
        </w:tc>
        <w:tc>
          <w:tcPr>
            <w:tcW w:w="940" w:type="dxa"/>
            <w:vAlign w:val="bottom"/>
            <w:gridSpan w:val="2"/>
          </w:tcPr>
          <w:p>
            <w:pPr>
              <w:ind w:left="620"/>
              <w:spacing w:after="0"/>
              <w:rPr>
                <w:sz w:val="20"/>
                <w:szCs w:val="20"/>
                <w:color w:val="auto"/>
              </w:rPr>
            </w:pPr>
            <w:r>
              <w:rPr>
                <w:rFonts w:ascii="Arial" w:cs="Arial" w:eastAsia="Arial" w:hAnsi="Arial"/>
                <w:sz w:val="13"/>
                <w:szCs w:val="13"/>
                <w:color w:val="auto"/>
              </w:rPr>
              <w:t>(15)</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118</w:t>
            </w:r>
          </w:p>
        </w:tc>
        <w:tc>
          <w:tcPr>
            <w:tcW w:w="1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115</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113</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3"/>
                <w:szCs w:val="13"/>
                <w:color w:val="auto"/>
              </w:rPr>
              <w:t>116</w:t>
            </w:r>
          </w:p>
        </w:tc>
        <w:tc>
          <w:tcPr>
            <w:tcW w:w="940" w:type="dxa"/>
            <w:vAlign w:val="bottom"/>
            <w:gridSpan w:val="2"/>
          </w:tcPr>
          <w:p>
            <w:pPr>
              <w:jc w:val="right"/>
              <w:ind w:right="40"/>
              <w:spacing w:after="0"/>
              <w:rPr>
                <w:sz w:val="20"/>
                <w:szCs w:val="20"/>
                <w:color w:val="auto"/>
              </w:rPr>
            </w:pPr>
            <w:r>
              <w:rPr>
                <w:rFonts w:ascii="Arial" w:cs="Arial" w:eastAsia="Arial" w:hAnsi="Arial"/>
                <w:sz w:val="13"/>
                <w:szCs w:val="13"/>
                <w:color w:val="auto"/>
              </w:rPr>
              <w:t>(11)</w:t>
            </w:r>
          </w:p>
        </w:tc>
        <w:tc>
          <w:tcPr>
            <w:tcW w:w="0" w:type="dxa"/>
            <w:vAlign w:val="bottom"/>
          </w:tcPr>
          <w:p>
            <w:pPr>
              <w:spacing w:after="0"/>
              <w:rPr>
                <w:sz w:val="1"/>
                <w:szCs w:val="1"/>
                <w:color w:val="auto"/>
              </w:rPr>
            </w:pPr>
          </w:p>
        </w:tc>
      </w:tr>
      <w:tr>
        <w:trPr>
          <w:trHeight w:val="115"/>
        </w:trPr>
        <w:tc>
          <w:tcPr>
            <w:tcW w:w="1280" w:type="dxa"/>
            <w:vAlign w:val="bottom"/>
          </w:tcPr>
          <w:p>
            <w:pPr>
              <w:spacing w:after="0" w:line="114" w:lineRule="exact"/>
              <w:rPr>
                <w:sz w:val="20"/>
                <w:szCs w:val="20"/>
                <w:color w:val="auto"/>
              </w:rPr>
            </w:pPr>
            <w:r>
              <w:rPr>
                <w:rFonts w:ascii="Arial" w:cs="Arial" w:eastAsia="Arial" w:hAnsi="Arial"/>
                <w:sz w:val="13"/>
                <w:szCs w:val="13"/>
                <w:color w:val="auto"/>
                <w:w w:val="97"/>
              </w:rPr>
              <w:t>Non-GAAP Free Cash</w:t>
            </w: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2"/>
        </w:trPr>
        <w:tc>
          <w:tcPr>
            <w:tcW w:w="1280" w:type="dxa"/>
            <w:vAlign w:val="bottom"/>
          </w:tcPr>
          <w:p>
            <w:pPr>
              <w:spacing w:after="0"/>
              <w:rPr>
                <w:sz w:val="20"/>
                <w:szCs w:val="20"/>
                <w:color w:val="auto"/>
              </w:rPr>
            </w:pPr>
            <w:r>
              <w:rPr>
                <w:rFonts w:ascii="Arial" w:cs="Arial" w:eastAsia="Arial" w:hAnsi="Arial"/>
                <w:sz w:val="13"/>
                <w:szCs w:val="13"/>
                <w:color w:val="auto"/>
              </w:rPr>
              <w:t>Flow - TTM</w:t>
            </w:r>
            <w:r>
              <w:rPr>
                <w:rFonts w:ascii="Arial" w:cs="Arial" w:eastAsia="Arial" w:hAnsi="Arial"/>
                <w:sz w:val="20"/>
                <w:szCs w:val="20"/>
                <w:color w:val="auto"/>
                <w:vertAlign w:val="superscript"/>
              </w:rPr>
              <w:t>2</w:t>
            </w:r>
          </w:p>
        </w:tc>
        <w:tc>
          <w:tcPr>
            <w:tcW w:w="260" w:type="dxa"/>
            <w:vAlign w:val="bottom"/>
            <w:gridSpan w:val="2"/>
          </w:tcPr>
          <w:p>
            <w:pPr>
              <w:ind w:left="120"/>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2,058</w:t>
            </w:r>
          </w:p>
        </w:tc>
        <w:tc>
          <w:tcPr>
            <w:tcW w:w="240" w:type="dxa"/>
            <w:vAlign w:val="bottom"/>
            <w:gridSpan w:val="2"/>
          </w:tcPr>
          <w:p>
            <w:pPr>
              <w:jc w:val="right"/>
              <w:ind w:right="17"/>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2,166</w:t>
            </w:r>
          </w:p>
        </w:tc>
        <w:tc>
          <w:tcPr>
            <w:tcW w:w="300" w:type="dxa"/>
            <w:vAlign w:val="bottom"/>
            <w:gridSpan w:val="3"/>
          </w:tcPr>
          <w:p>
            <w:pPr>
              <w:jc w:val="right"/>
              <w:ind w:right="20"/>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1,911</w:t>
            </w:r>
          </w:p>
        </w:tc>
        <w:tc>
          <w:tcPr>
            <w:tcW w:w="120" w:type="dxa"/>
            <w:vAlign w:val="bottom"/>
          </w:tcPr>
          <w:p>
            <w:pPr>
              <w:spacing w:after="0"/>
              <w:rPr>
                <w:sz w:val="23"/>
                <w:szCs w:val="23"/>
                <w:color w:val="auto"/>
              </w:rPr>
            </w:pPr>
          </w:p>
        </w:tc>
        <w:tc>
          <w:tcPr>
            <w:tcW w:w="160" w:type="dxa"/>
            <w:vAlign w:val="bottom"/>
          </w:tcPr>
          <w:p>
            <w:pPr>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1,783</w:t>
            </w:r>
          </w:p>
        </w:tc>
        <w:tc>
          <w:tcPr>
            <w:tcW w:w="260" w:type="dxa"/>
            <w:vAlign w:val="bottom"/>
            <w:gridSpan w:val="2"/>
          </w:tcPr>
          <w:p>
            <w:pPr>
              <w:ind w:left="10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1,659</w:t>
            </w:r>
          </w:p>
        </w:tc>
        <w:tc>
          <w:tcPr>
            <w:tcW w:w="940" w:type="dxa"/>
            <w:vAlign w:val="bottom"/>
            <w:gridSpan w:val="2"/>
          </w:tcPr>
          <w:p>
            <w:pPr>
              <w:ind w:left="620"/>
              <w:spacing w:after="0"/>
              <w:rPr>
                <w:sz w:val="20"/>
                <w:szCs w:val="20"/>
                <w:color w:val="auto"/>
              </w:rPr>
            </w:pPr>
            <w:r>
              <w:rPr>
                <w:rFonts w:ascii="Arial" w:cs="Arial" w:eastAsia="Arial" w:hAnsi="Arial"/>
                <w:sz w:val="13"/>
                <w:szCs w:val="13"/>
                <w:color w:val="auto"/>
                <w:w w:val="86"/>
              </w:rPr>
              <w:t>(19)%</w:t>
            </w:r>
          </w:p>
        </w:tc>
        <w:tc>
          <w:tcPr>
            <w:tcW w:w="100" w:type="dxa"/>
            <w:vAlign w:val="bottom"/>
          </w:tcPr>
          <w:p>
            <w:pPr>
              <w:spacing w:after="0"/>
              <w:rPr>
                <w:sz w:val="23"/>
                <w:szCs w:val="23"/>
                <w:color w:val="auto"/>
              </w:rPr>
            </w:pPr>
          </w:p>
        </w:tc>
        <w:tc>
          <w:tcPr>
            <w:tcW w:w="140" w:type="dxa"/>
            <w:vAlign w:val="bottom"/>
          </w:tcPr>
          <w:p>
            <w:pPr>
              <w:jc w:val="right"/>
              <w:ind w:right="30"/>
              <w:spacing w:after="0"/>
              <w:rPr>
                <w:sz w:val="20"/>
                <w:szCs w:val="20"/>
                <w:color w:val="auto"/>
              </w:rPr>
            </w:pPr>
            <w:r>
              <w:rPr>
                <w:rFonts w:ascii="Arial" w:cs="Arial" w:eastAsia="Arial" w:hAnsi="Arial"/>
                <w:sz w:val="9"/>
                <w:szCs w:val="9"/>
                <w:color w:val="auto"/>
                <w:w w:val="78"/>
              </w:rPr>
              <w:t>$</w:t>
            </w:r>
          </w:p>
        </w:tc>
        <w:tc>
          <w:tcPr>
            <w:tcW w:w="640" w:type="dxa"/>
            <w:vAlign w:val="bottom"/>
          </w:tcPr>
          <w:p>
            <w:pPr>
              <w:jc w:val="right"/>
              <w:ind w:right="57"/>
              <w:spacing w:after="0"/>
              <w:rPr>
                <w:sz w:val="20"/>
                <w:szCs w:val="20"/>
                <w:color w:val="auto"/>
              </w:rPr>
            </w:pPr>
            <w:r>
              <w:rPr>
                <w:rFonts w:ascii="Arial" w:cs="Arial" w:eastAsia="Arial" w:hAnsi="Arial"/>
                <w:sz w:val="13"/>
                <w:szCs w:val="13"/>
                <w:color w:val="auto"/>
              </w:rPr>
              <w:t>1,593</w:t>
            </w:r>
          </w:p>
        </w:tc>
        <w:tc>
          <w:tcPr>
            <w:tcW w:w="100" w:type="dxa"/>
            <w:vAlign w:val="bottom"/>
          </w:tcPr>
          <w:p>
            <w:pPr>
              <w:spacing w:after="0"/>
              <w:rPr>
                <w:sz w:val="23"/>
                <w:szCs w:val="23"/>
                <w:color w:val="auto"/>
              </w:rPr>
            </w:pP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1,741</w:t>
            </w:r>
          </w:p>
        </w:tc>
        <w:tc>
          <w:tcPr>
            <w:tcW w:w="100" w:type="dxa"/>
            <w:vAlign w:val="bottom"/>
          </w:tcPr>
          <w:p>
            <w:pPr>
              <w:spacing w:after="0"/>
              <w:rPr>
                <w:sz w:val="23"/>
                <w:szCs w:val="23"/>
                <w:color w:val="auto"/>
              </w:rPr>
            </w:pPr>
          </w:p>
        </w:tc>
        <w:tc>
          <w:tcPr>
            <w:tcW w:w="160" w:type="dxa"/>
            <w:vAlign w:val="bottom"/>
          </w:tcPr>
          <w:p>
            <w:pPr>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1,799</w:t>
            </w:r>
          </w:p>
        </w:tc>
        <w:tc>
          <w:tcPr>
            <w:tcW w:w="120" w:type="dxa"/>
            <w:vAlign w:val="bottom"/>
          </w:tcPr>
          <w:p>
            <w:pPr>
              <w:spacing w:after="0"/>
              <w:rPr>
                <w:sz w:val="23"/>
                <w:szCs w:val="23"/>
                <w:color w:val="auto"/>
              </w:rPr>
            </w:pPr>
          </w:p>
        </w:tc>
        <w:tc>
          <w:tcPr>
            <w:tcW w:w="140" w:type="dxa"/>
            <w:vAlign w:val="bottom"/>
          </w:tcPr>
          <w:p>
            <w:pPr>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1,715</w:t>
            </w:r>
          </w:p>
        </w:tc>
        <w:tc>
          <w:tcPr>
            <w:tcW w:w="940" w:type="dxa"/>
            <w:vAlign w:val="bottom"/>
            <w:gridSpan w:val="2"/>
          </w:tcPr>
          <w:p>
            <w:pPr>
              <w:jc w:val="right"/>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100" w:hanging="92"/>
        <w:spacing w:after="0"/>
        <w:tabs>
          <w:tab w:leader="none" w:pos="100" w:val="left"/>
        </w:tabs>
        <w:numPr>
          <w:ilvl w:val="0"/>
          <w:numId w:val="18"/>
        </w:numPr>
        <w:rPr>
          <w:rFonts w:ascii="Arial" w:cs="Arial" w:eastAsia="Arial" w:hAnsi="Arial"/>
          <w:sz w:val="21"/>
          <w:szCs w:val="21"/>
          <w:color w:val="auto"/>
          <w:vertAlign w:val="superscript"/>
        </w:rPr>
      </w:pPr>
      <w:r>
        <w:rPr>
          <w:rFonts w:ascii="Arial" w:cs="Arial" w:eastAsia="Arial" w:hAnsi="Arial"/>
          <w:sz w:val="13"/>
          <w:szCs w:val="13"/>
          <w:color w:val="auto"/>
        </w:rPr>
        <w:t>Non-GAAP free cash flow represents operating cash flow minus capital expenditures.</w:t>
      </w:r>
    </w:p>
    <w:p>
      <w:pPr>
        <w:spacing w:after="0" w:line="25" w:lineRule="exact"/>
        <w:rPr>
          <w:sz w:val="20"/>
          <w:szCs w:val="20"/>
          <w:color w:val="auto"/>
        </w:rPr>
      </w:pPr>
    </w:p>
    <w:p>
      <w:pPr>
        <w:ind w:right="60" w:firstLine="8"/>
        <w:spacing w:after="0" w:line="204" w:lineRule="auto"/>
        <w:tabs>
          <w:tab w:leader="none" w:pos="84" w:val="left"/>
        </w:tabs>
        <w:numPr>
          <w:ilvl w:val="0"/>
          <w:numId w:val="19"/>
        </w:numPr>
        <w:rPr>
          <w:rFonts w:ascii="Arial" w:cs="Arial" w:eastAsia="Arial" w:hAnsi="Arial"/>
          <w:sz w:val="20"/>
          <w:szCs w:val="20"/>
          <w:color w:val="auto"/>
          <w:vertAlign w:val="superscript"/>
        </w:rPr>
      </w:pPr>
      <w:r>
        <w:rPr>
          <w:rFonts w:ascii="Arial" w:cs="Arial" w:eastAsia="Arial" w:hAnsi="Arial"/>
          <w:sz w:val="12"/>
          <w:szCs w:val="12"/>
          <w:color w:val="auto"/>
        </w:rPr>
        <w:t>TTM represents trailing twelve months. Operating Cash Flow for the three months ended March 31, 2017, three months ended June 30, 2017, and three months ended September 30, 2017 was $411 million, $265 million, and $379 million, respectively. Capital Expenditures for the three months ended March 31, 2017, three months ended June 30, 2017, and three months ended September 30, 2017, was $21 million, $31 million, and $34 million,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370840</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3" w:name="page14"/>
    <w:bookmarkEnd w:id="13"/>
    <w:p>
      <w:pPr>
        <w:jc w:val="right"/>
        <w:spacing w:after="0"/>
        <w:rPr>
          <w:sz w:val="20"/>
          <w:szCs w:val="20"/>
          <w:color w:val="auto"/>
        </w:rPr>
      </w:pPr>
      <w:r>
        <w:rPr>
          <w:rFonts w:ascii="Arial" w:cs="Arial" w:eastAsia="Arial" w:hAnsi="Arial"/>
          <w:sz w:val="18"/>
          <w:szCs w:val="18"/>
          <w:b w:val="1"/>
          <w:bCs w:val="1"/>
          <w:color w:val="auto"/>
        </w:rPr>
        <w:t>5</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ACTIVISION BLIZZARD, INC. AND SUBSIDIARIES</w:t>
      </w:r>
    </w:p>
    <w:p>
      <w:pPr>
        <w:spacing w:after="0" w:line="27" w:lineRule="exact"/>
        <w:rPr>
          <w:sz w:val="20"/>
          <w:szCs w:val="20"/>
          <w:color w:val="auto"/>
        </w:rPr>
      </w:pPr>
    </w:p>
    <w:p>
      <w:pPr>
        <w:ind w:right="5360"/>
        <w:spacing w:after="0" w:line="261" w:lineRule="auto"/>
        <w:rPr>
          <w:sz w:val="20"/>
          <w:szCs w:val="20"/>
          <w:color w:val="auto"/>
        </w:rPr>
      </w:pPr>
      <w:r>
        <w:rPr>
          <w:rFonts w:ascii="Arial" w:cs="Arial" w:eastAsia="Arial" w:hAnsi="Arial"/>
          <w:sz w:val="18"/>
          <w:szCs w:val="18"/>
          <w:b w:val="1"/>
          <w:bCs w:val="1"/>
          <w:color w:val="auto"/>
        </w:rPr>
        <w:t>RECONCILIATION OF GAAP NET INCOME TO NON-GAAP MEASURES (Amounts in millions, except per share data)</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center"/>
              <w:ind w:right="37"/>
              <w:spacing w:after="0"/>
              <w:rPr>
                <w:sz w:val="20"/>
                <w:szCs w:val="20"/>
                <w:color w:val="auto"/>
              </w:rPr>
            </w:pPr>
            <w:r>
              <w:rPr>
                <w:rFonts w:ascii="Arial" w:cs="Arial" w:eastAsia="Arial" w:hAnsi="Arial"/>
                <w:sz w:val="13"/>
                <w:szCs w:val="13"/>
                <w:b w:val="1"/>
                <w:bCs w:val="1"/>
                <w:color w:val="auto"/>
                <w:w w:val="84"/>
              </w:rPr>
              <w:t>Cost of</w:t>
            </w: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4"/>
              </w:rPr>
              <w:t>Cost of</w:t>
            </w:r>
          </w:p>
        </w:tc>
        <w:tc>
          <w:tcPr>
            <w:tcW w:w="120" w:type="dxa"/>
            <w:vAlign w:val="bottom"/>
          </w:tcPr>
          <w:p>
            <w:pPr>
              <w:spacing w:after="0"/>
              <w:rPr>
                <w:sz w:val="11"/>
                <w:szCs w:val="11"/>
                <w:color w:val="auto"/>
              </w:rPr>
            </w:pPr>
          </w:p>
        </w:tc>
        <w:tc>
          <w:tcPr>
            <w:tcW w:w="800" w:type="dxa"/>
            <w:vAlign w:val="bottom"/>
          </w:tcPr>
          <w:p>
            <w:pPr>
              <w:jc w:val="center"/>
              <w:ind w:right="17"/>
              <w:spacing w:after="0" w:line="135" w:lineRule="exact"/>
              <w:rPr>
                <w:sz w:val="20"/>
                <w:szCs w:val="20"/>
                <w:color w:val="auto"/>
              </w:rPr>
            </w:pPr>
            <w:r>
              <w:rPr>
                <w:rFonts w:ascii="Arial" w:cs="Arial" w:eastAsia="Arial" w:hAnsi="Arial"/>
                <w:sz w:val="13"/>
                <w:szCs w:val="13"/>
                <w:b w:val="1"/>
                <w:bCs w:val="1"/>
                <w:color w:val="auto"/>
                <w:w w:val="85"/>
              </w:rPr>
              <w:t>Revenues—</w:t>
            </w:r>
          </w:p>
        </w:tc>
        <w:tc>
          <w:tcPr>
            <w:tcW w:w="80" w:type="dxa"/>
            <w:vAlign w:val="bottom"/>
          </w:tcPr>
          <w:p>
            <w:pPr>
              <w:spacing w:after="0"/>
              <w:rPr>
                <w:sz w:val="11"/>
                <w:szCs w:val="11"/>
                <w:color w:val="auto"/>
              </w:rPr>
            </w:pPr>
          </w:p>
        </w:tc>
        <w:tc>
          <w:tcPr>
            <w:tcW w:w="8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4"/>
              </w:rPr>
              <w:t>Cost of</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5"/>
              </w:rPr>
              <w:t>Revenues—</w:t>
            </w:r>
          </w:p>
        </w:tc>
        <w:tc>
          <w:tcPr>
            <w:tcW w:w="92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0"/>
              </w:rPr>
              <w:t>Subs/Lic/Other:</w:t>
            </w:r>
          </w:p>
        </w:tc>
        <w:tc>
          <w:tcPr>
            <w:tcW w:w="80" w:type="dxa"/>
            <w:vAlign w:val="bottom"/>
          </w:tcPr>
          <w:p>
            <w:pPr>
              <w:spacing w:after="0"/>
              <w:rPr>
                <w:sz w:val="11"/>
                <w:szCs w:val="11"/>
                <w:color w:val="auto"/>
              </w:rPr>
            </w:pPr>
          </w:p>
        </w:tc>
        <w:tc>
          <w:tcPr>
            <w:tcW w:w="8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3"/>
              </w:rPr>
              <w:t>Revenues—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0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85"/>
              </w:rPr>
              <w:t>Product Sales:</w:t>
            </w:r>
          </w:p>
        </w:tc>
        <w:tc>
          <w:tcPr>
            <w:tcW w:w="120" w:type="dxa"/>
            <w:vAlign w:val="bottom"/>
          </w:tcPr>
          <w:p>
            <w:pPr>
              <w:spacing w:after="0"/>
              <w:rPr>
                <w:sz w:val="11"/>
                <w:szCs w:val="11"/>
                <w:color w:val="auto"/>
              </w:rPr>
            </w:pPr>
          </w:p>
        </w:tc>
        <w:tc>
          <w:tcPr>
            <w:tcW w:w="800" w:type="dxa"/>
            <w:vAlign w:val="bottom"/>
          </w:tcPr>
          <w:p>
            <w:pPr>
              <w:jc w:val="center"/>
              <w:ind w:right="17"/>
              <w:spacing w:after="0" w:line="135" w:lineRule="exact"/>
              <w:rPr>
                <w:sz w:val="20"/>
                <w:szCs w:val="20"/>
                <w:color w:val="auto"/>
              </w:rPr>
            </w:pPr>
            <w:r>
              <w:rPr>
                <w:rFonts w:ascii="Arial" w:cs="Arial" w:eastAsia="Arial" w:hAnsi="Arial"/>
                <w:sz w:val="13"/>
                <w:szCs w:val="13"/>
                <w:b w:val="1"/>
                <w:bCs w:val="1"/>
                <w:color w:val="auto"/>
                <w:w w:val="88"/>
              </w:rPr>
              <w:t>Game</w:t>
            </w:r>
          </w:p>
        </w:tc>
        <w:tc>
          <w:tcPr>
            <w:tcW w:w="92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88"/>
              </w:rPr>
              <w:t>Subs/Lic/Other: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20" w:type="dxa"/>
            <w:vAlign w:val="bottom"/>
            <w:gridSpan w:val="3"/>
          </w:tcPr>
          <w:p>
            <w:pPr>
              <w:ind w:left="20"/>
              <w:spacing w:after="0" w:line="135" w:lineRule="exact"/>
              <w:rPr>
                <w:sz w:val="20"/>
                <w:szCs w:val="20"/>
                <w:color w:val="auto"/>
              </w:rPr>
            </w:pPr>
            <w:r>
              <w:rPr>
                <w:rFonts w:ascii="Arial" w:cs="Arial" w:eastAsia="Arial" w:hAnsi="Arial"/>
                <w:sz w:val="13"/>
                <w:szCs w:val="13"/>
                <w:b w:val="1"/>
                <w:bCs w:val="1"/>
                <w:color w:val="auto"/>
                <w:w w:val="87"/>
              </w:rPr>
              <w:t>Cost of Revenues—</w:t>
            </w:r>
          </w:p>
        </w:tc>
        <w:tc>
          <w:tcPr>
            <w:tcW w:w="8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Software</w:t>
            </w:r>
          </w:p>
        </w:tc>
        <w:tc>
          <w:tcPr>
            <w:tcW w:w="92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88"/>
              </w:rPr>
              <w:t>Operations and</w:t>
            </w:r>
          </w:p>
        </w:tc>
        <w:tc>
          <w:tcPr>
            <w:tcW w:w="80" w:type="dxa"/>
            <w:vAlign w:val="bottom"/>
          </w:tcPr>
          <w:p>
            <w:pPr>
              <w:spacing w:after="0"/>
              <w:rPr>
                <w:sz w:val="11"/>
                <w:szCs w:val="11"/>
                <w:color w:val="auto"/>
              </w:rPr>
            </w:pPr>
          </w:p>
        </w:tc>
        <w:tc>
          <w:tcPr>
            <w:tcW w:w="840" w:type="dxa"/>
            <w:vAlign w:val="bottom"/>
          </w:tcPr>
          <w:p>
            <w:pPr>
              <w:jc w:val="center"/>
              <w:ind w:right="17"/>
              <w:spacing w:after="0" w:line="135" w:lineRule="exact"/>
              <w:rPr>
                <w:sz w:val="20"/>
                <w:szCs w:val="20"/>
                <w:color w:val="auto"/>
              </w:rPr>
            </w:pPr>
            <w:r>
              <w:rPr>
                <w:rFonts w:ascii="Arial" w:cs="Arial" w:eastAsia="Arial" w:hAnsi="Arial"/>
                <w:sz w:val="13"/>
                <w:szCs w:val="13"/>
                <w:b w:val="1"/>
                <w:bCs w:val="1"/>
                <w:color w:val="auto"/>
                <w:w w:val="87"/>
              </w:rPr>
              <w:t>Software</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Restructuring</w:t>
            </w: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3"/>
              </w:rPr>
              <w:t>Product Sales:</w:t>
            </w:r>
          </w:p>
        </w:tc>
        <w:tc>
          <w:tcPr>
            <w:tcW w:w="100" w:type="dxa"/>
            <w:vAlign w:val="bottom"/>
          </w:tcPr>
          <w:p>
            <w:pPr>
              <w:spacing w:after="0"/>
              <w:rPr>
                <w:sz w:val="11"/>
                <w:szCs w:val="11"/>
                <w:color w:val="auto"/>
              </w:rPr>
            </w:pPr>
          </w:p>
        </w:tc>
        <w:tc>
          <w:tcPr>
            <w:tcW w:w="8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5"/>
              </w:rPr>
              <w:t>Royalties and</w:t>
            </w:r>
          </w:p>
        </w:tc>
        <w:tc>
          <w:tcPr>
            <w:tcW w:w="120" w:type="dxa"/>
            <w:vAlign w:val="bottom"/>
          </w:tcPr>
          <w:p>
            <w:pPr>
              <w:spacing w:after="0"/>
              <w:rPr>
                <w:sz w:val="11"/>
                <w:szCs w:val="11"/>
                <w:color w:val="auto"/>
              </w:rPr>
            </w:pPr>
          </w:p>
        </w:tc>
        <w:tc>
          <w:tcPr>
            <w:tcW w:w="800" w:type="dxa"/>
            <w:vAlign w:val="bottom"/>
          </w:tcPr>
          <w:p>
            <w:pPr>
              <w:jc w:val="center"/>
              <w:ind w:right="37"/>
              <w:spacing w:after="0" w:line="135" w:lineRule="exact"/>
              <w:rPr>
                <w:sz w:val="20"/>
                <w:szCs w:val="20"/>
                <w:color w:val="auto"/>
              </w:rPr>
            </w:pPr>
            <w:r>
              <w:rPr>
                <w:rFonts w:ascii="Arial" w:cs="Arial" w:eastAsia="Arial" w:hAnsi="Arial"/>
                <w:sz w:val="13"/>
                <w:szCs w:val="13"/>
                <w:b w:val="1"/>
                <w:bCs w:val="1"/>
                <w:color w:val="auto"/>
                <w:w w:val="90"/>
              </w:rPr>
              <w:t>Distribution</w:t>
            </w:r>
          </w:p>
        </w:tc>
        <w:tc>
          <w:tcPr>
            <w:tcW w:w="80" w:type="dxa"/>
            <w:vAlign w:val="bottom"/>
          </w:tcPr>
          <w:p>
            <w:pPr>
              <w:spacing w:after="0"/>
              <w:rPr>
                <w:sz w:val="11"/>
                <w:szCs w:val="11"/>
                <w:color w:val="auto"/>
              </w:rPr>
            </w:pPr>
          </w:p>
        </w:tc>
        <w:tc>
          <w:tcPr>
            <w:tcW w:w="8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Royalties and</w:t>
            </w:r>
          </w:p>
        </w:tc>
        <w:tc>
          <w:tcPr>
            <w:tcW w:w="80" w:type="dxa"/>
            <w:vAlign w:val="bottom"/>
          </w:tcPr>
          <w:p>
            <w:pPr>
              <w:spacing w:after="0"/>
              <w:rPr>
                <w:sz w:val="11"/>
                <w:szCs w:val="11"/>
                <w:color w:val="auto"/>
              </w:rPr>
            </w:pPr>
          </w:p>
        </w:tc>
        <w:tc>
          <w:tcPr>
            <w:tcW w:w="760" w:type="dxa"/>
            <w:vAlign w:val="bottom"/>
          </w:tcPr>
          <w:p>
            <w:pPr>
              <w:jc w:val="right"/>
              <w:ind w:right="117"/>
              <w:spacing w:after="0" w:line="135" w:lineRule="exact"/>
              <w:rPr>
                <w:sz w:val="20"/>
                <w:szCs w:val="20"/>
                <w:color w:val="auto"/>
              </w:rPr>
            </w:pPr>
            <w:r>
              <w:rPr>
                <w:rFonts w:ascii="Arial" w:cs="Arial" w:eastAsia="Arial" w:hAnsi="Arial"/>
                <w:sz w:val="13"/>
                <w:szCs w:val="13"/>
                <w:b w:val="1"/>
                <w:bCs w:val="1"/>
                <w:color w:val="auto"/>
              </w:rPr>
              <w:t>Product</w:t>
            </w:r>
          </w:p>
        </w:tc>
        <w:tc>
          <w:tcPr>
            <w:tcW w:w="140" w:type="dxa"/>
            <w:vAlign w:val="bottom"/>
          </w:tcPr>
          <w:p>
            <w:pPr>
              <w:spacing w:after="0"/>
              <w:rPr>
                <w:sz w:val="11"/>
                <w:szCs w:val="11"/>
                <w:color w:val="auto"/>
              </w:rPr>
            </w:pPr>
          </w:p>
        </w:tc>
        <w:tc>
          <w:tcPr>
            <w:tcW w:w="720" w:type="dxa"/>
            <w:vAlign w:val="bottom"/>
          </w:tcPr>
          <w:p>
            <w:pPr>
              <w:jc w:val="right"/>
              <w:ind w:right="77"/>
              <w:spacing w:after="0" w:line="135" w:lineRule="exact"/>
              <w:rPr>
                <w:sz w:val="20"/>
                <w:szCs w:val="20"/>
                <w:color w:val="auto"/>
              </w:rPr>
            </w:pPr>
            <w:r>
              <w:rPr>
                <w:rFonts w:ascii="Arial" w:cs="Arial" w:eastAsia="Arial" w:hAnsi="Arial"/>
                <w:sz w:val="13"/>
                <w:szCs w:val="13"/>
                <w:b w:val="1"/>
                <w:bCs w:val="1"/>
                <w:color w:val="auto"/>
                <w:w w:val="92"/>
              </w:rPr>
              <w:t>Sales and</w:t>
            </w:r>
          </w:p>
        </w:tc>
        <w:tc>
          <w:tcPr>
            <w:tcW w:w="120" w:type="dxa"/>
            <w:vAlign w:val="bottom"/>
          </w:tcPr>
          <w:p>
            <w:pPr>
              <w:spacing w:after="0"/>
              <w:rPr>
                <w:sz w:val="11"/>
                <w:szCs w:val="11"/>
                <w:color w:val="auto"/>
              </w:rPr>
            </w:pPr>
          </w:p>
        </w:tc>
        <w:tc>
          <w:tcPr>
            <w:tcW w:w="880" w:type="dxa"/>
            <w:vAlign w:val="bottom"/>
          </w:tcPr>
          <w:p>
            <w:pPr>
              <w:jc w:val="right"/>
              <w:ind w:right="57"/>
              <w:spacing w:after="0" w:line="135" w:lineRule="exact"/>
              <w:rPr>
                <w:sz w:val="20"/>
                <w:szCs w:val="20"/>
                <w:color w:val="auto"/>
              </w:rPr>
            </w:pPr>
            <w:r>
              <w:rPr>
                <w:rFonts w:ascii="Arial" w:cs="Arial" w:eastAsia="Arial" w:hAnsi="Arial"/>
                <w:sz w:val="13"/>
                <w:szCs w:val="13"/>
                <w:b w:val="1"/>
                <w:bCs w:val="1"/>
                <w:color w:val="auto"/>
                <w:w w:val="98"/>
              </w:rPr>
              <w:t>General and</w:t>
            </w:r>
          </w:p>
        </w:tc>
        <w:tc>
          <w:tcPr>
            <w:tcW w:w="100" w:type="dxa"/>
            <w:vAlign w:val="bottom"/>
          </w:tcPr>
          <w:p>
            <w:pPr>
              <w:spacing w:after="0"/>
              <w:rPr>
                <w:sz w:val="11"/>
                <w:szCs w:val="11"/>
                <w:color w:val="auto"/>
              </w:rPr>
            </w:pPr>
          </w:p>
        </w:tc>
        <w:tc>
          <w:tcPr>
            <w:tcW w:w="8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6"/>
              </w:rPr>
              <w:t>and related</w:t>
            </w:r>
          </w:p>
        </w:tc>
        <w:tc>
          <w:tcPr>
            <w:tcW w:w="100" w:type="dxa"/>
            <w:vAlign w:val="bottom"/>
          </w:tcPr>
          <w:p>
            <w:pPr>
              <w:spacing w:after="0"/>
              <w:rPr>
                <w:sz w:val="11"/>
                <w:szCs w:val="11"/>
                <w:color w:val="auto"/>
              </w:rPr>
            </w:pPr>
          </w:p>
        </w:tc>
        <w:tc>
          <w:tcPr>
            <w:tcW w:w="940" w:type="dxa"/>
            <w:vAlign w:val="bottom"/>
          </w:tcPr>
          <w:p>
            <w:pPr>
              <w:jc w:val="right"/>
              <w:ind w:right="37"/>
              <w:spacing w:after="0" w:line="135" w:lineRule="exact"/>
              <w:rPr>
                <w:sz w:val="20"/>
                <w:szCs w:val="20"/>
                <w:color w:val="auto"/>
              </w:rPr>
            </w:pPr>
            <w:r>
              <w:rPr>
                <w:rFonts w:ascii="Arial" w:cs="Arial" w:eastAsia="Arial" w:hAnsi="Arial"/>
                <w:sz w:val="13"/>
                <w:szCs w:val="13"/>
                <w:b w:val="1"/>
                <w:bCs w:val="1"/>
                <w:color w:val="auto"/>
                <w:w w:val="84"/>
              </w:rPr>
              <w:t>Total Costs and</w:t>
            </w:r>
          </w:p>
        </w:tc>
        <w:tc>
          <w:tcPr>
            <w:tcW w:w="0" w:type="dxa"/>
            <w:vAlign w:val="bottom"/>
          </w:tcPr>
          <w:p>
            <w:pPr>
              <w:spacing w:after="0"/>
              <w:rPr>
                <w:sz w:val="1"/>
                <w:szCs w:val="1"/>
                <w:color w:val="auto"/>
              </w:rPr>
            </w:pPr>
          </w:p>
        </w:tc>
      </w:tr>
      <w:tr>
        <w:trPr>
          <w:trHeight w:val="153"/>
        </w:trPr>
        <w:tc>
          <w:tcPr>
            <w:tcW w:w="3020" w:type="dxa"/>
            <w:vAlign w:val="bottom"/>
            <w:tcBorders>
              <w:bottom w:val="single" w:sz="8" w:color="auto"/>
            </w:tcBorders>
            <w:gridSpan w:val="3"/>
          </w:tcPr>
          <w:p>
            <w:pPr>
              <w:spacing w:after="0"/>
              <w:rPr>
                <w:sz w:val="20"/>
                <w:szCs w:val="20"/>
                <w:color w:val="auto"/>
              </w:rPr>
            </w:pPr>
            <w:r>
              <w:rPr>
                <w:rFonts w:ascii="Arial" w:cs="Arial" w:eastAsia="Arial" w:hAnsi="Arial"/>
                <w:sz w:val="13"/>
                <w:szCs w:val="13"/>
                <w:b w:val="1"/>
                <w:bCs w:val="1"/>
                <w:color w:val="auto"/>
                <w:w w:val="88"/>
              </w:rPr>
              <w:t>Three Months Ended December 31, 2019 Net Revenues</w:t>
            </w:r>
          </w:p>
        </w:tc>
        <w:tc>
          <w:tcPr>
            <w:tcW w:w="1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Product Costs</w:t>
            </w:r>
          </w:p>
        </w:tc>
        <w:tc>
          <w:tcPr>
            <w:tcW w:w="1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Amortization</w:t>
            </w:r>
          </w:p>
        </w:tc>
        <w:tc>
          <w:tcPr>
            <w:tcW w:w="1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center"/>
              <w:ind w:right="37"/>
              <w:spacing w:after="0"/>
              <w:rPr>
                <w:sz w:val="20"/>
                <w:szCs w:val="20"/>
                <w:color w:val="auto"/>
              </w:rPr>
            </w:pPr>
            <w:r>
              <w:rPr>
                <w:rFonts w:ascii="Arial" w:cs="Arial" w:eastAsia="Arial" w:hAnsi="Arial"/>
                <w:sz w:val="13"/>
                <w:szCs w:val="13"/>
                <w:b w:val="1"/>
                <w:bCs w:val="1"/>
                <w:color w:val="auto"/>
                <w:w w:val="82"/>
              </w:rPr>
              <w:t>Costs</w:t>
            </w:r>
          </w:p>
        </w:tc>
        <w:tc>
          <w:tcPr>
            <w:tcW w:w="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center"/>
              <w:ind w:right="17"/>
              <w:spacing w:after="0"/>
              <w:rPr>
                <w:sz w:val="20"/>
                <w:szCs w:val="20"/>
                <w:color w:val="auto"/>
              </w:rPr>
            </w:pPr>
            <w:r>
              <w:rPr>
                <w:rFonts w:ascii="Arial" w:cs="Arial" w:eastAsia="Arial" w:hAnsi="Arial"/>
                <w:sz w:val="13"/>
                <w:szCs w:val="13"/>
                <w:b w:val="1"/>
                <w:bCs w:val="1"/>
                <w:color w:val="auto"/>
                <w:w w:val="90"/>
              </w:rPr>
              <w:t>Amortization</w:t>
            </w:r>
          </w:p>
        </w:tc>
        <w:tc>
          <w:tcPr>
            <w:tcW w:w="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5"/>
              </w:rPr>
              <w:t>Development</w:t>
            </w:r>
          </w:p>
        </w:tc>
        <w:tc>
          <w:tcPr>
            <w:tcW w:w="1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w w:val="97"/>
              </w:rPr>
              <w:t>Marketing</w:t>
            </w:r>
          </w:p>
        </w:tc>
        <w:tc>
          <w:tcPr>
            <w:tcW w:w="1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8"/>
              </w:rPr>
              <w:t>Administrative</w:t>
            </w:r>
          </w:p>
        </w:tc>
        <w:tc>
          <w:tcPr>
            <w:tcW w:w="1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76"/>
              </w:rPr>
              <w:t>costs</w:t>
            </w:r>
          </w:p>
        </w:tc>
        <w:tc>
          <w:tcPr>
            <w:tcW w:w="1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auto"/>
              </w:rPr>
              <w:t>Expenses</w:t>
            </w:r>
          </w:p>
        </w:tc>
        <w:tc>
          <w:tcPr>
            <w:tcW w:w="0" w:type="dxa"/>
            <w:vAlign w:val="bottom"/>
          </w:tcPr>
          <w:p>
            <w:pPr>
              <w:spacing w:after="0"/>
              <w:rPr>
                <w:sz w:val="1"/>
                <w:szCs w:val="1"/>
                <w:color w:val="auto"/>
              </w:rPr>
            </w:pPr>
          </w:p>
        </w:tc>
      </w:tr>
      <w:tr>
        <w:trPr>
          <w:trHeight w:val="122"/>
        </w:trPr>
        <w:tc>
          <w:tcPr>
            <w:tcW w:w="2200" w:type="dxa"/>
            <w:vAlign w:val="bottom"/>
          </w:tcPr>
          <w:p>
            <w:pPr>
              <w:spacing w:after="0" w:line="122" w:lineRule="exact"/>
              <w:rPr>
                <w:sz w:val="20"/>
                <w:szCs w:val="20"/>
                <w:color w:val="auto"/>
              </w:rPr>
            </w:pPr>
            <w:r>
              <w:rPr>
                <w:rFonts w:ascii="Arial" w:cs="Arial" w:eastAsia="Arial" w:hAnsi="Arial"/>
                <w:sz w:val="13"/>
                <w:szCs w:val="13"/>
                <w:color w:val="auto"/>
              </w:rPr>
              <w:t>GAAP Measurement</w:t>
            </w:r>
          </w:p>
        </w:tc>
        <w:tc>
          <w:tcPr>
            <w:tcW w:w="120" w:type="dxa"/>
            <w:vAlign w:val="bottom"/>
          </w:tcPr>
          <w:p>
            <w:pPr>
              <w:jc w:val="right"/>
              <w:spacing w:after="0" w:line="122" w:lineRule="exact"/>
              <w:rPr>
                <w:sz w:val="20"/>
                <w:szCs w:val="20"/>
                <w:color w:val="auto"/>
              </w:rPr>
            </w:pPr>
            <w:r>
              <w:rPr>
                <w:rFonts w:ascii="Arial" w:cs="Arial" w:eastAsia="Arial" w:hAnsi="Arial"/>
                <w:sz w:val="13"/>
                <w:szCs w:val="13"/>
                <w:color w:val="auto"/>
                <w:w w:val="82"/>
              </w:rPr>
              <w:t>$</w:t>
            </w:r>
          </w:p>
        </w:tc>
        <w:tc>
          <w:tcPr>
            <w:tcW w:w="700" w:type="dxa"/>
            <w:vAlign w:val="bottom"/>
          </w:tcPr>
          <w:p>
            <w:pPr>
              <w:jc w:val="right"/>
              <w:ind w:right="17"/>
              <w:spacing w:after="0" w:line="122" w:lineRule="exact"/>
              <w:rPr>
                <w:sz w:val="20"/>
                <w:szCs w:val="20"/>
                <w:color w:val="auto"/>
              </w:rPr>
            </w:pPr>
            <w:r>
              <w:rPr>
                <w:rFonts w:ascii="Arial" w:cs="Arial" w:eastAsia="Arial" w:hAnsi="Arial"/>
                <w:sz w:val="13"/>
                <w:szCs w:val="13"/>
                <w:color w:val="auto"/>
              </w:rPr>
              <w:t>1,986</w:t>
            </w:r>
          </w:p>
        </w:tc>
        <w:tc>
          <w:tcPr>
            <w:tcW w:w="120" w:type="dxa"/>
            <w:vAlign w:val="bottom"/>
          </w:tcPr>
          <w:p>
            <w:pPr>
              <w:ind w:left="20"/>
              <w:spacing w:after="0" w:line="122" w:lineRule="exact"/>
              <w:rPr>
                <w:sz w:val="20"/>
                <w:szCs w:val="20"/>
                <w:color w:val="auto"/>
              </w:rPr>
            </w:pPr>
            <w:r>
              <w:rPr>
                <w:rFonts w:ascii="Arial" w:cs="Arial" w:eastAsia="Arial" w:hAnsi="Arial"/>
                <w:sz w:val="13"/>
                <w:szCs w:val="13"/>
                <w:color w:val="auto"/>
              </w:rPr>
              <w:t>$</w:t>
            </w:r>
          </w:p>
        </w:tc>
        <w:tc>
          <w:tcPr>
            <w:tcW w:w="900" w:type="dxa"/>
            <w:vAlign w:val="bottom"/>
          </w:tcPr>
          <w:p>
            <w:pPr>
              <w:jc w:val="right"/>
              <w:ind w:right="17"/>
              <w:spacing w:after="0" w:line="122" w:lineRule="exact"/>
              <w:rPr>
                <w:sz w:val="20"/>
                <w:szCs w:val="20"/>
                <w:color w:val="auto"/>
              </w:rPr>
            </w:pPr>
            <w:r>
              <w:rPr>
                <w:rFonts w:ascii="Arial" w:cs="Arial" w:eastAsia="Arial" w:hAnsi="Arial"/>
                <w:sz w:val="13"/>
                <w:szCs w:val="13"/>
                <w:color w:val="auto"/>
              </w:rPr>
              <w:t>268</w:t>
            </w:r>
          </w:p>
        </w:tc>
        <w:tc>
          <w:tcPr>
            <w:tcW w:w="100" w:type="dxa"/>
            <w:vAlign w:val="bottom"/>
          </w:tcPr>
          <w:p>
            <w:pPr>
              <w:ind w:left="40"/>
              <w:spacing w:after="0"/>
              <w:rPr>
                <w:sz w:val="20"/>
                <w:szCs w:val="20"/>
                <w:color w:val="auto"/>
              </w:rPr>
            </w:pPr>
            <w:r>
              <w:rPr>
                <w:rFonts w:ascii="Arial" w:cs="Arial" w:eastAsia="Arial" w:hAnsi="Arial"/>
                <w:sz w:val="9"/>
                <w:szCs w:val="9"/>
                <w:color w:val="auto"/>
                <w:w w:val="78"/>
              </w:rPr>
              <w:t>$</w:t>
            </w:r>
          </w:p>
        </w:tc>
        <w:tc>
          <w:tcPr>
            <w:tcW w:w="800" w:type="dxa"/>
            <w:vAlign w:val="bottom"/>
          </w:tcPr>
          <w:p>
            <w:pPr>
              <w:jc w:val="right"/>
              <w:ind w:right="17"/>
              <w:spacing w:after="0" w:line="122" w:lineRule="exact"/>
              <w:rPr>
                <w:sz w:val="20"/>
                <w:szCs w:val="20"/>
                <w:color w:val="auto"/>
              </w:rPr>
            </w:pPr>
            <w:r>
              <w:rPr>
                <w:rFonts w:ascii="Arial" w:cs="Arial" w:eastAsia="Arial" w:hAnsi="Arial"/>
                <w:sz w:val="13"/>
                <w:szCs w:val="13"/>
                <w:color w:val="auto"/>
              </w:rPr>
              <w:t>69</w:t>
            </w:r>
          </w:p>
        </w:tc>
        <w:tc>
          <w:tcPr>
            <w:tcW w:w="120" w:type="dxa"/>
            <w:vAlign w:val="bottom"/>
          </w:tcPr>
          <w:p>
            <w:pPr>
              <w:jc w:val="right"/>
              <w:spacing w:after="0" w:line="122" w:lineRule="exact"/>
              <w:rPr>
                <w:sz w:val="20"/>
                <w:szCs w:val="20"/>
                <w:color w:val="auto"/>
              </w:rPr>
            </w:pPr>
            <w:r>
              <w:rPr>
                <w:rFonts w:ascii="Arial" w:cs="Arial" w:eastAsia="Arial" w:hAnsi="Arial"/>
                <w:sz w:val="13"/>
                <w:szCs w:val="13"/>
                <w:color w:val="auto"/>
                <w:w w:val="82"/>
              </w:rPr>
              <w:t>$</w:t>
            </w:r>
          </w:p>
        </w:tc>
        <w:tc>
          <w:tcPr>
            <w:tcW w:w="800" w:type="dxa"/>
            <w:vAlign w:val="bottom"/>
          </w:tcPr>
          <w:p>
            <w:pPr>
              <w:jc w:val="right"/>
              <w:ind w:right="37"/>
              <w:spacing w:after="0" w:line="122" w:lineRule="exact"/>
              <w:rPr>
                <w:sz w:val="20"/>
                <w:szCs w:val="20"/>
                <w:color w:val="auto"/>
              </w:rPr>
            </w:pPr>
            <w:r>
              <w:rPr>
                <w:rFonts w:ascii="Arial" w:cs="Arial" w:eastAsia="Arial" w:hAnsi="Arial"/>
                <w:sz w:val="13"/>
                <w:szCs w:val="13"/>
                <w:color w:val="auto"/>
              </w:rPr>
              <w:t>251</w:t>
            </w:r>
          </w:p>
        </w:tc>
        <w:tc>
          <w:tcPr>
            <w:tcW w:w="80" w:type="dxa"/>
            <w:vAlign w:val="bottom"/>
          </w:tcPr>
          <w:p>
            <w:pPr>
              <w:jc w:val="right"/>
              <w:spacing w:after="0" w:line="122" w:lineRule="exact"/>
              <w:rPr>
                <w:sz w:val="20"/>
                <w:szCs w:val="20"/>
                <w:color w:val="auto"/>
              </w:rPr>
            </w:pPr>
            <w:r>
              <w:rPr>
                <w:rFonts w:ascii="Arial" w:cs="Arial" w:eastAsia="Arial" w:hAnsi="Arial"/>
                <w:sz w:val="13"/>
                <w:szCs w:val="13"/>
                <w:color w:val="auto"/>
                <w:w w:val="82"/>
              </w:rPr>
              <w:t>$</w:t>
            </w:r>
          </w:p>
        </w:tc>
        <w:tc>
          <w:tcPr>
            <w:tcW w:w="840" w:type="dxa"/>
            <w:vAlign w:val="bottom"/>
          </w:tcPr>
          <w:p>
            <w:pPr>
              <w:jc w:val="right"/>
              <w:ind w:right="37"/>
              <w:spacing w:after="0" w:line="122" w:lineRule="exact"/>
              <w:rPr>
                <w:sz w:val="20"/>
                <w:szCs w:val="20"/>
                <w:color w:val="auto"/>
              </w:rPr>
            </w:pPr>
            <w:r>
              <w:rPr>
                <w:rFonts w:ascii="Arial" w:cs="Arial" w:eastAsia="Arial" w:hAnsi="Arial"/>
                <w:sz w:val="13"/>
                <w:szCs w:val="13"/>
                <w:color w:val="auto"/>
              </w:rPr>
              <w:t>68</w:t>
            </w:r>
          </w:p>
        </w:tc>
        <w:tc>
          <w:tcPr>
            <w:tcW w:w="80" w:type="dxa"/>
            <w:vAlign w:val="bottom"/>
          </w:tcPr>
          <w:p>
            <w:pPr>
              <w:jc w:val="right"/>
              <w:spacing w:after="0" w:line="122" w:lineRule="exact"/>
              <w:rPr>
                <w:sz w:val="20"/>
                <w:szCs w:val="20"/>
                <w:color w:val="auto"/>
              </w:rPr>
            </w:pPr>
            <w:r>
              <w:rPr>
                <w:rFonts w:ascii="Arial" w:cs="Arial" w:eastAsia="Arial" w:hAnsi="Arial"/>
                <w:sz w:val="13"/>
                <w:szCs w:val="13"/>
                <w:color w:val="auto"/>
                <w:w w:val="82"/>
              </w:rPr>
              <w:t>$</w:t>
            </w:r>
          </w:p>
        </w:tc>
        <w:tc>
          <w:tcPr>
            <w:tcW w:w="760" w:type="dxa"/>
            <w:vAlign w:val="bottom"/>
          </w:tcPr>
          <w:p>
            <w:pPr>
              <w:jc w:val="right"/>
              <w:ind w:right="17"/>
              <w:spacing w:after="0" w:line="122" w:lineRule="exact"/>
              <w:rPr>
                <w:sz w:val="20"/>
                <w:szCs w:val="20"/>
                <w:color w:val="auto"/>
              </w:rPr>
            </w:pPr>
            <w:r>
              <w:rPr>
                <w:rFonts w:ascii="Arial" w:cs="Arial" w:eastAsia="Arial" w:hAnsi="Arial"/>
                <w:sz w:val="13"/>
                <w:szCs w:val="13"/>
                <w:color w:val="auto"/>
              </w:rPr>
              <w:t>296</w:t>
            </w:r>
          </w:p>
        </w:tc>
        <w:tc>
          <w:tcPr>
            <w:tcW w:w="140" w:type="dxa"/>
            <w:vAlign w:val="bottom"/>
          </w:tcPr>
          <w:p>
            <w:pPr>
              <w:jc w:val="right"/>
              <w:spacing w:after="0" w:line="122" w:lineRule="exact"/>
              <w:rPr>
                <w:sz w:val="20"/>
                <w:szCs w:val="20"/>
                <w:color w:val="auto"/>
              </w:rPr>
            </w:pPr>
            <w:r>
              <w:rPr>
                <w:rFonts w:ascii="Arial" w:cs="Arial" w:eastAsia="Arial" w:hAnsi="Arial"/>
                <w:sz w:val="13"/>
                <w:szCs w:val="13"/>
                <w:color w:val="auto"/>
              </w:rPr>
              <w:t>$</w:t>
            </w:r>
          </w:p>
        </w:tc>
        <w:tc>
          <w:tcPr>
            <w:tcW w:w="720" w:type="dxa"/>
            <w:vAlign w:val="bottom"/>
          </w:tcPr>
          <w:p>
            <w:pPr>
              <w:jc w:val="right"/>
              <w:ind w:right="17"/>
              <w:spacing w:after="0" w:line="122" w:lineRule="exact"/>
              <w:rPr>
                <w:sz w:val="20"/>
                <w:szCs w:val="20"/>
                <w:color w:val="auto"/>
              </w:rPr>
            </w:pPr>
            <w:r>
              <w:rPr>
                <w:rFonts w:ascii="Arial" w:cs="Arial" w:eastAsia="Arial" w:hAnsi="Arial"/>
                <w:sz w:val="13"/>
                <w:szCs w:val="13"/>
                <w:color w:val="auto"/>
              </w:rPr>
              <w:t>346</w:t>
            </w:r>
          </w:p>
        </w:tc>
        <w:tc>
          <w:tcPr>
            <w:tcW w:w="120" w:type="dxa"/>
            <w:vAlign w:val="bottom"/>
          </w:tcPr>
          <w:p>
            <w:pPr>
              <w:jc w:val="right"/>
              <w:spacing w:after="0" w:line="122" w:lineRule="exact"/>
              <w:rPr>
                <w:sz w:val="20"/>
                <w:szCs w:val="20"/>
                <w:color w:val="auto"/>
              </w:rPr>
            </w:pPr>
            <w:r>
              <w:rPr>
                <w:rFonts w:ascii="Arial" w:cs="Arial" w:eastAsia="Arial" w:hAnsi="Arial"/>
                <w:sz w:val="13"/>
                <w:szCs w:val="13"/>
                <w:color w:val="auto"/>
              </w:rPr>
              <w:t>$</w:t>
            </w:r>
          </w:p>
        </w:tc>
        <w:tc>
          <w:tcPr>
            <w:tcW w:w="880" w:type="dxa"/>
            <w:vAlign w:val="bottom"/>
          </w:tcPr>
          <w:p>
            <w:pPr>
              <w:jc w:val="right"/>
              <w:ind w:right="17"/>
              <w:spacing w:after="0" w:line="122" w:lineRule="exact"/>
              <w:rPr>
                <w:sz w:val="20"/>
                <w:szCs w:val="20"/>
                <w:color w:val="auto"/>
              </w:rPr>
            </w:pPr>
            <w:r>
              <w:rPr>
                <w:rFonts w:ascii="Arial" w:cs="Arial" w:eastAsia="Arial" w:hAnsi="Arial"/>
                <w:sz w:val="13"/>
                <w:szCs w:val="13"/>
                <w:color w:val="auto"/>
              </w:rPr>
              <w:t>205</w:t>
            </w:r>
          </w:p>
        </w:tc>
        <w:tc>
          <w:tcPr>
            <w:tcW w:w="100" w:type="dxa"/>
            <w:vAlign w:val="bottom"/>
          </w:tcPr>
          <w:p>
            <w:pPr>
              <w:jc w:val="right"/>
              <w:spacing w:after="0" w:line="122" w:lineRule="exact"/>
              <w:rPr>
                <w:sz w:val="20"/>
                <w:szCs w:val="20"/>
                <w:color w:val="auto"/>
              </w:rPr>
            </w:pPr>
            <w:r>
              <w:rPr>
                <w:rFonts w:ascii="Arial" w:cs="Arial" w:eastAsia="Arial" w:hAnsi="Arial"/>
                <w:sz w:val="13"/>
                <w:szCs w:val="13"/>
                <w:color w:val="auto"/>
              </w:rPr>
              <w:t>$</w:t>
            </w:r>
          </w:p>
        </w:tc>
        <w:tc>
          <w:tcPr>
            <w:tcW w:w="800" w:type="dxa"/>
            <w:vAlign w:val="bottom"/>
          </w:tcPr>
          <w:p>
            <w:pPr>
              <w:jc w:val="right"/>
              <w:ind w:right="17"/>
              <w:spacing w:after="0" w:line="122" w:lineRule="exact"/>
              <w:rPr>
                <w:sz w:val="20"/>
                <w:szCs w:val="20"/>
                <w:color w:val="auto"/>
              </w:rPr>
            </w:pPr>
            <w:r>
              <w:rPr>
                <w:rFonts w:ascii="Arial" w:cs="Arial" w:eastAsia="Arial" w:hAnsi="Arial"/>
                <w:sz w:val="13"/>
                <w:szCs w:val="13"/>
                <w:color w:val="auto"/>
              </w:rPr>
              <w:t>29</w:t>
            </w:r>
          </w:p>
        </w:tc>
        <w:tc>
          <w:tcPr>
            <w:tcW w:w="100" w:type="dxa"/>
            <w:vAlign w:val="bottom"/>
          </w:tcPr>
          <w:p>
            <w:pPr>
              <w:jc w:val="right"/>
              <w:spacing w:after="0" w:line="122" w:lineRule="exact"/>
              <w:rPr>
                <w:sz w:val="20"/>
                <w:szCs w:val="20"/>
                <w:color w:val="auto"/>
              </w:rPr>
            </w:pPr>
            <w:r>
              <w:rPr>
                <w:rFonts w:ascii="Arial" w:cs="Arial" w:eastAsia="Arial" w:hAnsi="Arial"/>
                <w:sz w:val="13"/>
                <w:szCs w:val="13"/>
                <w:color w:val="auto"/>
              </w:rPr>
              <w:t>$</w:t>
            </w:r>
          </w:p>
        </w:tc>
        <w:tc>
          <w:tcPr>
            <w:tcW w:w="940" w:type="dxa"/>
            <w:vAlign w:val="bottom"/>
          </w:tcPr>
          <w:p>
            <w:pPr>
              <w:jc w:val="right"/>
              <w:ind w:right="37"/>
              <w:spacing w:after="0" w:line="122" w:lineRule="exact"/>
              <w:rPr>
                <w:sz w:val="20"/>
                <w:szCs w:val="20"/>
                <w:color w:val="auto"/>
              </w:rPr>
            </w:pPr>
            <w:r>
              <w:rPr>
                <w:rFonts w:ascii="Arial" w:cs="Arial" w:eastAsia="Arial" w:hAnsi="Arial"/>
                <w:sz w:val="13"/>
                <w:szCs w:val="13"/>
                <w:color w:val="auto"/>
              </w:rPr>
              <w:t>1,532</w:t>
            </w:r>
          </w:p>
        </w:tc>
        <w:tc>
          <w:tcPr>
            <w:tcW w:w="0" w:type="dxa"/>
            <w:vAlign w:val="bottom"/>
          </w:tcPr>
          <w:p>
            <w:pPr>
              <w:spacing w:after="0"/>
              <w:rPr>
                <w:sz w:val="1"/>
                <w:szCs w:val="1"/>
                <w:color w:val="auto"/>
              </w:rPr>
            </w:pPr>
          </w:p>
        </w:tc>
      </w:tr>
      <w:tr>
        <w:trPr>
          <w:trHeight w:val="176"/>
        </w:trPr>
        <w:tc>
          <w:tcPr>
            <w:tcW w:w="2200" w:type="dxa"/>
            <w:vAlign w:val="bottom"/>
          </w:tcPr>
          <w:p>
            <w:pPr>
              <w:ind w:left="180"/>
              <w:spacing w:after="0" w:line="176" w:lineRule="exact"/>
              <w:rPr>
                <w:sz w:val="20"/>
                <w:szCs w:val="20"/>
                <w:color w:val="auto"/>
              </w:rPr>
            </w:pPr>
            <w:r>
              <w:rPr>
                <w:rFonts w:ascii="Arial" w:cs="Arial" w:eastAsia="Arial" w:hAnsi="Arial"/>
                <w:sz w:val="13"/>
                <w:szCs w:val="13"/>
                <w:color w:val="auto"/>
              </w:rPr>
              <w:t>Share-based compensation</w:t>
            </w:r>
            <w:r>
              <w:rPr>
                <w:rFonts w:ascii="Arial" w:cs="Arial" w:eastAsia="Arial" w:hAnsi="Arial"/>
                <w:sz w:val="20"/>
                <w:szCs w:val="20"/>
                <w:color w:val="auto"/>
                <w:vertAlign w:val="superscript"/>
              </w:rPr>
              <w:t>1</w:t>
            </w:r>
          </w:p>
        </w:tc>
        <w:tc>
          <w:tcPr>
            <w:tcW w:w="120" w:type="dxa"/>
            <w:vAlign w:val="bottom"/>
          </w:tcPr>
          <w:p>
            <w:pPr>
              <w:spacing w:after="0"/>
              <w:rPr>
                <w:sz w:val="15"/>
                <w:szCs w:val="15"/>
                <w:color w:val="auto"/>
              </w:rPr>
            </w:pPr>
          </w:p>
        </w:tc>
        <w:tc>
          <w:tcPr>
            <w:tcW w:w="70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90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(4)</w:t>
            </w:r>
          </w:p>
        </w:tc>
        <w:tc>
          <w:tcPr>
            <w:tcW w:w="120" w:type="dxa"/>
            <w:vAlign w:val="bottom"/>
          </w:tcPr>
          <w:p>
            <w:pPr>
              <w:spacing w:after="0"/>
              <w:rPr>
                <w:sz w:val="15"/>
                <w:szCs w:val="15"/>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84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(10)</w:t>
            </w: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(23)</w:t>
            </w:r>
          </w:p>
        </w:tc>
        <w:tc>
          <w:tcPr>
            <w:tcW w:w="100" w:type="dxa"/>
            <w:vAlign w:val="bottom"/>
          </w:tcPr>
          <w:p>
            <w:pPr>
              <w:spacing w:after="0"/>
              <w:rPr>
                <w:sz w:val="15"/>
                <w:szCs w:val="15"/>
                <w:color w:val="auto"/>
              </w:rPr>
            </w:pP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(39)</w:t>
            </w:r>
          </w:p>
        </w:tc>
        <w:tc>
          <w:tcPr>
            <w:tcW w:w="0" w:type="dxa"/>
            <w:vAlign w:val="bottom"/>
          </w:tcPr>
          <w:p>
            <w:pPr>
              <w:spacing w:after="0"/>
              <w:rPr>
                <w:sz w:val="1"/>
                <w:szCs w:val="1"/>
                <w:color w:val="auto"/>
              </w:rPr>
            </w:pPr>
          </w:p>
        </w:tc>
      </w:tr>
      <w:tr>
        <w:trPr>
          <w:trHeight w:val="176"/>
        </w:trPr>
        <w:tc>
          <w:tcPr>
            <w:tcW w:w="2200" w:type="dxa"/>
            <w:vAlign w:val="bottom"/>
          </w:tcPr>
          <w:p>
            <w:pPr>
              <w:ind w:left="180"/>
              <w:spacing w:after="0" w:line="176" w:lineRule="exact"/>
              <w:rPr>
                <w:sz w:val="20"/>
                <w:szCs w:val="20"/>
                <w:color w:val="auto"/>
              </w:rPr>
            </w:pPr>
            <w:r>
              <w:rPr>
                <w:rFonts w:ascii="Arial" w:cs="Arial" w:eastAsia="Arial" w:hAnsi="Arial"/>
                <w:sz w:val="13"/>
                <w:szCs w:val="13"/>
                <w:color w:val="auto"/>
              </w:rPr>
              <w:t>Amortization of intangible assets</w:t>
            </w:r>
            <w:r>
              <w:rPr>
                <w:rFonts w:ascii="Arial" w:cs="Arial" w:eastAsia="Arial" w:hAnsi="Arial"/>
                <w:sz w:val="20"/>
                <w:szCs w:val="20"/>
                <w:color w:val="auto"/>
                <w:vertAlign w:val="superscript"/>
              </w:rPr>
              <w:t>2</w:t>
            </w:r>
          </w:p>
        </w:tc>
        <w:tc>
          <w:tcPr>
            <w:tcW w:w="120" w:type="dxa"/>
            <w:vAlign w:val="bottom"/>
          </w:tcPr>
          <w:p>
            <w:pPr>
              <w:spacing w:after="0"/>
              <w:rPr>
                <w:sz w:val="15"/>
                <w:szCs w:val="15"/>
                <w:color w:val="auto"/>
              </w:rPr>
            </w:pPr>
          </w:p>
        </w:tc>
        <w:tc>
          <w:tcPr>
            <w:tcW w:w="70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90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(49)</w:t>
            </w:r>
          </w:p>
        </w:tc>
        <w:tc>
          <w:tcPr>
            <w:tcW w:w="80" w:type="dxa"/>
            <w:vAlign w:val="bottom"/>
          </w:tcPr>
          <w:p>
            <w:pPr>
              <w:spacing w:after="0"/>
              <w:rPr>
                <w:sz w:val="15"/>
                <w:szCs w:val="15"/>
                <w:color w:val="auto"/>
              </w:rPr>
            </w:pPr>
          </w:p>
        </w:tc>
        <w:tc>
          <w:tcPr>
            <w:tcW w:w="76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72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5"/>
                <w:szCs w:val="15"/>
                <w:color w:val="auto"/>
              </w:rPr>
            </w:pP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(51)</w:t>
            </w:r>
          </w:p>
        </w:tc>
        <w:tc>
          <w:tcPr>
            <w:tcW w:w="0" w:type="dxa"/>
            <w:vAlign w:val="bottom"/>
          </w:tcPr>
          <w:p>
            <w:pPr>
              <w:spacing w:after="0"/>
              <w:rPr>
                <w:sz w:val="1"/>
                <w:szCs w:val="1"/>
                <w:color w:val="auto"/>
              </w:rPr>
            </w:pPr>
          </w:p>
        </w:tc>
      </w:tr>
      <w:tr>
        <w:trPr>
          <w:trHeight w:val="176"/>
        </w:trPr>
        <w:tc>
          <w:tcPr>
            <w:tcW w:w="2200" w:type="dxa"/>
            <w:vAlign w:val="bottom"/>
          </w:tcPr>
          <w:p>
            <w:pPr>
              <w:ind w:left="180"/>
              <w:spacing w:after="0" w:line="176" w:lineRule="exact"/>
              <w:rPr>
                <w:sz w:val="20"/>
                <w:szCs w:val="20"/>
                <w:color w:val="auto"/>
              </w:rPr>
            </w:pPr>
            <w:r>
              <w:rPr>
                <w:rFonts w:ascii="Arial" w:cs="Arial" w:eastAsia="Arial" w:hAnsi="Arial"/>
                <w:sz w:val="13"/>
                <w:szCs w:val="13"/>
                <w:color w:val="auto"/>
              </w:rPr>
              <w:t>Restructuring and related costs</w:t>
            </w:r>
            <w:r>
              <w:rPr>
                <w:rFonts w:ascii="Arial" w:cs="Arial" w:eastAsia="Arial" w:hAnsi="Arial"/>
                <w:sz w:val="20"/>
                <w:szCs w:val="20"/>
                <w:color w:val="auto"/>
                <w:vertAlign w:val="superscript"/>
              </w:rPr>
              <w:t>3</w:t>
            </w:r>
          </w:p>
        </w:tc>
        <w:tc>
          <w:tcPr>
            <w:tcW w:w="120" w:type="dxa"/>
            <w:vAlign w:val="bottom"/>
          </w:tcPr>
          <w:p>
            <w:pPr>
              <w:spacing w:after="0"/>
              <w:rPr>
                <w:sz w:val="15"/>
                <w:szCs w:val="15"/>
                <w:color w:val="auto"/>
              </w:rPr>
            </w:pPr>
          </w:p>
        </w:tc>
        <w:tc>
          <w:tcPr>
            <w:tcW w:w="70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5"/>
                <w:szCs w:val="15"/>
                <w:color w:val="auto"/>
              </w:rPr>
            </w:pP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84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76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72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(29)</w:t>
            </w: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(30)</w:t>
            </w:r>
          </w:p>
        </w:tc>
        <w:tc>
          <w:tcPr>
            <w:tcW w:w="0" w:type="dxa"/>
            <w:vAlign w:val="bottom"/>
          </w:tcPr>
          <w:p>
            <w:pPr>
              <w:spacing w:after="0"/>
              <w:rPr>
                <w:sz w:val="1"/>
                <w:szCs w:val="1"/>
                <w:color w:val="auto"/>
              </w:rPr>
            </w:pPr>
          </w:p>
        </w:tc>
      </w:tr>
      <w:tr>
        <w:trPr>
          <w:trHeight w:val="183"/>
        </w:trPr>
        <w:tc>
          <w:tcPr>
            <w:tcW w:w="2200" w:type="dxa"/>
            <w:vAlign w:val="bottom"/>
          </w:tcPr>
          <w:p>
            <w:pPr>
              <w:ind w:left="180"/>
              <w:spacing w:after="0" w:line="183" w:lineRule="exact"/>
              <w:rPr>
                <w:sz w:val="20"/>
                <w:szCs w:val="20"/>
                <w:color w:val="auto"/>
              </w:rPr>
            </w:pPr>
            <w:r>
              <w:rPr>
                <w:rFonts w:ascii="Arial" w:cs="Arial" w:eastAsia="Arial" w:hAnsi="Arial"/>
                <w:sz w:val="13"/>
                <w:szCs w:val="13"/>
                <w:color w:val="auto"/>
              </w:rPr>
              <w:t>Discrete tax-related items</w:t>
            </w:r>
            <w:r>
              <w:rPr>
                <w:rFonts w:ascii="Arial" w:cs="Arial" w:eastAsia="Arial" w:hAnsi="Arial"/>
                <w:sz w:val="20"/>
                <w:szCs w:val="20"/>
                <w:color w:val="auto"/>
                <w:vertAlign w:val="superscript"/>
              </w:rPr>
              <w:t>4</w:t>
            </w: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w:t>
            </w:r>
          </w:p>
        </w:tc>
        <w:tc>
          <w:tcPr>
            <w:tcW w:w="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w:t>
            </w: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w:t>
            </w: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w:t>
            </w: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w:t>
            </w:r>
          </w:p>
        </w:tc>
        <w:tc>
          <w:tcPr>
            <w:tcW w:w="0" w:type="dxa"/>
            <w:vAlign w:val="bottom"/>
          </w:tcPr>
          <w:p>
            <w:pPr>
              <w:spacing w:after="0"/>
              <w:rPr>
                <w:sz w:val="1"/>
                <w:szCs w:val="1"/>
                <w:color w:val="auto"/>
              </w:rPr>
            </w:pPr>
          </w:p>
        </w:tc>
      </w:tr>
      <w:tr>
        <w:trPr>
          <w:trHeight w:val="129"/>
        </w:trPr>
        <w:tc>
          <w:tcPr>
            <w:tcW w:w="2200" w:type="dxa"/>
            <w:vAlign w:val="bottom"/>
          </w:tcPr>
          <w:p>
            <w:pPr>
              <w:spacing w:after="0" w:line="129" w:lineRule="exact"/>
              <w:rPr>
                <w:sz w:val="20"/>
                <w:szCs w:val="20"/>
                <w:color w:val="auto"/>
              </w:rPr>
            </w:pPr>
            <w:r>
              <w:rPr>
                <w:rFonts w:ascii="Arial" w:cs="Arial" w:eastAsia="Arial" w:hAnsi="Arial"/>
                <w:sz w:val="13"/>
                <w:szCs w:val="13"/>
                <w:color w:val="auto"/>
              </w:rPr>
              <w:t>Non-GAAP Measurement</w:t>
            </w:r>
          </w:p>
        </w:tc>
        <w:tc>
          <w:tcPr>
            <w:tcW w:w="1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82"/>
              </w:rPr>
              <w:t>$</w:t>
            </w:r>
          </w:p>
        </w:tc>
        <w:tc>
          <w:tcPr>
            <w:tcW w:w="700" w:type="dxa"/>
            <w:vAlign w:val="bottom"/>
            <w:tcBorders>
              <w:bottom w:val="single" w:sz="8" w:color="auto"/>
            </w:tcBorders>
          </w:tcPr>
          <w:p>
            <w:pPr>
              <w:jc w:val="right"/>
              <w:ind w:right="17"/>
              <w:spacing w:after="0" w:line="129" w:lineRule="exact"/>
              <w:rPr>
                <w:sz w:val="20"/>
                <w:szCs w:val="20"/>
                <w:color w:val="auto"/>
              </w:rPr>
            </w:pPr>
            <w:r>
              <w:rPr>
                <w:rFonts w:ascii="Arial" w:cs="Arial" w:eastAsia="Arial" w:hAnsi="Arial"/>
                <w:sz w:val="13"/>
                <w:szCs w:val="13"/>
                <w:color w:val="auto"/>
              </w:rPr>
              <w:t>1,986</w:t>
            </w:r>
          </w:p>
        </w:tc>
        <w:tc>
          <w:tcPr>
            <w:tcW w:w="120" w:type="dxa"/>
            <w:vAlign w:val="bottom"/>
            <w:tcBorders>
              <w:bottom w:val="single" w:sz="8" w:color="auto"/>
            </w:tcBorders>
          </w:tcPr>
          <w:p>
            <w:pPr>
              <w:ind w:left="20"/>
              <w:spacing w:after="0" w:line="129" w:lineRule="exact"/>
              <w:rPr>
                <w:sz w:val="20"/>
                <w:szCs w:val="20"/>
                <w:color w:val="auto"/>
              </w:rPr>
            </w:pPr>
            <w:r>
              <w:rPr>
                <w:rFonts w:ascii="Arial" w:cs="Arial" w:eastAsia="Arial" w:hAnsi="Arial"/>
                <w:sz w:val="13"/>
                <w:szCs w:val="13"/>
                <w:color w:val="auto"/>
              </w:rPr>
              <w:t>$</w:t>
            </w:r>
          </w:p>
        </w:tc>
        <w:tc>
          <w:tcPr>
            <w:tcW w:w="900" w:type="dxa"/>
            <w:vAlign w:val="bottom"/>
            <w:tcBorders>
              <w:bottom w:val="single" w:sz="8" w:color="auto"/>
            </w:tcBorders>
          </w:tcPr>
          <w:p>
            <w:pPr>
              <w:jc w:val="right"/>
              <w:ind w:right="17"/>
              <w:spacing w:after="0" w:line="129" w:lineRule="exact"/>
              <w:rPr>
                <w:sz w:val="20"/>
                <w:szCs w:val="20"/>
                <w:color w:val="auto"/>
              </w:rPr>
            </w:pPr>
            <w:r>
              <w:rPr>
                <w:rFonts w:ascii="Arial" w:cs="Arial" w:eastAsia="Arial" w:hAnsi="Arial"/>
                <w:sz w:val="13"/>
                <w:szCs w:val="13"/>
                <w:color w:val="auto"/>
              </w:rPr>
              <w:t>267</w:t>
            </w:r>
          </w:p>
        </w:tc>
        <w:tc>
          <w:tcPr>
            <w:tcW w:w="100" w:type="dxa"/>
            <w:vAlign w:val="bottom"/>
            <w:tcBorders>
              <w:bottom w:val="single" w:sz="8" w:color="auto"/>
            </w:tcBorders>
          </w:tcPr>
          <w:p>
            <w:pPr>
              <w:ind w:left="40"/>
              <w:spacing w:after="0"/>
              <w:rPr>
                <w:sz w:val="20"/>
                <w:szCs w:val="20"/>
                <w:color w:val="auto"/>
              </w:rPr>
            </w:pPr>
            <w:r>
              <w:rPr>
                <w:rFonts w:ascii="Arial" w:cs="Arial" w:eastAsia="Arial" w:hAnsi="Arial"/>
                <w:sz w:val="9"/>
                <w:szCs w:val="9"/>
                <w:color w:val="auto"/>
                <w:w w:val="78"/>
              </w:rPr>
              <w:t>$</w:t>
            </w:r>
          </w:p>
        </w:tc>
        <w:tc>
          <w:tcPr>
            <w:tcW w:w="800" w:type="dxa"/>
            <w:vAlign w:val="bottom"/>
            <w:tcBorders>
              <w:bottom w:val="single" w:sz="8" w:color="auto"/>
            </w:tcBorders>
          </w:tcPr>
          <w:p>
            <w:pPr>
              <w:jc w:val="right"/>
              <w:ind w:right="17"/>
              <w:spacing w:after="0" w:line="129" w:lineRule="exact"/>
              <w:rPr>
                <w:sz w:val="20"/>
                <w:szCs w:val="20"/>
                <w:color w:val="auto"/>
              </w:rPr>
            </w:pPr>
            <w:r>
              <w:rPr>
                <w:rFonts w:ascii="Arial" w:cs="Arial" w:eastAsia="Arial" w:hAnsi="Arial"/>
                <w:sz w:val="13"/>
                <w:szCs w:val="13"/>
                <w:color w:val="auto"/>
              </w:rPr>
              <w:t>65</w:t>
            </w:r>
          </w:p>
        </w:tc>
        <w:tc>
          <w:tcPr>
            <w:tcW w:w="1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82"/>
              </w:rPr>
              <w:t>$</w:t>
            </w:r>
          </w:p>
        </w:tc>
        <w:tc>
          <w:tcPr>
            <w:tcW w:w="800" w:type="dxa"/>
            <w:vAlign w:val="bottom"/>
            <w:tcBorders>
              <w:bottom w:val="single" w:sz="8" w:color="auto"/>
            </w:tcBorders>
          </w:tcPr>
          <w:p>
            <w:pPr>
              <w:jc w:val="right"/>
              <w:ind w:right="37"/>
              <w:spacing w:after="0" w:line="129" w:lineRule="exact"/>
              <w:rPr>
                <w:sz w:val="20"/>
                <w:szCs w:val="20"/>
                <w:color w:val="auto"/>
              </w:rPr>
            </w:pPr>
            <w:r>
              <w:rPr>
                <w:rFonts w:ascii="Arial" w:cs="Arial" w:eastAsia="Arial" w:hAnsi="Arial"/>
                <w:sz w:val="13"/>
                <w:szCs w:val="13"/>
                <w:color w:val="auto"/>
              </w:rPr>
              <w:t>246</w:t>
            </w:r>
          </w:p>
        </w:tc>
        <w:tc>
          <w:tcPr>
            <w:tcW w:w="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82"/>
              </w:rPr>
              <w:t>$</w:t>
            </w:r>
          </w:p>
        </w:tc>
        <w:tc>
          <w:tcPr>
            <w:tcW w:w="840" w:type="dxa"/>
            <w:vAlign w:val="bottom"/>
            <w:tcBorders>
              <w:bottom w:val="single" w:sz="8" w:color="auto"/>
            </w:tcBorders>
          </w:tcPr>
          <w:p>
            <w:pPr>
              <w:jc w:val="right"/>
              <w:ind w:right="37"/>
              <w:spacing w:after="0" w:line="129" w:lineRule="exact"/>
              <w:rPr>
                <w:sz w:val="20"/>
                <w:szCs w:val="20"/>
                <w:color w:val="auto"/>
              </w:rPr>
            </w:pPr>
            <w:r>
              <w:rPr>
                <w:rFonts w:ascii="Arial" w:cs="Arial" w:eastAsia="Arial" w:hAnsi="Arial"/>
                <w:sz w:val="13"/>
                <w:szCs w:val="13"/>
                <w:color w:val="auto"/>
              </w:rPr>
              <w:t>19</w:t>
            </w:r>
          </w:p>
        </w:tc>
        <w:tc>
          <w:tcPr>
            <w:tcW w:w="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82"/>
              </w:rPr>
              <w:t>$</w:t>
            </w:r>
          </w:p>
        </w:tc>
        <w:tc>
          <w:tcPr>
            <w:tcW w:w="760" w:type="dxa"/>
            <w:vAlign w:val="bottom"/>
            <w:tcBorders>
              <w:bottom w:val="single" w:sz="8" w:color="auto"/>
            </w:tcBorders>
          </w:tcPr>
          <w:p>
            <w:pPr>
              <w:jc w:val="right"/>
              <w:ind w:right="17"/>
              <w:spacing w:after="0" w:line="129" w:lineRule="exact"/>
              <w:rPr>
                <w:sz w:val="20"/>
                <w:szCs w:val="20"/>
                <w:color w:val="auto"/>
              </w:rPr>
            </w:pPr>
            <w:r>
              <w:rPr>
                <w:rFonts w:ascii="Arial" w:cs="Arial" w:eastAsia="Arial" w:hAnsi="Arial"/>
                <w:sz w:val="13"/>
                <w:szCs w:val="13"/>
                <w:color w:val="auto"/>
              </w:rPr>
              <w:t>283</w:t>
            </w:r>
          </w:p>
        </w:tc>
        <w:tc>
          <w:tcPr>
            <w:tcW w:w="1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tcPr>
          <w:p>
            <w:pPr>
              <w:jc w:val="right"/>
              <w:ind w:right="17"/>
              <w:spacing w:after="0" w:line="129" w:lineRule="exact"/>
              <w:rPr>
                <w:sz w:val="20"/>
                <w:szCs w:val="20"/>
                <w:color w:val="auto"/>
              </w:rPr>
            </w:pPr>
            <w:r>
              <w:rPr>
                <w:rFonts w:ascii="Arial" w:cs="Arial" w:eastAsia="Arial" w:hAnsi="Arial"/>
                <w:sz w:val="13"/>
                <w:szCs w:val="13"/>
                <w:color w:val="auto"/>
              </w:rPr>
              <w:t>339</w:t>
            </w:r>
          </w:p>
        </w:tc>
        <w:tc>
          <w:tcPr>
            <w:tcW w:w="1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880" w:type="dxa"/>
            <w:vAlign w:val="bottom"/>
            <w:tcBorders>
              <w:bottom w:val="single" w:sz="8" w:color="auto"/>
            </w:tcBorders>
          </w:tcPr>
          <w:p>
            <w:pPr>
              <w:jc w:val="right"/>
              <w:ind w:right="17"/>
              <w:spacing w:after="0" w:line="129" w:lineRule="exact"/>
              <w:rPr>
                <w:sz w:val="20"/>
                <w:szCs w:val="20"/>
                <w:color w:val="auto"/>
              </w:rPr>
            </w:pPr>
            <w:r>
              <w:rPr>
                <w:rFonts w:ascii="Arial" w:cs="Arial" w:eastAsia="Arial" w:hAnsi="Arial"/>
                <w:sz w:val="13"/>
                <w:szCs w:val="13"/>
                <w:color w:val="auto"/>
              </w:rPr>
              <w:t>176</w:t>
            </w:r>
          </w:p>
        </w:tc>
        <w:tc>
          <w:tcPr>
            <w:tcW w:w="1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tcPr>
          <w:p>
            <w:pPr>
              <w:jc w:val="right"/>
              <w:ind w:right="17"/>
              <w:spacing w:after="0" w:line="129" w:lineRule="exact"/>
              <w:rPr>
                <w:sz w:val="20"/>
                <w:szCs w:val="20"/>
                <w:color w:val="auto"/>
              </w:rPr>
            </w:pPr>
            <w:r>
              <w:rPr>
                <w:rFonts w:ascii="Arial" w:cs="Arial" w:eastAsia="Arial" w:hAnsi="Arial"/>
                <w:sz w:val="13"/>
                <w:szCs w:val="13"/>
                <w:color w:val="auto"/>
              </w:rPr>
              <w:t>—</w:t>
            </w:r>
          </w:p>
        </w:tc>
        <w:tc>
          <w:tcPr>
            <w:tcW w:w="1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940" w:type="dxa"/>
            <w:vAlign w:val="bottom"/>
            <w:tcBorders>
              <w:bottom w:val="single" w:sz="8" w:color="auto"/>
            </w:tcBorders>
          </w:tcPr>
          <w:p>
            <w:pPr>
              <w:jc w:val="right"/>
              <w:ind w:right="37"/>
              <w:spacing w:after="0" w:line="129" w:lineRule="exact"/>
              <w:rPr>
                <w:sz w:val="20"/>
                <w:szCs w:val="20"/>
                <w:color w:val="auto"/>
              </w:rPr>
            </w:pPr>
            <w:r>
              <w:rPr>
                <w:rFonts w:ascii="Arial" w:cs="Arial" w:eastAsia="Arial" w:hAnsi="Arial"/>
                <w:sz w:val="13"/>
                <w:szCs w:val="13"/>
                <w:color w:val="auto"/>
              </w:rPr>
              <w:t>1,395</w:t>
            </w:r>
          </w:p>
        </w:tc>
        <w:tc>
          <w:tcPr>
            <w:tcW w:w="0" w:type="dxa"/>
            <w:vAlign w:val="bottom"/>
          </w:tcPr>
          <w:p>
            <w:pPr>
              <w:spacing w:after="0"/>
              <w:rPr>
                <w:sz w:val="1"/>
                <w:szCs w:val="1"/>
                <w:color w:val="auto"/>
              </w:rPr>
            </w:pPr>
          </w:p>
        </w:tc>
      </w:tr>
      <w:tr>
        <w:trPr>
          <w:trHeight w:val="20"/>
        </w:trPr>
        <w:tc>
          <w:tcPr>
            <w:tcW w:w="2200" w:type="dxa"/>
            <w:vAlign w:val="bottom"/>
            <w:vMerge w:val="restart"/>
          </w:tcPr>
          <w:p>
            <w:pPr>
              <w:ind w:left="180"/>
              <w:spacing w:after="0"/>
              <w:rPr>
                <w:sz w:val="20"/>
                <w:szCs w:val="20"/>
                <w:color w:val="auto"/>
              </w:rPr>
            </w:pPr>
            <w:r>
              <w:rPr>
                <w:rFonts w:ascii="Arial" w:cs="Arial" w:eastAsia="Arial" w:hAnsi="Arial"/>
                <w:sz w:val="13"/>
                <w:szCs w:val="13"/>
                <w:color w:val="auto"/>
                <w:w w:val="97"/>
              </w:rPr>
              <w:t>Net effect of deferred revenues and</w:t>
            </w: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220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2"/>
        </w:trPr>
        <w:tc>
          <w:tcPr>
            <w:tcW w:w="2200" w:type="dxa"/>
            <w:vAlign w:val="bottom"/>
          </w:tcPr>
          <w:p>
            <w:pPr>
              <w:ind w:left="180"/>
              <w:spacing w:after="0"/>
              <w:rPr>
                <w:sz w:val="20"/>
                <w:szCs w:val="20"/>
                <w:color w:val="auto"/>
              </w:rPr>
            </w:pPr>
            <w:r>
              <w:rPr>
                <w:rFonts w:ascii="Arial" w:cs="Arial" w:eastAsia="Arial" w:hAnsi="Arial"/>
                <w:sz w:val="13"/>
                <w:szCs w:val="13"/>
                <w:color w:val="auto"/>
              </w:rPr>
              <w:t>related cost of revenues</w:t>
            </w:r>
            <w:r>
              <w:rPr>
                <w:rFonts w:ascii="Arial" w:cs="Arial" w:eastAsia="Arial" w:hAnsi="Arial"/>
                <w:sz w:val="20"/>
                <w:szCs w:val="20"/>
                <w:color w:val="auto"/>
                <w:vertAlign w:val="superscript"/>
              </w:rPr>
              <w:t>5</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ind w:right="17"/>
              <w:spacing w:after="0"/>
              <w:rPr>
                <w:sz w:val="20"/>
                <w:szCs w:val="20"/>
                <w:color w:val="auto"/>
              </w:rPr>
            </w:pPr>
            <w:r>
              <w:rPr>
                <w:rFonts w:ascii="Arial" w:cs="Arial" w:eastAsia="Arial" w:hAnsi="Arial"/>
                <w:sz w:val="13"/>
                <w:szCs w:val="13"/>
                <w:color w:val="auto"/>
              </w:rPr>
              <w:t>722</w:t>
            </w:r>
          </w:p>
        </w:tc>
        <w:tc>
          <w:tcPr>
            <w:tcW w:w="120" w:type="dxa"/>
            <w:vAlign w:val="bottom"/>
          </w:tcPr>
          <w:p>
            <w:pPr>
              <w:ind w:left="20"/>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17"/>
              <w:spacing w:after="0"/>
              <w:rPr>
                <w:sz w:val="20"/>
                <w:szCs w:val="20"/>
                <w:color w:val="auto"/>
              </w:rPr>
            </w:pPr>
            <w:r>
              <w:rPr>
                <w:rFonts w:ascii="Arial" w:cs="Arial" w:eastAsia="Arial" w:hAnsi="Arial"/>
                <w:sz w:val="13"/>
                <w:szCs w:val="13"/>
                <w:color w:val="auto"/>
              </w:rPr>
              <w:t>59</w:t>
            </w:r>
          </w:p>
        </w:tc>
        <w:tc>
          <w:tcPr>
            <w:tcW w:w="100" w:type="dxa"/>
            <w:vAlign w:val="bottom"/>
          </w:tcPr>
          <w:p>
            <w:pPr>
              <w:ind w:left="40"/>
              <w:spacing w:after="0"/>
              <w:rPr>
                <w:sz w:val="20"/>
                <w:szCs w:val="20"/>
                <w:color w:val="auto"/>
              </w:rPr>
            </w:pPr>
            <w:r>
              <w:rPr>
                <w:rFonts w:ascii="Arial" w:cs="Arial" w:eastAsia="Arial" w:hAnsi="Arial"/>
                <w:sz w:val="9"/>
                <w:szCs w:val="9"/>
                <w:color w:val="auto"/>
                <w:w w:val="78"/>
              </w:rPr>
              <w:t>$</w:t>
            </w: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81</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3</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ind w:right="37"/>
              <w:spacing w:after="0"/>
              <w:rPr>
                <w:sz w:val="20"/>
                <w:szCs w:val="20"/>
                <w:color w:val="auto"/>
              </w:rPr>
            </w:pPr>
            <w:r>
              <w:rPr>
                <w:rFonts w:ascii="Arial" w:cs="Arial" w:eastAsia="Arial" w:hAnsi="Arial"/>
                <w:sz w:val="13"/>
                <w:szCs w:val="13"/>
                <w:color w:val="auto"/>
              </w:rPr>
              <w:t>2</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37"/>
              <w:spacing w:after="0"/>
              <w:rPr>
                <w:sz w:val="20"/>
                <w:szCs w:val="20"/>
                <w:color w:val="auto"/>
              </w:rPr>
            </w:pPr>
            <w:r>
              <w:rPr>
                <w:rFonts w:ascii="Arial" w:cs="Arial" w:eastAsia="Arial" w:hAnsi="Arial"/>
                <w:sz w:val="13"/>
                <w:szCs w:val="13"/>
                <w:color w:val="auto"/>
              </w:rPr>
              <w:t>145</w:t>
            </w:r>
          </w:p>
        </w:tc>
        <w:tc>
          <w:tcPr>
            <w:tcW w:w="0" w:type="dxa"/>
            <w:vAlign w:val="bottom"/>
          </w:tcPr>
          <w:p>
            <w:pPr>
              <w:spacing w:after="0"/>
              <w:rPr>
                <w:sz w:val="1"/>
                <w:szCs w:val="1"/>
                <w:color w:val="auto"/>
              </w:rPr>
            </w:pPr>
          </w:p>
        </w:tc>
      </w:tr>
      <w:tr>
        <w:trPr>
          <w:trHeight w:val="46"/>
        </w:trPr>
        <w:tc>
          <w:tcPr>
            <w:tcW w:w="220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gridSpan w:val="2"/>
          </w:tcPr>
          <w:p>
            <w:pPr>
              <w:spacing w:after="0"/>
              <w:rPr>
                <w:sz w:val="3"/>
                <w:szCs w:val="3"/>
                <w:color w:val="auto"/>
              </w:rPr>
            </w:pPr>
          </w:p>
        </w:tc>
        <w:tc>
          <w:tcPr>
            <w:tcW w:w="920" w:type="dxa"/>
            <w:vAlign w:val="bottom"/>
            <w:tcBorders>
              <w:bottom w:val="single" w:sz="8" w:color="auto"/>
            </w:tcBorders>
            <w:gridSpan w:val="2"/>
          </w:tcPr>
          <w:p>
            <w:pPr>
              <w:spacing w:after="0"/>
              <w:rPr>
                <w:sz w:val="3"/>
                <w:szCs w:val="3"/>
                <w:color w:val="auto"/>
              </w:rPr>
            </w:pPr>
          </w:p>
        </w:tc>
        <w:tc>
          <w:tcPr>
            <w:tcW w:w="80" w:type="dxa"/>
            <w:vAlign w:val="bottom"/>
            <w:vMerge w:val="restart"/>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10"/>
        </w:trPr>
        <w:tc>
          <w:tcPr>
            <w:tcW w:w="2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jc w:val="right"/>
              <w:ind w:right="57"/>
              <w:spacing w:after="0" w:line="110" w:lineRule="exact"/>
              <w:rPr>
                <w:sz w:val="20"/>
                <w:szCs w:val="20"/>
                <w:color w:val="auto"/>
              </w:rPr>
            </w:pPr>
            <w:r>
              <w:rPr>
                <w:rFonts w:ascii="Arial" w:cs="Arial" w:eastAsia="Arial" w:hAnsi="Arial"/>
                <w:sz w:val="12"/>
                <w:szCs w:val="12"/>
                <w:b w:val="1"/>
                <w:bCs w:val="1"/>
                <w:color w:val="auto"/>
                <w:w w:val="98"/>
              </w:rPr>
              <w:t>Operating</w:t>
            </w: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900" w:type="dxa"/>
            <w:vAlign w:val="bottom"/>
            <w:gridSpan w:val="2"/>
          </w:tcPr>
          <w:p>
            <w:pPr>
              <w:ind w:left="40"/>
              <w:spacing w:after="0" w:line="110" w:lineRule="exact"/>
              <w:rPr>
                <w:sz w:val="20"/>
                <w:szCs w:val="20"/>
                <w:color w:val="auto"/>
              </w:rPr>
            </w:pPr>
            <w:r>
              <w:rPr>
                <w:rFonts w:ascii="Arial" w:cs="Arial" w:eastAsia="Arial" w:hAnsi="Arial"/>
                <w:sz w:val="12"/>
                <w:szCs w:val="12"/>
                <w:b w:val="1"/>
                <w:bCs w:val="1"/>
                <w:color w:val="auto"/>
                <w:w w:val="96"/>
              </w:rPr>
              <w:t>Basic Earnings</w:t>
            </w:r>
          </w:p>
        </w:tc>
        <w:tc>
          <w:tcPr>
            <w:tcW w:w="920" w:type="dxa"/>
            <w:vAlign w:val="bottom"/>
            <w:gridSpan w:val="2"/>
          </w:tcPr>
          <w:p>
            <w:pPr>
              <w:jc w:val="center"/>
              <w:spacing w:after="0" w:line="110" w:lineRule="exact"/>
              <w:rPr>
                <w:sz w:val="20"/>
                <w:szCs w:val="20"/>
                <w:color w:val="auto"/>
              </w:rPr>
            </w:pPr>
            <w:r>
              <w:rPr>
                <w:rFonts w:ascii="Arial" w:cs="Arial" w:eastAsia="Arial" w:hAnsi="Arial"/>
                <w:sz w:val="12"/>
                <w:szCs w:val="12"/>
                <w:b w:val="1"/>
                <w:bCs w:val="1"/>
                <w:color w:val="auto"/>
                <w:w w:val="94"/>
              </w:rPr>
              <w:t>Diluted Earnings</w:t>
            </w:r>
          </w:p>
        </w:tc>
        <w:tc>
          <w:tcPr>
            <w:tcW w:w="80" w:type="dxa"/>
            <w:vAlign w:val="bottom"/>
            <w:vMerge w:val="continue"/>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2200" w:type="dxa"/>
            <w:vAlign w:val="bottom"/>
            <w:vMerge w:val="restart"/>
          </w:tcPr>
          <w:p>
            <w:pPr>
              <w:spacing w:after="0"/>
              <w:rPr>
                <w:sz w:val="20"/>
                <w:szCs w:val="20"/>
                <w:color w:val="auto"/>
              </w:rPr>
            </w:pPr>
            <w:r>
              <w:rPr>
                <w:rFonts w:ascii="Arial" w:cs="Arial" w:eastAsia="Arial" w:hAnsi="Arial"/>
                <w:sz w:val="13"/>
                <w:szCs w:val="13"/>
                <w:color w:val="auto"/>
              </w:rPr>
              <w:t>GAAP Measurement</w:t>
            </w:r>
          </w:p>
        </w:tc>
        <w:tc>
          <w:tcPr>
            <w:tcW w:w="1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Income</w:t>
            </w:r>
          </w:p>
        </w:tc>
        <w:tc>
          <w:tcPr>
            <w:tcW w:w="1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Net Income</w:t>
            </w:r>
          </w:p>
        </w:tc>
        <w:tc>
          <w:tcPr>
            <w:tcW w:w="1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w w:val="96"/>
              </w:rPr>
              <w:t>per Share</w:t>
            </w:r>
          </w:p>
        </w:tc>
        <w:tc>
          <w:tcPr>
            <w:tcW w:w="1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center"/>
              <w:ind w:right="17"/>
              <w:spacing w:after="0"/>
              <w:rPr>
                <w:sz w:val="20"/>
                <w:szCs w:val="20"/>
                <w:color w:val="auto"/>
              </w:rPr>
            </w:pPr>
            <w:r>
              <w:rPr>
                <w:rFonts w:ascii="Arial" w:cs="Arial" w:eastAsia="Arial" w:hAnsi="Arial"/>
                <w:sz w:val="13"/>
                <w:szCs w:val="13"/>
                <w:b w:val="1"/>
                <w:bCs w:val="1"/>
                <w:color w:val="auto"/>
                <w:w w:val="86"/>
              </w:rPr>
              <w:t>per Share</w:t>
            </w: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200" w:type="dxa"/>
            <w:vAlign w:val="bottom"/>
            <w:vMerge w:val="continue"/>
          </w:tcPr>
          <w:p>
            <w:pPr>
              <w:spacing w:after="0"/>
              <w:rPr>
                <w:sz w:val="10"/>
                <w:szCs w:val="10"/>
                <w:color w:val="auto"/>
              </w:rPr>
            </w:pPr>
          </w:p>
        </w:tc>
        <w:tc>
          <w:tcPr>
            <w:tcW w:w="120" w:type="dxa"/>
            <w:vAlign w:val="bottom"/>
          </w:tcPr>
          <w:p>
            <w:pPr>
              <w:jc w:val="right"/>
              <w:spacing w:after="0" w:line="122" w:lineRule="exact"/>
              <w:rPr>
                <w:sz w:val="20"/>
                <w:szCs w:val="20"/>
                <w:color w:val="auto"/>
              </w:rPr>
            </w:pPr>
            <w:r>
              <w:rPr>
                <w:rFonts w:ascii="Arial" w:cs="Arial" w:eastAsia="Arial" w:hAnsi="Arial"/>
                <w:sz w:val="13"/>
                <w:szCs w:val="13"/>
                <w:color w:val="auto"/>
                <w:w w:val="82"/>
              </w:rPr>
              <w:t>$</w:t>
            </w:r>
          </w:p>
        </w:tc>
        <w:tc>
          <w:tcPr>
            <w:tcW w:w="700" w:type="dxa"/>
            <w:vAlign w:val="bottom"/>
          </w:tcPr>
          <w:p>
            <w:pPr>
              <w:jc w:val="right"/>
              <w:ind w:right="17"/>
              <w:spacing w:after="0" w:line="122" w:lineRule="exact"/>
              <w:rPr>
                <w:sz w:val="20"/>
                <w:szCs w:val="20"/>
                <w:color w:val="auto"/>
              </w:rPr>
            </w:pPr>
            <w:r>
              <w:rPr>
                <w:rFonts w:ascii="Arial" w:cs="Arial" w:eastAsia="Arial" w:hAnsi="Arial"/>
                <w:sz w:val="13"/>
                <w:szCs w:val="13"/>
                <w:color w:val="auto"/>
              </w:rPr>
              <w:t>454</w:t>
            </w:r>
          </w:p>
        </w:tc>
        <w:tc>
          <w:tcPr>
            <w:tcW w:w="120" w:type="dxa"/>
            <w:vAlign w:val="bottom"/>
          </w:tcPr>
          <w:p>
            <w:pPr>
              <w:ind w:left="20"/>
              <w:spacing w:after="0" w:line="122" w:lineRule="exact"/>
              <w:rPr>
                <w:sz w:val="20"/>
                <w:szCs w:val="20"/>
                <w:color w:val="auto"/>
              </w:rPr>
            </w:pPr>
            <w:r>
              <w:rPr>
                <w:rFonts w:ascii="Arial" w:cs="Arial" w:eastAsia="Arial" w:hAnsi="Arial"/>
                <w:sz w:val="13"/>
                <w:szCs w:val="13"/>
                <w:color w:val="auto"/>
              </w:rPr>
              <w:t>$</w:t>
            </w:r>
          </w:p>
        </w:tc>
        <w:tc>
          <w:tcPr>
            <w:tcW w:w="900" w:type="dxa"/>
            <w:vAlign w:val="bottom"/>
          </w:tcPr>
          <w:p>
            <w:pPr>
              <w:jc w:val="right"/>
              <w:ind w:right="17"/>
              <w:spacing w:after="0" w:line="122" w:lineRule="exact"/>
              <w:rPr>
                <w:sz w:val="20"/>
                <w:szCs w:val="20"/>
                <w:color w:val="auto"/>
              </w:rPr>
            </w:pPr>
            <w:r>
              <w:rPr>
                <w:rFonts w:ascii="Arial" w:cs="Arial" w:eastAsia="Arial" w:hAnsi="Arial"/>
                <w:sz w:val="13"/>
                <w:szCs w:val="13"/>
                <w:color w:val="auto"/>
              </w:rPr>
              <w:t>525</w:t>
            </w:r>
          </w:p>
        </w:tc>
        <w:tc>
          <w:tcPr>
            <w:tcW w:w="100" w:type="dxa"/>
            <w:vAlign w:val="bottom"/>
          </w:tcPr>
          <w:p>
            <w:pPr>
              <w:ind w:left="40"/>
              <w:spacing w:after="0"/>
              <w:rPr>
                <w:sz w:val="20"/>
                <w:szCs w:val="20"/>
                <w:color w:val="auto"/>
              </w:rPr>
            </w:pPr>
            <w:r>
              <w:rPr>
                <w:rFonts w:ascii="Arial" w:cs="Arial" w:eastAsia="Arial" w:hAnsi="Arial"/>
                <w:sz w:val="9"/>
                <w:szCs w:val="9"/>
                <w:color w:val="auto"/>
                <w:w w:val="78"/>
              </w:rPr>
              <w:t>$</w:t>
            </w:r>
          </w:p>
        </w:tc>
        <w:tc>
          <w:tcPr>
            <w:tcW w:w="800" w:type="dxa"/>
            <w:vAlign w:val="bottom"/>
          </w:tcPr>
          <w:p>
            <w:pPr>
              <w:jc w:val="right"/>
              <w:ind w:right="17"/>
              <w:spacing w:after="0" w:line="122" w:lineRule="exact"/>
              <w:rPr>
                <w:sz w:val="20"/>
                <w:szCs w:val="20"/>
                <w:color w:val="auto"/>
              </w:rPr>
            </w:pPr>
            <w:r>
              <w:rPr>
                <w:rFonts w:ascii="Arial" w:cs="Arial" w:eastAsia="Arial" w:hAnsi="Arial"/>
                <w:sz w:val="13"/>
                <w:szCs w:val="13"/>
                <w:color w:val="auto"/>
              </w:rPr>
              <w:t>0.68</w:t>
            </w:r>
          </w:p>
        </w:tc>
        <w:tc>
          <w:tcPr>
            <w:tcW w:w="120" w:type="dxa"/>
            <w:vAlign w:val="bottom"/>
          </w:tcPr>
          <w:p>
            <w:pPr>
              <w:jc w:val="right"/>
              <w:spacing w:after="0" w:line="122" w:lineRule="exact"/>
              <w:rPr>
                <w:sz w:val="20"/>
                <w:szCs w:val="20"/>
                <w:color w:val="auto"/>
              </w:rPr>
            </w:pPr>
            <w:r>
              <w:rPr>
                <w:rFonts w:ascii="Arial" w:cs="Arial" w:eastAsia="Arial" w:hAnsi="Arial"/>
                <w:sz w:val="13"/>
                <w:szCs w:val="13"/>
                <w:color w:val="auto"/>
                <w:w w:val="82"/>
              </w:rPr>
              <w:t>$</w:t>
            </w:r>
          </w:p>
        </w:tc>
        <w:tc>
          <w:tcPr>
            <w:tcW w:w="800" w:type="dxa"/>
            <w:vAlign w:val="bottom"/>
          </w:tcPr>
          <w:p>
            <w:pPr>
              <w:jc w:val="right"/>
              <w:ind w:right="37"/>
              <w:spacing w:after="0" w:line="122" w:lineRule="exact"/>
              <w:rPr>
                <w:sz w:val="20"/>
                <w:szCs w:val="20"/>
                <w:color w:val="auto"/>
              </w:rPr>
            </w:pPr>
            <w:r>
              <w:rPr>
                <w:rFonts w:ascii="Arial" w:cs="Arial" w:eastAsia="Arial" w:hAnsi="Arial"/>
                <w:sz w:val="13"/>
                <w:szCs w:val="13"/>
                <w:color w:val="auto"/>
              </w:rPr>
              <w:t>0.68</w:t>
            </w: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2200" w:type="dxa"/>
            <w:vAlign w:val="bottom"/>
          </w:tcPr>
          <w:p>
            <w:pPr>
              <w:ind w:left="180"/>
              <w:spacing w:after="0" w:line="176" w:lineRule="exact"/>
              <w:rPr>
                <w:sz w:val="20"/>
                <w:szCs w:val="20"/>
                <w:color w:val="auto"/>
              </w:rPr>
            </w:pPr>
            <w:r>
              <w:rPr>
                <w:rFonts w:ascii="Arial" w:cs="Arial" w:eastAsia="Arial" w:hAnsi="Arial"/>
                <w:sz w:val="13"/>
                <w:szCs w:val="13"/>
                <w:color w:val="auto"/>
              </w:rPr>
              <w:t>Share-based compensation</w:t>
            </w:r>
            <w:r>
              <w:rPr>
                <w:rFonts w:ascii="Arial" w:cs="Arial" w:eastAsia="Arial" w:hAnsi="Arial"/>
                <w:sz w:val="20"/>
                <w:szCs w:val="20"/>
                <w:color w:val="auto"/>
                <w:vertAlign w:val="superscript"/>
              </w:rPr>
              <w:t>1</w:t>
            </w:r>
          </w:p>
        </w:tc>
        <w:tc>
          <w:tcPr>
            <w:tcW w:w="120" w:type="dxa"/>
            <w:vAlign w:val="bottom"/>
          </w:tcPr>
          <w:p>
            <w:pPr>
              <w:spacing w:after="0"/>
              <w:rPr>
                <w:sz w:val="15"/>
                <w:szCs w:val="15"/>
                <w:color w:val="auto"/>
              </w:rPr>
            </w:pPr>
          </w:p>
        </w:tc>
        <w:tc>
          <w:tcPr>
            <w:tcW w:w="700" w:type="dxa"/>
            <w:vAlign w:val="bottom"/>
          </w:tcPr>
          <w:p>
            <w:pPr>
              <w:jc w:val="right"/>
              <w:ind w:right="17"/>
              <w:spacing w:after="0"/>
              <w:rPr>
                <w:sz w:val="20"/>
                <w:szCs w:val="20"/>
                <w:color w:val="auto"/>
              </w:rPr>
            </w:pPr>
            <w:r>
              <w:rPr>
                <w:rFonts w:ascii="Arial" w:cs="Arial" w:eastAsia="Arial" w:hAnsi="Arial"/>
                <w:sz w:val="13"/>
                <w:szCs w:val="13"/>
                <w:color w:val="auto"/>
              </w:rPr>
              <w:t>39</w:t>
            </w:r>
          </w:p>
        </w:tc>
        <w:tc>
          <w:tcPr>
            <w:tcW w:w="120" w:type="dxa"/>
            <w:vAlign w:val="bottom"/>
          </w:tcPr>
          <w:p>
            <w:pPr>
              <w:spacing w:after="0"/>
              <w:rPr>
                <w:sz w:val="15"/>
                <w:szCs w:val="15"/>
                <w:color w:val="auto"/>
              </w:rPr>
            </w:pPr>
          </w:p>
        </w:tc>
        <w:tc>
          <w:tcPr>
            <w:tcW w:w="900" w:type="dxa"/>
            <w:vAlign w:val="bottom"/>
          </w:tcPr>
          <w:p>
            <w:pPr>
              <w:jc w:val="right"/>
              <w:ind w:right="17"/>
              <w:spacing w:after="0"/>
              <w:rPr>
                <w:sz w:val="20"/>
                <w:szCs w:val="20"/>
                <w:color w:val="auto"/>
              </w:rPr>
            </w:pPr>
            <w:r>
              <w:rPr>
                <w:rFonts w:ascii="Arial" w:cs="Arial" w:eastAsia="Arial" w:hAnsi="Arial"/>
                <w:sz w:val="13"/>
                <w:szCs w:val="13"/>
                <w:color w:val="auto"/>
              </w:rPr>
              <w:t>39</w:t>
            </w:r>
          </w:p>
        </w:tc>
        <w:tc>
          <w:tcPr>
            <w:tcW w:w="100" w:type="dxa"/>
            <w:vAlign w:val="bottom"/>
          </w:tcPr>
          <w:p>
            <w:pPr>
              <w:spacing w:after="0"/>
              <w:rPr>
                <w:sz w:val="15"/>
                <w:szCs w:val="15"/>
                <w:color w:val="auto"/>
              </w:rPr>
            </w:pP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0.05</w:t>
            </w:r>
          </w:p>
        </w:tc>
        <w:tc>
          <w:tcPr>
            <w:tcW w:w="120" w:type="dxa"/>
            <w:vAlign w:val="bottom"/>
          </w:tcPr>
          <w:p>
            <w:pPr>
              <w:spacing w:after="0"/>
              <w:rPr>
                <w:sz w:val="15"/>
                <w:szCs w:val="15"/>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0.05</w:t>
            </w: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200" w:type="dxa"/>
            <w:vAlign w:val="bottom"/>
          </w:tcPr>
          <w:p>
            <w:pPr>
              <w:ind w:left="180"/>
              <w:spacing w:after="0" w:line="176" w:lineRule="exact"/>
              <w:rPr>
                <w:sz w:val="20"/>
                <w:szCs w:val="20"/>
                <w:color w:val="auto"/>
              </w:rPr>
            </w:pPr>
            <w:r>
              <w:rPr>
                <w:rFonts w:ascii="Arial" w:cs="Arial" w:eastAsia="Arial" w:hAnsi="Arial"/>
                <w:sz w:val="13"/>
                <w:szCs w:val="13"/>
                <w:color w:val="auto"/>
              </w:rPr>
              <w:t>Amortization of intangible assets</w:t>
            </w:r>
            <w:r>
              <w:rPr>
                <w:rFonts w:ascii="Arial" w:cs="Arial" w:eastAsia="Arial" w:hAnsi="Arial"/>
                <w:sz w:val="20"/>
                <w:szCs w:val="20"/>
                <w:color w:val="auto"/>
                <w:vertAlign w:val="superscript"/>
              </w:rPr>
              <w:t>2</w:t>
            </w:r>
          </w:p>
        </w:tc>
        <w:tc>
          <w:tcPr>
            <w:tcW w:w="120" w:type="dxa"/>
            <w:vAlign w:val="bottom"/>
          </w:tcPr>
          <w:p>
            <w:pPr>
              <w:spacing w:after="0"/>
              <w:rPr>
                <w:sz w:val="15"/>
                <w:szCs w:val="15"/>
                <w:color w:val="auto"/>
              </w:rPr>
            </w:pPr>
          </w:p>
        </w:tc>
        <w:tc>
          <w:tcPr>
            <w:tcW w:w="700" w:type="dxa"/>
            <w:vAlign w:val="bottom"/>
          </w:tcPr>
          <w:p>
            <w:pPr>
              <w:jc w:val="right"/>
              <w:ind w:right="17"/>
              <w:spacing w:after="0"/>
              <w:rPr>
                <w:sz w:val="20"/>
                <w:szCs w:val="20"/>
                <w:color w:val="auto"/>
              </w:rPr>
            </w:pPr>
            <w:r>
              <w:rPr>
                <w:rFonts w:ascii="Arial" w:cs="Arial" w:eastAsia="Arial" w:hAnsi="Arial"/>
                <w:sz w:val="13"/>
                <w:szCs w:val="13"/>
                <w:color w:val="auto"/>
              </w:rPr>
              <w:t>51</w:t>
            </w:r>
          </w:p>
        </w:tc>
        <w:tc>
          <w:tcPr>
            <w:tcW w:w="120" w:type="dxa"/>
            <w:vAlign w:val="bottom"/>
          </w:tcPr>
          <w:p>
            <w:pPr>
              <w:spacing w:after="0"/>
              <w:rPr>
                <w:sz w:val="15"/>
                <w:szCs w:val="15"/>
                <w:color w:val="auto"/>
              </w:rPr>
            </w:pPr>
          </w:p>
        </w:tc>
        <w:tc>
          <w:tcPr>
            <w:tcW w:w="900" w:type="dxa"/>
            <w:vAlign w:val="bottom"/>
          </w:tcPr>
          <w:p>
            <w:pPr>
              <w:jc w:val="right"/>
              <w:ind w:right="17"/>
              <w:spacing w:after="0"/>
              <w:rPr>
                <w:sz w:val="20"/>
                <w:szCs w:val="20"/>
                <w:color w:val="auto"/>
              </w:rPr>
            </w:pPr>
            <w:r>
              <w:rPr>
                <w:rFonts w:ascii="Arial" w:cs="Arial" w:eastAsia="Arial" w:hAnsi="Arial"/>
                <w:sz w:val="13"/>
                <w:szCs w:val="13"/>
                <w:color w:val="auto"/>
              </w:rPr>
              <w:t>51</w:t>
            </w:r>
          </w:p>
        </w:tc>
        <w:tc>
          <w:tcPr>
            <w:tcW w:w="100" w:type="dxa"/>
            <w:vAlign w:val="bottom"/>
          </w:tcPr>
          <w:p>
            <w:pPr>
              <w:spacing w:after="0"/>
              <w:rPr>
                <w:sz w:val="15"/>
                <w:szCs w:val="15"/>
                <w:color w:val="auto"/>
              </w:rPr>
            </w:pP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0.07</w:t>
            </w:r>
          </w:p>
        </w:tc>
        <w:tc>
          <w:tcPr>
            <w:tcW w:w="120" w:type="dxa"/>
            <w:vAlign w:val="bottom"/>
          </w:tcPr>
          <w:p>
            <w:pPr>
              <w:spacing w:after="0"/>
              <w:rPr>
                <w:sz w:val="15"/>
                <w:szCs w:val="15"/>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0.07</w:t>
            </w: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200" w:type="dxa"/>
            <w:vAlign w:val="bottom"/>
          </w:tcPr>
          <w:p>
            <w:pPr>
              <w:ind w:left="180"/>
              <w:spacing w:after="0" w:line="176" w:lineRule="exact"/>
              <w:rPr>
                <w:sz w:val="20"/>
                <w:szCs w:val="20"/>
                <w:color w:val="auto"/>
              </w:rPr>
            </w:pPr>
            <w:r>
              <w:rPr>
                <w:rFonts w:ascii="Arial" w:cs="Arial" w:eastAsia="Arial" w:hAnsi="Arial"/>
                <w:sz w:val="13"/>
                <w:szCs w:val="13"/>
                <w:color w:val="auto"/>
              </w:rPr>
              <w:t>Restructuring and related costs</w:t>
            </w:r>
            <w:r>
              <w:rPr>
                <w:rFonts w:ascii="Arial" w:cs="Arial" w:eastAsia="Arial" w:hAnsi="Arial"/>
                <w:sz w:val="20"/>
                <w:szCs w:val="20"/>
                <w:color w:val="auto"/>
                <w:vertAlign w:val="superscript"/>
              </w:rPr>
              <w:t>3</w:t>
            </w:r>
          </w:p>
        </w:tc>
        <w:tc>
          <w:tcPr>
            <w:tcW w:w="120" w:type="dxa"/>
            <w:vAlign w:val="bottom"/>
          </w:tcPr>
          <w:p>
            <w:pPr>
              <w:spacing w:after="0"/>
              <w:rPr>
                <w:sz w:val="15"/>
                <w:szCs w:val="15"/>
                <w:color w:val="auto"/>
              </w:rPr>
            </w:pPr>
          </w:p>
        </w:tc>
        <w:tc>
          <w:tcPr>
            <w:tcW w:w="700" w:type="dxa"/>
            <w:vAlign w:val="bottom"/>
          </w:tcPr>
          <w:p>
            <w:pPr>
              <w:jc w:val="right"/>
              <w:ind w:right="17"/>
              <w:spacing w:after="0"/>
              <w:rPr>
                <w:sz w:val="20"/>
                <w:szCs w:val="20"/>
                <w:color w:val="auto"/>
              </w:rPr>
            </w:pPr>
            <w:r>
              <w:rPr>
                <w:rFonts w:ascii="Arial" w:cs="Arial" w:eastAsia="Arial" w:hAnsi="Arial"/>
                <w:sz w:val="13"/>
                <w:szCs w:val="13"/>
                <w:color w:val="auto"/>
              </w:rPr>
              <w:t>30</w:t>
            </w:r>
          </w:p>
        </w:tc>
        <w:tc>
          <w:tcPr>
            <w:tcW w:w="120" w:type="dxa"/>
            <w:vAlign w:val="bottom"/>
          </w:tcPr>
          <w:p>
            <w:pPr>
              <w:spacing w:after="0"/>
              <w:rPr>
                <w:sz w:val="15"/>
                <w:szCs w:val="15"/>
                <w:color w:val="auto"/>
              </w:rPr>
            </w:pPr>
          </w:p>
        </w:tc>
        <w:tc>
          <w:tcPr>
            <w:tcW w:w="900" w:type="dxa"/>
            <w:vAlign w:val="bottom"/>
          </w:tcPr>
          <w:p>
            <w:pPr>
              <w:jc w:val="right"/>
              <w:ind w:right="17"/>
              <w:spacing w:after="0"/>
              <w:rPr>
                <w:sz w:val="20"/>
                <w:szCs w:val="20"/>
                <w:color w:val="auto"/>
              </w:rPr>
            </w:pPr>
            <w:r>
              <w:rPr>
                <w:rFonts w:ascii="Arial" w:cs="Arial" w:eastAsia="Arial" w:hAnsi="Arial"/>
                <w:sz w:val="13"/>
                <w:szCs w:val="13"/>
                <w:color w:val="auto"/>
              </w:rPr>
              <w:t>30</w:t>
            </w:r>
          </w:p>
        </w:tc>
        <w:tc>
          <w:tcPr>
            <w:tcW w:w="100" w:type="dxa"/>
            <w:vAlign w:val="bottom"/>
          </w:tcPr>
          <w:p>
            <w:pPr>
              <w:spacing w:after="0"/>
              <w:rPr>
                <w:sz w:val="15"/>
                <w:szCs w:val="15"/>
                <w:color w:val="auto"/>
              </w:rPr>
            </w:pP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0.04</w:t>
            </w:r>
          </w:p>
        </w:tc>
        <w:tc>
          <w:tcPr>
            <w:tcW w:w="120" w:type="dxa"/>
            <w:vAlign w:val="bottom"/>
          </w:tcPr>
          <w:p>
            <w:pPr>
              <w:spacing w:after="0"/>
              <w:rPr>
                <w:sz w:val="15"/>
                <w:szCs w:val="15"/>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0.04</w:t>
            </w: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200" w:type="dxa"/>
            <w:vAlign w:val="bottom"/>
          </w:tcPr>
          <w:p>
            <w:pPr>
              <w:ind w:left="180"/>
              <w:spacing w:after="0" w:line="176" w:lineRule="exact"/>
              <w:rPr>
                <w:sz w:val="20"/>
                <w:szCs w:val="20"/>
                <w:color w:val="auto"/>
              </w:rPr>
            </w:pPr>
            <w:r>
              <w:rPr>
                <w:rFonts w:ascii="Arial" w:cs="Arial" w:eastAsia="Arial" w:hAnsi="Arial"/>
                <w:sz w:val="13"/>
                <w:szCs w:val="13"/>
                <w:color w:val="auto"/>
                <w:w w:val="89"/>
              </w:rPr>
              <w:t>Income tax impacts from items above</w:t>
            </w:r>
            <w:r>
              <w:rPr>
                <w:rFonts w:ascii="Arial" w:cs="Arial" w:eastAsia="Arial" w:hAnsi="Arial"/>
                <w:sz w:val="20"/>
                <w:szCs w:val="20"/>
                <w:color w:val="auto"/>
                <w:w w:val="89"/>
                <w:vertAlign w:val="superscript"/>
              </w:rPr>
              <w:t>6</w:t>
            </w:r>
          </w:p>
        </w:tc>
        <w:tc>
          <w:tcPr>
            <w:tcW w:w="120" w:type="dxa"/>
            <w:vAlign w:val="bottom"/>
          </w:tcPr>
          <w:p>
            <w:pPr>
              <w:spacing w:after="0"/>
              <w:rPr>
                <w:sz w:val="15"/>
                <w:szCs w:val="15"/>
                <w:color w:val="auto"/>
              </w:rPr>
            </w:pPr>
          </w:p>
        </w:tc>
        <w:tc>
          <w:tcPr>
            <w:tcW w:w="70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(45)</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(0.06)</w:t>
            </w: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(0.06)</w:t>
            </w: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200" w:type="dxa"/>
            <w:vAlign w:val="bottom"/>
          </w:tcPr>
          <w:p>
            <w:pPr>
              <w:ind w:left="180"/>
              <w:spacing w:after="0" w:line="183" w:lineRule="exact"/>
              <w:rPr>
                <w:sz w:val="20"/>
                <w:szCs w:val="20"/>
                <w:color w:val="auto"/>
              </w:rPr>
            </w:pPr>
            <w:r>
              <w:rPr>
                <w:rFonts w:ascii="Arial" w:cs="Arial" w:eastAsia="Arial" w:hAnsi="Arial"/>
                <w:sz w:val="13"/>
                <w:szCs w:val="13"/>
                <w:color w:val="auto"/>
              </w:rPr>
              <w:t>Discrete tax-related items</w:t>
            </w:r>
            <w:r>
              <w:rPr>
                <w:rFonts w:ascii="Arial" w:cs="Arial" w:eastAsia="Arial" w:hAnsi="Arial"/>
                <w:sz w:val="20"/>
                <w:szCs w:val="20"/>
                <w:color w:val="auto"/>
                <w:vertAlign w:val="superscript"/>
              </w:rPr>
              <w:t>4</w:t>
            </w: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17</w:t>
            </w: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(123)</w:t>
            </w: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(0.16)</w:t>
            </w: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(0.16)</w:t>
            </w: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200" w:type="dxa"/>
            <w:vAlign w:val="bottom"/>
          </w:tcPr>
          <w:p>
            <w:pPr>
              <w:spacing w:after="0" w:line="129" w:lineRule="exact"/>
              <w:rPr>
                <w:sz w:val="20"/>
                <w:szCs w:val="20"/>
                <w:color w:val="auto"/>
              </w:rPr>
            </w:pPr>
            <w:r>
              <w:rPr>
                <w:rFonts w:ascii="Arial" w:cs="Arial" w:eastAsia="Arial" w:hAnsi="Arial"/>
                <w:sz w:val="13"/>
                <w:szCs w:val="13"/>
                <w:color w:val="auto"/>
              </w:rPr>
              <w:t>Non-GAAP Measurement</w:t>
            </w:r>
          </w:p>
        </w:tc>
        <w:tc>
          <w:tcPr>
            <w:tcW w:w="1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82"/>
              </w:rPr>
              <w:t>$</w:t>
            </w:r>
          </w:p>
        </w:tc>
        <w:tc>
          <w:tcPr>
            <w:tcW w:w="700" w:type="dxa"/>
            <w:vAlign w:val="bottom"/>
            <w:tcBorders>
              <w:bottom w:val="single" w:sz="8" w:color="auto"/>
            </w:tcBorders>
          </w:tcPr>
          <w:p>
            <w:pPr>
              <w:jc w:val="right"/>
              <w:ind w:right="17"/>
              <w:spacing w:after="0" w:line="129" w:lineRule="exact"/>
              <w:rPr>
                <w:sz w:val="20"/>
                <w:szCs w:val="20"/>
                <w:color w:val="auto"/>
              </w:rPr>
            </w:pPr>
            <w:r>
              <w:rPr>
                <w:rFonts w:ascii="Arial" w:cs="Arial" w:eastAsia="Arial" w:hAnsi="Arial"/>
                <w:sz w:val="13"/>
                <w:szCs w:val="13"/>
                <w:color w:val="auto"/>
              </w:rPr>
              <w:t>591</w:t>
            </w:r>
          </w:p>
        </w:tc>
        <w:tc>
          <w:tcPr>
            <w:tcW w:w="120" w:type="dxa"/>
            <w:vAlign w:val="bottom"/>
            <w:tcBorders>
              <w:bottom w:val="single" w:sz="8" w:color="auto"/>
            </w:tcBorders>
          </w:tcPr>
          <w:p>
            <w:pPr>
              <w:ind w:left="20"/>
              <w:spacing w:after="0" w:line="129" w:lineRule="exact"/>
              <w:rPr>
                <w:sz w:val="20"/>
                <w:szCs w:val="20"/>
                <w:color w:val="auto"/>
              </w:rPr>
            </w:pPr>
            <w:r>
              <w:rPr>
                <w:rFonts w:ascii="Arial" w:cs="Arial" w:eastAsia="Arial" w:hAnsi="Arial"/>
                <w:sz w:val="13"/>
                <w:szCs w:val="13"/>
                <w:color w:val="auto"/>
              </w:rPr>
              <w:t>$</w:t>
            </w:r>
          </w:p>
        </w:tc>
        <w:tc>
          <w:tcPr>
            <w:tcW w:w="900" w:type="dxa"/>
            <w:vAlign w:val="bottom"/>
            <w:tcBorders>
              <w:bottom w:val="single" w:sz="8" w:color="auto"/>
            </w:tcBorders>
          </w:tcPr>
          <w:p>
            <w:pPr>
              <w:jc w:val="right"/>
              <w:ind w:right="17"/>
              <w:spacing w:after="0" w:line="129" w:lineRule="exact"/>
              <w:rPr>
                <w:sz w:val="20"/>
                <w:szCs w:val="20"/>
                <w:color w:val="auto"/>
              </w:rPr>
            </w:pPr>
            <w:r>
              <w:rPr>
                <w:rFonts w:ascii="Arial" w:cs="Arial" w:eastAsia="Arial" w:hAnsi="Arial"/>
                <w:sz w:val="13"/>
                <w:szCs w:val="13"/>
                <w:color w:val="auto"/>
              </w:rPr>
              <w:t>477</w:t>
            </w:r>
          </w:p>
        </w:tc>
        <w:tc>
          <w:tcPr>
            <w:tcW w:w="100" w:type="dxa"/>
            <w:vAlign w:val="bottom"/>
            <w:tcBorders>
              <w:bottom w:val="single" w:sz="8" w:color="auto"/>
            </w:tcBorders>
          </w:tcPr>
          <w:p>
            <w:pPr>
              <w:ind w:left="40"/>
              <w:spacing w:after="0"/>
              <w:rPr>
                <w:sz w:val="20"/>
                <w:szCs w:val="20"/>
                <w:color w:val="auto"/>
              </w:rPr>
            </w:pPr>
            <w:r>
              <w:rPr>
                <w:rFonts w:ascii="Arial" w:cs="Arial" w:eastAsia="Arial" w:hAnsi="Arial"/>
                <w:sz w:val="9"/>
                <w:szCs w:val="9"/>
                <w:color w:val="auto"/>
                <w:w w:val="78"/>
              </w:rPr>
              <w:t>$</w:t>
            </w:r>
          </w:p>
        </w:tc>
        <w:tc>
          <w:tcPr>
            <w:tcW w:w="800" w:type="dxa"/>
            <w:vAlign w:val="bottom"/>
            <w:tcBorders>
              <w:bottom w:val="single" w:sz="8" w:color="auto"/>
            </w:tcBorders>
          </w:tcPr>
          <w:p>
            <w:pPr>
              <w:jc w:val="right"/>
              <w:ind w:right="17"/>
              <w:spacing w:after="0" w:line="129" w:lineRule="exact"/>
              <w:rPr>
                <w:sz w:val="20"/>
                <w:szCs w:val="20"/>
                <w:color w:val="auto"/>
              </w:rPr>
            </w:pPr>
            <w:r>
              <w:rPr>
                <w:rFonts w:ascii="Arial" w:cs="Arial" w:eastAsia="Arial" w:hAnsi="Arial"/>
                <w:sz w:val="13"/>
                <w:szCs w:val="13"/>
                <w:color w:val="auto"/>
              </w:rPr>
              <w:t>0.62</w:t>
            </w:r>
          </w:p>
        </w:tc>
        <w:tc>
          <w:tcPr>
            <w:tcW w:w="1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82"/>
              </w:rPr>
              <w:t>$</w:t>
            </w:r>
          </w:p>
        </w:tc>
        <w:tc>
          <w:tcPr>
            <w:tcW w:w="800" w:type="dxa"/>
            <w:vAlign w:val="bottom"/>
            <w:tcBorders>
              <w:bottom w:val="single" w:sz="8" w:color="auto"/>
            </w:tcBorders>
          </w:tcPr>
          <w:p>
            <w:pPr>
              <w:jc w:val="right"/>
              <w:ind w:right="37"/>
              <w:spacing w:after="0" w:line="129" w:lineRule="exact"/>
              <w:rPr>
                <w:sz w:val="20"/>
                <w:szCs w:val="20"/>
                <w:color w:val="auto"/>
              </w:rPr>
            </w:pPr>
            <w:r>
              <w:rPr>
                <w:rFonts w:ascii="Arial" w:cs="Arial" w:eastAsia="Arial" w:hAnsi="Arial"/>
                <w:sz w:val="13"/>
                <w:szCs w:val="13"/>
                <w:color w:val="auto"/>
              </w:rPr>
              <w:t>0.62</w:t>
            </w: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200" w:type="dxa"/>
            <w:vAlign w:val="bottom"/>
            <w:vMerge w:val="restart"/>
          </w:tcPr>
          <w:p>
            <w:pPr>
              <w:ind w:left="180"/>
              <w:spacing w:after="0"/>
              <w:rPr>
                <w:sz w:val="20"/>
                <w:szCs w:val="20"/>
                <w:color w:val="auto"/>
              </w:rPr>
            </w:pPr>
            <w:r>
              <w:rPr>
                <w:rFonts w:ascii="Arial" w:cs="Arial" w:eastAsia="Arial" w:hAnsi="Arial"/>
                <w:sz w:val="13"/>
                <w:szCs w:val="13"/>
                <w:color w:val="auto"/>
                <w:w w:val="97"/>
              </w:rPr>
              <w:t>Net effect of deferred revenues and</w:t>
            </w: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220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2"/>
        </w:trPr>
        <w:tc>
          <w:tcPr>
            <w:tcW w:w="2200" w:type="dxa"/>
            <w:vAlign w:val="bottom"/>
          </w:tcPr>
          <w:p>
            <w:pPr>
              <w:ind w:left="180"/>
              <w:spacing w:after="0"/>
              <w:rPr>
                <w:sz w:val="20"/>
                <w:szCs w:val="20"/>
                <w:color w:val="auto"/>
              </w:rPr>
            </w:pPr>
            <w:r>
              <w:rPr>
                <w:rFonts w:ascii="Arial" w:cs="Arial" w:eastAsia="Arial" w:hAnsi="Arial"/>
                <w:sz w:val="13"/>
                <w:szCs w:val="13"/>
                <w:color w:val="auto"/>
              </w:rPr>
              <w:t>related cost of revenues</w:t>
            </w:r>
            <w:r>
              <w:rPr>
                <w:rFonts w:ascii="Arial" w:cs="Arial" w:eastAsia="Arial" w:hAnsi="Arial"/>
                <w:sz w:val="20"/>
                <w:szCs w:val="20"/>
                <w:color w:val="auto"/>
                <w:vertAlign w:val="superscript"/>
              </w:rPr>
              <w:t>5</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ind w:right="17"/>
              <w:spacing w:after="0"/>
              <w:rPr>
                <w:sz w:val="20"/>
                <w:szCs w:val="20"/>
                <w:color w:val="auto"/>
              </w:rPr>
            </w:pPr>
            <w:r>
              <w:rPr>
                <w:rFonts w:ascii="Arial" w:cs="Arial" w:eastAsia="Arial" w:hAnsi="Arial"/>
                <w:sz w:val="13"/>
                <w:szCs w:val="13"/>
                <w:color w:val="auto"/>
              </w:rPr>
              <w:t>577</w:t>
            </w:r>
          </w:p>
        </w:tc>
        <w:tc>
          <w:tcPr>
            <w:tcW w:w="120" w:type="dxa"/>
            <w:vAlign w:val="bottom"/>
          </w:tcPr>
          <w:p>
            <w:pPr>
              <w:ind w:left="20"/>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17"/>
              <w:spacing w:after="0"/>
              <w:rPr>
                <w:sz w:val="20"/>
                <w:szCs w:val="20"/>
                <w:color w:val="auto"/>
              </w:rPr>
            </w:pPr>
            <w:r>
              <w:rPr>
                <w:rFonts w:ascii="Arial" w:cs="Arial" w:eastAsia="Arial" w:hAnsi="Arial"/>
                <w:sz w:val="13"/>
                <w:szCs w:val="13"/>
                <w:color w:val="auto"/>
              </w:rPr>
              <w:t>476</w:t>
            </w:r>
          </w:p>
        </w:tc>
        <w:tc>
          <w:tcPr>
            <w:tcW w:w="100" w:type="dxa"/>
            <w:vAlign w:val="bottom"/>
          </w:tcPr>
          <w:p>
            <w:pPr>
              <w:ind w:left="40"/>
              <w:spacing w:after="0"/>
              <w:rPr>
                <w:sz w:val="20"/>
                <w:szCs w:val="20"/>
                <w:color w:val="auto"/>
              </w:rPr>
            </w:pPr>
            <w:r>
              <w:rPr>
                <w:rFonts w:ascii="Arial" w:cs="Arial" w:eastAsia="Arial" w:hAnsi="Arial"/>
                <w:sz w:val="9"/>
                <w:szCs w:val="9"/>
                <w:color w:val="auto"/>
                <w:w w:val="78"/>
              </w:rPr>
              <w:t>$</w:t>
            </w: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0.62</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0.61</w:t>
            </w:r>
          </w:p>
        </w:tc>
        <w:tc>
          <w:tcPr>
            <w:tcW w:w="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left="340" w:hanging="332"/>
        <w:spacing w:after="0"/>
        <w:tabs>
          <w:tab w:leader="none" w:pos="340" w:val="left"/>
        </w:tabs>
        <w:numPr>
          <w:ilvl w:val="0"/>
          <w:numId w:val="20"/>
        </w:numPr>
        <w:rPr>
          <w:rFonts w:ascii="Arial" w:cs="Arial" w:eastAsia="Arial" w:hAnsi="Arial"/>
          <w:sz w:val="21"/>
          <w:szCs w:val="21"/>
          <w:color w:val="auto"/>
          <w:vertAlign w:val="superscript"/>
        </w:rPr>
      </w:pPr>
      <w:r>
        <w:rPr>
          <w:rFonts w:ascii="Arial" w:cs="Arial" w:eastAsia="Arial" w:hAnsi="Arial"/>
          <w:sz w:val="13"/>
          <w:szCs w:val="13"/>
          <w:color w:val="auto"/>
        </w:rPr>
        <w:t>Includes expenses related to share-based compensation.</w:t>
      </w:r>
    </w:p>
    <w:p>
      <w:pPr>
        <w:ind w:left="340" w:hanging="332"/>
        <w:spacing w:after="0" w:line="182" w:lineRule="auto"/>
        <w:tabs>
          <w:tab w:leader="none" w:pos="340" w:val="left"/>
        </w:tabs>
        <w:numPr>
          <w:ilvl w:val="0"/>
          <w:numId w:val="21"/>
        </w:numPr>
        <w:rPr>
          <w:rFonts w:ascii="Arial" w:cs="Arial" w:eastAsia="Arial" w:hAnsi="Arial"/>
          <w:sz w:val="17"/>
          <w:szCs w:val="17"/>
          <w:color w:val="auto"/>
          <w:vertAlign w:val="superscript"/>
        </w:rPr>
      </w:pPr>
      <w:r>
        <w:rPr>
          <w:rFonts w:ascii="Arial" w:cs="Arial" w:eastAsia="Arial" w:hAnsi="Arial"/>
          <w:sz w:val="10"/>
          <w:szCs w:val="10"/>
          <w:color w:val="auto"/>
        </w:rPr>
        <w:t>Reflects amortization of intangible assets from purchase price accounting.</w:t>
      </w:r>
    </w:p>
    <w:p>
      <w:pPr>
        <w:ind w:left="340" w:hanging="332"/>
        <w:spacing w:after="0" w:line="187" w:lineRule="auto"/>
        <w:tabs>
          <w:tab w:leader="none" w:pos="340" w:val="left"/>
        </w:tabs>
        <w:numPr>
          <w:ilvl w:val="0"/>
          <w:numId w:val="22"/>
        </w:numPr>
        <w:rPr>
          <w:rFonts w:ascii="Arial" w:cs="Arial" w:eastAsia="Arial" w:hAnsi="Arial"/>
          <w:sz w:val="16"/>
          <w:szCs w:val="16"/>
          <w:color w:val="auto"/>
          <w:vertAlign w:val="superscript"/>
        </w:rPr>
      </w:pPr>
      <w:r>
        <w:rPr>
          <w:rFonts w:ascii="Arial" w:cs="Arial" w:eastAsia="Arial" w:hAnsi="Arial"/>
          <w:sz w:val="10"/>
          <w:szCs w:val="10"/>
          <w:color w:val="auto"/>
        </w:rPr>
        <w:t>Reflects restructuring initiatives, primarily severance and other restructuring-related costs.</w:t>
      </w:r>
    </w:p>
    <w:p>
      <w:pPr>
        <w:ind w:left="340" w:right="20" w:hanging="332"/>
        <w:spacing w:after="0" w:line="221" w:lineRule="auto"/>
        <w:tabs>
          <w:tab w:leader="none" w:pos="340" w:val="left"/>
        </w:tabs>
        <w:numPr>
          <w:ilvl w:val="0"/>
          <w:numId w:val="23"/>
        </w:numPr>
        <w:rPr>
          <w:rFonts w:ascii="Arial" w:cs="Arial" w:eastAsia="Arial" w:hAnsi="Arial"/>
          <w:sz w:val="10"/>
          <w:szCs w:val="10"/>
          <w:color w:val="auto"/>
        </w:rPr>
      </w:pPr>
      <w:r>
        <w:rPr>
          <w:rFonts w:ascii="Arial" w:cs="Arial" w:eastAsia="Arial" w:hAnsi="Arial"/>
          <w:sz w:val="13"/>
          <w:szCs w:val="13"/>
          <w:color w:val="auto"/>
        </w:rPr>
        <w:t>Reflects the impact of significant discrete tax-related items, including amounts related to changes in tax laws, amounts related to the potential or final resolution of tax positions, and/or other unusual or unique tax-related items and activities. Activision Blizzard will provide additional information in our forthcoming Form 10-K for the year ending December 31, 2019.</w:t>
      </w:r>
    </w:p>
    <w:p>
      <w:pPr>
        <w:ind w:left="340" w:hanging="332"/>
        <w:spacing w:after="0" w:line="186" w:lineRule="auto"/>
        <w:tabs>
          <w:tab w:leader="none" w:pos="340" w:val="left"/>
        </w:tabs>
        <w:numPr>
          <w:ilvl w:val="0"/>
          <w:numId w:val="24"/>
        </w:numPr>
        <w:rPr>
          <w:rFonts w:ascii="Arial" w:cs="Arial" w:eastAsia="Arial" w:hAnsi="Arial"/>
          <w:sz w:val="16"/>
          <w:szCs w:val="16"/>
          <w:color w:val="auto"/>
          <w:vertAlign w:val="superscript"/>
        </w:rPr>
      </w:pPr>
      <w:r>
        <w:rPr>
          <w:rFonts w:ascii="Arial" w:cs="Arial" w:eastAsia="Arial" w:hAnsi="Arial"/>
          <w:sz w:val="10"/>
          <w:szCs w:val="10"/>
          <w:color w:val="auto"/>
        </w:rPr>
        <w:t>Reflects the net effect from deferral of revenues and (recognition) of deferred revenues, along with related cost of revenues, on certain of our online enabled products, including the effects of taxes.</w:t>
      </w:r>
    </w:p>
    <w:p>
      <w:pPr>
        <w:spacing w:after="0" w:line="1" w:lineRule="exact"/>
        <w:rPr>
          <w:sz w:val="20"/>
          <w:szCs w:val="20"/>
          <w:color w:val="auto"/>
        </w:rPr>
      </w:pPr>
    </w:p>
    <w:p>
      <w:pPr>
        <w:ind w:left="340" w:right="100" w:hanging="332"/>
        <w:spacing w:after="0" w:line="229" w:lineRule="auto"/>
        <w:tabs>
          <w:tab w:leader="none" w:pos="340" w:val="left"/>
        </w:tabs>
        <w:numPr>
          <w:ilvl w:val="0"/>
          <w:numId w:val="25"/>
        </w:numPr>
        <w:rPr>
          <w:rFonts w:ascii="Arial" w:cs="Arial" w:eastAsia="Arial" w:hAnsi="Arial"/>
          <w:sz w:val="10"/>
          <w:szCs w:val="10"/>
          <w:color w:val="auto"/>
        </w:rPr>
      </w:pPr>
      <w:r>
        <w:rPr>
          <w:rFonts w:ascii="Arial" w:cs="Arial" w:eastAsia="Arial" w:hAnsi="Arial"/>
          <w:sz w:val="13"/>
          <w:szCs w:val="13"/>
          <w:color w:val="auto"/>
        </w:rPr>
        <w:t>Reflects the income tax impact associated with the above items. Tax impact on non-GAAP pre-tax income is calculated under the same accounting principles applied to the GAAP pre-tax income under ASC 740, which employs an annual effective tax rate method to the results.</w:t>
      </w:r>
    </w:p>
    <w:p>
      <w:pPr>
        <w:spacing w:after="0" w:line="191" w:lineRule="exact"/>
        <w:rPr>
          <w:sz w:val="20"/>
          <w:szCs w:val="20"/>
          <w:color w:val="auto"/>
        </w:rPr>
      </w:pPr>
    </w:p>
    <w:p>
      <w:pPr>
        <w:spacing w:after="0"/>
        <w:rPr>
          <w:sz w:val="20"/>
          <w:szCs w:val="20"/>
          <w:color w:val="auto"/>
        </w:rPr>
      </w:pPr>
      <w:r>
        <w:rPr>
          <w:rFonts w:ascii="Arial" w:cs="Arial" w:eastAsia="Arial" w:hAnsi="Arial"/>
          <w:sz w:val="13"/>
          <w:szCs w:val="13"/>
          <w:color w:val="auto"/>
        </w:rPr>
        <w:t>The GAAP and non-GAAP earnings per share information is presented as calculated. The sum of these measures, as presented, may differ due to the impact of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4" w:name="page15"/>
    <w:bookmarkEnd w:id="14"/>
    <w:p>
      <w:pPr>
        <w:jc w:val="right"/>
        <w:spacing w:after="0"/>
        <w:rPr>
          <w:sz w:val="20"/>
          <w:szCs w:val="20"/>
          <w:color w:val="auto"/>
        </w:rPr>
      </w:pPr>
      <w:r>
        <w:rPr>
          <w:rFonts w:ascii="Arial" w:cs="Arial" w:eastAsia="Arial" w:hAnsi="Arial"/>
          <w:sz w:val="18"/>
          <w:szCs w:val="18"/>
          <w:b w:val="1"/>
          <w:bCs w:val="1"/>
          <w:color w:val="auto"/>
        </w:rPr>
        <w:t>6</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ACTIVISION BLIZZARD, INC. AND SUBSIDIARIES</w:t>
      </w:r>
    </w:p>
    <w:p>
      <w:pPr>
        <w:spacing w:after="0" w:line="27" w:lineRule="exact"/>
        <w:rPr>
          <w:sz w:val="20"/>
          <w:szCs w:val="20"/>
          <w:color w:val="auto"/>
        </w:rPr>
      </w:pPr>
    </w:p>
    <w:p>
      <w:pPr>
        <w:ind w:right="5360"/>
        <w:spacing w:after="0" w:line="261" w:lineRule="auto"/>
        <w:rPr>
          <w:sz w:val="20"/>
          <w:szCs w:val="20"/>
          <w:color w:val="auto"/>
        </w:rPr>
      </w:pPr>
      <w:r>
        <w:rPr>
          <w:rFonts w:ascii="Arial" w:cs="Arial" w:eastAsia="Arial" w:hAnsi="Arial"/>
          <w:sz w:val="18"/>
          <w:szCs w:val="18"/>
          <w:b w:val="1"/>
          <w:bCs w:val="1"/>
          <w:color w:val="auto"/>
        </w:rPr>
        <w:t>RECONCILIATION OF GAAP NET INCOME TO NON-GAAP MEASURES (Amounts in millions, except per share data)</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w w:val="84"/>
              </w:rPr>
              <w:t>Cost of</w:t>
            </w: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jc w:val="center"/>
              <w:ind w:right="17"/>
              <w:spacing w:after="0"/>
              <w:rPr>
                <w:sz w:val="20"/>
                <w:szCs w:val="20"/>
                <w:color w:val="auto"/>
              </w:rPr>
            </w:pPr>
            <w:r>
              <w:rPr>
                <w:rFonts w:ascii="Arial" w:cs="Arial" w:eastAsia="Arial" w:hAnsi="Arial"/>
                <w:sz w:val="13"/>
                <w:szCs w:val="13"/>
                <w:b w:val="1"/>
                <w:bCs w:val="1"/>
                <w:color w:val="auto"/>
                <w:w w:val="84"/>
              </w:rPr>
              <w:t>Cost of</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5"/>
              </w:rPr>
              <w:t>Revenues—</w:t>
            </w:r>
          </w:p>
        </w:tc>
        <w:tc>
          <w:tcPr>
            <w:tcW w:w="140" w:type="dxa"/>
            <w:vAlign w:val="bottom"/>
          </w:tcPr>
          <w:p>
            <w:pPr>
              <w:spacing w:after="0"/>
              <w:rPr>
                <w:sz w:val="11"/>
                <w:szCs w:val="11"/>
                <w:color w:val="auto"/>
              </w:rPr>
            </w:pPr>
          </w:p>
        </w:tc>
        <w:tc>
          <w:tcPr>
            <w:tcW w:w="1160" w:type="dxa"/>
            <w:vAlign w:val="bottom"/>
          </w:tcPr>
          <w:p>
            <w:pPr>
              <w:jc w:val="center"/>
              <w:ind w:right="37"/>
              <w:spacing w:after="0" w:line="135" w:lineRule="exact"/>
              <w:rPr>
                <w:sz w:val="20"/>
                <w:szCs w:val="20"/>
                <w:color w:val="auto"/>
              </w:rPr>
            </w:pPr>
            <w:r>
              <w:rPr>
                <w:rFonts w:ascii="Arial" w:cs="Arial" w:eastAsia="Arial" w:hAnsi="Arial"/>
                <w:sz w:val="13"/>
                <w:szCs w:val="13"/>
                <w:b w:val="1"/>
                <w:bCs w:val="1"/>
                <w:color w:val="auto"/>
                <w:w w:val="84"/>
              </w:rPr>
              <w:t>Cost of</w:t>
            </w:r>
          </w:p>
        </w:tc>
        <w:tc>
          <w:tcPr>
            <w:tcW w:w="80" w:type="dxa"/>
            <w:vAlign w:val="bottom"/>
          </w:tcPr>
          <w:p>
            <w:pPr>
              <w:spacing w:after="0"/>
              <w:rPr>
                <w:sz w:val="11"/>
                <w:szCs w:val="11"/>
                <w:color w:val="auto"/>
              </w:rPr>
            </w:pPr>
          </w:p>
        </w:tc>
        <w:tc>
          <w:tcPr>
            <w:tcW w:w="8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5"/>
              </w:rPr>
              <w:t>Revenues—</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4"/>
              </w:rPr>
              <w:t>Cost of</w:t>
            </w:r>
          </w:p>
        </w:tc>
        <w:tc>
          <w:tcPr>
            <w:tcW w:w="100" w:type="dxa"/>
            <w:vAlign w:val="bottom"/>
          </w:tcPr>
          <w:p>
            <w:pPr>
              <w:spacing w:after="0"/>
              <w:rPr>
                <w:sz w:val="11"/>
                <w:szCs w:val="11"/>
                <w:color w:val="auto"/>
              </w:rPr>
            </w:pPr>
          </w:p>
        </w:tc>
        <w:tc>
          <w:tcPr>
            <w:tcW w:w="8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5"/>
              </w:rPr>
              <w:t>Product Sales:</w:t>
            </w:r>
          </w:p>
        </w:tc>
        <w:tc>
          <w:tcPr>
            <w:tcW w:w="140" w:type="dxa"/>
            <w:vAlign w:val="bottom"/>
          </w:tcPr>
          <w:p>
            <w:pPr>
              <w:spacing w:after="0"/>
              <w:rPr>
                <w:sz w:val="11"/>
                <w:szCs w:val="11"/>
                <w:color w:val="auto"/>
              </w:rPr>
            </w:pPr>
          </w:p>
        </w:tc>
        <w:tc>
          <w:tcPr>
            <w:tcW w:w="1160" w:type="dxa"/>
            <w:vAlign w:val="bottom"/>
          </w:tcPr>
          <w:p>
            <w:pPr>
              <w:jc w:val="center"/>
              <w:ind w:right="37"/>
              <w:spacing w:after="0" w:line="135" w:lineRule="exact"/>
              <w:rPr>
                <w:sz w:val="20"/>
                <w:szCs w:val="20"/>
                <w:color w:val="auto"/>
              </w:rPr>
            </w:pPr>
            <w:r>
              <w:rPr>
                <w:rFonts w:ascii="Arial" w:cs="Arial" w:eastAsia="Arial" w:hAnsi="Arial"/>
                <w:sz w:val="13"/>
                <w:szCs w:val="13"/>
                <w:b w:val="1"/>
                <w:bCs w:val="1"/>
                <w:color w:val="auto"/>
                <w:w w:val="83"/>
              </w:rPr>
              <w:t>Revenues—</w:t>
            </w:r>
          </w:p>
        </w:tc>
        <w:tc>
          <w:tcPr>
            <w:tcW w:w="90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0"/>
              </w:rPr>
              <w:t>Subs/Lic/Other: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5"/>
              </w:rPr>
              <w:t>Revenues—</w:t>
            </w:r>
          </w:p>
        </w:tc>
        <w:tc>
          <w:tcPr>
            <w:tcW w:w="100" w:type="dxa"/>
            <w:vAlign w:val="bottom"/>
          </w:tcPr>
          <w:p>
            <w:pPr>
              <w:spacing w:after="0"/>
              <w:rPr>
                <w:sz w:val="11"/>
                <w:szCs w:val="11"/>
                <w:color w:val="auto"/>
              </w:rPr>
            </w:pPr>
          </w:p>
        </w:tc>
        <w:tc>
          <w:tcPr>
            <w:tcW w:w="8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Software</w:t>
            </w:r>
          </w:p>
        </w:tc>
        <w:tc>
          <w:tcPr>
            <w:tcW w:w="130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89"/>
              </w:rPr>
              <w:t>Subs/Lic/Other: Game</w:t>
            </w:r>
          </w:p>
        </w:tc>
        <w:tc>
          <w:tcPr>
            <w:tcW w:w="80" w:type="dxa"/>
            <w:vAlign w:val="bottom"/>
          </w:tcPr>
          <w:p>
            <w:pPr>
              <w:spacing w:after="0"/>
              <w:rPr>
                <w:sz w:val="11"/>
                <w:szCs w:val="11"/>
                <w:color w:val="auto"/>
              </w:rPr>
            </w:pPr>
          </w:p>
        </w:tc>
        <w:tc>
          <w:tcPr>
            <w:tcW w:w="8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Software</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89"/>
              </w:rPr>
              <w:t>Restructuring</w:t>
            </w: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5"/>
              </w:rPr>
              <w:t>Product Sales:</w:t>
            </w:r>
          </w:p>
        </w:tc>
        <w:tc>
          <w:tcPr>
            <w:tcW w:w="100" w:type="dxa"/>
            <w:vAlign w:val="bottom"/>
          </w:tcPr>
          <w:p>
            <w:pPr>
              <w:spacing w:after="0"/>
              <w:rPr>
                <w:sz w:val="11"/>
                <w:szCs w:val="11"/>
                <w:color w:val="auto"/>
              </w:rPr>
            </w:pPr>
          </w:p>
        </w:tc>
        <w:tc>
          <w:tcPr>
            <w:tcW w:w="8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5"/>
              </w:rPr>
              <w:t>Royalties and</w:t>
            </w:r>
          </w:p>
        </w:tc>
        <w:tc>
          <w:tcPr>
            <w:tcW w:w="140" w:type="dxa"/>
            <w:vAlign w:val="bottom"/>
          </w:tcPr>
          <w:p>
            <w:pPr>
              <w:spacing w:after="0"/>
              <w:rPr>
                <w:sz w:val="11"/>
                <w:szCs w:val="11"/>
                <w:color w:val="auto"/>
              </w:rPr>
            </w:pPr>
          </w:p>
        </w:tc>
        <w:tc>
          <w:tcPr>
            <w:tcW w:w="1160" w:type="dxa"/>
            <w:vAlign w:val="bottom"/>
          </w:tcPr>
          <w:p>
            <w:pPr>
              <w:jc w:val="center"/>
              <w:ind w:right="37"/>
              <w:spacing w:after="0" w:line="135" w:lineRule="exact"/>
              <w:rPr>
                <w:sz w:val="20"/>
                <w:szCs w:val="20"/>
                <w:color w:val="auto"/>
              </w:rPr>
            </w:pPr>
            <w:r>
              <w:rPr>
                <w:rFonts w:ascii="Arial" w:cs="Arial" w:eastAsia="Arial" w:hAnsi="Arial"/>
                <w:sz w:val="13"/>
                <w:szCs w:val="13"/>
                <w:b w:val="1"/>
                <w:bCs w:val="1"/>
                <w:color w:val="auto"/>
                <w:w w:val="85"/>
              </w:rPr>
              <w:t>Operations and</w:t>
            </w:r>
          </w:p>
        </w:tc>
        <w:tc>
          <w:tcPr>
            <w:tcW w:w="80" w:type="dxa"/>
            <w:vAlign w:val="bottom"/>
          </w:tcPr>
          <w:p>
            <w:pPr>
              <w:spacing w:after="0"/>
              <w:rPr>
                <w:sz w:val="11"/>
                <w:szCs w:val="11"/>
                <w:color w:val="auto"/>
              </w:rPr>
            </w:pPr>
          </w:p>
        </w:tc>
        <w:tc>
          <w:tcPr>
            <w:tcW w:w="8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5"/>
              </w:rPr>
              <w:t>Royalties and</w:t>
            </w:r>
          </w:p>
        </w:tc>
        <w:tc>
          <w:tcPr>
            <w:tcW w:w="120" w:type="dxa"/>
            <w:vAlign w:val="bottom"/>
          </w:tcPr>
          <w:p>
            <w:pPr>
              <w:spacing w:after="0"/>
              <w:rPr>
                <w:sz w:val="11"/>
                <w:szCs w:val="11"/>
                <w:color w:val="auto"/>
              </w:rPr>
            </w:pPr>
          </w:p>
        </w:tc>
        <w:tc>
          <w:tcPr>
            <w:tcW w:w="580" w:type="dxa"/>
            <w:vAlign w:val="bottom"/>
          </w:tcPr>
          <w:p>
            <w:pPr>
              <w:jc w:val="right"/>
              <w:ind w:right="37"/>
              <w:spacing w:after="0" w:line="135" w:lineRule="exact"/>
              <w:rPr>
                <w:sz w:val="20"/>
                <w:szCs w:val="20"/>
                <w:color w:val="auto"/>
              </w:rPr>
            </w:pPr>
            <w:r>
              <w:rPr>
                <w:rFonts w:ascii="Arial" w:cs="Arial" w:eastAsia="Arial" w:hAnsi="Arial"/>
                <w:sz w:val="13"/>
                <w:szCs w:val="13"/>
                <w:b w:val="1"/>
                <w:bCs w:val="1"/>
                <w:color w:val="auto"/>
                <w:w w:val="93"/>
              </w:rPr>
              <w:t>Product</w:t>
            </w:r>
          </w:p>
        </w:tc>
        <w:tc>
          <w:tcPr>
            <w:tcW w:w="640" w:type="dxa"/>
            <w:vAlign w:val="bottom"/>
            <w:gridSpan w:val="2"/>
          </w:tcPr>
          <w:p>
            <w:pPr>
              <w:jc w:val="right"/>
              <w:spacing w:after="0" w:line="135" w:lineRule="exact"/>
              <w:rPr>
                <w:sz w:val="20"/>
                <w:szCs w:val="20"/>
                <w:color w:val="auto"/>
              </w:rPr>
            </w:pPr>
            <w:r>
              <w:rPr>
                <w:rFonts w:ascii="Arial" w:cs="Arial" w:eastAsia="Arial" w:hAnsi="Arial"/>
                <w:sz w:val="13"/>
                <w:szCs w:val="13"/>
                <w:b w:val="1"/>
                <w:bCs w:val="1"/>
                <w:color w:val="auto"/>
                <w:w w:val="98"/>
              </w:rPr>
              <w:t>Sales and</w:t>
            </w:r>
          </w:p>
        </w:tc>
        <w:tc>
          <w:tcPr>
            <w:tcW w:w="120" w:type="dxa"/>
            <w:vAlign w:val="bottom"/>
          </w:tcPr>
          <w:p>
            <w:pPr>
              <w:spacing w:after="0"/>
              <w:rPr>
                <w:sz w:val="11"/>
                <w:szCs w:val="11"/>
                <w:color w:val="auto"/>
              </w:rPr>
            </w:pPr>
          </w:p>
        </w:tc>
        <w:tc>
          <w:tcPr>
            <w:tcW w:w="760" w:type="dxa"/>
            <w:vAlign w:val="bottom"/>
          </w:tcPr>
          <w:p>
            <w:pPr>
              <w:jc w:val="right"/>
              <w:ind w:right="17"/>
              <w:spacing w:after="0" w:line="135" w:lineRule="exact"/>
              <w:rPr>
                <w:sz w:val="20"/>
                <w:szCs w:val="20"/>
                <w:color w:val="auto"/>
              </w:rPr>
            </w:pPr>
            <w:r>
              <w:rPr>
                <w:rFonts w:ascii="Arial" w:cs="Arial" w:eastAsia="Arial" w:hAnsi="Arial"/>
                <w:sz w:val="13"/>
                <w:szCs w:val="13"/>
                <w:b w:val="1"/>
                <w:bCs w:val="1"/>
                <w:color w:val="auto"/>
                <w:w w:val="87"/>
              </w:rPr>
              <w:t>General and</w:t>
            </w:r>
          </w:p>
        </w:tc>
        <w:tc>
          <w:tcPr>
            <w:tcW w:w="80" w:type="dxa"/>
            <w:vAlign w:val="bottom"/>
          </w:tcPr>
          <w:p>
            <w:pPr>
              <w:spacing w:after="0"/>
              <w:rPr>
                <w:sz w:val="11"/>
                <w:szCs w:val="11"/>
                <w:color w:val="auto"/>
              </w:rPr>
            </w:pPr>
          </w:p>
        </w:tc>
        <w:tc>
          <w:tcPr>
            <w:tcW w:w="720" w:type="dxa"/>
            <w:vAlign w:val="bottom"/>
          </w:tcPr>
          <w:p>
            <w:pPr>
              <w:jc w:val="center"/>
              <w:ind w:right="17"/>
              <w:spacing w:after="0" w:line="135" w:lineRule="exact"/>
              <w:rPr>
                <w:sz w:val="20"/>
                <w:szCs w:val="20"/>
                <w:color w:val="auto"/>
              </w:rPr>
            </w:pPr>
            <w:r>
              <w:rPr>
                <w:rFonts w:ascii="Arial" w:cs="Arial" w:eastAsia="Arial" w:hAnsi="Arial"/>
                <w:sz w:val="13"/>
                <w:szCs w:val="13"/>
                <w:b w:val="1"/>
                <w:bCs w:val="1"/>
                <w:color w:val="auto"/>
                <w:w w:val="86"/>
              </w:rPr>
              <w:t>and related</w:t>
            </w:r>
          </w:p>
        </w:tc>
        <w:tc>
          <w:tcPr>
            <w:tcW w:w="880" w:type="dxa"/>
            <w:vAlign w:val="bottom"/>
            <w:gridSpan w:val="2"/>
          </w:tcPr>
          <w:p>
            <w:pPr>
              <w:jc w:val="right"/>
              <w:spacing w:after="0" w:line="135" w:lineRule="exact"/>
              <w:rPr>
                <w:sz w:val="20"/>
                <w:szCs w:val="20"/>
                <w:color w:val="auto"/>
              </w:rPr>
            </w:pPr>
            <w:r>
              <w:rPr>
                <w:rFonts w:ascii="Arial" w:cs="Arial" w:eastAsia="Arial" w:hAnsi="Arial"/>
                <w:sz w:val="13"/>
                <w:szCs w:val="13"/>
                <w:b w:val="1"/>
                <w:bCs w:val="1"/>
                <w:color w:val="auto"/>
                <w:w w:val="86"/>
              </w:rPr>
              <w:t>Total Costs and</w:t>
            </w:r>
          </w:p>
        </w:tc>
        <w:tc>
          <w:tcPr>
            <w:tcW w:w="0" w:type="dxa"/>
            <w:vAlign w:val="bottom"/>
          </w:tcPr>
          <w:p>
            <w:pPr>
              <w:spacing w:after="0"/>
              <w:rPr>
                <w:sz w:val="1"/>
                <w:szCs w:val="1"/>
                <w:color w:val="auto"/>
              </w:rPr>
            </w:pPr>
          </w:p>
        </w:tc>
      </w:tr>
      <w:tr>
        <w:trPr>
          <w:trHeight w:val="153"/>
        </w:trPr>
        <w:tc>
          <w:tcPr>
            <w:tcW w:w="256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Year Ended December 31, 2019</w:t>
            </w: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Net Revenues</w:t>
            </w:r>
          </w:p>
        </w:tc>
        <w:tc>
          <w:tcPr>
            <w:tcW w:w="1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Product Costs</w:t>
            </w:r>
          </w:p>
        </w:tc>
        <w:tc>
          <w:tcPr>
            <w:tcW w:w="1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Amortization</w:t>
            </w:r>
          </w:p>
        </w:tc>
        <w:tc>
          <w:tcPr>
            <w:tcW w:w="1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center"/>
              <w:ind w:right="37"/>
              <w:spacing w:after="0"/>
              <w:rPr>
                <w:sz w:val="20"/>
                <w:szCs w:val="20"/>
                <w:color w:val="auto"/>
              </w:rPr>
            </w:pPr>
            <w:r>
              <w:rPr>
                <w:rFonts w:ascii="Arial" w:cs="Arial" w:eastAsia="Arial" w:hAnsi="Arial"/>
                <w:sz w:val="13"/>
                <w:szCs w:val="13"/>
                <w:b w:val="1"/>
                <w:bCs w:val="1"/>
                <w:color w:val="auto"/>
                <w:w w:val="86"/>
              </w:rPr>
              <w:t>Distribution Costs</w:t>
            </w:r>
          </w:p>
        </w:tc>
        <w:tc>
          <w:tcPr>
            <w:tcW w:w="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Amortization</w:t>
            </w:r>
          </w:p>
        </w:tc>
        <w:tc>
          <w:tcPr>
            <w:tcW w:w="2220" w:type="dxa"/>
            <w:vAlign w:val="bottom"/>
            <w:tcBorders>
              <w:bottom w:val="single" w:sz="8" w:color="auto"/>
            </w:tcBorders>
            <w:gridSpan w:val="6"/>
          </w:tcPr>
          <w:p>
            <w:pPr>
              <w:jc w:val="right"/>
              <w:spacing w:after="0"/>
              <w:rPr>
                <w:sz w:val="20"/>
                <w:szCs w:val="20"/>
                <w:color w:val="auto"/>
              </w:rPr>
            </w:pPr>
            <w:r>
              <w:rPr>
                <w:rFonts w:ascii="Arial" w:cs="Arial" w:eastAsia="Arial" w:hAnsi="Arial"/>
                <w:sz w:val="13"/>
                <w:szCs w:val="13"/>
                <w:b w:val="1"/>
                <w:bCs w:val="1"/>
                <w:color w:val="auto"/>
                <w:w w:val="90"/>
              </w:rPr>
              <w:t>Development Marketing Administrative</w:t>
            </w:r>
          </w:p>
        </w:tc>
        <w:tc>
          <w:tcPr>
            <w:tcW w:w="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76"/>
              </w:rPr>
              <w:t>costs</w:t>
            </w:r>
          </w:p>
        </w:tc>
        <w:tc>
          <w:tcPr>
            <w:tcW w:w="1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w w:val="88"/>
              </w:rPr>
              <w:t>Expenses</w:t>
            </w:r>
          </w:p>
        </w:tc>
        <w:tc>
          <w:tcPr>
            <w:tcW w:w="0" w:type="dxa"/>
            <w:vAlign w:val="bottom"/>
          </w:tcPr>
          <w:p>
            <w:pPr>
              <w:spacing w:after="0"/>
              <w:rPr>
                <w:sz w:val="1"/>
                <w:szCs w:val="1"/>
                <w:color w:val="auto"/>
              </w:rPr>
            </w:pPr>
          </w:p>
        </w:tc>
      </w:tr>
      <w:tr>
        <w:trPr>
          <w:trHeight w:val="122"/>
        </w:trPr>
        <w:tc>
          <w:tcPr>
            <w:tcW w:w="2560" w:type="dxa"/>
            <w:vAlign w:val="bottom"/>
          </w:tcPr>
          <w:p>
            <w:pPr>
              <w:spacing w:after="0" w:line="122" w:lineRule="exact"/>
              <w:rPr>
                <w:sz w:val="20"/>
                <w:szCs w:val="20"/>
                <w:color w:val="auto"/>
              </w:rPr>
            </w:pPr>
            <w:r>
              <w:rPr>
                <w:rFonts w:ascii="Arial" w:cs="Arial" w:eastAsia="Arial" w:hAnsi="Arial"/>
                <w:sz w:val="13"/>
                <w:szCs w:val="13"/>
                <w:color w:val="auto"/>
              </w:rPr>
              <w:t>GAAP Measurement</w:t>
            </w:r>
          </w:p>
        </w:tc>
        <w:tc>
          <w:tcPr>
            <w:tcW w:w="80" w:type="dxa"/>
            <w:vAlign w:val="bottom"/>
            <w:gridSpan w:val="2"/>
          </w:tcPr>
          <w:p>
            <w:pPr>
              <w:jc w:val="right"/>
              <w:spacing w:after="0" w:line="122" w:lineRule="exact"/>
              <w:rPr>
                <w:sz w:val="20"/>
                <w:szCs w:val="20"/>
                <w:color w:val="auto"/>
              </w:rPr>
            </w:pPr>
            <w:r>
              <w:rPr>
                <w:rFonts w:ascii="Arial" w:cs="Arial" w:eastAsia="Arial" w:hAnsi="Arial"/>
                <w:sz w:val="13"/>
                <w:szCs w:val="13"/>
                <w:color w:val="auto"/>
                <w:w w:val="82"/>
              </w:rPr>
              <w:t>$</w:t>
            </w:r>
          </w:p>
        </w:tc>
        <w:tc>
          <w:tcPr>
            <w:tcW w:w="800" w:type="dxa"/>
            <w:vAlign w:val="bottom"/>
          </w:tcPr>
          <w:p>
            <w:pPr>
              <w:jc w:val="right"/>
              <w:ind w:right="17"/>
              <w:spacing w:after="0" w:line="122" w:lineRule="exact"/>
              <w:rPr>
                <w:sz w:val="20"/>
                <w:szCs w:val="20"/>
                <w:color w:val="auto"/>
              </w:rPr>
            </w:pPr>
            <w:r>
              <w:rPr>
                <w:rFonts w:ascii="Arial" w:cs="Arial" w:eastAsia="Arial" w:hAnsi="Arial"/>
                <w:sz w:val="13"/>
                <w:szCs w:val="13"/>
                <w:color w:val="auto"/>
              </w:rPr>
              <w:t>6,489</w:t>
            </w:r>
          </w:p>
        </w:tc>
        <w:tc>
          <w:tcPr>
            <w:tcW w:w="100" w:type="dxa"/>
            <w:vAlign w:val="bottom"/>
          </w:tcPr>
          <w:p>
            <w:pPr>
              <w:jc w:val="right"/>
              <w:spacing w:after="0" w:line="122" w:lineRule="exact"/>
              <w:rPr>
                <w:sz w:val="20"/>
                <w:szCs w:val="20"/>
                <w:color w:val="auto"/>
              </w:rPr>
            </w:pPr>
            <w:r>
              <w:rPr>
                <w:rFonts w:ascii="Arial" w:cs="Arial" w:eastAsia="Arial" w:hAnsi="Arial"/>
                <w:sz w:val="13"/>
                <w:szCs w:val="13"/>
                <w:color w:val="auto"/>
              </w:rPr>
              <w:t>$</w:t>
            </w:r>
          </w:p>
        </w:tc>
        <w:tc>
          <w:tcPr>
            <w:tcW w:w="840" w:type="dxa"/>
            <w:vAlign w:val="bottom"/>
          </w:tcPr>
          <w:p>
            <w:pPr>
              <w:jc w:val="right"/>
              <w:ind w:right="37"/>
              <w:spacing w:after="0" w:line="122" w:lineRule="exact"/>
              <w:rPr>
                <w:sz w:val="20"/>
                <w:szCs w:val="20"/>
                <w:color w:val="auto"/>
              </w:rPr>
            </w:pPr>
            <w:r>
              <w:rPr>
                <w:rFonts w:ascii="Arial" w:cs="Arial" w:eastAsia="Arial" w:hAnsi="Arial"/>
                <w:sz w:val="13"/>
                <w:szCs w:val="13"/>
                <w:color w:val="auto"/>
              </w:rPr>
              <w:t>656</w:t>
            </w:r>
          </w:p>
        </w:tc>
        <w:tc>
          <w:tcPr>
            <w:tcW w:w="100" w:type="dxa"/>
            <w:vAlign w:val="bottom"/>
          </w:tcPr>
          <w:p>
            <w:pPr>
              <w:jc w:val="right"/>
              <w:spacing w:after="0" w:line="122" w:lineRule="exact"/>
              <w:rPr>
                <w:sz w:val="20"/>
                <w:szCs w:val="20"/>
                <w:color w:val="auto"/>
              </w:rPr>
            </w:pPr>
            <w:r>
              <w:rPr>
                <w:rFonts w:ascii="Arial" w:cs="Arial" w:eastAsia="Arial" w:hAnsi="Arial"/>
                <w:sz w:val="13"/>
                <w:szCs w:val="13"/>
                <w:color w:val="auto"/>
              </w:rPr>
              <w:t>$</w:t>
            </w:r>
          </w:p>
        </w:tc>
        <w:tc>
          <w:tcPr>
            <w:tcW w:w="840" w:type="dxa"/>
            <w:vAlign w:val="bottom"/>
          </w:tcPr>
          <w:p>
            <w:pPr>
              <w:jc w:val="right"/>
              <w:ind w:right="37"/>
              <w:spacing w:after="0" w:line="122" w:lineRule="exact"/>
              <w:rPr>
                <w:sz w:val="20"/>
                <w:szCs w:val="20"/>
                <w:color w:val="auto"/>
              </w:rPr>
            </w:pPr>
            <w:r>
              <w:rPr>
                <w:rFonts w:ascii="Arial" w:cs="Arial" w:eastAsia="Arial" w:hAnsi="Arial"/>
                <w:sz w:val="13"/>
                <w:szCs w:val="13"/>
                <w:color w:val="auto"/>
              </w:rPr>
              <w:t>240</w:t>
            </w:r>
          </w:p>
        </w:tc>
        <w:tc>
          <w:tcPr>
            <w:tcW w:w="140" w:type="dxa"/>
            <w:vAlign w:val="bottom"/>
          </w:tcPr>
          <w:p>
            <w:pPr>
              <w:jc w:val="right"/>
              <w:spacing w:after="0" w:line="122" w:lineRule="exact"/>
              <w:rPr>
                <w:sz w:val="20"/>
                <w:szCs w:val="20"/>
                <w:color w:val="auto"/>
              </w:rPr>
            </w:pPr>
            <w:r>
              <w:rPr>
                <w:rFonts w:ascii="Arial" w:cs="Arial" w:eastAsia="Arial" w:hAnsi="Arial"/>
                <w:sz w:val="13"/>
                <w:szCs w:val="13"/>
                <w:color w:val="auto"/>
              </w:rPr>
              <w:t>$</w:t>
            </w:r>
          </w:p>
        </w:tc>
        <w:tc>
          <w:tcPr>
            <w:tcW w:w="1160" w:type="dxa"/>
            <w:vAlign w:val="bottom"/>
          </w:tcPr>
          <w:p>
            <w:pPr>
              <w:jc w:val="right"/>
              <w:ind w:right="117"/>
              <w:spacing w:after="0" w:line="122" w:lineRule="exact"/>
              <w:rPr>
                <w:sz w:val="20"/>
                <w:szCs w:val="20"/>
                <w:color w:val="auto"/>
              </w:rPr>
            </w:pPr>
            <w:r>
              <w:rPr>
                <w:rFonts w:ascii="Arial" w:cs="Arial" w:eastAsia="Arial" w:hAnsi="Arial"/>
                <w:sz w:val="13"/>
                <w:szCs w:val="13"/>
                <w:color w:val="auto"/>
              </w:rPr>
              <w:t>965</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820" w:type="dxa"/>
            <w:vAlign w:val="bottom"/>
          </w:tcPr>
          <w:p>
            <w:pPr>
              <w:jc w:val="right"/>
              <w:ind w:right="97"/>
              <w:spacing w:after="0" w:line="122" w:lineRule="exact"/>
              <w:rPr>
                <w:sz w:val="20"/>
                <w:szCs w:val="20"/>
                <w:color w:val="auto"/>
              </w:rPr>
            </w:pPr>
            <w:r>
              <w:rPr>
                <w:rFonts w:ascii="Arial" w:cs="Arial" w:eastAsia="Arial" w:hAnsi="Arial"/>
                <w:sz w:val="13"/>
                <w:szCs w:val="13"/>
                <w:color w:val="auto"/>
              </w:rPr>
              <w:t>233</w:t>
            </w:r>
          </w:p>
        </w:tc>
        <w:tc>
          <w:tcPr>
            <w:tcW w:w="120" w:type="dxa"/>
            <w:vAlign w:val="bottom"/>
          </w:tcPr>
          <w:p>
            <w:pPr>
              <w:jc w:val="right"/>
              <w:spacing w:after="0" w:line="122" w:lineRule="exact"/>
              <w:rPr>
                <w:sz w:val="20"/>
                <w:szCs w:val="20"/>
                <w:color w:val="auto"/>
              </w:rPr>
            </w:pPr>
            <w:r>
              <w:rPr>
                <w:rFonts w:ascii="Arial" w:cs="Arial" w:eastAsia="Arial" w:hAnsi="Arial"/>
                <w:sz w:val="13"/>
                <w:szCs w:val="13"/>
                <w:color w:val="auto"/>
                <w:w w:val="82"/>
              </w:rPr>
              <w:t>$</w:t>
            </w:r>
          </w:p>
        </w:tc>
        <w:tc>
          <w:tcPr>
            <w:tcW w:w="580" w:type="dxa"/>
            <w:vAlign w:val="bottom"/>
          </w:tcPr>
          <w:p>
            <w:pPr>
              <w:jc w:val="right"/>
              <w:ind w:right="17"/>
              <w:spacing w:after="0" w:line="122" w:lineRule="exact"/>
              <w:rPr>
                <w:sz w:val="20"/>
                <w:szCs w:val="20"/>
                <w:color w:val="auto"/>
              </w:rPr>
            </w:pPr>
            <w:r>
              <w:rPr>
                <w:rFonts w:ascii="Arial" w:cs="Arial" w:eastAsia="Arial" w:hAnsi="Arial"/>
                <w:sz w:val="13"/>
                <w:szCs w:val="13"/>
                <w:color w:val="auto"/>
              </w:rPr>
              <w:t>998</w:t>
            </w:r>
          </w:p>
        </w:tc>
        <w:tc>
          <w:tcPr>
            <w:tcW w:w="240" w:type="dxa"/>
            <w:vAlign w:val="bottom"/>
          </w:tcPr>
          <w:p>
            <w:pPr>
              <w:jc w:val="right"/>
              <w:ind w:right="57"/>
              <w:spacing w:after="0" w:line="122" w:lineRule="exact"/>
              <w:rPr>
                <w:sz w:val="20"/>
                <w:szCs w:val="20"/>
                <w:color w:val="auto"/>
              </w:rPr>
            </w:pPr>
            <w:r>
              <w:rPr>
                <w:rFonts w:ascii="Arial" w:cs="Arial" w:eastAsia="Arial" w:hAnsi="Arial"/>
                <w:sz w:val="13"/>
                <w:szCs w:val="13"/>
                <w:color w:val="auto"/>
              </w:rPr>
              <w:t>$</w:t>
            </w:r>
          </w:p>
        </w:tc>
        <w:tc>
          <w:tcPr>
            <w:tcW w:w="400" w:type="dxa"/>
            <w:vAlign w:val="bottom"/>
          </w:tcPr>
          <w:p>
            <w:pPr>
              <w:jc w:val="right"/>
              <w:ind w:right="17"/>
              <w:spacing w:after="0" w:line="122" w:lineRule="exact"/>
              <w:rPr>
                <w:sz w:val="20"/>
                <w:szCs w:val="20"/>
                <w:color w:val="auto"/>
              </w:rPr>
            </w:pPr>
            <w:r>
              <w:rPr>
                <w:rFonts w:ascii="Arial" w:cs="Arial" w:eastAsia="Arial" w:hAnsi="Arial"/>
                <w:sz w:val="13"/>
                <w:szCs w:val="13"/>
                <w:color w:val="auto"/>
              </w:rPr>
              <w:t>926</w:t>
            </w:r>
          </w:p>
        </w:tc>
        <w:tc>
          <w:tcPr>
            <w:tcW w:w="120" w:type="dxa"/>
            <w:vAlign w:val="bottom"/>
          </w:tcPr>
          <w:p>
            <w:pPr>
              <w:jc w:val="right"/>
              <w:spacing w:after="0" w:line="122" w:lineRule="exact"/>
              <w:rPr>
                <w:sz w:val="20"/>
                <w:szCs w:val="20"/>
                <w:color w:val="auto"/>
              </w:rPr>
            </w:pPr>
            <w:r>
              <w:rPr>
                <w:rFonts w:ascii="Arial" w:cs="Arial" w:eastAsia="Arial" w:hAnsi="Arial"/>
                <w:sz w:val="13"/>
                <w:szCs w:val="13"/>
                <w:color w:val="auto"/>
              </w:rPr>
              <w:t>$</w:t>
            </w:r>
          </w:p>
        </w:tc>
        <w:tc>
          <w:tcPr>
            <w:tcW w:w="760" w:type="dxa"/>
            <w:vAlign w:val="bottom"/>
          </w:tcPr>
          <w:p>
            <w:pPr>
              <w:jc w:val="right"/>
              <w:ind w:right="97"/>
              <w:spacing w:after="0" w:line="122" w:lineRule="exact"/>
              <w:rPr>
                <w:sz w:val="20"/>
                <w:szCs w:val="20"/>
                <w:color w:val="auto"/>
              </w:rPr>
            </w:pPr>
            <w:r>
              <w:rPr>
                <w:rFonts w:ascii="Arial" w:cs="Arial" w:eastAsia="Arial" w:hAnsi="Arial"/>
                <w:sz w:val="13"/>
                <w:szCs w:val="13"/>
                <w:color w:val="auto"/>
              </w:rPr>
              <w:t>732</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720" w:type="dxa"/>
            <w:vAlign w:val="bottom"/>
          </w:tcPr>
          <w:p>
            <w:pPr>
              <w:jc w:val="right"/>
              <w:ind w:right="77"/>
              <w:spacing w:after="0" w:line="122" w:lineRule="exact"/>
              <w:rPr>
                <w:sz w:val="20"/>
                <w:szCs w:val="20"/>
                <w:color w:val="auto"/>
              </w:rPr>
            </w:pPr>
            <w:r>
              <w:rPr>
                <w:rFonts w:ascii="Arial" w:cs="Arial" w:eastAsia="Arial" w:hAnsi="Arial"/>
                <w:sz w:val="13"/>
                <w:szCs w:val="13"/>
                <w:color w:val="auto"/>
              </w:rPr>
              <w:t>132</w:t>
            </w:r>
          </w:p>
        </w:tc>
        <w:tc>
          <w:tcPr>
            <w:tcW w:w="120" w:type="dxa"/>
            <w:vAlign w:val="bottom"/>
          </w:tcPr>
          <w:p>
            <w:pPr>
              <w:jc w:val="right"/>
              <w:ind w:right="9"/>
              <w:spacing w:after="0"/>
              <w:rPr>
                <w:sz w:val="20"/>
                <w:szCs w:val="20"/>
                <w:color w:val="auto"/>
              </w:rPr>
            </w:pPr>
            <w:r>
              <w:rPr>
                <w:rFonts w:ascii="Arial" w:cs="Arial" w:eastAsia="Arial" w:hAnsi="Arial"/>
                <w:sz w:val="9"/>
                <w:szCs w:val="9"/>
                <w:color w:val="auto"/>
                <w:w w:val="78"/>
              </w:rPr>
              <w:t>$</w:t>
            </w:r>
          </w:p>
        </w:tc>
        <w:tc>
          <w:tcPr>
            <w:tcW w:w="760" w:type="dxa"/>
            <w:vAlign w:val="bottom"/>
          </w:tcPr>
          <w:p>
            <w:pPr>
              <w:jc w:val="right"/>
              <w:ind w:right="57"/>
              <w:spacing w:after="0" w:line="122" w:lineRule="exact"/>
              <w:rPr>
                <w:sz w:val="20"/>
                <w:szCs w:val="20"/>
                <w:color w:val="auto"/>
              </w:rPr>
            </w:pPr>
            <w:r>
              <w:rPr>
                <w:rFonts w:ascii="Arial" w:cs="Arial" w:eastAsia="Arial" w:hAnsi="Arial"/>
                <w:sz w:val="13"/>
                <w:szCs w:val="13"/>
                <w:color w:val="auto"/>
              </w:rPr>
              <w:t>4,882</w:t>
            </w:r>
          </w:p>
        </w:tc>
        <w:tc>
          <w:tcPr>
            <w:tcW w:w="0" w:type="dxa"/>
            <w:vAlign w:val="bottom"/>
          </w:tcPr>
          <w:p>
            <w:pPr>
              <w:spacing w:after="0"/>
              <w:rPr>
                <w:sz w:val="1"/>
                <w:szCs w:val="1"/>
                <w:color w:val="auto"/>
              </w:rPr>
            </w:pPr>
          </w:p>
        </w:tc>
      </w:tr>
      <w:tr>
        <w:trPr>
          <w:trHeight w:val="176"/>
        </w:trPr>
        <w:tc>
          <w:tcPr>
            <w:tcW w:w="2560" w:type="dxa"/>
            <w:vAlign w:val="bottom"/>
          </w:tcPr>
          <w:p>
            <w:pPr>
              <w:ind w:left="180"/>
              <w:spacing w:after="0" w:line="176" w:lineRule="exact"/>
              <w:rPr>
                <w:sz w:val="20"/>
                <w:szCs w:val="20"/>
                <w:color w:val="auto"/>
              </w:rPr>
            </w:pPr>
            <w:r>
              <w:rPr>
                <w:rFonts w:ascii="Arial" w:cs="Arial" w:eastAsia="Arial" w:hAnsi="Arial"/>
                <w:sz w:val="13"/>
                <w:szCs w:val="13"/>
                <w:color w:val="auto"/>
              </w:rPr>
              <w:t>Share-based compensation</w:t>
            </w:r>
            <w:r>
              <w:rPr>
                <w:rFonts w:ascii="Arial" w:cs="Arial" w:eastAsia="Arial" w:hAnsi="Arial"/>
                <w:sz w:val="20"/>
                <w:szCs w:val="20"/>
                <w:color w:val="auto"/>
                <w:vertAlign w:val="superscript"/>
              </w:rPr>
              <w:t>1</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4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(19)</w:t>
            </w:r>
          </w:p>
        </w:tc>
        <w:tc>
          <w:tcPr>
            <w:tcW w:w="140" w:type="dxa"/>
            <w:vAlign w:val="bottom"/>
          </w:tcPr>
          <w:p>
            <w:pPr>
              <w:spacing w:after="0"/>
              <w:rPr>
                <w:sz w:val="15"/>
                <w:szCs w:val="15"/>
                <w:color w:val="auto"/>
              </w:rPr>
            </w:pPr>
          </w:p>
        </w:tc>
        <w:tc>
          <w:tcPr>
            <w:tcW w:w="1160" w:type="dxa"/>
            <w:vAlign w:val="bottom"/>
          </w:tcPr>
          <w:p>
            <w:pPr>
              <w:jc w:val="right"/>
              <w:ind w:right="77"/>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5"/>
                <w:szCs w:val="15"/>
                <w:color w:val="auto"/>
              </w:rPr>
            </w:pPr>
          </w:p>
        </w:tc>
        <w:tc>
          <w:tcPr>
            <w:tcW w:w="820" w:type="dxa"/>
            <w:vAlign w:val="bottom"/>
          </w:tcPr>
          <w:p>
            <w:pPr>
              <w:jc w:val="right"/>
              <w:ind w:right="3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(53)</w:t>
            </w:r>
          </w:p>
        </w:tc>
        <w:tc>
          <w:tcPr>
            <w:tcW w:w="24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(10)</w:t>
            </w:r>
          </w:p>
        </w:tc>
        <w:tc>
          <w:tcPr>
            <w:tcW w:w="120" w:type="dxa"/>
            <w:vAlign w:val="bottom"/>
          </w:tcPr>
          <w:p>
            <w:pPr>
              <w:spacing w:after="0"/>
              <w:rPr>
                <w:sz w:val="15"/>
                <w:szCs w:val="15"/>
                <w:color w:val="auto"/>
              </w:rPr>
            </w:pPr>
          </w:p>
        </w:tc>
        <w:tc>
          <w:tcPr>
            <w:tcW w:w="760" w:type="dxa"/>
            <w:vAlign w:val="bottom"/>
          </w:tcPr>
          <w:p>
            <w:pPr>
              <w:jc w:val="right"/>
              <w:ind w:right="57"/>
              <w:spacing w:after="0"/>
              <w:rPr>
                <w:sz w:val="20"/>
                <w:szCs w:val="20"/>
                <w:color w:val="auto"/>
              </w:rPr>
            </w:pPr>
            <w:r>
              <w:rPr>
                <w:rFonts w:ascii="Arial" w:cs="Arial" w:eastAsia="Arial" w:hAnsi="Arial"/>
                <w:sz w:val="13"/>
                <w:szCs w:val="13"/>
                <w:color w:val="auto"/>
              </w:rPr>
              <w:t>(82)</w:t>
            </w:r>
          </w:p>
        </w:tc>
        <w:tc>
          <w:tcPr>
            <w:tcW w:w="80" w:type="dxa"/>
            <w:vAlign w:val="bottom"/>
          </w:tcPr>
          <w:p>
            <w:pPr>
              <w:spacing w:after="0"/>
              <w:rPr>
                <w:sz w:val="15"/>
                <w:szCs w:val="15"/>
                <w:color w:val="auto"/>
              </w:rPr>
            </w:pPr>
          </w:p>
        </w:tc>
        <w:tc>
          <w:tcPr>
            <w:tcW w:w="72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60" w:type="dxa"/>
            <w:vAlign w:val="bottom"/>
          </w:tcPr>
          <w:p>
            <w:pPr>
              <w:jc w:val="right"/>
              <w:ind w:right="17"/>
              <w:spacing w:after="0"/>
              <w:rPr>
                <w:sz w:val="20"/>
                <w:szCs w:val="20"/>
                <w:color w:val="auto"/>
              </w:rPr>
            </w:pPr>
            <w:r>
              <w:rPr>
                <w:rFonts w:ascii="Arial" w:cs="Arial" w:eastAsia="Arial" w:hAnsi="Arial"/>
                <w:sz w:val="13"/>
                <w:szCs w:val="13"/>
                <w:color w:val="auto"/>
              </w:rPr>
              <w:t>(166)</w:t>
            </w:r>
          </w:p>
        </w:tc>
        <w:tc>
          <w:tcPr>
            <w:tcW w:w="0" w:type="dxa"/>
            <w:vAlign w:val="bottom"/>
          </w:tcPr>
          <w:p>
            <w:pPr>
              <w:spacing w:after="0"/>
              <w:rPr>
                <w:sz w:val="1"/>
                <w:szCs w:val="1"/>
                <w:color w:val="auto"/>
              </w:rPr>
            </w:pPr>
          </w:p>
        </w:tc>
      </w:tr>
      <w:tr>
        <w:trPr>
          <w:trHeight w:val="176"/>
        </w:trPr>
        <w:tc>
          <w:tcPr>
            <w:tcW w:w="2560" w:type="dxa"/>
            <w:vAlign w:val="bottom"/>
          </w:tcPr>
          <w:p>
            <w:pPr>
              <w:ind w:left="180"/>
              <w:spacing w:after="0" w:line="176" w:lineRule="exact"/>
              <w:rPr>
                <w:sz w:val="20"/>
                <w:szCs w:val="20"/>
                <w:color w:val="auto"/>
              </w:rPr>
            </w:pPr>
            <w:r>
              <w:rPr>
                <w:rFonts w:ascii="Arial" w:cs="Arial" w:eastAsia="Arial" w:hAnsi="Arial"/>
                <w:sz w:val="13"/>
                <w:szCs w:val="13"/>
                <w:color w:val="auto"/>
              </w:rPr>
              <w:t>Amortization of intangible assets</w:t>
            </w:r>
            <w:r>
              <w:rPr>
                <w:rFonts w:ascii="Arial" w:cs="Arial" w:eastAsia="Arial" w:hAnsi="Arial"/>
                <w:sz w:val="20"/>
                <w:szCs w:val="20"/>
                <w:color w:val="auto"/>
                <w:vertAlign w:val="superscript"/>
              </w:rPr>
              <w:t>2</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4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4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16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820" w:type="dxa"/>
            <w:vAlign w:val="bottom"/>
          </w:tcPr>
          <w:p>
            <w:pPr>
              <w:jc w:val="right"/>
              <w:ind w:right="37"/>
              <w:spacing w:after="0"/>
              <w:rPr>
                <w:sz w:val="20"/>
                <w:szCs w:val="20"/>
                <w:color w:val="auto"/>
              </w:rPr>
            </w:pPr>
            <w:r>
              <w:rPr>
                <w:rFonts w:ascii="Arial" w:cs="Arial" w:eastAsia="Arial" w:hAnsi="Arial"/>
                <w:sz w:val="13"/>
                <w:szCs w:val="13"/>
                <w:color w:val="auto"/>
              </w:rPr>
              <w:t>(196)</w:t>
            </w:r>
          </w:p>
        </w:tc>
        <w:tc>
          <w:tcPr>
            <w:tcW w:w="120" w:type="dxa"/>
            <w:vAlign w:val="bottom"/>
          </w:tcPr>
          <w:p>
            <w:pPr>
              <w:spacing w:after="0"/>
              <w:rPr>
                <w:sz w:val="15"/>
                <w:szCs w:val="15"/>
                <w:color w:val="auto"/>
              </w:rPr>
            </w:pPr>
          </w:p>
        </w:tc>
        <w:tc>
          <w:tcPr>
            <w:tcW w:w="5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5"/>
                <w:szCs w:val="15"/>
                <w:color w:val="auto"/>
              </w:rPr>
            </w:pPr>
          </w:p>
        </w:tc>
        <w:tc>
          <w:tcPr>
            <w:tcW w:w="40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60" w:type="dxa"/>
            <w:vAlign w:val="bottom"/>
          </w:tcPr>
          <w:p>
            <w:pPr>
              <w:jc w:val="right"/>
              <w:ind w:right="57"/>
              <w:spacing w:after="0"/>
              <w:rPr>
                <w:sz w:val="20"/>
                <w:szCs w:val="20"/>
                <w:color w:val="auto"/>
              </w:rPr>
            </w:pPr>
            <w:r>
              <w:rPr>
                <w:rFonts w:ascii="Arial" w:cs="Arial" w:eastAsia="Arial" w:hAnsi="Arial"/>
                <w:sz w:val="13"/>
                <w:szCs w:val="13"/>
                <w:color w:val="auto"/>
              </w:rPr>
              <w:t>(7)</w:t>
            </w:r>
          </w:p>
        </w:tc>
        <w:tc>
          <w:tcPr>
            <w:tcW w:w="80" w:type="dxa"/>
            <w:vAlign w:val="bottom"/>
          </w:tcPr>
          <w:p>
            <w:pPr>
              <w:spacing w:after="0"/>
              <w:rPr>
                <w:sz w:val="15"/>
                <w:szCs w:val="15"/>
                <w:color w:val="auto"/>
              </w:rPr>
            </w:pPr>
          </w:p>
        </w:tc>
        <w:tc>
          <w:tcPr>
            <w:tcW w:w="72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60" w:type="dxa"/>
            <w:vAlign w:val="bottom"/>
          </w:tcPr>
          <w:p>
            <w:pPr>
              <w:jc w:val="right"/>
              <w:ind w:right="17"/>
              <w:spacing w:after="0"/>
              <w:rPr>
                <w:sz w:val="20"/>
                <w:szCs w:val="20"/>
                <w:color w:val="auto"/>
              </w:rPr>
            </w:pPr>
            <w:r>
              <w:rPr>
                <w:rFonts w:ascii="Arial" w:cs="Arial" w:eastAsia="Arial" w:hAnsi="Arial"/>
                <w:sz w:val="13"/>
                <w:szCs w:val="13"/>
                <w:color w:val="auto"/>
              </w:rPr>
              <w:t>(203)</w:t>
            </w:r>
          </w:p>
        </w:tc>
        <w:tc>
          <w:tcPr>
            <w:tcW w:w="0" w:type="dxa"/>
            <w:vAlign w:val="bottom"/>
          </w:tcPr>
          <w:p>
            <w:pPr>
              <w:spacing w:after="0"/>
              <w:rPr>
                <w:sz w:val="1"/>
                <w:szCs w:val="1"/>
                <w:color w:val="auto"/>
              </w:rPr>
            </w:pPr>
          </w:p>
        </w:tc>
      </w:tr>
      <w:tr>
        <w:trPr>
          <w:trHeight w:val="176"/>
        </w:trPr>
        <w:tc>
          <w:tcPr>
            <w:tcW w:w="2560" w:type="dxa"/>
            <w:vAlign w:val="bottom"/>
          </w:tcPr>
          <w:p>
            <w:pPr>
              <w:ind w:left="180"/>
              <w:spacing w:after="0" w:line="176" w:lineRule="exact"/>
              <w:rPr>
                <w:sz w:val="20"/>
                <w:szCs w:val="20"/>
                <w:color w:val="auto"/>
              </w:rPr>
            </w:pPr>
            <w:r>
              <w:rPr>
                <w:rFonts w:ascii="Arial" w:cs="Arial" w:eastAsia="Arial" w:hAnsi="Arial"/>
                <w:sz w:val="13"/>
                <w:szCs w:val="13"/>
                <w:color w:val="auto"/>
              </w:rPr>
              <w:t>Restructuring and related costs</w:t>
            </w:r>
            <w:r>
              <w:rPr>
                <w:rFonts w:ascii="Arial" w:cs="Arial" w:eastAsia="Arial" w:hAnsi="Arial"/>
                <w:sz w:val="20"/>
                <w:szCs w:val="20"/>
                <w:color w:val="auto"/>
                <w:vertAlign w:val="superscript"/>
              </w:rPr>
              <w:t>3</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(5)</w:t>
            </w:r>
          </w:p>
        </w:tc>
        <w:tc>
          <w:tcPr>
            <w:tcW w:w="100" w:type="dxa"/>
            <w:vAlign w:val="bottom"/>
          </w:tcPr>
          <w:p>
            <w:pPr>
              <w:spacing w:after="0"/>
              <w:rPr>
                <w:sz w:val="15"/>
                <w:szCs w:val="15"/>
                <w:color w:val="auto"/>
              </w:rPr>
            </w:pPr>
          </w:p>
        </w:tc>
        <w:tc>
          <w:tcPr>
            <w:tcW w:w="84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16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82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5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5"/>
                <w:szCs w:val="15"/>
                <w:color w:val="auto"/>
              </w:rPr>
            </w:pPr>
          </w:p>
        </w:tc>
        <w:tc>
          <w:tcPr>
            <w:tcW w:w="40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6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(132)</w:t>
            </w:r>
          </w:p>
        </w:tc>
        <w:tc>
          <w:tcPr>
            <w:tcW w:w="120" w:type="dxa"/>
            <w:vAlign w:val="bottom"/>
          </w:tcPr>
          <w:p>
            <w:pPr>
              <w:spacing w:after="0"/>
              <w:rPr>
                <w:sz w:val="15"/>
                <w:szCs w:val="15"/>
                <w:color w:val="auto"/>
              </w:rPr>
            </w:pPr>
          </w:p>
        </w:tc>
        <w:tc>
          <w:tcPr>
            <w:tcW w:w="760" w:type="dxa"/>
            <w:vAlign w:val="bottom"/>
          </w:tcPr>
          <w:p>
            <w:pPr>
              <w:jc w:val="right"/>
              <w:ind w:right="17"/>
              <w:spacing w:after="0"/>
              <w:rPr>
                <w:sz w:val="20"/>
                <w:szCs w:val="20"/>
                <w:color w:val="auto"/>
              </w:rPr>
            </w:pPr>
            <w:r>
              <w:rPr>
                <w:rFonts w:ascii="Arial" w:cs="Arial" w:eastAsia="Arial" w:hAnsi="Arial"/>
                <w:sz w:val="13"/>
                <w:szCs w:val="13"/>
                <w:color w:val="auto"/>
              </w:rPr>
              <w:t>(137)</w:t>
            </w:r>
          </w:p>
        </w:tc>
        <w:tc>
          <w:tcPr>
            <w:tcW w:w="0" w:type="dxa"/>
            <w:vAlign w:val="bottom"/>
          </w:tcPr>
          <w:p>
            <w:pPr>
              <w:spacing w:after="0"/>
              <w:rPr>
                <w:sz w:val="1"/>
                <w:szCs w:val="1"/>
                <w:color w:val="auto"/>
              </w:rPr>
            </w:pPr>
          </w:p>
        </w:tc>
      </w:tr>
      <w:tr>
        <w:trPr>
          <w:trHeight w:val="176"/>
        </w:trPr>
        <w:tc>
          <w:tcPr>
            <w:tcW w:w="2560" w:type="dxa"/>
            <w:vAlign w:val="bottom"/>
          </w:tcPr>
          <w:p>
            <w:pPr>
              <w:ind w:left="180"/>
              <w:spacing w:after="0" w:line="168" w:lineRule="exact"/>
              <w:rPr>
                <w:sz w:val="20"/>
                <w:szCs w:val="20"/>
                <w:color w:val="auto"/>
              </w:rPr>
            </w:pPr>
            <w:r>
              <w:rPr>
                <w:rFonts w:ascii="Arial" w:cs="Arial" w:eastAsia="Arial" w:hAnsi="Arial"/>
                <w:sz w:val="12"/>
                <w:szCs w:val="12"/>
                <w:color w:val="auto"/>
              </w:rPr>
              <w:t>Discrete tax-related items</w:t>
            </w:r>
            <w:r>
              <w:rPr>
                <w:rFonts w:ascii="Arial" w:cs="Arial" w:eastAsia="Arial" w:hAnsi="Arial"/>
                <w:sz w:val="19"/>
                <w:szCs w:val="19"/>
                <w:color w:val="auto"/>
                <w:vertAlign w:val="superscript"/>
              </w:rPr>
              <w:t>4</w:t>
            </w:r>
          </w:p>
        </w:tc>
        <w:tc>
          <w:tcPr>
            <w:tcW w:w="2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(5)</w:t>
            </w:r>
          </w:p>
        </w:tc>
        <w:tc>
          <w:tcPr>
            <w:tcW w:w="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w:t>
            </w:r>
          </w:p>
        </w:tc>
        <w:tc>
          <w:tcPr>
            <w:tcW w:w="24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w:t>
            </w: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(4)</w:t>
            </w:r>
          </w:p>
        </w:tc>
        <w:tc>
          <w:tcPr>
            <w:tcW w:w="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(17)</w:t>
            </w:r>
          </w:p>
        </w:tc>
        <w:tc>
          <w:tcPr>
            <w:tcW w:w="0" w:type="dxa"/>
            <w:vAlign w:val="bottom"/>
          </w:tcPr>
          <w:p>
            <w:pPr>
              <w:spacing w:after="0"/>
              <w:rPr>
                <w:sz w:val="1"/>
                <w:szCs w:val="1"/>
                <w:color w:val="auto"/>
              </w:rPr>
            </w:pPr>
          </w:p>
        </w:tc>
      </w:tr>
      <w:tr>
        <w:trPr>
          <w:trHeight w:val="149"/>
        </w:trPr>
        <w:tc>
          <w:tcPr>
            <w:tcW w:w="2560" w:type="dxa"/>
            <w:vAlign w:val="bottom"/>
          </w:tcPr>
          <w:p>
            <w:pPr>
              <w:spacing w:after="0" w:line="133" w:lineRule="exact"/>
              <w:rPr>
                <w:sz w:val="20"/>
                <w:szCs w:val="20"/>
                <w:color w:val="auto"/>
              </w:rPr>
            </w:pPr>
            <w:r>
              <w:rPr>
                <w:rFonts w:ascii="Arial" w:cs="Arial" w:eastAsia="Arial" w:hAnsi="Arial"/>
                <w:sz w:val="13"/>
                <w:szCs w:val="13"/>
                <w:color w:val="auto"/>
              </w:rPr>
              <w:t>Non-GAAP Measurement</w:t>
            </w:r>
          </w:p>
        </w:tc>
        <w:tc>
          <w:tcPr>
            <w:tcW w:w="20" w:type="dxa"/>
            <w:vAlign w:val="bottom"/>
          </w:tcPr>
          <w:p>
            <w:pPr>
              <w:spacing w:after="0"/>
              <w:rPr>
                <w:sz w:val="12"/>
                <w:szCs w:val="12"/>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8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6,489</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651</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221</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16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auto"/>
              </w:rPr>
              <w:t>959</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82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36</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942</w:t>
            </w:r>
          </w:p>
        </w:tc>
        <w:tc>
          <w:tcPr>
            <w:tcW w:w="2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4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911</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639</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7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auto"/>
            </w:tcBorders>
          </w:tcPr>
          <w:p>
            <w:pPr>
              <w:jc w:val="right"/>
              <w:ind w:right="9"/>
              <w:spacing w:after="0"/>
              <w:rPr>
                <w:sz w:val="20"/>
                <w:szCs w:val="20"/>
                <w:color w:val="auto"/>
              </w:rPr>
            </w:pPr>
            <w:r>
              <w:rPr>
                <w:rFonts w:ascii="Arial" w:cs="Arial" w:eastAsia="Arial" w:hAnsi="Arial"/>
                <w:sz w:val="9"/>
                <w:szCs w:val="9"/>
                <w:color w:val="auto"/>
                <w:w w:val="78"/>
              </w:rPr>
              <w:t>$</w:t>
            </w:r>
          </w:p>
        </w:tc>
        <w:tc>
          <w:tcPr>
            <w:tcW w:w="7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4,359</w:t>
            </w:r>
          </w:p>
        </w:tc>
        <w:tc>
          <w:tcPr>
            <w:tcW w:w="0" w:type="dxa"/>
            <w:vAlign w:val="bottom"/>
          </w:tcPr>
          <w:p>
            <w:pPr>
              <w:spacing w:after="0"/>
              <w:rPr>
                <w:sz w:val="1"/>
                <w:szCs w:val="1"/>
                <w:color w:val="auto"/>
              </w:rPr>
            </w:pPr>
          </w:p>
        </w:tc>
      </w:tr>
      <w:tr>
        <w:trPr>
          <w:trHeight w:val="20"/>
        </w:trPr>
        <w:tc>
          <w:tcPr>
            <w:tcW w:w="2560" w:type="dxa"/>
            <w:vAlign w:val="bottom"/>
            <w:vMerge w:val="restart"/>
          </w:tcPr>
          <w:p>
            <w:pPr>
              <w:ind w:left="180"/>
              <w:spacing w:after="0"/>
              <w:rPr>
                <w:sz w:val="20"/>
                <w:szCs w:val="20"/>
                <w:color w:val="auto"/>
              </w:rPr>
            </w:pPr>
            <w:r>
              <w:rPr>
                <w:rFonts w:ascii="Arial" w:cs="Arial" w:eastAsia="Arial" w:hAnsi="Arial"/>
                <w:sz w:val="13"/>
                <w:szCs w:val="13"/>
                <w:color w:val="auto"/>
                <w:w w:val="85"/>
              </w:rPr>
              <w:t>Net effect of deferred revenues and related cost</w:t>
            </w: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2560" w:type="dxa"/>
            <w:vAlign w:val="bottom"/>
            <w:vMerge w:val="continue"/>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2"/>
        </w:trPr>
        <w:tc>
          <w:tcPr>
            <w:tcW w:w="2560" w:type="dxa"/>
            <w:vAlign w:val="bottom"/>
          </w:tcPr>
          <w:p>
            <w:pPr>
              <w:ind w:left="180"/>
              <w:spacing w:after="0"/>
              <w:rPr>
                <w:sz w:val="20"/>
                <w:szCs w:val="20"/>
                <w:color w:val="auto"/>
              </w:rPr>
            </w:pPr>
            <w:r>
              <w:rPr>
                <w:rFonts w:ascii="Arial" w:cs="Arial" w:eastAsia="Arial" w:hAnsi="Arial"/>
                <w:sz w:val="13"/>
                <w:szCs w:val="13"/>
                <w:color w:val="auto"/>
              </w:rPr>
              <w:t>of revenues</w:t>
            </w:r>
            <w:r>
              <w:rPr>
                <w:rFonts w:ascii="Arial" w:cs="Arial" w:eastAsia="Arial" w:hAnsi="Arial"/>
                <w:sz w:val="20"/>
                <w:szCs w:val="20"/>
                <w:color w:val="auto"/>
                <w:vertAlign w:val="superscript"/>
              </w:rPr>
              <w:t>5</w:t>
            </w:r>
          </w:p>
        </w:tc>
        <w:tc>
          <w:tcPr>
            <w:tcW w:w="80" w:type="dxa"/>
            <w:vAlign w:val="bottom"/>
            <w:gridSpan w:val="2"/>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(101)</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(23)</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(25)</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1160" w:type="dxa"/>
            <w:vAlign w:val="bottom"/>
          </w:tcPr>
          <w:p>
            <w:pPr>
              <w:jc w:val="right"/>
              <w:ind w:right="77"/>
              <w:spacing w:after="0"/>
              <w:rPr>
                <w:sz w:val="20"/>
                <w:szCs w:val="20"/>
                <w:color w:val="auto"/>
              </w:rPr>
            </w:pPr>
            <w:r>
              <w:rPr>
                <w:rFonts w:ascii="Arial" w:cs="Arial" w:eastAsia="Arial" w:hAnsi="Arial"/>
                <w:sz w:val="13"/>
                <w:szCs w:val="13"/>
                <w:color w:val="auto"/>
              </w:rPr>
              <w:t>(2)</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820" w:type="dxa"/>
            <w:vAlign w:val="bottom"/>
          </w:tcPr>
          <w:p>
            <w:pPr>
              <w:jc w:val="right"/>
              <w:ind w:right="97"/>
              <w:spacing w:after="0"/>
              <w:rPr>
                <w:sz w:val="20"/>
                <w:szCs w:val="20"/>
                <w:color w:val="auto"/>
              </w:rPr>
            </w:pPr>
            <w:r>
              <w:rPr>
                <w:rFonts w:ascii="Arial" w:cs="Arial" w:eastAsia="Arial" w:hAnsi="Arial"/>
                <w:sz w:val="13"/>
                <w:szCs w:val="13"/>
                <w:color w:val="auto"/>
              </w:rPr>
              <w:t>1</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24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40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72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Pr>
          <w:p>
            <w:pPr>
              <w:jc w:val="right"/>
              <w:ind w:right="9"/>
              <w:spacing w:after="0"/>
              <w:rPr>
                <w:sz w:val="20"/>
                <w:szCs w:val="20"/>
                <w:color w:val="auto"/>
              </w:rPr>
            </w:pPr>
            <w:r>
              <w:rPr>
                <w:rFonts w:ascii="Arial" w:cs="Arial" w:eastAsia="Arial" w:hAnsi="Arial"/>
                <w:sz w:val="9"/>
                <w:szCs w:val="9"/>
                <w:color w:val="auto"/>
                <w:w w:val="78"/>
              </w:rPr>
              <w:t>$</w:t>
            </w:r>
          </w:p>
        </w:tc>
        <w:tc>
          <w:tcPr>
            <w:tcW w:w="760" w:type="dxa"/>
            <w:vAlign w:val="bottom"/>
          </w:tcPr>
          <w:p>
            <w:pPr>
              <w:jc w:val="right"/>
              <w:ind w:right="17"/>
              <w:spacing w:after="0"/>
              <w:rPr>
                <w:sz w:val="20"/>
                <w:szCs w:val="20"/>
                <w:color w:val="auto"/>
              </w:rPr>
            </w:pPr>
            <w:r>
              <w:rPr>
                <w:rFonts w:ascii="Arial" w:cs="Arial" w:eastAsia="Arial" w:hAnsi="Arial"/>
                <w:sz w:val="13"/>
                <w:szCs w:val="13"/>
                <w:color w:val="auto"/>
              </w:rPr>
              <w:t>(49)</w:t>
            </w:r>
          </w:p>
        </w:tc>
        <w:tc>
          <w:tcPr>
            <w:tcW w:w="0" w:type="dxa"/>
            <w:vAlign w:val="bottom"/>
          </w:tcPr>
          <w:p>
            <w:pPr>
              <w:spacing w:after="0"/>
              <w:rPr>
                <w:sz w:val="1"/>
                <w:szCs w:val="1"/>
                <w:color w:val="auto"/>
              </w:rPr>
            </w:pPr>
          </w:p>
        </w:tc>
      </w:tr>
      <w:tr>
        <w:trPr>
          <w:trHeight w:val="46"/>
        </w:trPr>
        <w:tc>
          <w:tcPr>
            <w:tcW w:w="25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10"/>
        </w:trPr>
        <w:tc>
          <w:tcPr>
            <w:tcW w:w="25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tcPr>
          <w:p>
            <w:pPr>
              <w:jc w:val="center"/>
              <w:spacing w:after="0" w:line="110" w:lineRule="exact"/>
              <w:rPr>
                <w:sz w:val="20"/>
                <w:szCs w:val="20"/>
                <w:color w:val="auto"/>
              </w:rPr>
            </w:pPr>
            <w:r>
              <w:rPr>
                <w:rFonts w:ascii="Arial" w:cs="Arial" w:eastAsia="Arial" w:hAnsi="Arial"/>
                <w:sz w:val="12"/>
                <w:szCs w:val="12"/>
                <w:b w:val="1"/>
                <w:bCs w:val="1"/>
                <w:color w:val="auto"/>
                <w:w w:val="95"/>
              </w:rPr>
              <w:t>Operating</w:t>
            </w: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jc w:val="center"/>
              <w:spacing w:after="0" w:line="110" w:lineRule="exact"/>
              <w:rPr>
                <w:sz w:val="20"/>
                <w:szCs w:val="20"/>
                <w:color w:val="auto"/>
              </w:rPr>
            </w:pPr>
            <w:r>
              <w:rPr>
                <w:rFonts w:ascii="Arial" w:cs="Arial" w:eastAsia="Arial" w:hAnsi="Arial"/>
                <w:sz w:val="12"/>
                <w:szCs w:val="12"/>
                <w:b w:val="1"/>
                <w:bCs w:val="1"/>
                <w:color w:val="auto"/>
                <w:w w:val="92"/>
              </w:rPr>
              <w:t>Basic Earnings</w:t>
            </w:r>
          </w:p>
        </w:tc>
        <w:tc>
          <w:tcPr>
            <w:tcW w:w="140" w:type="dxa"/>
            <w:vAlign w:val="bottom"/>
          </w:tcPr>
          <w:p>
            <w:pPr>
              <w:spacing w:after="0"/>
              <w:rPr>
                <w:sz w:val="9"/>
                <w:szCs w:val="9"/>
                <w:color w:val="auto"/>
              </w:rPr>
            </w:pPr>
          </w:p>
        </w:tc>
        <w:tc>
          <w:tcPr>
            <w:tcW w:w="1160" w:type="dxa"/>
            <w:vAlign w:val="bottom"/>
          </w:tcPr>
          <w:p>
            <w:pPr>
              <w:jc w:val="center"/>
              <w:ind w:right="17"/>
              <w:spacing w:after="0" w:line="110" w:lineRule="exact"/>
              <w:rPr>
                <w:sz w:val="20"/>
                <w:szCs w:val="20"/>
                <w:color w:val="auto"/>
              </w:rPr>
            </w:pPr>
            <w:r>
              <w:rPr>
                <w:rFonts w:ascii="Arial" w:cs="Arial" w:eastAsia="Arial" w:hAnsi="Arial"/>
                <w:sz w:val="12"/>
                <w:szCs w:val="12"/>
                <w:b w:val="1"/>
                <w:bCs w:val="1"/>
                <w:color w:val="auto"/>
                <w:w w:val="96"/>
              </w:rPr>
              <w:t>Diluted Earnings</w:t>
            </w: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2560" w:type="dxa"/>
            <w:vAlign w:val="bottom"/>
            <w:vMerge w:val="restart"/>
          </w:tcPr>
          <w:p>
            <w:pPr>
              <w:spacing w:after="0"/>
              <w:rPr>
                <w:sz w:val="20"/>
                <w:szCs w:val="20"/>
                <w:color w:val="auto"/>
              </w:rPr>
            </w:pPr>
            <w:r>
              <w:rPr>
                <w:rFonts w:ascii="Arial" w:cs="Arial" w:eastAsia="Arial" w:hAnsi="Arial"/>
                <w:sz w:val="13"/>
                <w:szCs w:val="13"/>
                <w:color w:val="auto"/>
              </w:rPr>
              <w:t>GAAP Measurement</w:t>
            </w:r>
          </w:p>
        </w:tc>
        <w:tc>
          <w:tcPr>
            <w:tcW w:w="2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Income</w:t>
            </w:r>
          </w:p>
        </w:tc>
        <w:tc>
          <w:tcPr>
            <w:tcW w:w="1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Net Income</w:t>
            </w:r>
          </w:p>
        </w:tc>
        <w:tc>
          <w:tcPr>
            <w:tcW w:w="1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per Share</w:t>
            </w:r>
          </w:p>
        </w:tc>
        <w:tc>
          <w:tcPr>
            <w:tcW w:w="1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center"/>
              <w:ind w:right="37"/>
              <w:spacing w:after="0"/>
              <w:rPr>
                <w:sz w:val="20"/>
                <w:szCs w:val="20"/>
                <w:color w:val="auto"/>
              </w:rPr>
            </w:pPr>
            <w:r>
              <w:rPr>
                <w:rFonts w:ascii="Arial" w:cs="Arial" w:eastAsia="Arial" w:hAnsi="Arial"/>
                <w:sz w:val="13"/>
                <w:szCs w:val="13"/>
                <w:b w:val="1"/>
                <w:bCs w:val="1"/>
                <w:color w:val="auto"/>
                <w:w w:val="89"/>
              </w:rPr>
              <w:t>per Share</w:t>
            </w: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56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800" w:type="dxa"/>
            <w:vAlign w:val="bottom"/>
          </w:tcPr>
          <w:p>
            <w:pPr>
              <w:jc w:val="right"/>
              <w:ind w:right="17"/>
              <w:spacing w:after="0" w:line="122" w:lineRule="exact"/>
              <w:rPr>
                <w:sz w:val="20"/>
                <w:szCs w:val="20"/>
                <w:color w:val="auto"/>
              </w:rPr>
            </w:pPr>
            <w:r>
              <w:rPr>
                <w:rFonts w:ascii="Arial" w:cs="Arial" w:eastAsia="Arial" w:hAnsi="Arial"/>
                <w:sz w:val="13"/>
                <w:szCs w:val="13"/>
                <w:color w:val="auto"/>
              </w:rPr>
              <w:t>1,607</w:t>
            </w:r>
          </w:p>
        </w:tc>
        <w:tc>
          <w:tcPr>
            <w:tcW w:w="100" w:type="dxa"/>
            <w:vAlign w:val="bottom"/>
          </w:tcPr>
          <w:p>
            <w:pPr>
              <w:jc w:val="right"/>
              <w:spacing w:after="0" w:line="122" w:lineRule="exact"/>
              <w:rPr>
                <w:sz w:val="20"/>
                <w:szCs w:val="20"/>
                <w:color w:val="auto"/>
              </w:rPr>
            </w:pPr>
            <w:r>
              <w:rPr>
                <w:rFonts w:ascii="Arial" w:cs="Arial" w:eastAsia="Arial" w:hAnsi="Arial"/>
                <w:sz w:val="13"/>
                <w:szCs w:val="13"/>
                <w:color w:val="auto"/>
              </w:rPr>
              <w:t>$</w:t>
            </w:r>
          </w:p>
        </w:tc>
        <w:tc>
          <w:tcPr>
            <w:tcW w:w="840" w:type="dxa"/>
            <w:vAlign w:val="bottom"/>
          </w:tcPr>
          <w:p>
            <w:pPr>
              <w:jc w:val="right"/>
              <w:ind w:right="37"/>
              <w:spacing w:after="0" w:line="122" w:lineRule="exact"/>
              <w:rPr>
                <w:sz w:val="20"/>
                <w:szCs w:val="20"/>
                <w:color w:val="auto"/>
              </w:rPr>
            </w:pPr>
            <w:r>
              <w:rPr>
                <w:rFonts w:ascii="Arial" w:cs="Arial" w:eastAsia="Arial" w:hAnsi="Arial"/>
                <w:sz w:val="13"/>
                <w:szCs w:val="13"/>
                <w:color w:val="auto"/>
              </w:rPr>
              <w:t>1,503</w:t>
            </w:r>
          </w:p>
        </w:tc>
        <w:tc>
          <w:tcPr>
            <w:tcW w:w="100" w:type="dxa"/>
            <w:vAlign w:val="bottom"/>
          </w:tcPr>
          <w:p>
            <w:pPr>
              <w:jc w:val="right"/>
              <w:spacing w:after="0" w:line="122" w:lineRule="exact"/>
              <w:rPr>
                <w:sz w:val="20"/>
                <w:szCs w:val="20"/>
                <w:color w:val="auto"/>
              </w:rPr>
            </w:pPr>
            <w:r>
              <w:rPr>
                <w:rFonts w:ascii="Arial" w:cs="Arial" w:eastAsia="Arial" w:hAnsi="Arial"/>
                <w:sz w:val="13"/>
                <w:szCs w:val="13"/>
                <w:color w:val="auto"/>
              </w:rPr>
              <w:t>$</w:t>
            </w:r>
          </w:p>
        </w:tc>
        <w:tc>
          <w:tcPr>
            <w:tcW w:w="840" w:type="dxa"/>
            <w:vAlign w:val="bottom"/>
          </w:tcPr>
          <w:p>
            <w:pPr>
              <w:jc w:val="right"/>
              <w:ind w:right="37"/>
              <w:spacing w:after="0" w:line="122" w:lineRule="exact"/>
              <w:rPr>
                <w:sz w:val="20"/>
                <w:szCs w:val="20"/>
                <w:color w:val="auto"/>
              </w:rPr>
            </w:pPr>
            <w:r>
              <w:rPr>
                <w:rFonts w:ascii="Arial" w:cs="Arial" w:eastAsia="Arial" w:hAnsi="Arial"/>
                <w:sz w:val="13"/>
                <w:szCs w:val="13"/>
                <w:color w:val="auto"/>
              </w:rPr>
              <w:t>1.96</w:t>
            </w:r>
          </w:p>
        </w:tc>
        <w:tc>
          <w:tcPr>
            <w:tcW w:w="140" w:type="dxa"/>
            <w:vAlign w:val="bottom"/>
          </w:tcPr>
          <w:p>
            <w:pPr>
              <w:jc w:val="right"/>
              <w:spacing w:after="0" w:line="122" w:lineRule="exact"/>
              <w:rPr>
                <w:sz w:val="20"/>
                <w:szCs w:val="20"/>
                <w:color w:val="auto"/>
              </w:rPr>
            </w:pPr>
            <w:r>
              <w:rPr>
                <w:rFonts w:ascii="Arial" w:cs="Arial" w:eastAsia="Arial" w:hAnsi="Arial"/>
                <w:sz w:val="13"/>
                <w:szCs w:val="13"/>
                <w:color w:val="auto"/>
              </w:rPr>
              <w:t>$</w:t>
            </w:r>
          </w:p>
        </w:tc>
        <w:tc>
          <w:tcPr>
            <w:tcW w:w="1160" w:type="dxa"/>
            <w:vAlign w:val="bottom"/>
          </w:tcPr>
          <w:p>
            <w:pPr>
              <w:jc w:val="right"/>
              <w:ind w:right="117"/>
              <w:spacing w:after="0" w:line="122" w:lineRule="exact"/>
              <w:rPr>
                <w:sz w:val="20"/>
                <w:szCs w:val="20"/>
                <w:color w:val="auto"/>
              </w:rPr>
            </w:pPr>
            <w:r>
              <w:rPr>
                <w:rFonts w:ascii="Arial" w:cs="Arial" w:eastAsia="Arial" w:hAnsi="Arial"/>
                <w:sz w:val="13"/>
                <w:szCs w:val="13"/>
                <w:color w:val="auto"/>
              </w:rPr>
              <w:t>1.95</w:t>
            </w: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2560" w:type="dxa"/>
            <w:vAlign w:val="bottom"/>
          </w:tcPr>
          <w:p>
            <w:pPr>
              <w:ind w:left="180"/>
              <w:spacing w:after="0" w:line="176" w:lineRule="exact"/>
              <w:rPr>
                <w:sz w:val="20"/>
                <w:szCs w:val="20"/>
                <w:color w:val="auto"/>
              </w:rPr>
            </w:pPr>
            <w:r>
              <w:rPr>
                <w:rFonts w:ascii="Arial" w:cs="Arial" w:eastAsia="Arial" w:hAnsi="Arial"/>
                <w:sz w:val="13"/>
                <w:szCs w:val="13"/>
                <w:color w:val="auto"/>
              </w:rPr>
              <w:t>Share-based compensation</w:t>
            </w:r>
            <w:r>
              <w:rPr>
                <w:rFonts w:ascii="Arial" w:cs="Arial" w:eastAsia="Arial" w:hAnsi="Arial"/>
                <w:sz w:val="20"/>
                <w:szCs w:val="20"/>
                <w:color w:val="auto"/>
                <w:vertAlign w:val="superscript"/>
              </w:rPr>
              <w:t>1</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166</w:t>
            </w:r>
          </w:p>
        </w:tc>
        <w:tc>
          <w:tcPr>
            <w:tcW w:w="100" w:type="dxa"/>
            <w:vAlign w:val="bottom"/>
          </w:tcPr>
          <w:p>
            <w:pPr>
              <w:spacing w:after="0"/>
              <w:rPr>
                <w:sz w:val="15"/>
                <w:szCs w:val="15"/>
                <w:color w:val="auto"/>
              </w:rPr>
            </w:pPr>
          </w:p>
        </w:tc>
        <w:tc>
          <w:tcPr>
            <w:tcW w:w="840" w:type="dxa"/>
            <w:vAlign w:val="bottom"/>
          </w:tcPr>
          <w:p>
            <w:pPr>
              <w:jc w:val="right"/>
              <w:ind w:right="37"/>
              <w:spacing w:after="0"/>
              <w:rPr>
                <w:sz w:val="20"/>
                <w:szCs w:val="20"/>
                <w:color w:val="auto"/>
              </w:rPr>
            </w:pPr>
            <w:r>
              <w:rPr>
                <w:rFonts w:ascii="Arial" w:cs="Arial" w:eastAsia="Arial" w:hAnsi="Arial"/>
                <w:sz w:val="13"/>
                <w:szCs w:val="13"/>
                <w:color w:val="auto"/>
              </w:rPr>
              <w:t>166</w:t>
            </w:r>
          </w:p>
        </w:tc>
        <w:tc>
          <w:tcPr>
            <w:tcW w:w="100" w:type="dxa"/>
            <w:vAlign w:val="bottom"/>
          </w:tcPr>
          <w:p>
            <w:pPr>
              <w:spacing w:after="0"/>
              <w:rPr>
                <w:sz w:val="15"/>
                <w:szCs w:val="15"/>
                <w:color w:val="auto"/>
              </w:rPr>
            </w:pPr>
          </w:p>
        </w:tc>
        <w:tc>
          <w:tcPr>
            <w:tcW w:w="840" w:type="dxa"/>
            <w:vAlign w:val="bottom"/>
          </w:tcPr>
          <w:p>
            <w:pPr>
              <w:jc w:val="right"/>
              <w:ind w:right="37"/>
              <w:spacing w:after="0"/>
              <w:rPr>
                <w:sz w:val="20"/>
                <w:szCs w:val="20"/>
                <w:color w:val="auto"/>
              </w:rPr>
            </w:pPr>
            <w:r>
              <w:rPr>
                <w:rFonts w:ascii="Arial" w:cs="Arial" w:eastAsia="Arial" w:hAnsi="Arial"/>
                <w:sz w:val="13"/>
                <w:szCs w:val="13"/>
                <w:color w:val="auto"/>
              </w:rPr>
              <w:t>0.22</w:t>
            </w:r>
          </w:p>
        </w:tc>
        <w:tc>
          <w:tcPr>
            <w:tcW w:w="140" w:type="dxa"/>
            <w:vAlign w:val="bottom"/>
          </w:tcPr>
          <w:p>
            <w:pPr>
              <w:spacing w:after="0"/>
              <w:rPr>
                <w:sz w:val="15"/>
                <w:szCs w:val="15"/>
                <w:color w:val="auto"/>
              </w:rPr>
            </w:pPr>
          </w:p>
        </w:tc>
        <w:tc>
          <w:tcPr>
            <w:tcW w:w="1160" w:type="dxa"/>
            <w:vAlign w:val="bottom"/>
          </w:tcPr>
          <w:p>
            <w:pPr>
              <w:jc w:val="right"/>
              <w:ind w:right="117"/>
              <w:spacing w:after="0"/>
              <w:rPr>
                <w:sz w:val="20"/>
                <w:szCs w:val="20"/>
                <w:color w:val="auto"/>
              </w:rPr>
            </w:pPr>
            <w:r>
              <w:rPr>
                <w:rFonts w:ascii="Arial" w:cs="Arial" w:eastAsia="Arial" w:hAnsi="Arial"/>
                <w:sz w:val="13"/>
                <w:szCs w:val="13"/>
                <w:color w:val="auto"/>
              </w:rPr>
              <w:t>0.22</w:t>
            </w: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560" w:type="dxa"/>
            <w:vAlign w:val="bottom"/>
          </w:tcPr>
          <w:p>
            <w:pPr>
              <w:ind w:left="180"/>
              <w:spacing w:after="0" w:line="176" w:lineRule="exact"/>
              <w:rPr>
                <w:sz w:val="20"/>
                <w:szCs w:val="20"/>
                <w:color w:val="auto"/>
              </w:rPr>
            </w:pPr>
            <w:r>
              <w:rPr>
                <w:rFonts w:ascii="Arial" w:cs="Arial" w:eastAsia="Arial" w:hAnsi="Arial"/>
                <w:sz w:val="13"/>
                <w:szCs w:val="13"/>
                <w:color w:val="auto"/>
              </w:rPr>
              <w:t>Amortization of intangible assets</w:t>
            </w:r>
            <w:r>
              <w:rPr>
                <w:rFonts w:ascii="Arial" w:cs="Arial" w:eastAsia="Arial" w:hAnsi="Arial"/>
                <w:sz w:val="20"/>
                <w:szCs w:val="20"/>
                <w:color w:val="auto"/>
                <w:vertAlign w:val="superscript"/>
              </w:rPr>
              <w:t>2</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203</w:t>
            </w:r>
          </w:p>
        </w:tc>
        <w:tc>
          <w:tcPr>
            <w:tcW w:w="100" w:type="dxa"/>
            <w:vAlign w:val="bottom"/>
          </w:tcPr>
          <w:p>
            <w:pPr>
              <w:spacing w:after="0"/>
              <w:rPr>
                <w:sz w:val="15"/>
                <w:szCs w:val="15"/>
                <w:color w:val="auto"/>
              </w:rPr>
            </w:pPr>
          </w:p>
        </w:tc>
        <w:tc>
          <w:tcPr>
            <w:tcW w:w="840" w:type="dxa"/>
            <w:vAlign w:val="bottom"/>
          </w:tcPr>
          <w:p>
            <w:pPr>
              <w:jc w:val="right"/>
              <w:ind w:right="37"/>
              <w:spacing w:after="0"/>
              <w:rPr>
                <w:sz w:val="20"/>
                <w:szCs w:val="20"/>
                <w:color w:val="auto"/>
              </w:rPr>
            </w:pPr>
            <w:r>
              <w:rPr>
                <w:rFonts w:ascii="Arial" w:cs="Arial" w:eastAsia="Arial" w:hAnsi="Arial"/>
                <w:sz w:val="13"/>
                <w:szCs w:val="13"/>
                <w:color w:val="auto"/>
              </w:rPr>
              <w:t>203</w:t>
            </w:r>
          </w:p>
        </w:tc>
        <w:tc>
          <w:tcPr>
            <w:tcW w:w="100" w:type="dxa"/>
            <w:vAlign w:val="bottom"/>
          </w:tcPr>
          <w:p>
            <w:pPr>
              <w:spacing w:after="0"/>
              <w:rPr>
                <w:sz w:val="15"/>
                <w:szCs w:val="15"/>
                <w:color w:val="auto"/>
              </w:rPr>
            </w:pPr>
          </w:p>
        </w:tc>
        <w:tc>
          <w:tcPr>
            <w:tcW w:w="840" w:type="dxa"/>
            <w:vAlign w:val="bottom"/>
          </w:tcPr>
          <w:p>
            <w:pPr>
              <w:jc w:val="right"/>
              <w:ind w:right="37"/>
              <w:spacing w:after="0"/>
              <w:rPr>
                <w:sz w:val="20"/>
                <w:szCs w:val="20"/>
                <w:color w:val="auto"/>
              </w:rPr>
            </w:pPr>
            <w:r>
              <w:rPr>
                <w:rFonts w:ascii="Arial" w:cs="Arial" w:eastAsia="Arial" w:hAnsi="Arial"/>
                <w:sz w:val="13"/>
                <w:szCs w:val="13"/>
                <w:color w:val="auto"/>
              </w:rPr>
              <w:t>0.26</w:t>
            </w:r>
          </w:p>
        </w:tc>
        <w:tc>
          <w:tcPr>
            <w:tcW w:w="140" w:type="dxa"/>
            <w:vAlign w:val="bottom"/>
          </w:tcPr>
          <w:p>
            <w:pPr>
              <w:spacing w:after="0"/>
              <w:rPr>
                <w:sz w:val="15"/>
                <w:szCs w:val="15"/>
                <w:color w:val="auto"/>
              </w:rPr>
            </w:pPr>
          </w:p>
        </w:tc>
        <w:tc>
          <w:tcPr>
            <w:tcW w:w="1160" w:type="dxa"/>
            <w:vAlign w:val="bottom"/>
          </w:tcPr>
          <w:p>
            <w:pPr>
              <w:jc w:val="right"/>
              <w:ind w:right="117"/>
              <w:spacing w:after="0"/>
              <w:rPr>
                <w:sz w:val="20"/>
                <w:szCs w:val="20"/>
                <w:color w:val="auto"/>
              </w:rPr>
            </w:pPr>
            <w:r>
              <w:rPr>
                <w:rFonts w:ascii="Arial" w:cs="Arial" w:eastAsia="Arial" w:hAnsi="Arial"/>
                <w:sz w:val="13"/>
                <w:szCs w:val="13"/>
                <w:color w:val="auto"/>
              </w:rPr>
              <w:t>0.26</w:t>
            </w: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560" w:type="dxa"/>
            <w:vAlign w:val="bottom"/>
          </w:tcPr>
          <w:p>
            <w:pPr>
              <w:ind w:left="180"/>
              <w:spacing w:after="0" w:line="176" w:lineRule="exact"/>
              <w:rPr>
                <w:sz w:val="20"/>
                <w:szCs w:val="20"/>
                <w:color w:val="auto"/>
              </w:rPr>
            </w:pPr>
            <w:r>
              <w:rPr>
                <w:rFonts w:ascii="Arial" w:cs="Arial" w:eastAsia="Arial" w:hAnsi="Arial"/>
                <w:sz w:val="13"/>
                <w:szCs w:val="13"/>
                <w:color w:val="auto"/>
              </w:rPr>
              <w:t>Restructuring and related costs</w:t>
            </w:r>
            <w:r>
              <w:rPr>
                <w:rFonts w:ascii="Arial" w:cs="Arial" w:eastAsia="Arial" w:hAnsi="Arial"/>
                <w:sz w:val="20"/>
                <w:szCs w:val="20"/>
                <w:color w:val="auto"/>
                <w:vertAlign w:val="superscript"/>
              </w:rPr>
              <w:t>3</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137</w:t>
            </w:r>
          </w:p>
        </w:tc>
        <w:tc>
          <w:tcPr>
            <w:tcW w:w="100" w:type="dxa"/>
            <w:vAlign w:val="bottom"/>
          </w:tcPr>
          <w:p>
            <w:pPr>
              <w:spacing w:after="0"/>
              <w:rPr>
                <w:sz w:val="15"/>
                <w:szCs w:val="15"/>
                <w:color w:val="auto"/>
              </w:rPr>
            </w:pPr>
          </w:p>
        </w:tc>
        <w:tc>
          <w:tcPr>
            <w:tcW w:w="840" w:type="dxa"/>
            <w:vAlign w:val="bottom"/>
          </w:tcPr>
          <w:p>
            <w:pPr>
              <w:jc w:val="right"/>
              <w:ind w:right="37"/>
              <w:spacing w:after="0"/>
              <w:rPr>
                <w:sz w:val="20"/>
                <w:szCs w:val="20"/>
                <w:color w:val="auto"/>
              </w:rPr>
            </w:pPr>
            <w:r>
              <w:rPr>
                <w:rFonts w:ascii="Arial" w:cs="Arial" w:eastAsia="Arial" w:hAnsi="Arial"/>
                <w:sz w:val="13"/>
                <w:szCs w:val="13"/>
                <w:color w:val="auto"/>
              </w:rPr>
              <w:t>137</w:t>
            </w:r>
          </w:p>
        </w:tc>
        <w:tc>
          <w:tcPr>
            <w:tcW w:w="100" w:type="dxa"/>
            <w:vAlign w:val="bottom"/>
          </w:tcPr>
          <w:p>
            <w:pPr>
              <w:spacing w:after="0"/>
              <w:rPr>
                <w:sz w:val="15"/>
                <w:szCs w:val="15"/>
                <w:color w:val="auto"/>
              </w:rPr>
            </w:pPr>
          </w:p>
        </w:tc>
        <w:tc>
          <w:tcPr>
            <w:tcW w:w="840" w:type="dxa"/>
            <w:vAlign w:val="bottom"/>
          </w:tcPr>
          <w:p>
            <w:pPr>
              <w:jc w:val="right"/>
              <w:ind w:right="37"/>
              <w:spacing w:after="0"/>
              <w:rPr>
                <w:sz w:val="20"/>
                <w:szCs w:val="20"/>
                <w:color w:val="auto"/>
              </w:rPr>
            </w:pPr>
            <w:r>
              <w:rPr>
                <w:rFonts w:ascii="Arial" w:cs="Arial" w:eastAsia="Arial" w:hAnsi="Arial"/>
                <w:sz w:val="13"/>
                <w:szCs w:val="13"/>
                <w:color w:val="auto"/>
              </w:rPr>
              <w:t>0.18</w:t>
            </w:r>
          </w:p>
        </w:tc>
        <w:tc>
          <w:tcPr>
            <w:tcW w:w="140" w:type="dxa"/>
            <w:vAlign w:val="bottom"/>
          </w:tcPr>
          <w:p>
            <w:pPr>
              <w:spacing w:after="0"/>
              <w:rPr>
                <w:sz w:val="15"/>
                <w:szCs w:val="15"/>
                <w:color w:val="auto"/>
              </w:rPr>
            </w:pPr>
          </w:p>
        </w:tc>
        <w:tc>
          <w:tcPr>
            <w:tcW w:w="1160" w:type="dxa"/>
            <w:vAlign w:val="bottom"/>
          </w:tcPr>
          <w:p>
            <w:pPr>
              <w:jc w:val="right"/>
              <w:ind w:right="117"/>
              <w:spacing w:after="0"/>
              <w:rPr>
                <w:sz w:val="20"/>
                <w:szCs w:val="20"/>
                <w:color w:val="auto"/>
              </w:rPr>
            </w:pPr>
            <w:r>
              <w:rPr>
                <w:rFonts w:ascii="Arial" w:cs="Arial" w:eastAsia="Arial" w:hAnsi="Arial"/>
                <w:sz w:val="13"/>
                <w:szCs w:val="13"/>
                <w:color w:val="auto"/>
              </w:rPr>
              <w:t>0.18</w:t>
            </w: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560" w:type="dxa"/>
            <w:vAlign w:val="bottom"/>
          </w:tcPr>
          <w:p>
            <w:pPr>
              <w:ind w:left="180"/>
              <w:spacing w:after="0" w:line="176" w:lineRule="exact"/>
              <w:rPr>
                <w:sz w:val="20"/>
                <w:szCs w:val="20"/>
                <w:color w:val="auto"/>
              </w:rPr>
            </w:pPr>
            <w:r>
              <w:rPr>
                <w:rFonts w:ascii="Arial" w:cs="Arial" w:eastAsia="Arial" w:hAnsi="Arial"/>
                <w:sz w:val="13"/>
                <w:szCs w:val="13"/>
                <w:color w:val="auto"/>
              </w:rPr>
              <w:t>Income tax impacts from items above</w:t>
            </w:r>
            <w:r>
              <w:rPr>
                <w:rFonts w:ascii="Arial" w:cs="Arial" w:eastAsia="Arial" w:hAnsi="Arial"/>
                <w:sz w:val="20"/>
                <w:szCs w:val="20"/>
                <w:color w:val="auto"/>
                <w:vertAlign w:val="superscript"/>
              </w:rPr>
              <w:t>6</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(95)</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(0.13)</w:t>
            </w:r>
          </w:p>
        </w:tc>
        <w:tc>
          <w:tcPr>
            <w:tcW w:w="140" w:type="dxa"/>
            <w:vAlign w:val="bottom"/>
          </w:tcPr>
          <w:p>
            <w:pPr>
              <w:spacing w:after="0"/>
              <w:rPr>
                <w:sz w:val="15"/>
                <w:szCs w:val="15"/>
                <w:color w:val="auto"/>
              </w:rPr>
            </w:pPr>
          </w:p>
        </w:tc>
        <w:tc>
          <w:tcPr>
            <w:tcW w:w="1160" w:type="dxa"/>
            <w:vAlign w:val="bottom"/>
          </w:tcPr>
          <w:p>
            <w:pPr>
              <w:jc w:val="right"/>
              <w:ind w:right="77"/>
              <w:spacing w:after="0"/>
              <w:rPr>
                <w:sz w:val="20"/>
                <w:szCs w:val="20"/>
                <w:color w:val="auto"/>
              </w:rPr>
            </w:pPr>
            <w:r>
              <w:rPr>
                <w:rFonts w:ascii="Arial" w:cs="Arial" w:eastAsia="Arial" w:hAnsi="Arial"/>
                <w:sz w:val="13"/>
                <w:szCs w:val="13"/>
                <w:color w:val="auto"/>
              </w:rPr>
              <w:t>(0.12)</w:t>
            </w: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560" w:type="dxa"/>
            <w:vAlign w:val="bottom"/>
          </w:tcPr>
          <w:p>
            <w:pPr>
              <w:ind w:left="180"/>
              <w:spacing w:after="0" w:line="183" w:lineRule="exact"/>
              <w:rPr>
                <w:sz w:val="20"/>
                <w:szCs w:val="20"/>
                <w:color w:val="auto"/>
              </w:rPr>
            </w:pPr>
            <w:r>
              <w:rPr>
                <w:rFonts w:ascii="Arial" w:cs="Arial" w:eastAsia="Arial" w:hAnsi="Arial"/>
                <w:sz w:val="13"/>
                <w:szCs w:val="13"/>
                <w:color w:val="auto"/>
              </w:rPr>
              <w:t>Discrete tax-related items</w:t>
            </w:r>
            <w:r>
              <w:rPr>
                <w:rFonts w:ascii="Arial" w:cs="Arial" w:eastAsia="Arial" w:hAnsi="Arial"/>
                <w:sz w:val="20"/>
                <w:szCs w:val="20"/>
                <w:color w:val="auto"/>
                <w:vertAlign w:val="superscript"/>
              </w:rPr>
              <w:t>4</w:t>
            </w:r>
          </w:p>
        </w:tc>
        <w:tc>
          <w:tcPr>
            <w:tcW w:w="2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17</w:t>
            </w: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(131)</w:t>
            </w: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(0.17)</w:t>
            </w:r>
          </w:p>
        </w:tc>
        <w:tc>
          <w:tcPr>
            <w:tcW w:w="1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(0.17)</w:t>
            </w: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560" w:type="dxa"/>
            <w:vAlign w:val="bottom"/>
          </w:tcPr>
          <w:p>
            <w:pPr>
              <w:spacing w:after="0" w:line="129" w:lineRule="exact"/>
              <w:rPr>
                <w:sz w:val="20"/>
                <w:szCs w:val="20"/>
                <w:color w:val="auto"/>
              </w:rPr>
            </w:pPr>
            <w:r>
              <w:rPr>
                <w:rFonts w:ascii="Arial" w:cs="Arial" w:eastAsia="Arial" w:hAnsi="Arial"/>
                <w:sz w:val="13"/>
                <w:szCs w:val="13"/>
                <w:color w:val="auto"/>
              </w:rPr>
              <w:t>Non-GAAP Measurement</w:t>
            </w:r>
          </w:p>
        </w:tc>
        <w:tc>
          <w:tcPr>
            <w:tcW w:w="20" w:type="dxa"/>
            <w:vAlign w:val="bottom"/>
          </w:tcPr>
          <w:p>
            <w:pPr>
              <w:spacing w:after="0"/>
              <w:rPr>
                <w:sz w:val="11"/>
                <w:szCs w:val="11"/>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800" w:type="dxa"/>
            <w:vAlign w:val="bottom"/>
            <w:tcBorders>
              <w:bottom w:val="single" w:sz="8" w:color="auto"/>
            </w:tcBorders>
          </w:tcPr>
          <w:p>
            <w:pPr>
              <w:jc w:val="right"/>
              <w:ind w:right="17"/>
              <w:spacing w:after="0" w:line="129" w:lineRule="exact"/>
              <w:rPr>
                <w:sz w:val="20"/>
                <w:szCs w:val="20"/>
                <w:color w:val="auto"/>
              </w:rPr>
            </w:pPr>
            <w:r>
              <w:rPr>
                <w:rFonts w:ascii="Arial" w:cs="Arial" w:eastAsia="Arial" w:hAnsi="Arial"/>
                <w:sz w:val="13"/>
                <w:szCs w:val="13"/>
                <w:color w:val="auto"/>
              </w:rPr>
              <w:t>2,130</w:t>
            </w:r>
          </w:p>
        </w:tc>
        <w:tc>
          <w:tcPr>
            <w:tcW w:w="1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tcPr>
          <w:p>
            <w:pPr>
              <w:jc w:val="right"/>
              <w:ind w:right="37"/>
              <w:spacing w:after="0" w:line="129" w:lineRule="exact"/>
              <w:rPr>
                <w:sz w:val="20"/>
                <w:szCs w:val="20"/>
                <w:color w:val="auto"/>
              </w:rPr>
            </w:pPr>
            <w:r>
              <w:rPr>
                <w:rFonts w:ascii="Arial" w:cs="Arial" w:eastAsia="Arial" w:hAnsi="Arial"/>
                <w:sz w:val="13"/>
                <w:szCs w:val="13"/>
                <w:color w:val="auto"/>
              </w:rPr>
              <w:t>1,783</w:t>
            </w:r>
          </w:p>
        </w:tc>
        <w:tc>
          <w:tcPr>
            <w:tcW w:w="1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tcPr>
          <w:p>
            <w:pPr>
              <w:jc w:val="right"/>
              <w:ind w:right="37"/>
              <w:spacing w:after="0" w:line="129" w:lineRule="exact"/>
              <w:rPr>
                <w:sz w:val="20"/>
                <w:szCs w:val="20"/>
                <w:color w:val="auto"/>
              </w:rPr>
            </w:pPr>
            <w:r>
              <w:rPr>
                <w:rFonts w:ascii="Arial" w:cs="Arial" w:eastAsia="Arial" w:hAnsi="Arial"/>
                <w:sz w:val="13"/>
                <w:szCs w:val="13"/>
                <w:color w:val="auto"/>
              </w:rPr>
              <w:t>2.33</w:t>
            </w:r>
          </w:p>
        </w:tc>
        <w:tc>
          <w:tcPr>
            <w:tcW w:w="1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1160" w:type="dxa"/>
            <w:vAlign w:val="bottom"/>
            <w:tcBorders>
              <w:bottom w:val="single" w:sz="8" w:color="auto"/>
            </w:tcBorders>
          </w:tcPr>
          <w:p>
            <w:pPr>
              <w:jc w:val="right"/>
              <w:ind w:right="117"/>
              <w:spacing w:after="0" w:line="129" w:lineRule="exact"/>
              <w:rPr>
                <w:sz w:val="20"/>
                <w:szCs w:val="20"/>
                <w:color w:val="auto"/>
              </w:rPr>
            </w:pPr>
            <w:r>
              <w:rPr>
                <w:rFonts w:ascii="Arial" w:cs="Arial" w:eastAsia="Arial" w:hAnsi="Arial"/>
                <w:sz w:val="13"/>
                <w:szCs w:val="13"/>
                <w:color w:val="auto"/>
              </w:rPr>
              <w:t>2.31</w:t>
            </w: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560" w:type="dxa"/>
            <w:vAlign w:val="bottom"/>
            <w:vMerge w:val="restart"/>
          </w:tcPr>
          <w:p>
            <w:pPr>
              <w:ind w:left="180"/>
              <w:spacing w:after="0"/>
              <w:rPr>
                <w:sz w:val="20"/>
                <w:szCs w:val="20"/>
                <w:color w:val="auto"/>
              </w:rPr>
            </w:pPr>
            <w:r>
              <w:rPr>
                <w:rFonts w:ascii="Arial" w:cs="Arial" w:eastAsia="Arial" w:hAnsi="Arial"/>
                <w:sz w:val="13"/>
                <w:szCs w:val="13"/>
                <w:color w:val="auto"/>
                <w:w w:val="85"/>
              </w:rPr>
              <w:t>Net effect of deferred revenues and related cost</w:t>
            </w: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2560" w:type="dxa"/>
            <w:vAlign w:val="bottom"/>
            <w:vMerge w:val="continue"/>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2"/>
        </w:trPr>
        <w:tc>
          <w:tcPr>
            <w:tcW w:w="2560" w:type="dxa"/>
            <w:vAlign w:val="bottom"/>
          </w:tcPr>
          <w:p>
            <w:pPr>
              <w:ind w:left="180"/>
              <w:spacing w:after="0"/>
              <w:rPr>
                <w:sz w:val="20"/>
                <w:szCs w:val="20"/>
                <w:color w:val="auto"/>
              </w:rPr>
            </w:pPr>
            <w:r>
              <w:rPr>
                <w:rFonts w:ascii="Arial" w:cs="Arial" w:eastAsia="Arial" w:hAnsi="Arial"/>
                <w:sz w:val="13"/>
                <w:szCs w:val="13"/>
                <w:color w:val="auto"/>
              </w:rPr>
              <w:t>of revenues</w:t>
            </w:r>
            <w:r>
              <w:rPr>
                <w:rFonts w:ascii="Arial" w:cs="Arial" w:eastAsia="Arial" w:hAnsi="Arial"/>
                <w:sz w:val="20"/>
                <w:szCs w:val="20"/>
                <w:color w:val="auto"/>
                <w:vertAlign w:val="superscript"/>
              </w:rPr>
              <w:t>5</w:t>
            </w:r>
          </w:p>
        </w:tc>
        <w:tc>
          <w:tcPr>
            <w:tcW w:w="80" w:type="dxa"/>
            <w:vAlign w:val="bottom"/>
            <w:gridSpan w:val="2"/>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(52)</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(47)</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(0.07)</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1160" w:type="dxa"/>
            <w:vAlign w:val="bottom"/>
          </w:tcPr>
          <w:p>
            <w:pPr>
              <w:jc w:val="right"/>
              <w:ind w:right="77"/>
              <w:spacing w:after="0"/>
              <w:rPr>
                <w:sz w:val="20"/>
                <w:szCs w:val="20"/>
                <w:color w:val="auto"/>
              </w:rPr>
            </w:pPr>
            <w:r>
              <w:rPr>
                <w:rFonts w:ascii="Arial" w:cs="Arial" w:eastAsia="Arial" w:hAnsi="Arial"/>
                <w:sz w:val="13"/>
                <w:szCs w:val="13"/>
                <w:color w:val="auto"/>
              </w:rPr>
              <w:t>(0.06)</w:t>
            </w:r>
          </w:p>
        </w:tc>
        <w:tc>
          <w:tcPr>
            <w:tcW w:w="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340" w:hanging="332"/>
        <w:spacing w:after="0"/>
        <w:tabs>
          <w:tab w:leader="none" w:pos="340" w:val="left"/>
        </w:tabs>
        <w:numPr>
          <w:ilvl w:val="0"/>
          <w:numId w:val="26"/>
        </w:numPr>
        <w:rPr>
          <w:rFonts w:ascii="Arial" w:cs="Arial" w:eastAsia="Arial" w:hAnsi="Arial"/>
          <w:sz w:val="10"/>
          <w:szCs w:val="10"/>
          <w:color w:val="auto"/>
        </w:rPr>
      </w:pPr>
      <w:r>
        <w:rPr>
          <w:rFonts w:ascii="Arial" w:cs="Arial" w:eastAsia="Arial" w:hAnsi="Arial"/>
          <w:sz w:val="13"/>
          <w:szCs w:val="13"/>
          <w:color w:val="auto"/>
        </w:rPr>
        <w:t>Includes expenses related to share-based compensation.</w:t>
      </w:r>
    </w:p>
    <w:p>
      <w:pPr>
        <w:spacing w:after="0" w:line="8" w:lineRule="exact"/>
        <w:rPr>
          <w:sz w:val="20"/>
          <w:szCs w:val="20"/>
          <w:color w:val="auto"/>
        </w:rPr>
      </w:pPr>
    </w:p>
    <w:p>
      <w:pPr>
        <w:ind w:left="340" w:hanging="332"/>
        <w:spacing w:after="0"/>
        <w:tabs>
          <w:tab w:leader="none" w:pos="340" w:val="left"/>
        </w:tabs>
        <w:numPr>
          <w:ilvl w:val="0"/>
          <w:numId w:val="27"/>
        </w:numPr>
        <w:rPr>
          <w:rFonts w:ascii="Arial" w:cs="Arial" w:eastAsia="Arial" w:hAnsi="Arial"/>
          <w:sz w:val="10"/>
          <w:szCs w:val="10"/>
          <w:color w:val="auto"/>
        </w:rPr>
      </w:pPr>
      <w:r>
        <w:rPr>
          <w:rFonts w:ascii="Arial" w:cs="Arial" w:eastAsia="Arial" w:hAnsi="Arial"/>
          <w:sz w:val="13"/>
          <w:szCs w:val="13"/>
          <w:color w:val="auto"/>
        </w:rPr>
        <w:t>Reflects amortization of intangible assets from purchase price accounting.</w:t>
      </w:r>
    </w:p>
    <w:p>
      <w:pPr>
        <w:ind w:left="340" w:hanging="332"/>
        <w:spacing w:after="0"/>
        <w:tabs>
          <w:tab w:leader="none" w:pos="340" w:val="left"/>
        </w:tabs>
        <w:numPr>
          <w:ilvl w:val="0"/>
          <w:numId w:val="28"/>
        </w:numPr>
        <w:rPr>
          <w:rFonts w:ascii="Arial" w:cs="Arial" w:eastAsia="Arial" w:hAnsi="Arial"/>
          <w:sz w:val="10"/>
          <w:szCs w:val="10"/>
          <w:color w:val="auto"/>
        </w:rPr>
      </w:pPr>
      <w:r>
        <w:rPr>
          <w:rFonts w:ascii="Arial" w:cs="Arial" w:eastAsia="Arial" w:hAnsi="Arial"/>
          <w:sz w:val="13"/>
          <w:szCs w:val="13"/>
          <w:color w:val="auto"/>
        </w:rPr>
        <w:t>Reflects restructuring initiatives, primarily severance and other restructuring-related costs.</w:t>
      </w:r>
    </w:p>
    <w:p>
      <w:pPr>
        <w:ind w:left="340" w:right="20" w:hanging="332"/>
        <w:spacing w:after="0" w:line="216" w:lineRule="auto"/>
        <w:tabs>
          <w:tab w:leader="none" w:pos="340" w:val="left"/>
        </w:tabs>
        <w:numPr>
          <w:ilvl w:val="0"/>
          <w:numId w:val="29"/>
        </w:numPr>
        <w:rPr>
          <w:rFonts w:ascii="Arial" w:cs="Arial" w:eastAsia="Arial" w:hAnsi="Arial"/>
          <w:sz w:val="10"/>
          <w:szCs w:val="10"/>
          <w:color w:val="auto"/>
        </w:rPr>
      </w:pPr>
      <w:r>
        <w:rPr>
          <w:rFonts w:ascii="Arial" w:cs="Arial" w:eastAsia="Arial" w:hAnsi="Arial"/>
          <w:sz w:val="13"/>
          <w:szCs w:val="13"/>
          <w:color w:val="auto"/>
        </w:rPr>
        <w:t>Reflects the impact of significant discrete tax-related items, including amounts related to changes in tax laws, amounts related to the potential or final resolution of tax positions, and/or other unusual or unique tax-related items and activities. Activision Blizzard will provide additional information in our forthcoming Form 10-K for the year ending December 31, 2019.</w:t>
      </w:r>
    </w:p>
    <w:p>
      <w:pPr>
        <w:spacing w:after="0" w:line="1" w:lineRule="exact"/>
        <w:rPr>
          <w:sz w:val="20"/>
          <w:szCs w:val="20"/>
          <w:color w:val="auto"/>
        </w:rPr>
      </w:pPr>
    </w:p>
    <w:p>
      <w:pPr>
        <w:ind w:left="340" w:hanging="332"/>
        <w:spacing w:after="0"/>
        <w:tabs>
          <w:tab w:leader="none" w:pos="340" w:val="left"/>
        </w:tabs>
        <w:numPr>
          <w:ilvl w:val="0"/>
          <w:numId w:val="30"/>
        </w:numPr>
        <w:rPr>
          <w:rFonts w:ascii="Arial" w:cs="Arial" w:eastAsia="Arial" w:hAnsi="Arial"/>
          <w:sz w:val="10"/>
          <w:szCs w:val="10"/>
          <w:color w:val="auto"/>
        </w:rPr>
      </w:pPr>
      <w:r>
        <w:rPr>
          <w:rFonts w:ascii="Arial" w:cs="Arial" w:eastAsia="Arial" w:hAnsi="Arial"/>
          <w:sz w:val="12"/>
          <w:szCs w:val="12"/>
          <w:color w:val="auto"/>
        </w:rPr>
        <w:t>Reflects the net effect from deferral of revenues and (recognition) of deferred revenues, along with related cost of revenues, on certain of our online enabled products, including the effects of taxes.</w:t>
      </w:r>
    </w:p>
    <w:p>
      <w:pPr>
        <w:spacing w:after="0" w:line="11" w:lineRule="exact"/>
        <w:rPr>
          <w:sz w:val="20"/>
          <w:szCs w:val="20"/>
          <w:color w:val="auto"/>
        </w:rPr>
      </w:pPr>
    </w:p>
    <w:p>
      <w:pPr>
        <w:ind w:left="340" w:right="100" w:hanging="332"/>
        <w:spacing w:after="0" w:line="229" w:lineRule="auto"/>
        <w:tabs>
          <w:tab w:leader="none" w:pos="340" w:val="left"/>
        </w:tabs>
        <w:numPr>
          <w:ilvl w:val="0"/>
          <w:numId w:val="31"/>
        </w:numPr>
        <w:rPr>
          <w:rFonts w:ascii="Arial" w:cs="Arial" w:eastAsia="Arial" w:hAnsi="Arial"/>
          <w:sz w:val="10"/>
          <w:szCs w:val="10"/>
          <w:color w:val="auto"/>
        </w:rPr>
      </w:pPr>
      <w:r>
        <w:rPr>
          <w:rFonts w:ascii="Arial" w:cs="Arial" w:eastAsia="Arial" w:hAnsi="Arial"/>
          <w:sz w:val="13"/>
          <w:szCs w:val="13"/>
          <w:color w:val="auto"/>
        </w:rPr>
        <w:t>Reflects the income tax impact associated with the above items. Tax impact on non-GAAP pre-tax income is calculated under the same accounting principles applied to the GAAP pre-tax income under ASC 740, which employs an annual effective tax rate method to the results.</w:t>
      </w:r>
    </w:p>
    <w:p>
      <w:pPr>
        <w:spacing w:after="0" w:line="110" w:lineRule="exact"/>
        <w:rPr>
          <w:sz w:val="20"/>
          <w:szCs w:val="20"/>
          <w:color w:val="auto"/>
        </w:rPr>
      </w:pPr>
    </w:p>
    <w:p>
      <w:pPr>
        <w:spacing w:after="0"/>
        <w:rPr>
          <w:sz w:val="20"/>
          <w:szCs w:val="20"/>
          <w:color w:val="auto"/>
        </w:rPr>
      </w:pPr>
      <w:r>
        <w:rPr>
          <w:rFonts w:ascii="Arial" w:cs="Arial" w:eastAsia="Arial" w:hAnsi="Arial"/>
          <w:sz w:val="13"/>
          <w:szCs w:val="13"/>
          <w:color w:val="auto"/>
        </w:rPr>
        <w:t>The GAAP and non-GAAP earnings per share information is presented as calculated. The sum of these measures, as presented, may differ due to the impact of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5" w:name="page16"/>
    <w:bookmarkEnd w:id="15"/>
    <w:p>
      <w:pPr>
        <w:jc w:val="right"/>
        <w:spacing w:after="0"/>
        <w:rPr>
          <w:sz w:val="20"/>
          <w:szCs w:val="20"/>
          <w:color w:val="auto"/>
        </w:rPr>
      </w:pPr>
      <w:r>
        <w:rPr>
          <w:rFonts w:ascii="Arial" w:cs="Arial" w:eastAsia="Arial" w:hAnsi="Arial"/>
          <w:sz w:val="18"/>
          <w:szCs w:val="18"/>
          <w:b w:val="1"/>
          <w:bCs w:val="1"/>
          <w:color w:val="auto"/>
        </w:rPr>
        <w:t>7</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ACTIVISION BLIZZARD, INC. AND SUBSIDIARIES</w:t>
      </w:r>
    </w:p>
    <w:p>
      <w:pPr>
        <w:spacing w:after="0" w:line="27" w:lineRule="exact"/>
        <w:rPr>
          <w:sz w:val="20"/>
          <w:szCs w:val="20"/>
          <w:color w:val="auto"/>
        </w:rPr>
      </w:pPr>
    </w:p>
    <w:p>
      <w:pPr>
        <w:ind w:right="5360"/>
        <w:spacing w:after="0" w:line="261" w:lineRule="auto"/>
        <w:rPr>
          <w:sz w:val="20"/>
          <w:szCs w:val="20"/>
          <w:color w:val="auto"/>
        </w:rPr>
      </w:pPr>
      <w:r>
        <w:rPr>
          <w:rFonts w:ascii="Arial" w:cs="Arial" w:eastAsia="Arial" w:hAnsi="Arial"/>
          <w:sz w:val="18"/>
          <w:szCs w:val="18"/>
          <w:b w:val="1"/>
          <w:bCs w:val="1"/>
          <w:color w:val="auto"/>
        </w:rPr>
        <w:t>RECONCILIATION OF GAAP NET INCOME TO NON-GAAP MEASURES (Amounts in millions, except per share data)</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center"/>
              <w:spacing w:after="0"/>
              <w:rPr>
                <w:sz w:val="20"/>
                <w:szCs w:val="20"/>
                <w:color w:val="auto"/>
              </w:rPr>
            </w:pPr>
            <w:r>
              <w:rPr>
                <w:rFonts w:ascii="Arial" w:cs="Arial" w:eastAsia="Arial" w:hAnsi="Arial"/>
                <w:sz w:val="13"/>
                <w:szCs w:val="13"/>
                <w:b w:val="1"/>
                <w:bCs w:val="1"/>
                <w:color w:val="auto"/>
                <w:w w:val="84"/>
              </w:rPr>
              <w:t>Cost of</w:t>
            </w:r>
          </w:p>
        </w:tc>
        <w:tc>
          <w:tcPr>
            <w:tcW w:w="100" w:type="dxa"/>
            <w:vAlign w:val="bottom"/>
          </w:tcPr>
          <w:p>
            <w:pPr>
              <w:spacing w:after="0"/>
              <w:rPr>
                <w:sz w:val="13"/>
                <w:szCs w:val="13"/>
                <w:color w:val="auto"/>
              </w:rPr>
            </w:pPr>
          </w:p>
        </w:tc>
        <w:tc>
          <w:tcPr>
            <w:tcW w:w="940" w:type="dxa"/>
            <w:vAlign w:val="bottom"/>
          </w:tcPr>
          <w:p>
            <w:pPr>
              <w:jc w:val="center"/>
              <w:ind w:right="17"/>
              <w:spacing w:after="0"/>
              <w:rPr>
                <w:sz w:val="20"/>
                <w:szCs w:val="20"/>
                <w:color w:val="auto"/>
              </w:rPr>
            </w:pPr>
            <w:r>
              <w:rPr>
                <w:rFonts w:ascii="Arial" w:cs="Arial" w:eastAsia="Arial" w:hAnsi="Arial"/>
                <w:sz w:val="13"/>
                <w:szCs w:val="13"/>
                <w:b w:val="1"/>
                <w:bCs w:val="1"/>
                <w:color w:val="auto"/>
                <w:w w:val="84"/>
              </w:rPr>
              <w:t>Cost of</w:t>
            </w:r>
          </w:p>
        </w:tc>
        <w:tc>
          <w:tcPr>
            <w:tcW w:w="80" w:type="dxa"/>
            <w:vAlign w:val="bottom"/>
          </w:tcPr>
          <w:p>
            <w:pPr>
              <w:spacing w:after="0"/>
              <w:rPr>
                <w:sz w:val="13"/>
                <w:szCs w:val="13"/>
                <w:color w:val="auto"/>
              </w:rPr>
            </w:pPr>
          </w:p>
        </w:tc>
        <w:tc>
          <w:tcPr>
            <w:tcW w:w="820" w:type="dxa"/>
            <w:vAlign w:val="bottom"/>
          </w:tcPr>
          <w:p>
            <w:pPr>
              <w:jc w:val="center"/>
              <w:ind w:right="17"/>
              <w:spacing w:after="0"/>
              <w:rPr>
                <w:sz w:val="20"/>
                <w:szCs w:val="20"/>
                <w:color w:val="auto"/>
              </w:rPr>
            </w:pPr>
            <w:r>
              <w:rPr>
                <w:rFonts w:ascii="Arial" w:cs="Arial" w:eastAsia="Arial" w:hAnsi="Arial"/>
                <w:sz w:val="13"/>
                <w:szCs w:val="13"/>
                <w:b w:val="1"/>
                <w:bCs w:val="1"/>
                <w:color w:val="auto"/>
                <w:w w:val="84"/>
              </w:rPr>
              <w:t>Cost of</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center"/>
              <w:ind w:right="17"/>
              <w:spacing w:after="0" w:line="135" w:lineRule="exact"/>
              <w:rPr>
                <w:sz w:val="20"/>
                <w:szCs w:val="20"/>
                <w:color w:val="auto"/>
              </w:rPr>
            </w:pPr>
            <w:r>
              <w:rPr>
                <w:rFonts w:ascii="Arial" w:cs="Arial" w:eastAsia="Arial" w:hAnsi="Arial"/>
                <w:sz w:val="13"/>
                <w:szCs w:val="13"/>
                <w:b w:val="1"/>
                <w:bCs w:val="1"/>
                <w:color w:val="auto"/>
                <w:w w:val="85"/>
              </w:rPr>
              <w:t>Revenues—</w:t>
            </w:r>
          </w:p>
        </w:tc>
        <w:tc>
          <w:tcPr>
            <w:tcW w:w="100" w:type="dxa"/>
            <w:vAlign w:val="bottom"/>
          </w:tcPr>
          <w:p>
            <w:pPr>
              <w:spacing w:after="0"/>
              <w:rPr>
                <w:sz w:val="11"/>
                <w:szCs w:val="11"/>
                <w:color w:val="auto"/>
              </w:rPr>
            </w:pPr>
          </w:p>
        </w:tc>
        <w:tc>
          <w:tcPr>
            <w:tcW w:w="9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5"/>
              </w:rPr>
              <w:t>Revenues—</w:t>
            </w:r>
          </w:p>
        </w:tc>
        <w:tc>
          <w:tcPr>
            <w:tcW w:w="80" w:type="dxa"/>
            <w:vAlign w:val="bottom"/>
          </w:tcPr>
          <w:p>
            <w:pPr>
              <w:spacing w:after="0"/>
              <w:rPr>
                <w:sz w:val="11"/>
                <w:szCs w:val="11"/>
                <w:color w:val="auto"/>
              </w:rPr>
            </w:pPr>
          </w:p>
        </w:tc>
        <w:tc>
          <w:tcPr>
            <w:tcW w:w="8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5"/>
              </w:rPr>
              <w:t>Revenues—</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4"/>
              </w:rPr>
              <w:t>Cost of</w:t>
            </w:r>
          </w:p>
        </w:tc>
        <w:tc>
          <w:tcPr>
            <w:tcW w:w="82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85"/>
              </w:rPr>
              <w:t>Product Sales:</w:t>
            </w:r>
          </w:p>
        </w:tc>
        <w:tc>
          <w:tcPr>
            <w:tcW w:w="100" w:type="dxa"/>
            <w:vAlign w:val="bottom"/>
          </w:tcPr>
          <w:p>
            <w:pPr>
              <w:spacing w:after="0"/>
              <w:rPr>
                <w:sz w:val="11"/>
                <w:szCs w:val="11"/>
                <w:color w:val="auto"/>
              </w:rPr>
            </w:pPr>
          </w:p>
        </w:tc>
        <w:tc>
          <w:tcPr>
            <w:tcW w:w="940" w:type="dxa"/>
            <w:vAlign w:val="bottom"/>
          </w:tcPr>
          <w:p>
            <w:pPr>
              <w:jc w:val="center"/>
              <w:ind w:right="17"/>
              <w:spacing w:after="0" w:line="135" w:lineRule="exact"/>
              <w:rPr>
                <w:sz w:val="20"/>
                <w:szCs w:val="20"/>
                <w:color w:val="auto"/>
              </w:rPr>
            </w:pPr>
            <w:r>
              <w:rPr>
                <w:rFonts w:ascii="Arial" w:cs="Arial" w:eastAsia="Arial" w:hAnsi="Arial"/>
                <w:sz w:val="13"/>
                <w:szCs w:val="13"/>
                <w:b w:val="1"/>
                <w:bCs w:val="1"/>
                <w:color w:val="auto"/>
                <w:w w:val="88"/>
              </w:rPr>
              <w:t>Subs/Lic/Other:</w:t>
            </w:r>
          </w:p>
        </w:tc>
        <w:tc>
          <w:tcPr>
            <w:tcW w:w="90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0"/>
              </w:rPr>
              <w:t>Subs/Lic/Other: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5"/>
              </w:rPr>
              <w:t>Revenues—</w:t>
            </w:r>
          </w:p>
        </w:tc>
        <w:tc>
          <w:tcPr>
            <w:tcW w:w="100" w:type="dxa"/>
            <w:vAlign w:val="bottom"/>
          </w:tcPr>
          <w:p>
            <w:pPr>
              <w:spacing w:after="0"/>
              <w:rPr>
                <w:sz w:val="11"/>
                <w:szCs w:val="11"/>
                <w:color w:val="auto"/>
              </w:rPr>
            </w:pPr>
          </w:p>
        </w:tc>
        <w:tc>
          <w:tcPr>
            <w:tcW w:w="720" w:type="dxa"/>
            <w:vAlign w:val="bottom"/>
          </w:tcPr>
          <w:p>
            <w:pPr>
              <w:jc w:val="center"/>
              <w:ind w:right="17"/>
              <w:spacing w:after="0" w:line="135" w:lineRule="exact"/>
              <w:rPr>
                <w:sz w:val="20"/>
                <w:szCs w:val="20"/>
                <w:color w:val="auto"/>
              </w:rPr>
            </w:pPr>
            <w:r>
              <w:rPr>
                <w:rFonts w:ascii="Arial" w:cs="Arial" w:eastAsia="Arial" w:hAnsi="Arial"/>
                <w:sz w:val="13"/>
                <w:szCs w:val="13"/>
                <w:b w:val="1"/>
                <w:bCs w:val="1"/>
                <w:color w:val="auto"/>
                <w:w w:val="87"/>
              </w:rPr>
              <w:t>Software</w:t>
            </w:r>
          </w:p>
        </w:tc>
        <w:tc>
          <w:tcPr>
            <w:tcW w:w="100" w:type="dxa"/>
            <w:vAlign w:val="bottom"/>
          </w:tcPr>
          <w:p>
            <w:pPr>
              <w:spacing w:after="0"/>
              <w:rPr>
                <w:sz w:val="11"/>
                <w:szCs w:val="11"/>
                <w:color w:val="auto"/>
              </w:rPr>
            </w:pPr>
          </w:p>
        </w:tc>
        <w:tc>
          <w:tcPr>
            <w:tcW w:w="9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8"/>
              </w:rPr>
              <w:t>Game</w:t>
            </w:r>
          </w:p>
        </w:tc>
        <w:tc>
          <w:tcPr>
            <w:tcW w:w="80" w:type="dxa"/>
            <w:vAlign w:val="bottom"/>
          </w:tcPr>
          <w:p>
            <w:pPr>
              <w:spacing w:after="0"/>
              <w:rPr>
                <w:sz w:val="11"/>
                <w:szCs w:val="11"/>
                <w:color w:val="auto"/>
              </w:rPr>
            </w:pPr>
          </w:p>
        </w:tc>
        <w:tc>
          <w:tcPr>
            <w:tcW w:w="8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Software</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89"/>
              </w:rPr>
              <w:t>Restructuring</w:t>
            </w: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jc w:val="center"/>
              <w:ind w:left="17"/>
              <w:spacing w:after="0" w:line="135" w:lineRule="exact"/>
              <w:rPr>
                <w:sz w:val="20"/>
                <w:szCs w:val="20"/>
                <w:color w:val="auto"/>
              </w:rPr>
            </w:pPr>
            <w:r>
              <w:rPr>
                <w:rFonts w:ascii="Arial" w:cs="Arial" w:eastAsia="Arial" w:hAnsi="Arial"/>
                <w:sz w:val="13"/>
                <w:szCs w:val="13"/>
                <w:b w:val="1"/>
                <w:bCs w:val="1"/>
                <w:color w:val="auto"/>
                <w:w w:val="85"/>
              </w:rPr>
              <w:t>Product Sales:</w:t>
            </w:r>
          </w:p>
        </w:tc>
        <w:tc>
          <w:tcPr>
            <w:tcW w:w="82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87"/>
              </w:rPr>
              <w:t>Royalties and</w:t>
            </w:r>
          </w:p>
        </w:tc>
        <w:tc>
          <w:tcPr>
            <w:tcW w:w="100" w:type="dxa"/>
            <w:vAlign w:val="bottom"/>
          </w:tcPr>
          <w:p>
            <w:pPr>
              <w:spacing w:after="0"/>
              <w:rPr>
                <w:sz w:val="11"/>
                <w:szCs w:val="11"/>
                <w:color w:val="auto"/>
              </w:rPr>
            </w:pPr>
          </w:p>
        </w:tc>
        <w:tc>
          <w:tcPr>
            <w:tcW w:w="9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8"/>
              </w:rPr>
              <w:t>Operations and</w:t>
            </w:r>
          </w:p>
        </w:tc>
        <w:tc>
          <w:tcPr>
            <w:tcW w:w="80" w:type="dxa"/>
            <w:vAlign w:val="bottom"/>
          </w:tcPr>
          <w:p>
            <w:pPr>
              <w:spacing w:after="0"/>
              <w:rPr>
                <w:sz w:val="11"/>
                <w:szCs w:val="11"/>
                <w:color w:val="auto"/>
              </w:rPr>
            </w:pPr>
          </w:p>
        </w:tc>
        <w:tc>
          <w:tcPr>
            <w:tcW w:w="8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5"/>
              </w:rPr>
              <w:t>Royalties and</w:t>
            </w:r>
          </w:p>
        </w:tc>
        <w:tc>
          <w:tcPr>
            <w:tcW w:w="120" w:type="dxa"/>
            <w:vAlign w:val="bottom"/>
          </w:tcPr>
          <w:p>
            <w:pPr>
              <w:spacing w:after="0"/>
              <w:rPr>
                <w:sz w:val="11"/>
                <w:szCs w:val="11"/>
                <w:color w:val="auto"/>
              </w:rPr>
            </w:pPr>
          </w:p>
        </w:tc>
        <w:tc>
          <w:tcPr>
            <w:tcW w:w="580" w:type="dxa"/>
            <w:vAlign w:val="bottom"/>
          </w:tcPr>
          <w:p>
            <w:pPr>
              <w:jc w:val="right"/>
              <w:ind w:right="37"/>
              <w:spacing w:after="0" w:line="135" w:lineRule="exact"/>
              <w:rPr>
                <w:sz w:val="20"/>
                <w:szCs w:val="20"/>
                <w:color w:val="auto"/>
              </w:rPr>
            </w:pPr>
            <w:r>
              <w:rPr>
                <w:rFonts w:ascii="Arial" w:cs="Arial" w:eastAsia="Arial" w:hAnsi="Arial"/>
                <w:sz w:val="13"/>
                <w:szCs w:val="13"/>
                <w:b w:val="1"/>
                <w:bCs w:val="1"/>
                <w:color w:val="auto"/>
                <w:w w:val="93"/>
              </w:rPr>
              <w:t>Product</w:t>
            </w:r>
          </w:p>
        </w:tc>
        <w:tc>
          <w:tcPr>
            <w:tcW w:w="640" w:type="dxa"/>
            <w:vAlign w:val="bottom"/>
            <w:gridSpan w:val="2"/>
          </w:tcPr>
          <w:p>
            <w:pPr>
              <w:jc w:val="right"/>
              <w:spacing w:after="0" w:line="135" w:lineRule="exact"/>
              <w:rPr>
                <w:sz w:val="20"/>
                <w:szCs w:val="20"/>
                <w:color w:val="auto"/>
              </w:rPr>
            </w:pPr>
            <w:r>
              <w:rPr>
                <w:rFonts w:ascii="Arial" w:cs="Arial" w:eastAsia="Arial" w:hAnsi="Arial"/>
                <w:sz w:val="13"/>
                <w:szCs w:val="13"/>
                <w:b w:val="1"/>
                <w:bCs w:val="1"/>
                <w:color w:val="auto"/>
                <w:w w:val="98"/>
              </w:rPr>
              <w:t>Sales and</w:t>
            </w:r>
          </w:p>
        </w:tc>
        <w:tc>
          <w:tcPr>
            <w:tcW w:w="120" w:type="dxa"/>
            <w:vAlign w:val="bottom"/>
          </w:tcPr>
          <w:p>
            <w:pPr>
              <w:spacing w:after="0"/>
              <w:rPr>
                <w:sz w:val="11"/>
                <w:szCs w:val="11"/>
                <w:color w:val="auto"/>
              </w:rPr>
            </w:pPr>
          </w:p>
        </w:tc>
        <w:tc>
          <w:tcPr>
            <w:tcW w:w="760" w:type="dxa"/>
            <w:vAlign w:val="bottom"/>
          </w:tcPr>
          <w:p>
            <w:pPr>
              <w:jc w:val="right"/>
              <w:ind w:right="17"/>
              <w:spacing w:after="0" w:line="135" w:lineRule="exact"/>
              <w:rPr>
                <w:sz w:val="20"/>
                <w:szCs w:val="20"/>
                <w:color w:val="auto"/>
              </w:rPr>
            </w:pPr>
            <w:r>
              <w:rPr>
                <w:rFonts w:ascii="Arial" w:cs="Arial" w:eastAsia="Arial" w:hAnsi="Arial"/>
                <w:sz w:val="13"/>
                <w:szCs w:val="13"/>
                <w:b w:val="1"/>
                <w:bCs w:val="1"/>
                <w:color w:val="auto"/>
                <w:w w:val="87"/>
              </w:rPr>
              <w:t>General and</w:t>
            </w:r>
          </w:p>
        </w:tc>
        <w:tc>
          <w:tcPr>
            <w:tcW w:w="80" w:type="dxa"/>
            <w:vAlign w:val="bottom"/>
          </w:tcPr>
          <w:p>
            <w:pPr>
              <w:spacing w:after="0"/>
              <w:rPr>
                <w:sz w:val="11"/>
                <w:szCs w:val="11"/>
                <w:color w:val="auto"/>
              </w:rPr>
            </w:pPr>
          </w:p>
        </w:tc>
        <w:tc>
          <w:tcPr>
            <w:tcW w:w="720" w:type="dxa"/>
            <w:vAlign w:val="bottom"/>
          </w:tcPr>
          <w:p>
            <w:pPr>
              <w:jc w:val="center"/>
              <w:ind w:right="17"/>
              <w:spacing w:after="0" w:line="135" w:lineRule="exact"/>
              <w:rPr>
                <w:sz w:val="20"/>
                <w:szCs w:val="20"/>
                <w:color w:val="auto"/>
              </w:rPr>
            </w:pPr>
            <w:r>
              <w:rPr>
                <w:rFonts w:ascii="Arial" w:cs="Arial" w:eastAsia="Arial" w:hAnsi="Arial"/>
                <w:sz w:val="13"/>
                <w:szCs w:val="13"/>
                <w:b w:val="1"/>
                <w:bCs w:val="1"/>
                <w:color w:val="auto"/>
                <w:w w:val="86"/>
              </w:rPr>
              <w:t>and related</w:t>
            </w:r>
          </w:p>
        </w:tc>
        <w:tc>
          <w:tcPr>
            <w:tcW w:w="880" w:type="dxa"/>
            <w:vAlign w:val="bottom"/>
            <w:gridSpan w:val="2"/>
          </w:tcPr>
          <w:p>
            <w:pPr>
              <w:jc w:val="right"/>
              <w:spacing w:after="0" w:line="135" w:lineRule="exact"/>
              <w:rPr>
                <w:sz w:val="20"/>
                <w:szCs w:val="20"/>
                <w:color w:val="auto"/>
              </w:rPr>
            </w:pPr>
            <w:r>
              <w:rPr>
                <w:rFonts w:ascii="Arial" w:cs="Arial" w:eastAsia="Arial" w:hAnsi="Arial"/>
                <w:sz w:val="13"/>
                <w:szCs w:val="13"/>
                <w:b w:val="1"/>
                <w:bCs w:val="1"/>
                <w:color w:val="auto"/>
                <w:w w:val="86"/>
              </w:rPr>
              <w:t>Total Costs and</w:t>
            </w:r>
          </w:p>
        </w:tc>
        <w:tc>
          <w:tcPr>
            <w:tcW w:w="0" w:type="dxa"/>
            <w:vAlign w:val="bottom"/>
          </w:tcPr>
          <w:p>
            <w:pPr>
              <w:spacing w:after="0"/>
              <w:rPr>
                <w:sz w:val="1"/>
                <w:szCs w:val="1"/>
                <w:color w:val="auto"/>
              </w:rPr>
            </w:pPr>
          </w:p>
        </w:tc>
      </w:tr>
      <w:tr>
        <w:trPr>
          <w:trHeight w:val="153"/>
        </w:trPr>
        <w:tc>
          <w:tcPr>
            <w:tcW w:w="31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Three Months Ended December 31, 2018</w:t>
            </w:r>
          </w:p>
        </w:tc>
        <w:tc>
          <w:tcPr>
            <w:tcW w:w="1580" w:type="dxa"/>
            <w:vAlign w:val="bottom"/>
            <w:tcBorders>
              <w:bottom w:val="single" w:sz="8" w:color="auto"/>
            </w:tcBorders>
            <w:gridSpan w:val="4"/>
          </w:tcPr>
          <w:p>
            <w:pPr>
              <w:jc w:val="center"/>
              <w:spacing w:after="0"/>
              <w:rPr>
                <w:sz w:val="20"/>
                <w:szCs w:val="20"/>
                <w:color w:val="auto"/>
              </w:rPr>
            </w:pPr>
            <w:r>
              <w:rPr>
                <w:rFonts w:ascii="Arial" w:cs="Arial" w:eastAsia="Arial" w:hAnsi="Arial"/>
                <w:sz w:val="13"/>
                <w:szCs w:val="13"/>
                <w:b w:val="1"/>
                <w:bCs w:val="1"/>
                <w:color w:val="auto"/>
                <w:w w:val="86"/>
              </w:rPr>
              <w:t>Net Revenues Product Costs</w:t>
            </w:r>
          </w:p>
        </w:tc>
        <w:tc>
          <w:tcPr>
            <w:tcW w:w="82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0"/>
              </w:rPr>
              <w:t>Amortization</w:t>
            </w:r>
          </w:p>
        </w:tc>
        <w:tc>
          <w:tcPr>
            <w:tcW w:w="104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86"/>
              </w:rPr>
              <w:t>Distribution Costs</w:t>
            </w:r>
          </w:p>
        </w:tc>
        <w:tc>
          <w:tcPr>
            <w:tcW w:w="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Amortization</w:t>
            </w:r>
          </w:p>
        </w:tc>
        <w:tc>
          <w:tcPr>
            <w:tcW w:w="2220" w:type="dxa"/>
            <w:vAlign w:val="bottom"/>
            <w:tcBorders>
              <w:bottom w:val="single" w:sz="8" w:color="auto"/>
            </w:tcBorders>
            <w:gridSpan w:val="6"/>
          </w:tcPr>
          <w:p>
            <w:pPr>
              <w:jc w:val="right"/>
              <w:spacing w:after="0"/>
              <w:rPr>
                <w:sz w:val="20"/>
                <w:szCs w:val="20"/>
                <w:color w:val="auto"/>
              </w:rPr>
            </w:pPr>
            <w:r>
              <w:rPr>
                <w:rFonts w:ascii="Arial" w:cs="Arial" w:eastAsia="Arial" w:hAnsi="Arial"/>
                <w:sz w:val="13"/>
                <w:szCs w:val="13"/>
                <w:b w:val="1"/>
                <w:bCs w:val="1"/>
                <w:color w:val="auto"/>
                <w:w w:val="90"/>
              </w:rPr>
              <w:t>Development Marketing Administrative</w:t>
            </w:r>
          </w:p>
        </w:tc>
        <w:tc>
          <w:tcPr>
            <w:tcW w:w="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76"/>
              </w:rPr>
              <w:t>costs</w:t>
            </w:r>
          </w:p>
        </w:tc>
        <w:tc>
          <w:tcPr>
            <w:tcW w:w="1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w w:val="88"/>
              </w:rPr>
              <w:t>Expenses</w:t>
            </w:r>
          </w:p>
        </w:tc>
        <w:tc>
          <w:tcPr>
            <w:tcW w:w="0" w:type="dxa"/>
            <w:vAlign w:val="bottom"/>
          </w:tcPr>
          <w:p>
            <w:pPr>
              <w:spacing w:after="0"/>
              <w:rPr>
                <w:sz w:val="1"/>
                <w:szCs w:val="1"/>
                <w:color w:val="auto"/>
              </w:rPr>
            </w:pPr>
          </w:p>
        </w:tc>
      </w:tr>
      <w:tr>
        <w:trPr>
          <w:trHeight w:val="122"/>
        </w:trPr>
        <w:tc>
          <w:tcPr>
            <w:tcW w:w="3180" w:type="dxa"/>
            <w:vAlign w:val="bottom"/>
          </w:tcPr>
          <w:p>
            <w:pPr>
              <w:spacing w:after="0" w:line="122" w:lineRule="exact"/>
              <w:rPr>
                <w:sz w:val="20"/>
                <w:szCs w:val="20"/>
                <w:color w:val="auto"/>
              </w:rPr>
            </w:pPr>
            <w:r>
              <w:rPr>
                <w:rFonts w:ascii="Arial" w:cs="Arial" w:eastAsia="Arial" w:hAnsi="Arial"/>
                <w:sz w:val="13"/>
                <w:szCs w:val="13"/>
                <w:color w:val="auto"/>
              </w:rPr>
              <w:t>GAAP Measurement</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640" w:type="dxa"/>
            <w:vAlign w:val="bottom"/>
          </w:tcPr>
          <w:p>
            <w:pPr>
              <w:jc w:val="right"/>
              <w:spacing w:after="0" w:line="122" w:lineRule="exact"/>
              <w:rPr>
                <w:sz w:val="20"/>
                <w:szCs w:val="20"/>
                <w:color w:val="auto"/>
              </w:rPr>
            </w:pPr>
            <w:r>
              <w:rPr>
                <w:rFonts w:ascii="Arial" w:cs="Arial" w:eastAsia="Arial" w:hAnsi="Arial"/>
                <w:sz w:val="13"/>
                <w:szCs w:val="13"/>
                <w:color w:val="auto"/>
              </w:rPr>
              <w:t>2,381</w:t>
            </w:r>
          </w:p>
        </w:tc>
        <w:tc>
          <w:tcPr>
            <w:tcW w:w="120" w:type="dxa"/>
            <w:vAlign w:val="bottom"/>
          </w:tcPr>
          <w:p>
            <w:pPr>
              <w:jc w:val="center"/>
              <w:spacing w:after="0" w:line="122" w:lineRule="exact"/>
              <w:rPr>
                <w:sz w:val="20"/>
                <w:szCs w:val="20"/>
                <w:color w:val="auto"/>
              </w:rPr>
            </w:pPr>
            <w:r>
              <w:rPr>
                <w:rFonts w:ascii="Arial" w:cs="Arial" w:eastAsia="Arial" w:hAnsi="Arial"/>
                <w:sz w:val="13"/>
                <w:szCs w:val="13"/>
                <w:color w:val="auto"/>
                <w:w w:val="82"/>
              </w:rPr>
              <w:t>$</w:t>
            </w:r>
          </w:p>
        </w:tc>
        <w:tc>
          <w:tcPr>
            <w:tcW w:w="740" w:type="dxa"/>
            <w:vAlign w:val="bottom"/>
          </w:tcPr>
          <w:p>
            <w:pPr>
              <w:jc w:val="right"/>
              <w:ind w:right="77"/>
              <w:spacing w:after="0" w:line="122" w:lineRule="exact"/>
              <w:rPr>
                <w:sz w:val="20"/>
                <w:szCs w:val="20"/>
                <w:color w:val="auto"/>
              </w:rPr>
            </w:pPr>
            <w:r>
              <w:rPr>
                <w:rFonts w:ascii="Arial" w:cs="Arial" w:eastAsia="Arial" w:hAnsi="Arial"/>
                <w:sz w:val="13"/>
                <w:szCs w:val="13"/>
                <w:color w:val="auto"/>
              </w:rPr>
              <w:t>303</w:t>
            </w:r>
          </w:p>
        </w:tc>
        <w:tc>
          <w:tcPr>
            <w:tcW w:w="100" w:type="dxa"/>
            <w:vAlign w:val="bottom"/>
          </w:tcPr>
          <w:p>
            <w:pPr>
              <w:ind w:left="20"/>
              <w:spacing w:after="0" w:line="122" w:lineRule="exact"/>
              <w:rPr>
                <w:sz w:val="20"/>
                <w:szCs w:val="20"/>
                <w:color w:val="auto"/>
              </w:rPr>
            </w:pPr>
            <w:r>
              <w:rPr>
                <w:rFonts w:ascii="Arial" w:cs="Arial" w:eastAsia="Arial" w:hAnsi="Arial"/>
                <w:sz w:val="13"/>
                <w:szCs w:val="13"/>
                <w:color w:val="auto"/>
                <w:w w:val="82"/>
              </w:rPr>
              <w:t>$</w:t>
            </w:r>
          </w:p>
        </w:tc>
        <w:tc>
          <w:tcPr>
            <w:tcW w:w="720" w:type="dxa"/>
            <w:vAlign w:val="bottom"/>
          </w:tcPr>
          <w:p>
            <w:pPr>
              <w:jc w:val="right"/>
              <w:ind w:right="57"/>
              <w:spacing w:after="0" w:line="122" w:lineRule="exact"/>
              <w:rPr>
                <w:sz w:val="20"/>
                <w:szCs w:val="20"/>
                <w:color w:val="auto"/>
              </w:rPr>
            </w:pPr>
            <w:r>
              <w:rPr>
                <w:rFonts w:ascii="Arial" w:cs="Arial" w:eastAsia="Arial" w:hAnsi="Arial"/>
                <w:sz w:val="13"/>
                <w:szCs w:val="13"/>
                <w:color w:val="auto"/>
              </w:rPr>
              <w:t>157</w:t>
            </w:r>
          </w:p>
        </w:tc>
        <w:tc>
          <w:tcPr>
            <w:tcW w:w="100" w:type="dxa"/>
            <w:vAlign w:val="bottom"/>
          </w:tcPr>
          <w:p>
            <w:pPr>
              <w:jc w:val="right"/>
              <w:spacing w:after="0" w:line="122" w:lineRule="exact"/>
              <w:rPr>
                <w:sz w:val="20"/>
                <w:szCs w:val="20"/>
                <w:color w:val="auto"/>
              </w:rPr>
            </w:pPr>
            <w:r>
              <w:rPr>
                <w:rFonts w:ascii="Arial" w:cs="Arial" w:eastAsia="Arial" w:hAnsi="Arial"/>
                <w:sz w:val="13"/>
                <w:szCs w:val="13"/>
                <w:color w:val="auto"/>
                <w:w w:val="82"/>
              </w:rPr>
              <w:t>$</w:t>
            </w:r>
          </w:p>
        </w:tc>
        <w:tc>
          <w:tcPr>
            <w:tcW w:w="940" w:type="dxa"/>
            <w:vAlign w:val="bottom"/>
          </w:tcPr>
          <w:p>
            <w:pPr>
              <w:jc w:val="right"/>
              <w:ind w:right="117"/>
              <w:spacing w:after="0" w:line="122" w:lineRule="exact"/>
              <w:rPr>
                <w:sz w:val="20"/>
                <w:szCs w:val="20"/>
                <w:color w:val="auto"/>
              </w:rPr>
            </w:pPr>
            <w:r>
              <w:rPr>
                <w:rFonts w:ascii="Arial" w:cs="Arial" w:eastAsia="Arial" w:hAnsi="Arial"/>
                <w:sz w:val="13"/>
                <w:szCs w:val="13"/>
                <w:color w:val="auto"/>
              </w:rPr>
              <w:t>251</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820" w:type="dxa"/>
            <w:vAlign w:val="bottom"/>
          </w:tcPr>
          <w:p>
            <w:pPr>
              <w:jc w:val="right"/>
              <w:ind w:right="97"/>
              <w:spacing w:after="0" w:line="122" w:lineRule="exact"/>
              <w:rPr>
                <w:sz w:val="20"/>
                <w:szCs w:val="20"/>
                <w:color w:val="auto"/>
              </w:rPr>
            </w:pPr>
            <w:r>
              <w:rPr>
                <w:rFonts w:ascii="Arial" w:cs="Arial" w:eastAsia="Arial" w:hAnsi="Arial"/>
                <w:sz w:val="13"/>
                <w:szCs w:val="13"/>
                <w:color w:val="auto"/>
              </w:rPr>
              <w:t>121</w:t>
            </w:r>
          </w:p>
        </w:tc>
        <w:tc>
          <w:tcPr>
            <w:tcW w:w="120" w:type="dxa"/>
            <w:vAlign w:val="bottom"/>
          </w:tcPr>
          <w:p>
            <w:pPr>
              <w:jc w:val="right"/>
              <w:spacing w:after="0" w:line="122" w:lineRule="exact"/>
              <w:rPr>
                <w:sz w:val="20"/>
                <w:szCs w:val="20"/>
                <w:color w:val="auto"/>
              </w:rPr>
            </w:pPr>
            <w:r>
              <w:rPr>
                <w:rFonts w:ascii="Arial" w:cs="Arial" w:eastAsia="Arial" w:hAnsi="Arial"/>
                <w:sz w:val="13"/>
                <w:szCs w:val="13"/>
                <w:color w:val="auto"/>
                <w:w w:val="82"/>
              </w:rPr>
              <w:t>$</w:t>
            </w:r>
          </w:p>
        </w:tc>
        <w:tc>
          <w:tcPr>
            <w:tcW w:w="580" w:type="dxa"/>
            <w:vAlign w:val="bottom"/>
          </w:tcPr>
          <w:p>
            <w:pPr>
              <w:jc w:val="right"/>
              <w:ind w:right="17"/>
              <w:spacing w:after="0" w:line="122" w:lineRule="exact"/>
              <w:rPr>
                <w:sz w:val="20"/>
                <w:szCs w:val="20"/>
                <w:color w:val="auto"/>
              </w:rPr>
            </w:pPr>
            <w:r>
              <w:rPr>
                <w:rFonts w:ascii="Arial" w:cs="Arial" w:eastAsia="Arial" w:hAnsi="Arial"/>
                <w:sz w:val="13"/>
                <w:szCs w:val="13"/>
                <w:color w:val="auto"/>
              </w:rPr>
              <w:t>325</w:t>
            </w:r>
          </w:p>
        </w:tc>
        <w:tc>
          <w:tcPr>
            <w:tcW w:w="240" w:type="dxa"/>
            <w:vAlign w:val="bottom"/>
          </w:tcPr>
          <w:p>
            <w:pPr>
              <w:jc w:val="right"/>
              <w:ind w:right="57"/>
              <w:spacing w:after="0" w:line="122" w:lineRule="exact"/>
              <w:rPr>
                <w:sz w:val="20"/>
                <w:szCs w:val="20"/>
                <w:color w:val="auto"/>
              </w:rPr>
            </w:pPr>
            <w:r>
              <w:rPr>
                <w:rFonts w:ascii="Arial" w:cs="Arial" w:eastAsia="Arial" w:hAnsi="Arial"/>
                <w:sz w:val="13"/>
                <w:szCs w:val="13"/>
                <w:color w:val="auto"/>
              </w:rPr>
              <w:t>$</w:t>
            </w:r>
          </w:p>
        </w:tc>
        <w:tc>
          <w:tcPr>
            <w:tcW w:w="400" w:type="dxa"/>
            <w:vAlign w:val="bottom"/>
          </w:tcPr>
          <w:p>
            <w:pPr>
              <w:jc w:val="right"/>
              <w:ind w:right="17"/>
              <w:spacing w:after="0" w:line="122" w:lineRule="exact"/>
              <w:rPr>
                <w:sz w:val="20"/>
                <w:szCs w:val="20"/>
                <w:color w:val="auto"/>
              </w:rPr>
            </w:pPr>
            <w:r>
              <w:rPr>
                <w:rFonts w:ascii="Arial" w:cs="Arial" w:eastAsia="Arial" w:hAnsi="Arial"/>
                <w:sz w:val="13"/>
                <w:szCs w:val="13"/>
                <w:color w:val="auto"/>
              </w:rPr>
              <w:t>321</w:t>
            </w:r>
          </w:p>
        </w:tc>
        <w:tc>
          <w:tcPr>
            <w:tcW w:w="120" w:type="dxa"/>
            <w:vAlign w:val="bottom"/>
          </w:tcPr>
          <w:p>
            <w:pPr>
              <w:jc w:val="right"/>
              <w:spacing w:after="0" w:line="122" w:lineRule="exact"/>
              <w:rPr>
                <w:sz w:val="20"/>
                <w:szCs w:val="20"/>
                <w:color w:val="auto"/>
              </w:rPr>
            </w:pPr>
            <w:r>
              <w:rPr>
                <w:rFonts w:ascii="Arial" w:cs="Arial" w:eastAsia="Arial" w:hAnsi="Arial"/>
                <w:sz w:val="13"/>
                <w:szCs w:val="13"/>
                <w:color w:val="auto"/>
              </w:rPr>
              <w:t>$</w:t>
            </w:r>
          </w:p>
        </w:tc>
        <w:tc>
          <w:tcPr>
            <w:tcW w:w="760" w:type="dxa"/>
            <w:vAlign w:val="bottom"/>
          </w:tcPr>
          <w:p>
            <w:pPr>
              <w:jc w:val="right"/>
              <w:ind w:right="97"/>
              <w:spacing w:after="0" w:line="122" w:lineRule="exact"/>
              <w:rPr>
                <w:sz w:val="20"/>
                <w:szCs w:val="20"/>
                <w:color w:val="auto"/>
              </w:rPr>
            </w:pPr>
            <w:r>
              <w:rPr>
                <w:rFonts w:ascii="Arial" w:cs="Arial" w:eastAsia="Arial" w:hAnsi="Arial"/>
                <w:sz w:val="13"/>
                <w:szCs w:val="13"/>
                <w:color w:val="auto"/>
              </w:rPr>
              <w:t>199</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720" w:type="dxa"/>
            <w:vAlign w:val="bottom"/>
          </w:tcPr>
          <w:p>
            <w:pPr>
              <w:jc w:val="right"/>
              <w:ind w:right="117"/>
              <w:spacing w:after="0" w:line="122" w:lineRule="exact"/>
              <w:rPr>
                <w:sz w:val="20"/>
                <w:szCs w:val="20"/>
                <w:color w:val="auto"/>
              </w:rPr>
            </w:pPr>
            <w:r>
              <w:rPr>
                <w:rFonts w:ascii="Arial" w:cs="Arial" w:eastAsia="Arial" w:hAnsi="Arial"/>
                <w:sz w:val="13"/>
                <w:szCs w:val="13"/>
                <w:color w:val="auto"/>
              </w:rPr>
              <w:t>10</w:t>
            </w:r>
          </w:p>
        </w:tc>
        <w:tc>
          <w:tcPr>
            <w:tcW w:w="120" w:type="dxa"/>
            <w:vAlign w:val="bottom"/>
          </w:tcPr>
          <w:p>
            <w:pPr>
              <w:jc w:val="right"/>
              <w:ind w:right="9"/>
              <w:spacing w:after="0"/>
              <w:rPr>
                <w:sz w:val="20"/>
                <w:szCs w:val="20"/>
                <w:color w:val="auto"/>
              </w:rPr>
            </w:pPr>
            <w:r>
              <w:rPr>
                <w:rFonts w:ascii="Arial" w:cs="Arial" w:eastAsia="Arial" w:hAnsi="Arial"/>
                <w:sz w:val="9"/>
                <w:szCs w:val="9"/>
                <w:color w:val="auto"/>
                <w:w w:val="78"/>
              </w:rPr>
              <w:t>$</w:t>
            </w:r>
          </w:p>
        </w:tc>
        <w:tc>
          <w:tcPr>
            <w:tcW w:w="760" w:type="dxa"/>
            <w:vAlign w:val="bottom"/>
          </w:tcPr>
          <w:p>
            <w:pPr>
              <w:jc w:val="right"/>
              <w:ind w:right="57"/>
              <w:spacing w:after="0" w:line="122" w:lineRule="exact"/>
              <w:rPr>
                <w:sz w:val="20"/>
                <w:szCs w:val="20"/>
                <w:color w:val="auto"/>
              </w:rPr>
            </w:pPr>
            <w:r>
              <w:rPr>
                <w:rFonts w:ascii="Arial" w:cs="Arial" w:eastAsia="Arial" w:hAnsi="Arial"/>
                <w:sz w:val="13"/>
                <w:szCs w:val="13"/>
                <w:color w:val="auto"/>
              </w:rPr>
              <w:t>1,687</w:t>
            </w:r>
          </w:p>
        </w:tc>
        <w:tc>
          <w:tcPr>
            <w:tcW w:w="0" w:type="dxa"/>
            <w:vAlign w:val="bottom"/>
          </w:tcPr>
          <w:p>
            <w:pPr>
              <w:spacing w:after="0"/>
              <w:rPr>
                <w:sz w:val="1"/>
                <w:szCs w:val="1"/>
                <w:color w:val="auto"/>
              </w:rPr>
            </w:pPr>
          </w:p>
        </w:tc>
      </w:tr>
      <w:tr>
        <w:trPr>
          <w:trHeight w:val="176"/>
        </w:trPr>
        <w:tc>
          <w:tcPr>
            <w:tcW w:w="3180" w:type="dxa"/>
            <w:vAlign w:val="bottom"/>
          </w:tcPr>
          <w:p>
            <w:pPr>
              <w:ind w:left="180"/>
              <w:spacing w:after="0" w:line="176" w:lineRule="exact"/>
              <w:rPr>
                <w:sz w:val="20"/>
                <w:szCs w:val="20"/>
                <w:color w:val="auto"/>
              </w:rPr>
            </w:pPr>
            <w:r>
              <w:rPr>
                <w:rFonts w:ascii="Arial" w:cs="Arial" w:eastAsia="Arial" w:hAnsi="Arial"/>
                <w:sz w:val="13"/>
                <w:szCs w:val="13"/>
                <w:color w:val="auto"/>
              </w:rPr>
              <w:t>Share-based compensation</w:t>
            </w:r>
            <w:r>
              <w:rPr>
                <w:rFonts w:ascii="Arial" w:cs="Arial" w:eastAsia="Arial" w:hAnsi="Arial"/>
                <w:sz w:val="20"/>
                <w:szCs w:val="20"/>
                <w:color w:val="auto"/>
                <w:vertAlign w:val="superscript"/>
              </w:rPr>
              <w:t>1</w:t>
            </w: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20" w:type="dxa"/>
            <w:vAlign w:val="bottom"/>
          </w:tcPr>
          <w:p>
            <w:pPr>
              <w:jc w:val="right"/>
              <w:ind w:right="17"/>
              <w:spacing w:after="0"/>
              <w:rPr>
                <w:sz w:val="20"/>
                <w:szCs w:val="20"/>
                <w:color w:val="auto"/>
              </w:rPr>
            </w:pPr>
            <w:r>
              <w:rPr>
                <w:rFonts w:ascii="Arial" w:cs="Arial" w:eastAsia="Arial" w:hAnsi="Arial"/>
                <w:sz w:val="13"/>
                <w:szCs w:val="13"/>
                <w:color w:val="auto"/>
              </w:rPr>
              <w:t>(7)</w:t>
            </w:r>
          </w:p>
        </w:tc>
        <w:tc>
          <w:tcPr>
            <w:tcW w:w="100" w:type="dxa"/>
            <w:vAlign w:val="bottom"/>
          </w:tcPr>
          <w:p>
            <w:pPr>
              <w:spacing w:after="0"/>
              <w:rPr>
                <w:sz w:val="15"/>
                <w:szCs w:val="15"/>
                <w:color w:val="auto"/>
              </w:rPr>
            </w:pPr>
          </w:p>
        </w:tc>
        <w:tc>
          <w:tcPr>
            <w:tcW w:w="94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820" w:type="dxa"/>
            <w:vAlign w:val="bottom"/>
          </w:tcPr>
          <w:p>
            <w:pPr>
              <w:jc w:val="right"/>
              <w:ind w:right="3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(12)</w:t>
            </w:r>
          </w:p>
        </w:tc>
        <w:tc>
          <w:tcPr>
            <w:tcW w:w="24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15"/>
                <w:szCs w:val="15"/>
                <w:color w:val="auto"/>
              </w:rPr>
            </w:pPr>
          </w:p>
        </w:tc>
        <w:tc>
          <w:tcPr>
            <w:tcW w:w="760" w:type="dxa"/>
            <w:vAlign w:val="bottom"/>
          </w:tcPr>
          <w:p>
            <w:pPr>
              <w:jc w:val="right"/>
              <w:ind w:right="57"/>
              <w:spacing w:after="0"/>
              <w:rPr>
                <w:sz w:val="20"/>
                <w:szCs w:val="20"/>
                <w:color w:val="auto"/>
              </w:rPr>
            </w:pPr>
            <w:r>
              <w:rPr>
                <w:rFonts w:ascii="Arial" w:cs="Arial" w:eastAsia="Arial" w:hAnsi="Arial"/>
                <w:sz w:val="13"/>
                <w:szCs w:val="13"/>
                <w:color w:val="auto"/>
              </w:rPr>
              <w:t>(21)</w:t>
            </w:r>
          </w:p>
        </w:tc>
        <w:tc>
          <w:tcPr>
            <w:tcW w:w="80" w:type="dxa"/>
            <w:vAlign w:val="bottom"/>
          </w:tcPr>
          <w:p>
            <w:pPr>
              <w:spacing w:after="0"/>
              <w:rPr>
                <w:sz w:val="15"/>
                <w:szCs w:val="15"/>
                <w:color w:val="auto"/>
              </w:rPr>
            </w:pPr>
          </w:p>
        </w:tc>
        <w:tc>
          <w:tcPr>
            <w:tcW w:w="72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60" w:type="dxa"/>
            <w:vAlign w:val="bottom"/>
          </w:tcPr>
          <w:p>
            <w:pPr>
              <w:jc w:val="right"/>
              <w:ind w:right="17"/>
              <w:spacing w:after="0"/>
              <w:rPr>
                <w:sz w:val="20"/>
                <w:szCs w:val="20"/>
                <w:color w:val="auto"/>
              </w:rPr>
            </w:pPr>
            <w:r>
              <w:rPr>
                <w:rFonts w:ascii="Arial" w:cs="Arial" w:eastAsia="Arial" w:hAnsi="Arial"/>
                <w:sz w:val="13"/>
                <w:szCs w:val="13"/>
                <w:color w:val="auto"/>
              </w:rPr>
              <w:t>(43)</w:t>
            </w:r>
          </w:p>
        </w:tc>
        <w:tc>
          <w:tcPr>
            <w:tcW w:w="0" w:type="dxa"/>
            <w:vAlign w:val="bottom"/>
          </w:tcPr>
          <w:p>
            <w:pPr>
              <w:spacing w:after="0"/>
              <w:rPr>
                <w:sz w:val="1"/>
                <w:szCs w:val="1"/>
                <w:color w:val="auto"/>
              </w:rPr>
            </w:pPr>
          </w:p>
        </w:tc>
      </w:tr>
      <w:tr>
        <w:trPr>
          <w:trHeight w:val="176"/>
        </w:trPr>
        <w:tc>
          <w:tcPr>
            <w:tcW w:w="3180" w:type="dxa"/>
            <w:vAlign w:val="bottom"/>
          </w:tcPr>
          <w:p>
            <w:pPr>
              <w:ind w:left="180"/>
              <w:spacing w:after="0" w:line="176" w:lineRule="exact"/>
              <w:rPr>
                <w:sz w:val="20"/>
                <w:szCs w:val="20"/>
                <w:color w:val="auto"/>
              </w:rPr>
            </w:pPr>
            <w:r>
              <w:rPr>
                <w:rFonts w:ascii="Arial" w:cs="Arial" w:eastAsia="Arial" w:hAnsi="Arial"/>
                <w:sz w:val="13"/>
                <w:szCs w:val="13"/>
                <w:color w:val="auto"/>
              </w:rPr>
              <w:t>Amortization of intangible assets</w:t>
            </w:r>
            <w:r>
              <w:rPr>
                <w:rFonts w:ascii="Arial" w:cs="Arial" w:eastAsia="Arial" w:hAnsi="Arial"/>
                <w:sz w:val="20"/>
                <w:szCs w:val="20"/>
                <w:color w:val="auto"/>
                <w:vertAlign w:val="superscript"/>
              </w:rPr>
              <w:t>2</w:t>
            </w: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94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820" w:type="dxa"/>
            <w:vAlign w:val="bottom"/>
          </w:tcPr>
          <w:p>
            <w:pPr>
              <w:jc w:val="right"/>
              <w:ind w:right="37"/>
              <w:spacing w:after="0"/>
              <w:rPr>
                <w:sz w:val="20"/>
                <w:szCs w:val="20"/>
                <w:color w:val="auto"/>
              </w:rPr>
            </w:pPr>
            <w:r>
              <w:rPr>
                <w:rFonts w:ascii="Arial" w:cs="Arial" w:eastAsia="Arial" w:hAnsi="Arial"/>
                <w:sz w:val="13"/>
                <w:szCs w:val="13"/>
                <w:color w:val="auto"/>
              </w:rPr>
              <w:t>(88)</w:t>
            </w:r>
          </w:p>
        </w:tc>
        <w:tc>
          <w:tcPr>
            <w:tcW w:w="120" w:type="dxa"/>
            <w:vAlign w:val="bottom"/>
          </w:tcPr>
          <w:p>
            <w:pPr>
              <w:spacing w:after="0"/>
              <w:rPr>
                <w:sz w:val="15"/>
                <w:szCs w:val="15"/>
                <w:color w:val="auto"/>
              </w:rPr>
            </w:pPr>
          </w:p>
        </w:tc>
        <w:tc>
          <w:tcPr>
            <w:tcW w:w="5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5"/>
                <w:szCs w:val="15"/>
                <w:color w:val="auto"/>
              </w:rPr>
            </w:pPr>
          </w:p>
        </w:tc>
        <w:tc>
          <w:tcPr>
            <w:tcW w:w="40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60" w:type="dxa"/>
            <w:vAlign w:val="bottom"/>
          </w:tcPr>
          <w:p>
            <w:pPr>
              <w:jc w:val="right"/>
              <w:ind w:right="57"/>
              <w:spacing w:after="0"/>
              <w:rPr>
                <w:sz w:val="20"/>
                <w:szCs w:val="20"/>
                <w:color w:val="auto"/>
              </w:rPr>
            </w:pPr>
            <w:r>
              <w:rPr>
                <w:rFonts w:ascii="Arial" w:cs="Arial" w:eastAsia="Arial" w:hAnsi="Arial"/>
                <w:sz w:val="13"/>
                <w:szCs w:val="13"/>
                <w:color w:val="auto"/>
              </w:rPr>
              <w:t>(3)</w:t>
            </w:r>
          </w:p>
        </w:tc>
        <w:tc>
          <w:tcPr>
            <w:tcW w:w="80" w:type="dxa"/>
            <w:vAlign w:val="bottom"/>
          </w:tcPr>
          <w:p>
            <w:pPr>
              <w:spacing w:after="0"/>
              <w:rPr>
                <w:sz w:val="15"/>
                <w:szCs w:val="15"/>
                <w:color w:val="auto"/>
              </w:rPr>
            </w:pPr>
          </w:p>
        </w:tc>
        <w:tc>
          <w:tcPr>
            <w:tcW w:w="72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60" w:type="dxa"/>
            <w:vAlign w:val="bottom"/>
          </w:tcPr>
          <w:p>
            <w:pPr>
              <w:jc w:val="right"/>
              <w:ind w:right="17"/>
              <w:spacing w:after="0"/>
              <w:rPr>
                <w:sz w:val="20"/>
                <w:szCs w:val="20"/>
                <w:color w:val="auto"/>
              </w:rPr>
            </w:pPr>
            <w:r>
              <w:rPr>
                <w:rFonts w:ascii="Arial" w:cs="Arial" w:eastAsia="Arial" w:hAnsi="Arial"/>
                <w:sz w:val="13"/>
                <w:szCs w:val="13"/>
                <w:color w:val="auto"/>
              </w:rPr>
              <w:t>(91)</w:t>
            </w:r>
          </w:p>
        </w:tc>
        <w:tc>
          <w:tcPr>
            <w:tcW w:w="0" w:type="dxa"/>
            <w:vAlign w:val="bottom"/>
          </w:tcPr>
          <w:p>
            <w:pPr>
              <w:spacing w:after="0"/>
              <w:rPr>
                <w:sz w:val="1"/>
                <w:szCs w:val="1"/>
                <w:color w:val="auto"/>
              </w:rPr>
            </w:pPr>
          </w:p>
        </w:tc>
      </w:tr>
      <w:tr>
        <w:trPr>
          <w:trHeight w:val="190"/>
        </w:trPr>
        <w:tc>
          <w:tcPr>
            <w:tcW w:w="3180" w:type="dxa"/>
            <w:vAlign w:val="bottom"/>
          </w:tcPr>
          <w:p>
            <w:pPr>
              <w:ind w:left="180"/>
              <w:spacing w:after="0" w:line="182" w:lineRule="exact"/>
              <w:rPr>
                <w:sz w:val="20"/>
                <w:szCs w:val="20"/>
                <w:color w:val="auto"/>
              </w:rPr>
            </w:pPr>
            <w:r>
              <w:rPr>
                <w:rFonts w:ascii="Arial" w:cs="Arial" w:eastAsia="Arial" w:hAnsi="Arial"/>
                <w:sz w:val="13"/>
                <w:szCs w:val="13"/>
                <w:color w:val="auto"/>
              </w:rPr>
              <w:t>Restructuring and related costs</w:t>
            </w:r>
            <w:r>
              <w:rPr>
                <w:rFonts w:ascii="Arial" w:cs="Arial" w:eastAsia="Arial" w:hAnsi="Arial"/>
                <w:sz w:val="20"/>
                <w:szCs w:val="20"/>
                <w:color w:val="auto"/>
                <w:vertAlign w:val="superscript"/>
              </w:rPr>
              <w:t>3</w:t>
            </w:r>
          </w:p>
        </w:tc>
        <w:tc>
          <w:tcPr>
            <w:tcW w:w="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2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(10)</w:t>
            </w: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(10)</w:t>
            </w:r>
          </w:p>
        </w:tc>
        <w:tc>
          <w:tcPr>
            <w:tcW w:w="0" w:type="dxa"/>
            <w:vAlign w:val="bottom"/>
          </w:tcPr>
          <w:p>
            <w:pPr>
              <w:spacing w:after="0"/>
              <w:rPr>
                <w:sz w:val="1"/>
                <w:szCs w:val="1"/>
                <w:color w:val="auto"/>
              </w:rPr>
            </w:pPr>
          </w:p>
        </w:tc>
      </w:tr>
      <w:tr>
        <w:trPr>
          <w:trHeight w:val="149"/>
        </w:trPr>
        <w:tc>
          <w:tcPr>
            <w:tcW w:w="3180" w:type="dxa"/>
            <w:vAlign w:val="bottom"/>
          </w:tcPr>
          <w:p>
            <w:pPr>
              <w:spacing w:after="0" w:line="133" w:lineRule="exact"/>
              <w:rPr>
                <w:sz w:val="20"/>
                <w:szCs w:val="20"/>
                <w:color w:val="auto"/>
              </w:rPr>
            </w:pPr>
            <w:r>
              <w:rPr>
                <w:rFonts w:ascii="Arial" w:cs="Arial" w:eastAsia="Arial" w:hAnsi="Arial"/>
                <w:sz w:val="13"/>
                <w:szCs w:val="13"/>
                <w:color w:val="auto"/>
              </w:rPr>
              <w:t>Non-GAAP Measurement</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2,381</w:t>
            </w:r>
          </w:p>
        </w:tc>
        <w:tc>
          <w:tcPr>
            <w:tcW w:w="1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82"/>
              </w:rPr>
              <w:t>$</w:t>
            </w:r>
          </w:p>
        </w:tc>
        <w:tc>
          <w:tcPr>
            <w:tcW w:w="74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303</w:t>
            </w:r>
          </w:p>
        </w:tc>
        <w:tc>
          <w:tcPr>
            <w:tcW w:w="1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w w:val="82"/>
              </w:rPr>
              <w:t>$</w:t>
            </w:r>
          </w:p>
        </w:tc>
        <w:tc>
          <w:tcPr>
            <w:tcW w:w="7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150</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auto"/>
              </w:rPr>
              <w:t>251</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82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32</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313</w:t>
            </w:r>
          </w:p>
        </w:tc>
        <w:tc>
          <w:tcPr>
            <w:tcW w:w="2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4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319</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175</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72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auto"/>
            </w:tcBorders>
          </w:tcPr>
          <w:p>
            <w:pPr>
              <w:jc w:val="right"/>
              <w:ind w:right="9"/>
              <w:spacing w:after="0"/>
              <w:rPr>
                <w:sz w:val="20"/>
                <w:szCs w:val="20"/>
                <w:color w:val="auto"/>
              </w:rPr>
            </w:pPr>
            <w:r>
              <w:rPr>
                <w:rFonts w:ascii="Arial" w:cs="Arial" w:eastAsia="Arial" w:hAnsi="Arial"/>
                <w:sz w:val="9"/>
                <w:szCs w:val="9"/>
                <w:color w:val="auto"/>
                <w:w w:val="78"/>
              </w:rPr>
              <w:t>$</w:t>
            </w:r>
          </w:p>
        </w:tc>
        <w:tc>
          <w:tcPr>
            <w:tcW w:w="7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1,543</w:t>
            </w:r>
          </w:p>
        </w:tc>
        <w:tc>
          <w:tcPr>
            <w:tcW w:w="0" w:type="dxa"/>
            <w:vAlign w:val="bottom"/>
          </w:tcPr>
          <w:p>
            <w:pPr>
              <w:spacing w:after="0"/>
              <w:rPr>
                <w:sz w:val="1"/>
                <w:szCs w:val="1"/>
                <w:color w:val="auto"/>
              </w:rPr>
            </w:pPr>
          </w:p>
        </w:tc>
      </w:tr>
      <w:tr>
        <w:trPr>
          <w:trHeight w:val="20"/>
        </w:trPr>
        <w:tc>
          <w:tcPr>
            <w:tcW w:w="3180" w:type="dxa"/>
            <w:vAlign w:val="bottom"/>
            <w:vMerge w:val="restart"/>
          </w:tcPr>
          <w:p>
            <w:pPr>
              <w:ind w:left="180"/>
              <w:spacing w:after="0"/>
              <w:rPr>
                <w:sz w:val="20"/>
                <w:szCs w:val="20"/>
                <w:color w:val="auto"/>
              </w:rPr>
            </w:pPr>
            <w:r>
              <w:rPr>
                <w:rFonts w:ascii="Arial" w:cs="Arial" w:eastAsia="Arial" w:hAnsi="Arial"/>
                <w:sz w:val="13"/>
                <w:szCs w:val="13"/>
                <w:color w:val="auto"/>
              </w:rPr>
              <w:t>Net effect of deferred revenues and related cost of</w:t>
            </w: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318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2"/>
        </w:trPr>
        <w:tc>
          <w:tcPr>
            <w:tcW w:w="3180" w:type="dxa"/>
            <w:vAlign w:val="bottom"/>
          </w:tcPr>
          <w:p>
            <w:pPr>
              <w:ind w:left="180"/>
              <w:spacing w:after="0"/>
              <w:rPr>
                <w:sz w:val="20"/>
                <w:szCs w:val="20"/>
                <w:color w:val="auto"/>
              </w:rPr>
            </w:pPr>
            <w:r>
              <w:rPr>
                <w:rFonts w:ascii="Arial" w:cs="Arial" w:eastAsia="Arial" w:hAnsi="Arial"/>
                <w:sz w:val="13"/>
                <w:szCs w:val="13"/>
                <w:color w:val="auto"/>
              </w:rPr>
              <w:t>revenues</w:t>
            </w:r>
            <w:r>
              <w:rPr>
                <w:rFonts w:ascii="Arial" w:cs="Arial" w:eastAsia="Arial" w:hAnsi="Arial"/>
                <w:sz w:val="20"/>
                <w:szCs w:val="20"/>
                <w:color w:val="auto"/>
                <w:vertAlign w:val="superscript"/>
              </w:rPr>
              <w:t>4</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454</w:t>
            </w:r>
          </w:p>
        </w:tc>
        <w:tc>
          <w:tcPr>
            <w:tcW w:w="120" w:type="dxa"/>
            <w:vAlign w:val="bottom"/>
          </w:tcPr>
          <w:p>
            <w:pPr>
              <w:jc w:val="center"/>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ind w:right="77"/>
              <w:spacing w:after="0"/>
              <w:rPr>
                <w:sz w:val="20"/>
                <w:szCs w:val="20"/>
                <w:color w:val="auto"/>
              </w:rPr>
            </w:pPr>
            <w:r>
              <w:rPr>
                <w:rFonts w:ascii="Arial" w:cs="Arial" w:eastAsia="Arial" w:hAnsi="Arial"/>
                <w:sz w:val="13"/>
                <w:szCs w:val="13"/>
                <w:color w:val="auto"/>
              </w:rPr>
              <w:t>74</w:t>
            </w:r>
          </w:p>
        </w:tc>
        <w:tc>
          <w:tcPr>
            <w:tcW w:w="100" w:type="dxa"/>
            <w:vAlign w:val="bottom"/>
          </w:tcPr>
          <w:p>
            <w:pPr>
              <w:ind w:left="20"/>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ind w:right="57"/>
              <w:spacing w:after="0"/>
              <w:rPr>
                <w:sz w:val="20"/>
                <w:szCs w:val="20"/>
                <w:color w:val="auto"/>
              </w:rPr>
            </w:pPr>
            <w:r>
              <w:rPr>
                <w:rFonts w:ascii="Arial" w:cs="Arial" w:eastAsia="Arial" w:hAnsi="Arial"/>
                <w:sz w:val="13"/>
                <w:szCs w:val="13"/>
                <w:color w:val="auto"/>
              </w:rPr>
              <w:t>26</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tcPr>
          <w:p>
            <w:pPr>
              <w:jc w:val="right"/>
              <w:ind w:right="77"/>
              <w:spacing w:after="0"/>
              <w:rPr>
                <w:sz w:val="20"/>
                <w:szCs w:val="20"/>
                <w:color w:val="auto"/>
              </w:rPr>
            </w:pPr>
            <w:r>
              <w:rPr>
                <w:rFonts w:ascii="Arial" w:cs="Arial" w:eastAsia="Arial" w:hAnsi="Arial"/>
                <w:sz w:val="13"/>
                <w:szCs w:val="13"/>
                <w:color w:val="auto"/>
              </w:rPr>
              <w:t>(1)</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820" w:type="dxa"/>
            <w:vAlign w:val="bottom"/>
          </w:tcPr>
          <w:p>
            <w:pPr>
              <w:jc w:val="right"/>
              <w:ind w:right="37"/>
              <w:spacing w:after="0"/>
              <w:rPr>
                <w:sz w:val="20"/>
                <w:szCs w:val="20"/>
                <w:color w:val="auto"/>
              </w:rPr>
            </w:pPr>
            <w:r>
              <w:rPr>
                <w:rFonts w:ascii="Arial" w:cs="Arial" w:eastAsia="Arial" w:hAnsi="Arial"/>
                <w:sz w:val="13"/>
                <w:szCs w:val="13"/>
                <w:color w:val="auto"/>
              </w:rPr>
              <w:t>(13)</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24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40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72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120" w:type="dxa"/>
            <w:vAlign w:val="bottom"/>
          </w:tcPr>
          <w:p>
            <w:pPr>
              <w:jc w:val="right"/>
              <w:ind w:right="9"/>
              <w:spacing w:after="0"/>
              <w:rPr>
                <w:sz w:val="20"/>
                <w:szCs w:val="20"/>
                <w:color w:val="auto"/>
              </w:rPr>
            </w:pPr>
            <w:r>
              <w:rPr>
                <w:rFonts w:ascii="Arial" w:cs="Arial" w:eastAsia="Arial" w:hAnsi="Arial"/>
                <w:sz w:val="9"/>
                <w:szCs w:val="9"/>
                <w:color w:val="auto"/>
                <w:w w:val="78"/>
              </w:rPr>
              <w:t>$</w:t>
            </w:r>
          </w:p>
        </w:tc>
        <w:tc>
          <w:tcPr>
            <w:tcW w:w="760" w:type="dxa"/>
            <w:vAlign w:val="bottom"/>
          </w:tcPr>
          <w:p>
            <w:pPr>
              <w:jc w:val="right"/>
              <w:ind w:right="57"/>
              <w:spacing w:after="0"/>
              <w:rPr>
                <w:sz w:val="20"/>
                <w:szCs w:val="20"/>
                <w:color w:val="auto"/>
              </w:rPr>
            </w:pPr>
            <w:r>
              <w:rPr>
                <w:rFonts w:ascii="Arial" w:cs="Arial" w:eastAsia="Arial" w:hAnsi="Arial"/>
                <w:sz w:val="13"/>
                <w:szCs w:val="13"/>
                <w:color w:val="auto"/>
              </w:rPr>
              <w:t>86</w:t>
            </w:r>
          </w:p>
        </w:tc>
        <w:tc>
          <w:tcPr>
            <w:tcW w:w="0" w:type="dxa"/>
            <w:vAlign w:val="bottom"/>
          </w:tcPr>
          <w:p>
            <w:pPr>
              <w:spacing w:after="0"/>
              <w:rPr>
                <w:sz w:val="1"/>
                <w:szCs w:val="1"/>
                <w:color w:val="auto"/>
              </w:rPr>
            </w:pPr>
          </w:p>
        </w:tc>
      </w:tr>
      <w:tr>
        <w:trPr>
          <w:trHeight w:val="46"/>
        </w:trPr>
        <w:tc>
          <w:tcPr>
            <w:tcW w:w="318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860" w:type="dxa"/>
            <w:vAlign w:val="bottom"/>
            <w:tcBorders>
              <w:bottom w:val="single" w:sz="8" w:color="auto"/>
            </w:tcBorders>
            <w:gridSpan w:val="4"/>
          </w:tcPr>
          <w:p>
            <w:pPr>
              <w:spacing w:after="0"/>
              <w:rPr>
                <w:sz w:val="3"/>
                <w:szCs w:val="3"/>
                <w:color w:val="auto"/>
              </w:rPr>
            </w:pPr>
          </w:p>
        </w:tc>
        <w:tc>
          <w:tcPr>
            <w:tcW w:w="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42"/>
        </w:trPr>
        <w:tc>
          <w:tcPr>
            <w:tcW w:w="3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3" w:lineRule="exact"/>
              <w:rPr>
                <w:sz w:val="20"/>
                <w:szCs w:val="20"/>
                <w:color w:val="auto"/>
              </w:rPr>
            </w:pPr>
            <w:r>
              <w:rPr>
                <w:rFonts w:ascii="Arial" w:cs="Arial" w:eastAsia="Arial" w:hAnsi="Arial"/>
                <w:sz w:val="13"/>
                <w:szCs w:val="13"/>
                <w:b w:val="1"/>
                <w:bCs w:val="1"/>
                <w:color w:val="auto"/>
                <w:w w:val="91"/>
              </w:rPr>
              <w:t>Operating</w:t>
            </w:r>
          </w:p>
        </w:tc>
        <w:tc>
          <w:tcPr>
            <w:tcW w:w="120" w:type="dxa"/>
            <w:vAlign w:val="bottom"/>
          </w:tcPr>
          <w:p>
            <w:pPr>
              <w:spacing w:after="0"/>
              <w:rPr>
                <w:sz w:val="12"/>
                <w:szCs w:val="12"/>
                <w:color w:val="auto"/>
              </w:rPr>
            </w:pPr>
          </w:p>
        </w:tc>
        <w:tc>
          <w:tcPr>
            <w:tcW w:w="74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7"/>
              </w:rPr>
              <w:t>Net Income</w:t>
            </w:r>
            <w:r>
              <w:rPr>
                <w:rFonts w:ascii="Arial" w:cs="Arial" w:eastAsia="Arial" w:hAnsi="Arial"/>
                <w:sz w:val="20"/>
                <w:szCs w:val="20"/>
                <w:b w:val="1"/>
                <w:bCs w:val="1"/>
                <w:color w:val="auto"/>
                <w:w w:val="87"/>
                <w:vertAlign w:val="superscript"/>
              </w:rPr>
              <w:t>7</w:t>
            </w:r>
          </w:p>
        </w:tc>
        <w:tc>
          <w:tcPr>
            <w:tcW w:w="1860" w:type="dxa"/>
            <w:vAlign w:val="bottom"/>
            <w:gridSpan w:val="4"/>
          </w:tcPr>
          <w:p>
            <w:pPr>
              <w:ind w:left="20"/>
              <w:spacing w:after="0" w:line="143" w:lineRule="exact"/>
              <w:rPr>
                <w:sz w:val="20"/>
                <w:szCs w:val="20"/>
                <w:color w:val="auto"/>
              </w:rPr>
            </w:pPr>
            <w:r>
              <w:rPr>
                <w:rFonts w:ascii="Arial" w:cs="Arial" w:eastAsia="Arial" w:hAnsi="Arial"/>
                <w:sz w:val="13"/>
                <w:szCs w:val="13"/>
                <w:b w:val="1"/>
                <w:bCs w:val="1"/>
                <w:color w:val="auto"/>
                <w:w w:val="90"/>
              </w:rPr>
              <w:t>Basic Earnings Diluted Earnings</w:t>
            </w: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180" w:type="dxa"/>
            <w:vAlign w:val="bottom"/>
            <w:vMerge w:val="restart"/>
          </w:tcPr>
          <w:p>
            <w:pPr>
              <w:spacing w:after="0"/>
              <w:rPr>
                <w:sz w:val="20"/>
                <w:szCs w:val="20"/>
                <w:color w:val="auto"/>
              </w:rPr>
            </w:pPr>
            <w:r>
              <w:rPr>
                <w:rFonts w:ascii="Arial" w:cs="Arial" w:eastAsia="Arial" w:hAnsi="Arial"/>
                <w:sz w:val="13"/>
                <w:szCs w:val="13"/>
                <w:color w:val="auto"/>
              </w:rPr>
              <w:t>GAAP Measurement</w:t>
            </w: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rPr>
              <w:t>Income</w:t>
            </w: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spacing w:after="0" w:line="162" w:lineRule="exact"/>
              <w:rPr>
                <w:sz w:val="20"/>
                <w:szCs w:val="20"/>
                <w:color w:val="auto"/>
              </w:rPr>
            </w:pPr>
            <w:r>
              <w:rPr>
                <w:rFonts w:ascii="Arial" w:cs="Arial" w:eastAsia="Arial" w:hAnsi="Arial"/>
                <w:sz w:val="12"/>
                <w:szCs w:val="12"/>
                <w:b w:val="1"/>
                <w:bCs w:val="1"/>
                <w:color w:val="auto"/>
                <w:w w:val="93"/>
              </w:rPr>
              <w:t>per Share</w:t>
            </w:r>
            <w:r>
              <w:rPr>
                <w:rFonts w:ascii="Arial" w:cs="Arial" w:eastAsia="Arial" w:hAnsi="Arial"/>
                <w:sz w:val="18"/>
                <w:szCs w:val="18"/>
                <w:b w:val="1"/>
                <w:bCs w:val="1"/>
                <w:color w:val="auto"/>
                <w:w w:val="93"/>
                <w:vertAlign w:val="superscript"/>
              </w:rPr>
              <w:t>7</w:t>
            </w: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17"/>
              <w:spacing w:after="0" w:line="162" w:lineRule="exact"/>
              <w:rPr>
                <w:sz w:val="20"/>
                <w:szCs w:val="20"/>
                <w:color w:val="auto"/>
              </w:rPr>
            </w:pPr>
            <w:r>
              <w:rPr>
                <w:rFonts w:ascii="Arial" w:cs="Arial" w:eastAsia="Arial" w:hAnsi="Arial"/>
                <w:sz w:val="12"/>
                <w:szCs w:val="12"/>
                <w:b w:val="1"/>
                <w:bCs w:val="1"/>
                <w:color w:val="auto"/>
                <w:w w:val="93"/>
              </w:rPr>
              <w:t>per Share</w:t>
            </w:r>
            <w:r>
              <w:rPr>
                <w:rFonts w:ascii="Arial" w:cs="Arial" w:eastAsia="Arial" w:hAnsi="Arial"/>
                <w:sz w:val="18"/>
                <w:szCs w:val="18"/>
                <w:b w:val="1"/>
                <w:bCs w:val="1"/>
                <w:color w:val="auto"/>
                <w:w w:val="93"/>
                <w:vertAlign w:val="superscript"/>
              </w:rPr>
              <w:t>7</w:t>
            </w: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180" w:type="dxa"/>
            <w:vAlign w:val="bottom"/>
            <w:vMerge w:val="continue"/>
          </w:tcPr>
          <w:p>
            <w:pPr>
              <w:spacing w:after="0"/>
              <w:rPr>
                <w:sz w:val="10"/>
                <w:szCs w:val="10"/>
                <w:color w:val="auto"/>
              </w:rPr>
            </w:pP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640" w:type="dxa"/>
            <w:vAlign w:val="bottom"/>
          </w:tcPr>
          <w:p>
            <w:pPr>
              <w:jc w:val="right"/>
              <w:spacing w:after="0" w:line="122" w:lineRule="exact"/>
              <w:rPr>
                <w:sz w:val="20"/>
                <w:szCs w:val="20"/>
                <w:color w:val="auto"/>
              </w:rPr>
            </w:pPr>
            <w:r>
              <w:rPr>
                <w:rFonts w:ascii="Arial" w:cs="Arial" w:eastAsia="Arial" w:hAnsi="Arial"/>
                <w:sz w:val="13"/>
                <w:szCs w:val="13"/>
                <w:color w:val="auto"/>
              </w:rPr>
              <w:t>694</w:t>
            </w:r>
          </w:p>
        </w:tc>
        <w:tc>
          <w:tcPr>
            <w:tcW w:w="120" w:type="dxa"/>
            <w:vAlign w:val="bottom"/>
          </w:tcPr>
          <w:p>
            <w:pPr>
              <w:jc w:val="center"/>
              <w:spacing w:after="0" w:line="122" w:lineRule="exact"/>
              <w:rPr>
                <w:sz w:val="20"/>
                <w:szCs w:val="20"/>
                <w:color w:val="auto"/>
              </w:rPr>
            </w:pPr>
            <w:r>
              <w:rPr>
                <w:rFonts w:ascii="Arial" w:cs="Arial" w:eastAsia="Arial" w:hAnsi="Arial"/>
                <w:sz w:val="13"/>
                <w:szCs w:val="13"/>
                <w:color w:val="auto"/>
                <w:w w:val="82"/>
              </w:rPr>
              <w:t>$</w:t>
            </w:r>
          </w:p>
        </w:tc>
        <w:tc>
          <w:tcPr>
            <w:tcW w:w="740" w:type="dxa"/>
            <w:vAlign w:val="bottom"/>
          </w:tcPr>
          <w:p>
            <w:pPr>
              <w:jc w:val="right"/>
              <w:ind w:right="77"/>
              <w:spacing w:after="0" w:line="122" w:lineRule="exact"/>
              <w:rPr>
                <w:sz w:val="20"/>
                <w:szCs w:val="20"/>
                <w:color w:val="auto"/>
              </w:rPr>
            </w:pPr>
            <w:r>
              <w:rPr>
                <w:rFonts w:ascii="Arial" w:cs="Arial" w:eastAsia="Arial" w:hAnsi="Arial"/>
                <w:sz w:val="13"/>
                <w:szCs w:val="13"/>
                <w:color w:val="auto"/>
              </w:rPr>
              <w:t>685</w:t>
            </w:r>
          </w:p>
        </w:tc>
        <w:tc>
          <w:tcPr>
            <w:tcW w:w="100" w:type="dxa"/>
            <w:vAlign w:val="bottom"/>
          </w:tcPr>
          <w:p>
            <w:pPr>
              <w:ind w:left="20"/>
              <w:spacing w:after="0" w:line="122" w:lineRule="exact"/>
              <w:rPr>
                <w:sz w:val="20"/>
                <w:szCs w:val="20"/>
                <w:color w:val="auto"/>
              </w:rPr>
            </w:pPr>
            <w:r>
              <w:rPr>
                <w:rFonts w:ascii="Arial" w:cs="Arial" w:eastAsia="Arial" w:hAnsi="Arial"/>
                <w:sz w:val="13"/>
                <w:szCs w:val="13"/>
                <w:color w:val="auto"/>
                <w:w w:val="82"/>
              </w:rPr>
              <w:t>$</w:t>
            </w:r>
          </w:p>
        </w:tc>
        <w:tc>
          <w:tcPr>
            <w:tcW w:w="720" w:type="dxa"/>
            <w:vAlign w:val="bottom"/>
          </w:tcPr>
          <w:p>
            <w:pPr>
              <w:jc w:val="right"/>
              <w:ind w:right="57"/>
              <w:spacing w:after="0" w:line="122" w:lineRule="exact"/>
              <w:rPr>
                <w:sz w:val="20"/>
                <w:szCs w:val="20"/>
                <w:color w:val="auto"/>
              </w:rPr>
            </w:pPr>
            <w:r>
              <w:rPr>
                <w:rFonts w:ascii="Arial" w:cs="Arial" w:eastAsia="Arial" w:hAnsi="Arial"/>
                <w:sz w:val="13"/>
                <w:szCs w:val="13"/>
                <w:color w:val="auto"/>
              </w:rPr>
              <w:t>0.90</w:t>
            </w:r>
          </w:p>
        </w:tc>
        <w:tc>
          <w:tcPr>
            <w:tcW w:w="100" w:type="dxa"/>
            <w:vAlign w:val="bottom"/>
          </w:tcPr>
          <w:p>
            <w:pPr>
              <w:jc w:val="right"/>
              <w:spacing w:after="0" w:line="122" w:lineRule="exact"/>
              <w:rPr>
                <w:sz w:val="20"/>
                <w:szCs w:val="20"/>
                <w:color w:val="auto"/>
              </w:rPr>
            </w:pPr>
            <w:r>
              <w:rPr>
                <w:rFonts w:ascii="Arial" w:cs="Arial" w:eastAsia="Arial" w:hAnsi="Arial"/>
                <w:sz w:val="13"/>
                <w:szCs w:val="13"/>
                <w:color w:val="auto"/>
                <w:w w:val="82"/>
              </w:rPr>
              <w:t>$</w:t>
            </w:r>
          </w:p>
        </w:tc>
        <w:tc>
          <w:tcPr>
            <w:tcW w:w="940" w:type="dxa"/>
            <w:vAlign w:val="bottom"/>
          </w:tcPr>
          <w:p>
            <w:pPr>
              <w:jc w:val="right"/>
              <w:ind w:right="117"/>
              <w:spacing w:after="0" w:line="122" w:lineRule="exact"/>
              <w:rPr>
                <w:sz w:val="20"/>
                <w:szCs w:val="20"/>
                <w:color w:val="auto"/>
              </w:rPr>
            </w:pPr>
            <w:r>
              <w:rPr>
                <w:rFonts w:ascii="Arial" w:cs="Arial" w:eastAsia="Arial" w:hAnsi="Arial"/>
                <w:sz w:val="13"/>
                <w:szCs w:val="13"/>
                <w:color w:val="auto"/>
              </w:rPr>
              <w:t>0.89</w:t>
            </w: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3180" w:type="dxa"/>
            <w:vAlign w:val="bottom"/>
          </w:tcPr>
          <w:p>
            <w:pPr>
              <w:ind w:left="180"/>
              <w:spacing w:after="0" w:line="176" w:lineRule="exact"/>
              <w:rPr>
                <w:sz w:val="20"/>
                <w:szCs w:val="20"/>
                <w:color w:val="auto"/>
              </w:rPr>
            </w:pPr>
            <w:r>
              <w:rPr>
                <w:rFonts w:ascii="Arial" w:cs="Arial" w:eastAsia="Arial" w:hAnsi="Arial"/>
                <w:sz w:val="13"/>
                <w:szCs w:val="13"/>
                <w:color w:val="auto"/>
              </w:rPr>
              <w:t>Share-based compensation</w:t>
            </w:r>
            <w:r>
              <w:rPr>
                <w:rFonts w:ascii="Arial" w:cs="Arial" w:eastAsia="Arial" w:hAnsi="Arial"/>
                <w:sz w:val="20"/>
                <w:szCs w:val="20"/>
                <w:color w:val="auto"/>
                <w:vertAlign w:val="superscript"/>
              </w:rPr>
              <w:t>1</w:t>
            </w: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43</w:t>
            </w:r>
          </w:p>
        </w:tc>
        <w:tc>
          <w:tcPr>
            <w:tcW w:w="120" w:type="dxa"/>
            <w:vAlign w:val="bottom"/>
          </w:tcPr>
          <w:p>
            <w:pPr>
              <w:spacing w:after="0"/>
              <w:rPr>
                <w:sz w:val="15"/>
                <w:szCs w:val="15"/>
                <w:color w:val="auto"/>
              </w:rPr>
            </w:pPr>
          </w:p>
        </w:tc>
        <w:tc>
          <w:tcPr>
            <w:tcW w:w="740" w:type="dxa"/>
            <w:vAlign w:val="bottom"/>
          </w:tcPr>
          <w:p>
            <w:pPr>
              <w:jc w:val="right"/>
              <w:ind w:right="77"/>
              <w:spacing w:after="0"/>
              <w:rPr>
                <w:sz w:val="20"/>
                <w:szCs w:val="20"/>
                <w:color w:val="auto"/>
              </w:rPr>
            </w:pPr>
            <w:r>
              <w:rPr>
                <w:rFonts w:ascii="Arial" w:cs="Arial" w:eastAsia="Arial" w:hAnsi="Arial"/>
                <w:sz w:val="13"/>
                <w:szCs w:val="13"/>
                <w:color w:val="auto"/>
              </w:rPr>
              <w:t>43</w:t>
            </w:r>
          </w:p>
        </w:tc>
        <w:tc>
          <w:tcPr>
            <w:tcW w:w="100" w:type="dxa"/>
            <w:vAlign w:val="bottom"/>
          </w:tcPr>
          <w:p>
            <w:pPr>
              <w:spacing w:after="0"/>
              <w:rPr>
                <w:sz w:val="15"/>
                <w:szCs w:val="15"/>
                <w:color w:val="auto"/>
              </w:rPr>
            </w:pPr>
          </w:p>
        </w:tc>
        <w:tc>
          <w:tcPr>
            <w:tcW w:w="720" w:type="dxa"/>
            <w:vAlign w:val="bottom"/>
          </w:tcPr>
          <w:p>
            <w:pPr>
              <w:jc w:val="right"/>
              <w:ind w:right="57"/>
              <w:spacing w:after="0"/>
              <w:rPr>
                <w:sz w:val="20"/>
                <w:szCs w:val="20"/>
                <w:color w:val="auto"/>
              </w:rPr>
            </w:pPr>
            <w:r>
              <w:rPr>
                <w:rFonts w:ascii="Arial" w:cs="Arial" w:eastAsia="Arial" w:hAnsi="Arial"/>
                <w:sz w:val="13"/>
                <w:szCs w:val="13"/>
                <w:color w:val="auto"/>
              </w:rPr>
              <w:t>0.06</w:t>
            </w:r>
          </w:p>
        </w:tc>
        <w:tc>
          <w:tcPr>
            <w:tcW w:w="100" w:type="dxa"/>
            <w:vAlign w:val="bottom"/>
          </w:tcPr>
          <w:p>
            <w:pPr>
              <w:spacing w:after="0"/>
              <w:rPr>
                <w:sz w:val="15"/>
                <w:szCs w:val="15"/>
                <w:color w:val="auto"/>
              </w:rPr>
            </w:pPr>
          </w:p>
        </w:tc>
        <w:tc>
          <w:tcPr>
            <w:tcW w:w="940" w:type="dxa"/>
            <w:vAlign w:val="bottom"/>
          </w:tcPr>
          <w:p>
            <w:pPr>
              <w:jc w:val="right"/>
              <w:ind w:right="117"/>
              <w:spacing w:after="0"/>
              <w:rPr>
                <w:sz w:val="20"/>
                <w:szCs w:val="20"/>
                <w:color w:val="auto"/>
              </w:rPr>
            </w:pPr>
            <w:r>
              <w:rPr>
                <w:rFonts w:ascii="Arial" w:cs="Arial" w:eastAsia="Arial" w:hAnsi="Arial"/>
                <w:sz w:val="13"/>
                <w:szCs w:val="13"/>
                <w:color w:val="auto"/>
              </w:rPr>
              <w:t>0.06</w:t>
            </w: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180" w:type="dxa"/>
            <w:vAlign w:val="bottom"/>
          </w:tcPr>
          <w:p>
            <w:pPr>
              <w:ind w:left="180"/>
              <w:spacing w:after="0" w:line="176" w:lineRule="exact"/>
              <w:rPr>
                <w:sz w:val="20"/>
                <w:szCs w:val="20"/>
                <w:color w:val="auto"/>
              </w:rPr>
            </w:pPr>
            <w:r>
              <w:rPr>
                <w:rFonts w:ascii="Arial" w:cs="Arial" w:eastAsia="Arial" w:hAnsi="Arial"/>
                <w:sz w:val="13"/>
                <w:szCs w:val="13"/>
                <w:color w:val="auto"/>
              </w:rPr>
              <w:t>Amortization of intangible assets</w:t>
            </w:r>
            <w:r>
              <w:rPr>
                <w:rFonts w:ascii="Arial" w:cs="Arial" w:eastAsia="Arial" w:hAnsi="Arial"/>
                <w:sz w:val="20"/>
                <w:szCs w:val="20"/>
                <w:color w:val="auto"/>
                <w:vertAlign w:val="superscript"/>
              </w:rPr>
              <w:t>2</w:t>
            </w: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91</w:t>
            </w:r>
          </w:p>
        </w:tc>
        <w:tc>
          <w:tcPr>
            <w:tcW w:w="120" w:type="dxa"/>
            <w:vAlign w:val="bottom"/>
          </w:tcPr>
          <w:p>
            <w:pPr>
              <w:spacing w:after="0"/>
              <w:rPr>
                <w:sz w:val="15"/>
                <w:szCs w:val="15"/>
                <w:color w:val="auto"/>
              </w:rPr>
            </w:pPr>
          </w:p>
        </w:tc>
        <w:tc>
          <w:tcPr>
            <w:tcW w:w="740" w:type="dxa"/>
            <w:vAlign w:val="bottom"/>
          </w:tcPr>
          <w:p>
            <w:pPr>
              <w:jc w:val="right"/>
              <w:ind w:right="77"/>
              <w:spacing w:after="0"/>
              <w:rPr>
                <w:sz w:val="20"/>
                <w:szCs w:val="20"/>
                <w:color w:val="auto"/>
              </w:rPr>
            </w:pPr>
            <w:r>
              <w:rPr>
                <w:rFonts w:ascii="Arial" w:cs="Arial" w:eastAsia="Arial" w:hAnsi="Arial"/>
                <w:sz w:val="13"/>
                <w:szCs w:val="13"/>
                <w:color w:val="auto"/>
              </w:rPr>
              <w:t>91</w:t>
            </w:r>
          </w:p>
        </w:tc>
        <w:tc>
          <w:tcPr>
            <w:tcW w:w="100" w:type="dxa"/>
            <w:vAlign w:val="bottom"/>
          </w:tcPr>
          <w:p>
            <w:pPr>
              <w:spacing w:after="0"/>
              <w:rPr>
                <w:sz w:val="15"/>
                <w:szCs w:val="15"/>
                <w:color w:val="auto"/>
              </w:rPr>
            </w:pPr>
          </w:p>
        </w:tc>
        <w:tc>
          <w:tcPr>
            <w:tcW w:w="720" w:type="dxa"/>
            <w:vAlign w:val="bottom"/>
          </w:tcPr>
          <w:p>
            <w:pPr>
              <w:jc w:val="right"/>
              <w:ind w:right="57"/>
              <w:spacing w:after="0"/>
              <w:rPr>
                <w:sz w:val="20"/>
                <w:szCs w:val="20"/>
                <w:color w:val="auto"/>
              </w:rPr>
            </w:pPr>
            <w:r>
              <w:rPr>
                <w:rFonts w:ascii="Arial" w:cs="Arial" w:eastAsia="Arial" w:hAnsi="Arial"/>
                <w:sz w:val="13"/>
                <w:szCs w:val="13"/>
                <w:color w:val="auto"/>
              </w:rPr>
              <w:t>0.12</w:t>
            </w:r>
          </w:p>
        </w:tc>
        <w:tc>
          <w:tcPr>
            <w:tcW w:w="100" w:type="dxa"/>
            <w:vAlign w:val="bottom"/>
          </w:tcPr>
          <w:p>
            <w:pPr>
              <w:spacing w:after="0"/>
              <w:rPr>
                <w:sz w:val="15"/>
                <w:szCs w:val="15"/>
                <w:color w:val="auto"/>
              </w:rPr>
            </w:pPr>
          </w:p>
        </w:tc>
        <w:tc>
          <w:tcPr>
            <w:tcW w:w="940" w:type="dxa"/>
            <w:vAlign w:val="bottom"/>
          </w:tcPr>
          <w:p>
            <w:pPr>
              <w:jc w:val="right"/>
              <w:ind w:right="117"/>
              <w:spacing w:after="0"/>
              <w:rPr>
                <w:sz w:val="20"/>
                <w:szCs w:val="20"/>
                <w:color w:val="auto"/>
              </w:rPr>
            </w:pPr>
            <w:r>
              <w:rPr>
                <w:rFonts w:ascii="Arial" w:cs="Arial" w:eastAsia="Arial" w:hAnsi="Arial"/>
                <w:sz w:val="13"/>
                <w:szCs w:val="13"/>
                <w:color w:val="auto"/>
              </w:rPr>
              <w:t>0.12</w:t>
            </w: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180" w:type="dxa"/>
            <w:vAlign w:val="bottom"/>
          </w:tcPr>
          <w:p>
            <w:pPr>
              <w:ind w:left="180"/>
              <w:spacing w:after="0" w:line="176" w:lineRule="exact"/>
              <w:rPr>
                <w:sz w:val="20"/>
                <w:szCs w:val="20"/>
                <w:color w:val="auto"/>
              </w:rPr>
            </w:pPr>
            <w:r>
              <w:rPr>
                <w:rFonts w:ascii="Arial" w:cs="Arial" w:eastAsia="Arial" w:hAnsi="Arial"/>
                <w:sz w:val="13"/>
                <w:szCs w:val="13"/>
                <w:color w:val="auto"/>
              </w:rPr>
              <w:t>Restructuring and related costs</w:t>
            </w:r>
            <w:r>
              <w:rPr>
                <w:rFonts w:ascii="Arial" w:cs="Arial" w:eastAsia="Arial" w:hAnsi="Arial"/>
                <w:sz w:val="20"/>
                <w:szCs w:val="20"/>
                <w:color w:val="auto"/>
                <w:vertAlign w:val="superscript"/>
              </w:rPr>
              <w:t>3</w:t>
            </w: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10</w:t>
            </w:r>
          </w:p>
        </w:tc>
        <w:tc>
          <w:tcPr>
            <w:tcW w:w="120" w:type="dxa"/>
            <w:vAlign w:val="bottom"/>
          </w:tcPr>
          <w:p>
            <w:pPr>
              <w:spacing w:after="0"/>
              <w:rPr>
                <w:sz w:val="15"/>
                <w:szCs w:val="15"/>
                <w:color w:val="auto"/>
              </w:rPr>
            </w:pPr>
          </w:p>
        </w:tc>
        <w:tc>
          <w:tcPr>
            <w:tcW w:w="740" w:type="dxa"/>
            <w:vAlign w:val="bottom"/>
          </w:tcPr>
          <w:p>
            <w:pPr>
              <w:jc w:val="right"/>
              <w:ind w:right="77"/>
              <w:spacing w:after="0"/>
              <w:rPr>
                <w:sz w:val="20"/>
                <w:szCs w:val="20"/>
                <w:color w:val="auto"/>
              </w:rPr>
            </w:pPr>
            <w:r>
              <w:rPr>
                <w:rFonts w:ascii="Arial" w:cs="Arial" w:eastAsia="Arial" w:hAnsi="Arial"/>
                <w:sz w:val="13"/>
                <w:szCs w:val="13"/>
                <w:color w:val="auto"/>
              </w:rPr>
              <w:t>10</w:t>
            </w:r>
          </w:p>
        </w:tc>
        <w:tc>
          <w:tcPr>
            <w:tcW w:w="100" w:type="dxa"/>
            <w:vAlign w:val="bottom"/>
          </w:tcPr>
          <w:p>
            <w:pPr>
              <w:spacing w:after="0"/>
              <w:rPr>
                <w:sz w:val="15"/>
                <w:szCs w:val="15"/>
                <w:color w:val="auto"/>
              </w:rPr>
            </w:pPr>
          </w:p>
        </w:tc>
        <w:tc>
          <w:tcPr>
            <w:tcW w:w="720" w:type="dxa"/>
            <w:vAlign w:val="bottom"/>
          </w:tcPr>
          <w:p>
            <w:pPr>
              <w:jc w:val="right"/>
              <w:ind w:right="57"/>
              <w:spacing w:after="0"/>
              <w:rPr>
                <w:sz w:val="20"/>
                <w:szCs w:val="20"/>
                <w:color w:val="auto"/>
              </w:rPr>
            </w:pPr>
            <w:r>
              <w:rPr>
                <w:rFonts w:ascii="Arial" w:cs="Arial" w:eastAsia="Arial" w:hAnsi="Arial"/>
                <w:sz w:val="13"/>
                <w:szCs w:val="13"/>
                <w:color w:val="auto"/>
              </w:rPr>
              <w:t>0.01</w:t>
            </w:r>
          </w:p>
        </w:tc>
        <w:tc>
          <w:tcPr>
            <w:tcW w:w="100" w:type="dxa"/>
            <w:vAlign w:val="bottom"/>
          </w:tcPr>
          <w:p>
            <w:pPr>
              <w:spacing w:after="0"/>
              <w:rPr>
                <w:sz w:val="15"/>
                <w:szCs w:val="15"/>
                <w:color w:val="auto"/>
              </w:rPr>
            </w:pPr>
          </w:p>
        </w:tc>
        <w:tc>
          <w:tcPr>
            <w:tcW w:w="940" w:type="dxa"/>
            <w:vAlign w:val="bottom"/>
          </w:tcPr>
          <w:p>
            <w:pPr>
              <w:jc w:val="right"/>
              <w:ind w:right="117"/>
              <w:spacing w:after="0"/>
              <w:rPr>
                <w:sz w:val="20"/>
                <w:szCs w:val="20"/>
                <w:color w:val="auto"/>
              </w:rPr>
            </w:pPr>
            <w:r>
              <w:rPr>
                <w:rFonts w:ascii="Arial" w:cs="Arial" w:eastAsia="Arial" w:hAnsi="Arial"/>
                <w:sz w:val="13"/>
                <w:szCs w:val="13"/>
                <w:color w:val="auto"/>
              </w:rPr>
              <w:t>0.01</w:t>
            </w: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180" w:type="dxa"/>
            <w:vAlign w:val="bottom"/>
          </w:tcPr>
          <w:p>
            <w:pPr>
              <w:ind w:left="180"/>
              <w:spacing w:after="0" w:line="176" w:lineRule="exact"/>
              <w:rPr>
                <w:sz w:val="20"/>
                <w:szCs w:val="20"/>
                <w:color w:val="auto"/>
              </w:rPr>
            </w:pPr>
            <w:r>
              <w:rPr>
                <w:rFonts w:ascii="Arial" w:cs="Arial" w:eastAsia="Arial" w:hAnsi="Arial"/>
                <w:sz w:val="13"/>
                <w:szCs w:val="13"/>
                <w:color w:val="auto"/>
              </w:rPr>
              <w:t>Income tax impacts from items above</w:t>
            </w:r>
            <w:r>
              <w:rPr>
                <w:rFonts w:ascii="Arial" w:cs="Arial" w:eastAsia="Arial" w:hAnsi="Arial"/>
                <w:sz w:val="20"/>
                <w:szCs w:val="20"/>
                <w:color w:val="auto"/>
                <w:vertAlign w:val="superscript"/>
              </w:rPr>
              <w:t>5</w:t>
            </w: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40" w:type="dxa"/>
            <w:vAlign w:val="bottom"/>
          </w:tcPr>
          <w:p>
            <w:pPr>
              <w:jc w:val="right"/>
              <w:ind w:right="37"/>
              <w:spacing w:after="0"/>
              <w:rPr>
                <w:sz w:val="20"/>
                <w:szCs w:val="20"/>
                <w:color w:val="auto"/>
              </w:rPr>
            </w:pPr>
            <w:r>
              <w:rPr>
                <w:rFonts w:ascii="Arial" w:cs="Arial" w:eastAsia="Arial" w:hAnsi="Arial"/>
                <w:sz w:val="13"/>
                <w:szCs w:val="13"/>
                <w:color w:val="auto"/>
              </w:rPr>
              <w:t>(19)</w:t>
            </w:r>
          </w:p>
        </w:tc>
        <w:tc>
          <w:tcPr>
            <w:tcW w:w="100" w:type="dxa"/>
            <w:vAlign w:val="bottom"/>
          </w:tcPr>
          <w:p>
            <w:pPr>
              <w:spacing w:after="0"/>
              <w:rPr>
                <w:sz w:val="15"/>
                <w:szCs w:val="15"/>
                <w:color w:val="auto"/>
              </w:rPr>
            </w:pPr>
          </w:p>
        </w:tc>
        <w:tc>
          <w:tcPr>
            <w:tcW w:w="720" w:type="dxa"/>
            <w:vAlign w:val="bottom"/>
          </w:tcPr>
          <w:p>
            <w:pPr>
              <w:jc w:val="right"/>
              <w:ind w:right="17"/>
              <w:spacing w:after="0"/>
              <w:rPr>
                <w:sz w:val="20"/>
                <w:szCs w:val="20"/>
                <w:color w:val="auto"/>
              </w:rPr>
            </w:pPr>
            <w:r>
              <w:rPr>
                <w:rFonts w:ascii="Arial" w:cs="Arial" w:eastAsia="Arial" w:hAnsi="Arial"/>
                <w:sz w:val="13"/>
                <w:szCs w:val="13"/>
                <w:color w:val="auto"/>
              </w:rPr>
              <w:t>(0.03)</w:t>
            </w:r>
          </w:p>
        </w:tc>
        <w:tc>
          <w:tcPr>
            <w:tcW w:w="100" w:type="dxa"/>
            <w:vAlign w:val="bottom"/>
          </w:tcPr>
          <w:p>
            <w:pPr>
              <w:spacing w:after="0"/>
              <w:rPr>
                <w:sz w:val="15"/>
                <w:szCs w:val="15"/>
                <w:color w:val="auto"/>
              </w:rPr>
            </w:pPr>
          </w:p>
        </w:tc>
        <w:tc>
          <w:tcPr>
            <w:tcW w:w="940" w:type="dxa"/>
            <w:vAlign w:val="bottom"/>
          </w:tcPr>
          <w:p>
            <w:pPr>
              <w:jc w:val="right"/>
              <w:ind w:right="77"/>
              <w:spacing w:after="0"/>
              <w:rPr>
                <w:sz w:val="20"/>
                <w:szCs w:val="20"/>
                <w:color w:val="auto"/>
              </w:rPr>
            </w:pPr>
            <w:r>
              <w:rPr>
                <w:rFonts w:ascii="Arial" w:cs="Arial" w:eastAsia="Arial" w:hAnsi="Arial"/>
                <w:sz w:val="13"/>
                <w:szCs w:val="13"/>
                <w:color w:val="auto"/>
              </w:rPr>
              <w:t>(0.03)</w:t>
            </w: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180" w:type="dxa"/>
            <w:vAlign w:val="bottom"/>
          </w:tcPr>
          <w:p>
            <w:pPr>
              <w:ind w:left="180"/>
              <w:spacing w:after="0" w:line="183" w:lineRule="exact"/>
              <w:rPr>
                <w:sz w:val="20"/>
                <w:szCs w:val="20"/>
                <w:color w:val="auto"/>
              </w:rPr>
            </w:pPr>
            <w:r>
              <w:rPr>
                <w:rFonts w:ascii="Arial" w:cs="Arial" w:eastAsia="Arial" w:hAnsi="Arial"/>
                <w:sz w:val="13"/>
                <w:szCs w:val="13"/>
                <w:color w:val="auto"/>
              </w:rPr>
              <w:t>Discrete tax-related items</w:t>
            </w:r>
            <w:r>
              <w:rPr>
                <w:rFonts w:ascii="Arial" w:cs="Arial" w:eastAsia="Arial" w:hAnsi="Arial"/>
                <w:sz w:val="20"/>
                <w:szCs w:val="20"/>
                <w:color w:val="auto"/>
                <w:vertAlign w:val="superscript"/>
              </w:rPr>
              <w:t>6</w:t>
            </w:r>
          </w:p>
        </w:tc>
        <w:tc>
          <w:tcPr>
            <w:tcW w:w="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(114)</w:t>
            </w: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(0.15)</w:t>
            </w: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(0.15)</w:t>
            </w: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3180" w:type="dxa"/>
            <w:vAlign w:val="bottom"/>
          </w:tcPr>
          <w:p>
            <w:pPr>
              <w:spacing w:after="0" w:line="129" w:lineRule="exact"/>
              <w:rPr>
                <w:sz w:val="20"/>
                <w:szCs w:val="20"/>
                <w:color w:val="auto"/>
              </w:rPr>
            </w:pPr>
            <w:r>
              <w:rPr>
                <w:rFonts w:ascii="Arial" w:cs="Arial" w:eastAsia="Arial" w:hAnsi="Arial"/>
                <w:sz w:val="13"/>
                <w:szCs w:val="13"/>
                <w:color w:val="auto"/>
              </w:rPr>
              <w:t>Non-GAAP Measurement</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6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838</w:t>
            </w:r>
          </w:p>
        </w:tc>
        <w:tc>
          <w:tcPr>
            <w:tcW w:w="12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3"/>
                <w:szCs w:val="13"/>
                <w:color w:val="auto"/>
                <w:w w:val="82"/>
              </w:rPr>
              <w:t>$</w:t>
            </w:r>
          </w:p>
        </w:tc>
        <w:tc>
          <w:tcPr>
            <w:tcW w:w="740" w:type="dxa"/>
            <w:vAlign w:val="bottom"/>
            <w:tcBorders>
              <w:bottom w:val="single" w:sz="8" w:color="auto"/>
            </w:tcBorders>
          </w:tcPr>
          <w:p>
            <w:pPr>
              <w:jc w:val="right"/>
              <w:ind w:right="77"/>
              <w:spacing w:after="0" w:line="129" w:lineRule="exact"/>
              <w:rPr>
                <w:sz w:val="20"/>
                <w:szCs w:val="20"/>
                <w:color w:val="auto"/>
              </w:rPr>
            </w:pPr>
            <w:r>
              <w:rPr>
                <w:rFonts w:ascii="Arial" w:cs="Arial" w:eastAsia="Arial" w:hAnsi="Arial"/>
                <w:sz w:val="13"/>
                <w:szCs w:val="13"/>
                <w:color w:val="auto"/>
              </w:rPr>
              <w:t>696</w:t>
            </w:r>
          </w:p>
        </w:tc>
        <w:tc>
          <w:tcPr>
            <w:tcW w:w="100" w:type="dxa"/>
            <w:vAlign w:val="bottom"/>
            <w:tcBorders>
              <w:bottom w:val="single" w:sz="8" w:color="auto"/>
            </w:tcBorders>
          </w:tcPr>
          <w:p>
            <w:pPr>
              <w:ind w:left="20"/>
              <w:spacing w:after="0" w:line="129" w:lineRule="exact"/>
              <w:rPr>
                <w:sz w:val="20"/>
                <w:szCs w:val="20"/>
                <w:color w:val="auto"/>
              </w:rPr>
            </w:pPr>
            <w:r>
              <w:rPr>
                <w:rFonts w:ascii="Arial" w:cs="Arial" w:eastAsia="Arial" w:hAnsi="Arial"/>
                <w:sz w:val="13"/>
                <w:szCs w:val="13"/>
                <w:color w:val="auto"/>
                <w:w w:val="82"/>
              </w:rPr>
              <w:t>$</w:t>
            </w:r>
          </w:p>
        </w:tc>
        <w:tc>
          <w:tcPr>
            <w:tcW w:w="720" w:type="dxa"/>
            <w:vAlign w:val="bottom"/>
            <w:tcBorders>
              <w:bottom w:val="single" w:sz="8" w:color="auto"/>
            </w:tcBorders>
          </w:tcPr>
          <w:p>
            <w:pPr>
              <w:jc w:val="right"/>
              <w:ind w:right="57"/>
              <w:spacing w:after="0" w:line="129" w:lineRule="exact"/>
              <w:rPr>
                <w:sz w:val="20"/>
                <w:szCs w:val="20"/>
                <w:color w:val="auto"/>
              </w:rPr>
            </w:pPr>
            <w:r>
              <w:rPr>
                <w:rFonts w:ascii="Arial" w:cs="Arial" w:eastAsia="Arial" w:hAnsi="Arial"/>
                <w:sz w:val="13"/>
                <w:szCs w:val="13"/>
                <w:color w:val="auto"/>
              </w:rPr>
              <w:t>0.91</w:t>
            </w:r>
          </w:p>
        </w:tc>
        <w:tc>
          <w:tcPr>
            <w:tcW w:w="1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82"/>
              </w:rPr>
              <w:t>$</w:t>
            </w:r>
          </w:p>
        </w:tc>
        <w:tc>
          <w:tcPr>
            <w:tcW w:w="940" w:type="dxa"/>
            <w:vAlign w:val="bottom"/>
            <w:tcBorders>
              <w:bottom w:val="single" w:sz="8" w:color="auto"/>
            </w:tcBorders>
          </w:tcPr>
          <w:p>
            <w:pPr>
              <w:jc w:val="right"/>
              <w:ind w:right="117"/>
              <w:spacing w:after="0" w:line="129" w:lineRule="exact"/>
              <w:rPr>
                <w:sz w:val="20"/>
                <w:szCs w:val="20"/>
                <w:color w:val="auto"/>
              </w:rPr>
            </w:pPr>
            <w:r>
              <w:rPr>
                <w:rFonts w:ascii="Arial" w:cs="Arial" w:eastAsia="Arial" w:hAnsi="Arial"/>
                <w:sz w:val="13"/>
                <w:szCs w:val="13"/>
                <w:color w:val="auto"/>
              </w:rPr>
              <w:t>0.90</w:t>
            </w: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180" w:type="dxa"/>
            <w:vAlign w:val="bottom"/>
            <w:vMerge w:val="restart"/>
          </w:tcPr>
          <w:p>
            <w:pPr>
              <w:ind w:left="180"/>
              <w:spacing w:after="0"/>
              <w:rPr>
                <w:sz w:val="20"/>
                <w:szCs w:val="20"/>
                <w:color w:val="auto"/>
              </w:rPr>
            </w:pPr>
            <w:r>
              <w:rPr>
                <w:rFonts w:ascii="Arial" w:cs="Arial" w:eastAsia="Arial" w:hAnsi="Arial"/>
                <w:sz w:val="13"/>
                <w:szCs w:val="13"/>
                <w:color w:val="auto"/>
              </w:rPr>
              <w:t>Net effect of deferred revenues and related cost of</w:t>
            </w: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318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2"/>
        </w:trPr>
        <w:tc>
          <w:tcPr>
            <w:tcW w:w="3180" w:type="dxa"/>
            <w:vAlign w:val="bottom"/>
          </w:tcPr>
          <w:p>
            <w:pPr>
              <w:ind w:left="180"/>
              <w:spacing w:after="0"/>
              <w:rPr>
                <w:sz w:val="20"/>
                <w:szCs w:val="20"/>
                <w:color w:val="auto"/>
              </w:rPr>
            </w:pPr>
            <w:r>
              <w:rPr>
                <w:rFonts w:ascii="Arial" w:cs="Arial" w:eastAsia="Arial" w:hAnsi="Arial"/>
                <w:sz w:val="13"/>
                <w:szCs w:val="13"/>
                <w:color w:val="auto"/>
              </w:rPr>
              <w:t>revenues</w:t>
            </w:r>
            <w:r>
              <w:rPr>
                <w:rFonts w:ascii="Arial" w:cs="Arial" w:eastAsia="Arial" w:hAnsi="Arial"/>
                <w:sz w:val="20"/>
                <w:szCs w:val="20"/>
                <w:color w:val="auto"/>
                <w:vertAlign w:val="superscript"/>
              </w:rPr>
              <w:t>4</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368</w:t>
            </w:r>
          </w:p>
        </w:tc>
        <w:tc>
          <w:tcPr>
            <w:tcW w:w="120" w:type="dxa"/>
            <w:vAlign w:val="bottom"/>
          </w:tcPr>
          <w:p>
            <w:pPr>
              <w:jc w:val="center"/>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ind w:right="77"/>
              <w:spacing w:after="0"/>
              <w:rPr>
                <w:sz w:val="20"/>
                <w:szCs w:val="20"/>
                <w:color w:val="auto"/>
              </w:rPr>
            </w:pPr>
            <w:r>
              <w:rPr>
                <w:rFonts w:ascii="Arial" w:cs="Arial" w:eastAsia="Arial" w:hAnsi="Arial"/>
                <w:sz w:val="13"/>
                <w:szCs w:val="13"/>
                <w:color w:val="auto"/>
              </w:rPr>
              <w:t>298</w:t>
            </w:r>
          </w:p>
        </w:tc>
        <w:tc>
          <w:tcPr>
            <w:tcW w:w="100" w:type="dxa"/>
            <w:vAlign w:val="bottom"/>
          </w:tcPr>
          <w:p>
            <w:pPr>
              <w:ind w:left="20"/>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ind w:right="57"/>
              <w:spacing w:after="0"/>
              <w:rPr>
                <w:sz w:val="20"/>
                <w:szCs w:val="20"/>
                <w:color w:val="auto"/>
              </w:rPr>
            </w:pPr>
            <w:r>
              <w:rPr>
                <w:rFonts w:ascii="Arial" w:cs="Arial" w:eastAsia="Arial" w:hAnsi="Arial"/>
                <w:sz w:val="13"/>
                <w:szCs w:val="13"/>
                <w:color w:val="auto"/>
              </w:rPr>
              <w:t>0.39</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tcPr>
          <w:p>
            <w:pPr>
              <w:jc w:val="right"/>
              <w:ind w:right="117"/>
              <w:spacing w:after="0"/>
              <w:rPr>
                <w:sz w:val="20"/>
                <w:szCs w:val="20"/>
                <w:color w:val="auto"/>
              </w:rPr>
            </w:pPr>
            <w:r>
              <w:rPr>
                <w:rFonts w:ascii="Arial" w:cs="Arial" w:eastAsia="Arial" w:hAnsi="Arial"/>
                <w:sz w:val="13"/>
                <w:szCs w:val="13"/>
                <w:color w:val="auto"/>
              </w:rPr>
              <w:t>0.39</w:t>
            </w:r>
          </w:p>
        </w:tc>
        <w:tc>
          <w:tcPr>
            <w:tcW w:w="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340" w:hanging="332"/>
        <w:spacing w:after="0"/>
        <w:tabs>
          <w:tab w:leader="none" w:pos="340" w:val="left"/>
        </w:tabs>
        <w:numPr>
          <w:ilvl w:val="0"/>
          <w:numId w:val="32"/>
        </w:numPr>
        <w:rPr>
          <w:rFonts w:ascii="Arial" w:cs="Arial" w:eastAsia="Arial" w:hAnsi="Arial"/>
          <w:sz w:val="10"/>
          <w:szCs w:val="10"/>
          <w:color w:val="auto"/>
        </w:rPr>
      </w:pPr>
      <w:r>
        <w:rPr>
          <w:rFonts w:ascii="Arial" w:cs="Arial" w:eastAsia="Arial" w:hAnsi="Arial"/>
          <w:sz w:val="13"/>
          <w:szCs w:val="13"/>
          <w:color w:val="auto"/>
        </w:rPr>
        <w:t>Includes expenses related to share-based compensation.</w:t>
      </w:r>
    </w:p>
    <w:p>
      <w:pPr>
        <w:spacing w:after="0" w:line="8" w:lineRule="exact"/>
        <w:rPr>
          <w:sz w:val="20"/>
          <w:szCs w:val="20"/>
          <w:color w:val="auto"/>
        </w:rPr>
      </w:pPr>
    </w:p>
    <w:p>
      <w:pPr>
        <w:ind w:left="340" w:hanging="332"/>
        <w:spacing w:after="0"/>
        <w:tabs>
          <w:tab w:leader="none" w:pos="340" w:val="left"/>
        </w:tabs>
        <w:numPr>
          <w:ilvl w:val="0"/>
          <w:numId w:val="33"/>
        </w:numPr>
        <w:rPr>
          <w:rFonts w:ascii="Arial" w:cs="Arial" w:eastAsia="Arial" w:hAnsi="Arial"/>
          <w:sz w:val="10"/>
          <w:szCs w:val="10"/>
          <w:color w:val="auto"/>
        </w:rPr>
      </w:pPr>
      <w:r>
        <w:rPr>
          <w:rFonts w:ascii="Arial" w:cs="Arial" w:eastAsia="Arial" w:hAnsi="Arial"/>
          <w:sz w:val="13"/>
          <w:szCs w:val="13"/>
          <w:color w:val="auto"/>
        </w:rPr>
        <w:t>Reflects amortization of intangible assets from purchase price accounting.</w:t>
      </w:r>
    </w:p>
    <w:p>
      <w:pPr>
        <w:ind w:left="340" w:hanging="332"/>
        <w:spacing w:after="0"/>
        <w:tabs>
          <w:tab w:leader="none" w:pos="340" w:val="left"/>
        </w:tabs>
        <w:numPr>
          <w:ilvl w:val="0"/>
          <w:numId w:val="34"/>
        </w:numPr>
        <w:rPr>
          <w:rFonts w:ascii="Arial" w:cs="Arial" w:eastAsia="Arial" w:hAnsi="Arial"/>
          <w:sz w:val="10"/>
          <w:szCs w:val="10"/>
          <w:color w:val="auto"/>
        </w:rPr>
      </w:pPr>
      <w:r>
        <w:rPr>
          <w:rFonts w:ascii="Arial" w:cs="Arial" w:eastAsia="Arial" w:hAnsi="Arial"/>
          <w:sz w:val="13"/>
          <w:szCs w:val="13"/>
          <w:color w:val="auto"/>
        </w:rPr>
        <w:t>Reflects restructuring initiatives, primarily severance and other restructuring-related costs.</w:t>
      </w:r>
    </w:p>
    <w:p>
      <w:pPr>
        <w:ind w:left="340" w:hanging="332"/>
        <w:spacing w:after="0"/>
        <w:tabs>
          <w:tab w:leader="none" w:pos="340" w:val="left"/>
        </w:tabs>
        <w:numPr>
          <w:ilvl w:val="0"/>
          <w:numId w:val="35"/>
        </w:numPr>
        <w:rPr>
          <w:rFonts w:ascii="Arial" w:cs="Arial" w:eastAsia="Arial" w:hAnsi="Arial"/>
          <w:sz w:val="10"/>
          <w:szCs w:val="10"/>
          <w:color w:val="auto"/>
        </w:rPr>
      </w:pPr>
      <w:r>
        <w:rPr>
          <w:rFonts w:ascii="Arial" w:cs="Arial" w:eastAsia="Arial" w:hAnsi="Arial"/>
          <w:sz w:val="12"/>
          <w:szCs w:val="12"/>
          <w:color w:val="auto"/>
        </w:rPr>
        <w:t>Reflects the net effect from deferral of revenues and (recognition) of deferred revenues, along with related cost of revenues, on certain of our online enabled products, including the effects of taxes.</w:t>
      </w:r>
    </w:p>
    <w:p>
      <w:pPr>
        <w:spacing w:after="0" w:line="11" w:lineRule="exact"/>
        <w:rPr>
          <w:sz w:val="20"/>
          <w:szCs w:val="20"/>
          <w:color w:val="auto"/>
        </w:rPr>
      </w:pPr>
    </w:p>
    <w:p>
      <w:pPr>
        <w:ind w:left="340" w:hanging="332"/>
        <w:spacing w:after="0"/>
        <w:tabs>
          <w:tab w:leader="none" w:pos="340" w:val="left"/>
        </w:tabs>
        <w:numPr>
          <w:ilvl w:val="0"/>
          <w:numId w:val="36"/>
        </w:numPr>
        <w:rPr>
          <w:rFonts w:ascii="Arial" w:cs="Arial" w:eastAsia="Arial" w:hAnsi="Arial"/>
          <w:sz w:val="9"/>
          <w:szCs w:val="9"/>
          <w:color w:val="auto"/>
        </w:rPr>
      </w:pPr>
      <w:r>
        <w:rPr>
          <w:rFonts w:ascii="Arial" w:cs="Arial" w:eastAsia="Arial" w:hAnsi="Arial"/>
          <w:sz w:val="10"/>
          <w:szCs w:val="10"/>
          <w:color w:val="auto"/>
        </w:rPr>
        <w:t>Reflects the income tax impact associated with the above items. Tax impact on non-GAAP pre-tax income is calculated under the same accounting principles applied to the GAAP pre-tax income under ASC 740, which</w:t>
      </w:r>
    </w:p>
    <w:p>
      <w:pPr>
        <w:spacing w:after="0" w:line="6" w:lineRule="exact"/>
        <w:rPr>
          <w:sz w:val="20"/>
          <w:szCs w:val="20"/>
          <w:color w:val="auto"/>
        </w:rPr>
      </w:pPr>
    </w:p>
    <w:p>
      <w:pPr>
        <w:ind w:left="340"/>
        <w:spacing w:after="0"/>
        <w:rPr>
          <w:sz w:val="20"/>
          <w:szCs w:val="20"/>
          <w:color w:val="auto"/>
        </w:rPr>
      </w:pPr>
      <w:r>
        <w:rPr>
          <w:rFonts w:ascii="Arial" w:cs="Arial" w:eastAsia="Arial" w:hAnsi="Arial"/>
          <w:sz w:val="13"/>
          <w:szCs w:val="13"/>
          <w:color w:val="auto"/>
        </w:rPr>
        <w:t>employs an annual effective tax rate method to the results.</w:t>
      </w:r>
    </w:p>
    <w:p>
      <w:pPr>
        <w:ind w:left="340" w:hanging="332"/>
        <w:spacing w:after="0"/>
        <w:tabs>
          <w:tab w:leader="none" w:pos="340" w:val="left"/>
        </w:tabs>
        <w:numPr>
          <w:ilvl w:val="0"/>
          <w:numId w:val="37"/>
        </w:numPr>
        <w:rPr>
          <w:rFonts w:ascii="Arial" w:cs="Arial" w:eastAsia="Arial" w:hAnsi="Arial"/>
          <w:sz w:val="9"/>
          <w:szCs w:val="9"/>
          <w:color w:val="auto"/>
        </w:rPr>
      </w:pPr>
      <w:r>
        <w:rPr>
          <w:rFonts w:ascii="Arial" w:cs="Arial" w:eastAsia="Arial" w:hAnsi="Arial"/>
          <w:sz w:val="10"/>
          <w:szCs w:val="10"/>
          <w:color w:val="auto"/>
        </w:rPr>
        <w:t>Reflects the impact of significant discrete tax-related items, including amounts related to changes in tax laws, amounts related to the potential or final resolution of tax positions, and/or other unusual or unique tax-related</w:t>
      </w:r>
    </w:p>
    <w:p>
      <w:pPr>
        <w:spacing w:after="0" w:line="6" w:lineRule="exact"/>
        <w:rPr>
          <w:sz w:val="20"/>
          <w:szCs w:val="20"/>
          <w:color w:val="auto"/>
        </w:rPr>
      </w:pPr>
    </w:p>
    <w:p>
      <w:pPr>
        <w:ind w:left="340"/>
        <w:spacing w:after="0"/>
        <w:rPr>
          <w:sz w:val="20"/>
          <w:szCs w:val="20"/>
          <w:color w:val="auto"/>
        </w:rPr>
      </w:pPr>
      <w:r>
        <w:rPr>
          <w:rFonts w:ascii="Arial" w:cs="Arial" w:eastAsia="Arial" w:hAnsi="Arial"/>
          <w:sz w:val="13"/>
          <w:szCs w:val="13"/>
          <w:color w:val="auto"/>
        </w:rPr>
        <w:t>items and activities. Activision Blizzard provided additional information in our Form 10-K for the year ended December 31, 2018.</w:t>
      </w:r>
    </w:p>
    <w:p>
      <w:pPr>
        <w:ind w:left="340" w:right="420" w:hanging="332"/>
        <w:spacing w:after="0" w:line="229" w:lineRule="auto"/>
        <w:tabs>
          <w:tab w:leader="none" w:pos="340" w:val="left"/>
        </w:tabs>
        <w:numPr>
          <w:ilvl w:val="0"/>
          <w:numId w:val="38"/>
        </w:numPr>
        <w:rPr>
          <w:rFonts w:ascii="Arial" w:cs="Arial" w:eastAsia="Arial" w:hAnsi="Arial"/>
          <w:sz w:val="10"/>
          <w:szCs w:val="10"/>
          <w:color w:val="auto"/>
        </w:rPr>
      </w:pPr>
      <w:r>
        <w:rPr>
          <w:rFonts w:ascii="Arial" w:cs="Arial" w:eastAsia="Arial" w:hAnsi="Arial"/>
          <w:sz w:val="13"/>
          <w:szCs w:val="13"/>
          <w:color w:val="auto"/>
        </w:rPr>
        <w:t>GAAP Net Income, GAAP EPS, and Discrete tax-related items, as presented above, have been revised to reflect the reduction in income tax expense for Q4 2018 that was identified during Q1 2019, as previously discussed.</w:t>
      </w:r>
    </w:p>
    <w:p>
      <w:pPr>
        <w:spacing w:after="0" w:line="110" w:lineRule="exact"/>
        <w:rPr>
          <w:sz w:val="20"/>
          <w:szCs w:val="20"/>
          <w:color w:val="auto"/>
        </w:rPr>
      </w:pPr>
    </w:p>
    <w:p>
      <w:pPr>
        <w:spacing w:after="0"/>
        <w:rPr>
          <w:sz w:val="20"/>
          <w:szCs w:val="20"/>
          <w:color w:val="auto"/>
        </w:rPr>
      </w:pPr>
      <w:r>
        <w:rPr>
          <w:rFonts w:ascii="Arial" w:cs="Arial" w:eastAsia="Arial" w:hAnsi="Arial"/>
          <w:sz w:val="13"/>
          <w:szCs w:val="13"/>
          <w:color w:val="auto"/>
        </w:rPr>
        <w:t>The GAAP and non-GAAP earnings per share information is presented as calculated. The sum of these measures, as presented, may differ due to the impact of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6" w:name="page17"/>
    <w:bookmarkEnd w:id="16"/>
    <w:p>
      <w:pPr>
        <w:jc w:val="right"/>
        <w:spacing w:after="0"/>
        <w:rPr>
          <w:sz w:val="20"/>
          <w:szCs w:val="20"/>
          <w:color w:val="auto"/>
        </w:rPr>
      </w:pPr>
      <w:r>
        <w:rPr>
          <w:rFonts w:ascii="Arial" w:cs="Arial" w:eastAsia="Arial" w:hAnsi="Arial"/>
          <w:sz w:val="18"/>
          <w:szCs w:val="18"/>
          <w:b w:val="1"/>
          <w:bCs w:val="1"/>
          <w:color w:val="auto"/>
        </w:rPr>
        <w:t>8</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ACTIVISION BLIZZARD, INC. AND SUBSIDIARIES</w:t>
      </w:r>
    </w:p>
    <w:p>
      <w:pPr>
        <w:spacing w:after="0" w:line="27" w:lineRule="exact"/>
        <w:rPr>
          <w:sz w:val="20"/>
          <w:szCs w:val="20"/>
          <w:color w:val="auto"/>
        </w:rPr>
      </w:pPr>
    </w:p>
    <w:p>
      <w:pPr>
        <w:ind w:right="5360"/>
        <w:spacing w:after="0" w:line="261" w:lineRule="auto"/>
        <w:rPr>
          <w:sz w:val="20"/>
          <w:szCs w:val="20"/>
          <w:color w:val="auto"/>
        </w:rPr>
      </w:pPr>
      <w:r>
        <w:rPr>
          <w:rFonts w:ascii="Arial" w:cs="Arial" w:eastAsia="Arial" w:hAnsi="Arial"/>
          <w:sz w:val="18"/>
          <w:szCs w:val="18"/>
          <w:b w:val="1"/>
          <w:bCs w:val="1"/>
          <w:color w:val="auto"/>
        </w:rPr>
        <w:t>RECONCILIATION OF GAAP NET INCOME TO NON-GAAP MEASURES (Amounts in millions, except per share data)</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jc w:val="center"/>
              <w:spacing w:after="0"/>
              <w:rPr>
                <w:sz w:val="20"/>
                <w:szCs w:val="20"/>
                <w:color w:val="auto"/>
              </w:rPr>
            </w:pPr>
            <w:r>
              <w:rPr>
                <w:rFonts w:ascii="Arial" w:cs="Arial" w:eastAsia="Arial" w:hAnsi="Arial"/>
                <w:sz w:val="13"/>
                <w:szCs w:val="13"/>
                <w:b w:val="1"/>
                <w:bCs w:val="1"/>
                <w:color w:val="auto"/>
                <w:w w:val="84"/>
              </w:rPr>
              <w:t>Cost of</w:t>
            </w:r>
          </w:p>
        </w:tc>
        <w:tc>
          <w:tcPr>
            <w:tcW w:w="100" w:type="dxa"/>
            <w:vAlign w:val="bottom"/>
          </w:tcPr>
          <w:p>
            <w:pPr>
              <w:spacing w:after="0"/>
              <w:rPr>
                <w:sz w:val="13"/>
                <w:szCs w:val="13"/>
                <w:color w:val="auto"/>
              </w:rPr>
            </w:pPr>
          </w:p>
        </w:tc>
        <w:tc>
          <w:tcPr>
            <w:tcW w:w="1000" w:type="dxa"/>
            <w:vAlign w:val="bottom"/>
          </w:tcPr>
          <w:p>
            <w:pPr>
              <w:jc w:val="center"/>
              <w:spacing w:after="0"/>
              <w:rPr>
                <w:sz w:val="20"/>
                <w:szCs w:val="20"/>
                <w:color w:val="auto"/>
              </w:rPr>
            </w:pPr>
            <w:r>
              <w:rPr>
                <w:rFonts w:ascii="Arial" w:cs="Arial" w:eastAsia="Arial" w:hAnsi="Arial"/>
                <w:sz w:val="13"/>
                <w:szCs w:val="13"/>
                <w:b w:val="1"/>
                <w:bCs w:val="1"/>
                <w:color w:val="auto"/>
                <w:w w:val="84"/>
              </w:rPr>
              <w:t>Cost of</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jc w:val="center"/>
              <w:ind w:right="17"/>
              <w:spacing w:after="0"/>
              <w:rPr>
                <w:sz w:val="20"/>
                <w:szCs w:val="20"/>
                <w:color w:val="auto"/>
              </w:rPr>
            </w:pPr>
            <w:r>
              <w:rPr>
                <w:rFonts w:ascii="Arial" w:cs="Arial" w:eastAsia="Arial" w:hAnsi="Arial"/>
                <w:sz w:val="13"/>
                <w:szCs w:val="13"/>
                <w:b w:val="1"/>
                <w:bCs w:val="1"/>
                <w:color w:val="auto"/>
                <w:w w:val="84"/>
              </w:rPr>
              <w:t>Cost of</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5"/>
              </w:rPr>
              <w:t>Revenues—</w:t>
            </w:r>
          </w:p>
        </w:tc>
        <w:tc>
          <w:tcPr>
            <w:tcW w:w="100" w:type="dxa"/>
            <w:vAlign w:val="bottom"/>
          </w:tcPr>
          <w:p>
            <w:pPr>
              <w:spacing w:after="0"/>
              <w:rPr>
                <w:sz w:val="11"/>
                <w:szCs w:val="11"/>
                <w:color w:val="auto"/>
              </w:rPr>
            </w:pPr>
          </w:p>
        </w:tc>
        <w:tc>
          <w:tcPr>
            <w:tcW w:w="10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5"/>
              </w:rPr>
              <w:t>Revenues—</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5"/>
              </w:rPr>
              <w:t>Revenues—</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jc w:val="center"/>
              <w:ind w:right="17"/>
              <w:spacing w:after="0" w:line="135" w:lineRule="exact"/>
              <w:rPr>
                <w:sz w:val="20"/>
                <w:szCs w:val="20"/>
                <w:color w:val="auto"/>
              </w:rPr>
            </w:pPr>
            <w:r>
              <w:rPr>
                <w:rFonts w:ascii="Arial" w:cs="Arial" w:eastAsia="Arial" w:hAnsi="Arial"/>
                <w:sz w:val="13"/>
                <w:szCs w:val="13"/>
                <w:b w:val="1"/>
                <w:bCs w:val="1"/>
                <w:color w:val="auto"/>
                <w:w w:val="84"/>
              </w:rPr>
              <w:t>Cost of</w:t>
            </w:r>
          </w:p>
        </w:tc>
        <w:tc>
          <w:tcPr>
            <w:tcW w:w="120" w:type="dxa"/>
            <w:vAlign w:val="bottom"/>
          </w:tcPr>
          <w:p>
            <w:pPr>
              <w:spacing w:after="0"/>
              <w:rPr>
                <w:sz w:val="11"/>
                <w:szCs w:val="11"/>
                <w:color w:val="auto"/>
              </w:rPr>
            </w:pPr>
          </w:p>
        </w:tc>
        <w:tc>
          <w:tcPr>
            <w:tcW w:w="9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5"/>
              </w:rPr>
              <w:t>Product Sales:</w:t>
            </w:r>
          </w:p>
        </w:tc>
        <w:tc>
          <w:tcPr>
            <w:tcW w:w="100" w:type="dxa"/>
            <w:vAlign w:val="bottom"/>
          </w:tcPr>
          <w:p>
            <w:pPr>
              <w:spacing w:after="0"/>
              <w:rPr>
                <w:sz w:val="11"/>
                <w:szCs w:val="11"/>
                <w:color w:val="auto"/>
              </w:rPr>
            </w:pPr>
          </w:p>
        </w:tc>
        <w:tc>
          <w:tcPr>
            <w:tcW w:w="10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Subs/Lic/Other:</w:t>
            </w:r>
          </w:p>
        </w:tc>
        <w:tc>
          <w:tcPr>
            <w:tcW w:w="20" w:type="dxa"/>
            <w:vAlign w:val="bottom"/>
          </w:tcPr>
          <w:p>
            <w:pPr>
              <w:spacing w:after="0"/>
              <w:rPr>
                <w:sz w:val="11"/>
                <w:szCs w:val="11"/>
                <w:color w:val="auto"/>
              </w:rPr>
            </w:pPr>
          </w:p>
        </w:tc>
        <w:tc>
          <w:tcPr>
            <w:tcW w:w="90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0"/>
              </w:rPr>
              <w:t>Subs/Lic/Other: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5"/>
              </w:rPr>
              <w:t>Revenues—</w:t>
            </w:r>
          </w:p>
        </w:tc>
        <w:tc>
          <w:tcPr>
            <w:tcW w:w="120" w:type="dxa"/>
            <w:vAlign w:val="bottom"/>
          </w:tcPr>
          <w:p>
            <w:pPr>
              <w:spacing w:after="0"/>
              <w:rPr>
                <w:sz w:val="11"/>
                <w:szCs w:val="11"/>
                <w:color w:val="auto"/>
              </w:rPr>
            </w:pPr>
          </w:p>
        </w:tc>
        <w:tc>
          <w:tcPr>
            <w:tcW w:w="9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Software</w:t>
            </w:r>
          </w:p>
        </w:tc>
        <w:tc>
          <w:tcPr>
            <w:tcW w:w="100" w:type="dxa"/>
            <w:vAlign w:val="bottom"/>
          </w:tcPr>
          <w:p>
            <w:pPr>
              <w:spacing w:after="0"/>
              <w:rPr>
                <w:sz w:val="11"/>
                <w:szCs w:val="11"/>
                <w:color w:val="auto"/>
              </w:rPr>
            </w:pPr>
          </w:p>
        </w:tc>
        <w:tc>
          <w:tcPr>
            <w:tcW w:w="10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8"/>
              </w:rPr>
              <w:t>Game</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Software</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89"/>
              </w:rPr>
              <w:t>Restructuring</w:t>
            </w: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jc w:val="center"/>
              <w:ind w:right="17"/>
              <w:spacing w:after="0" w:line="135" w:lineRule="exact"/>
              <w:rPr>
                <w:sz w:val="20"/>
                <w:szCs w:val="20"/>
                <w:color w:val="auto"/>
              </w:rPr>
            </w:pPr>
            <w:r>
              <w:rPr>
                <w:rFonts w:ascii="Arial" w:cs="Arial" w:eastAsia="Arial" w:hAnsi="Arial"/>
                <w:sz w:val="13"/>
                <w:szCs w:val="13"/>
                <w:b w:val="1"/>
                <w:bCs w:val="1"/>
                <w:color w:val="auto"/>
                <w:w w:val="85"/>
              </w:rPr>
              <w:t>Product Sales:</w:t>
            </w:r>
          </w:p>
        </w:tc>
        <w:tc>
          <w:tcPr>
            <w:tcW w:w="120" w:type="dxa"/>
            <w:vAlign w:val="bottom"/>
          </w:tcPr>
          <w:p>
            <w:pPr>
              <w:spacing w:after="0"/>
              <w:rPr>
                <w:sz w:val="11"/>
                <w:szCs w:val="11"/>
                <w:color w:val="auto"/>
              </w:rPr>
            </w:pPr>
          </w:p>
        </w:tc>
        <w:tc>
          <w:tcPr>
            <w:tcW w:w="9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Royalties and</w:t>
            </w:r>
          </w:p>
        </w:tc>
        <w:tc>
          <w:tcPr>
            <w:tcW w:w="100" w:type="dxa"/>
            <w:vAlign w:val="bottom"/>
          </w:tcPr>
          <w:p>
            <w:pPr>
              <w:spacing w:after="0"/>
              <w:rPr>
                <w:sz w:val="11"/>
                <w:szCs w:val="11"/>
                <w:color w:val="auto"/>
              </w:rPr>
            </w:pPr>
          </w:p>
        </w:tc>
        <w:tc>
          <w:tcPr>
            <w:tcW w:w="10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8"/>
              </w:rPr>
              <w:t>Operations and</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5"/>
              </w:rPr>
              <w:t>Royalties and</w:t>
            </w:r>
          </w:p>
        </w:tc>
        <w:tc>
          <w:tcPr>
            <w:tcW w:w="120" w:type="dxa"/>
            <w:vAlign w:val="bottom"/>
          </w:tcPr>
          <w:p>
            <w:pPr>
              <w:spacing w:after="0"/>
              <w:rPr>
                <w:sz w:val="11"/>
                <w:szCs w:val="11"/>
                <w:color w:val="auto"/>
              </w:rPr>
            </w:pPr>
          </w:p>
        </w:tc>
        <w:tc>
          <w:tcPr>
            <w:tcW w:w="600" w:type="dxa"/>
            <w:vAlign w:val="bottom"/>
          </w:tcPr>
          <w:p>
            <w:pPr>
              <w:jc w:val="right"/>
              <w:ind w:right="57"/>
              <w:spacing w:after="0" w:line="135" w:lineRule="exact"/>
              <w:rPr>
                <w:sz w:val="20"/>
                <w:szCs w:val="20"/>
                <w:color w:val="auto"/>
              </w:rPr>
            </w:pPr>
            <w:r>
              <w:rPr>
                <w:rFonts w:ascii="Arial" w:cs="Arial" w:eastAsia="Arial" w:hAnsi="Arial"/>
                <w:sz w:val="13"/>
                <w:szCs w:val="13"/>
                <w:b w:val="1"/>
                <w:bCs w:val="1"/>
                <w:color w:val="auto"/>
                <w:w w:val="93"/>
              </w:rPr>
              <w:t>Product</w:t>
            </w:r>
          </w:p>
        </w:tc>
        <w:tc>
          <w:tcPr>
            <w:tcW w:w="620" w:type="dxa"/>
            <w:vAlign w:val="bottom"/>
            <w:gridSpan w:val="2"/>
          </w:tcPr>
          <w:p>
            <w:pPr>
              <w:jc w:val="right"/>
              <w:spacing w:after="0" w:line="135" w:lineRule="exact"/>
              <w:rPr>
                <w:sz w:val="20"/>
                <w:szCs w:val="20"/>
                <w:color w:val="auto"/>
              </w:rPr>
            </w:pPr>
            <w:r>
              <w:rPr>
                <w:rFonts w:ascii="Arial" w:cs="Arial" w:eastAsia="Arial" w:hAnsi="Arial"/>
                <w:sz w:val="13"/>
                <w:szCs w:val="13"/>
                <w:b w:val="1"/>
                <w:bCs w:val="1"/>
                <w:color w:val="auto"/>
                <w:w w:val="95"/>
              </w:rPr>
              <w:t>Sales and</w:t>
            </w:r>
          </w:p>
        </w:tc>
        <w:tc>
          <w:tcPr>
            <w:tcW w:w="120" w:type="dxa"/>
            <w:vAlign w:val="bottom"/>
          </w:tcPr>
          <w:p>
            <w:pPr>
              <w:spacing w:after="0"/>
              <w:rPr>
                <w:sz w:val="11"/>
                <w:szCs w:val="11"/>
                <w:color w:val="auto"/>
              </w:rPr>
            </w:pPr>
          </w:p>
        </w:tc>
        <w:tc>
          <w:tcPr>
            <w:tcW w:w="760" w:type="dxa"/>
            <w:vAlign w:val="bottom"/>
          </w:tcPr>
          <w:p>
            <w:pPr>
              <w:jc w:val="right"/>
              <w:ind w:right="17"/>
              <w:spacing w:after="0" w:line="135" w:lineRule="exact"/>
              <w:rPr>
                <w:sz w:val="20"/>
                <w:szCs w:val="20"/>
                <w:color w:val="auto"/>
              </w:rPr>
            </w:pPr>
            <w:r>
              <w:rPr>
                <w:rFonts w:ascii="Arial" w:cs="Arial" w:eastAsia="Arial" w:hAnsi="Arial"/>
                <w:sz w:val="13"/>
                <w:szCs w:val="13"/>
                <w:b w:val="1"/>
                <w:bCs w:val="1"/>
                <w:color w:val="auto"/>
                <w:w w:val="87"/>
              </w:rPr>
              <w:t>General and</w:t>
            </w:r>
          </w:p>
        </w:tc>
        <w:tc>
          <w:tcPr>
            <w:tcW w:w="80" w:type="dxa"/>
            <w:vAlign w:val="bottom"/>
          </w:tcPr>
          <w:p>
            <w:pPr>
              <w:spacing w:after="0"/>
              <w:rPr>
                <w:sz w:val="11"/>
                <w:szCs w:val="11"/>
                <w:color w:val="auto"/>
              </w:rPr>
            </w:pPr>
          </w:p>
        </w:tc>
        <w:tc>
          <w:tcPr>
            <w:tcW w:w="720" w:type="dxa"/>
            <w:vAlign w:val="bottom"/>
          </w:tcPr>
          <w:p>
            <w:pPr>
              <w:jc w:val="center"/>
              <w:ind w:right="17"/>
              <w:spacing w:after="0" w:line="135" w:lineRule="exact"/>
              <w:rPr>
                <w:sz w:val="20"/>
                <w:szCs w:val="20"/>
                <w:color w:val="auto"/>
              </w:rPr>
            </w:pPr>
            <w:r>
              <w:rPr>
                <w:rFonts w:ascii="Arial" w:cs="Arial" w:eastAsia="Arial" w:hAnsi="Arial"/>
                <w:sz w:val="13"/>
                <w:szCs w:val="13"/>
                <w:b w:val="1"/>
                <w:bCs w:val="1"/>
                <w:color w:val="auto"/>
                <w:w w:val="86"/>
              </w:rPr>
              <w:t>and related</w:t>
            </w:r>
          </w:p>
        </w:tc>
        <w:tc>
          <w:tcPr>
            <w:tcW w:w="880" w:type="dxa"/>
            <w:vAlign w:val="bottom"/>
            <w:gridSpan w:val="2"/>
          </w:tcPr>
          <w:p>
            <w:pPr>
              <w:jc w:val="right"/>
              <w:spacing w:after="0" w:line="135" w:lineRule="exact"/>
              <w:rPr>
                <w:sz w:val="20"/>
                <w:szCs w:val="20"/>
                <w:color w:val="auto"/>
              </w:rPr>
            </w:pPr>
            <w:r>
              <w:rPr>
                <w:rFonts w:ascii="Arial" w:cs="Arial" w:eastAsia="Arial" w:hAnsi="Arial"/>
                <w:sz w:val="13"/>
                <w:szCs w:val="13"/>
                <w:b w:val="1"/>
                <w:bCs w:val="1"/>
                <w:color w:val="auto"/>
                <w:w w:val="86"/>
              </w:rPr>
              <w:t>Total Costs and</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52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Year Ended December 31, 2018</w:t>
            </w:r>
          </w:p>
        </w:tc>
        <w:tc>
          <w:tcPr>
            <w:tcW w:w="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Net Revenues</w:t>
            </w:r>
          </w:p>
        </w:tc>
        <w:tc>
          <w:tcPr>
            <w:tcW w:w="1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Product Costs</w:t>
            </w:r>
          </w:p>
        </w:tc>
        <w:tc>
          <w:tcPr>
            <w:tcW w:w="1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Amortization</w:t>
            </w:r>
          </w:p>
        </w:tc>
        <w:tc>
          <w:tcPr>
            <w:tcW w:w="110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88"/>
              </w:rPr>
              <w:t>Distribution Costs</w:t>
            </w: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Amortization</w:t>
            </w:r>
          </w:p>
        </w:tc>
        <w:tc>
          <w:tcPr>
            <w:tcW w:w="2220" w:type="dxa"/>
            <w:vAlign w:val="bottom"/>
            <w:tcBorders>
              <w:bottom w:val="single" w:sz="8" w:color="auto"/>
            </w:tcBorders>
            <w:gridSpan w:val="6"/>
          </w:tcPr>
          <w:p>
            <w:pPr>
              <w:jc w:val="right"/>
              <w:spacing w:after="0"/>
              <w:rPr>
                <w:sz w:val="20"/>
                <w:szCs w:val="20"/>
                <w:color w:val="auto"/>
              </w:rPr>
            </w:pPr>
            <w:r>
              <w:rPr>
                <w:rFonts w:ascii="Arial" w:cs="Arial" w:eastAsia="Arial" w:hAnsi="Arial"/>
                <w:sz w:val="13"/>
                <w:szCs w:val="13"/>
                <w:b w:val="1"/>
                <w:bCs w:val="1"/>
                <w:color w:val="auto"/>
                <w:w w:val="90"/>
              </w:rPr>
              <w:t>Development Marketing Administrative</w:t>
            </w:r>
          </w:p>
        </w:tc>
        <w:tc>
          <w:tcPr>
            <w:tcW w:w="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76"/>
              </w:rPr>
              <w:t>costs</w:t>
            </w:r>
          </w:p>
        </w:tc>
        <w:tc>
          <w:tcPr>
            <w:tcW w:w="1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w w:val="88"/>
              </w:rPr>
              <w:t>Expenses</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520" w:type="dxa"/>
            <w:vAlign w:val="bottom"/>
          </w:tcPr>
          <w:p>
            <w:pPr>
              <w:spacing w:after="0" w:line="122" w:lineRule="exact"/>
              <w:rPr>
                <w:sz w:val="20"/>
                <w:szCs w:val="20"/>
                <w:color w:val="auto"/>
              </w:rPr>
            </w:pPr>
            <w:r>
              <w:rPr>
                <w:rFonts w:ascii="Arial" w:cs="Arial" w:eastAsia="Arial" w:hAnsi="Arial"/>
                <w:sz w:val="13"/>
                <w:szCs w:val="13"/>
                <w:color w:val="auto"/>
              </w:rPr>
              <w:t>GAAP Measurement</w:t>
            </w: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800" w:type="dxa"/>
            <w:vAlign w:val="bottom"/>
          </w:tcPr>
          <w:p>
            <w:pPr>
              <w:jc w:val="right"/>
              <w:ind w:right="17"/>
              <w:spacing w:after="0" w:line="122" w:lineRule="exact"/>
              <w:rPr>
                <w:sz w:val="20"/>
                <w:szCs w:val="20"/>
                <w:color w:val="auto"/>
              </w:rPr>
            </w:pPr>
            <w:r>
              <w:rPr>
                <w:rFonts w:ascii="Arial" w:cs="Arial" w:eastAsia="Arial" w:hAnsi="Arial"/>
                <w:sz w:val="13"/>
                <w:szCs w:val="13"/>
                <w:color w:val="auto"/>
              </w:rPr>
              <w:t>7,500</w:t>
            </w:r>
          </w:p>
        </w:tc>
        <w:tc>
          <w:tcPr>
            <w:tcW w:w="140" w:type="dxa"/>
            <w:vAlign w:val="bottom"/>
          </w:tcPr>
          <w:p>
            <w:pPr>
              <w:jc w:val="right"/>
              <w:spacing w:after="0" w:line="122" w:lineRule="exact"/>
              <w:rPr>
                <w:sz w:val="20"/>
                <w:szCs w:val="20"/>
                <w:color w:val="auto"/>
              </w:rPr>
            </w:pPr>
            <w:r>
              <w:rPr>
                <w:rFonts w:ascii="Arial" w:cs="Arial" w:eastAsia="Arial" w:hAnsi="Arial"/>
                <w:sz w:val="13"/>
                <w:szCs w:val="13"/>
                <w:color w:val="auto"/>
              </w:rPr>
              <w:t>$</w:t>
            </w:r>
          </w:p>
        </w:tc>
        <w:tc>
          <w:tcPr>
            <w:tcW w:w="900" w:type="dxa"/>
            <w:vAlign w:val="bottom"/>
          </w:tcPr>
          <w:p>
            <w:pPr>
              <w:jc w:val="right"/>
              <w:ind w:right="17"/>
              <w:spacing w:after="0" w:line="122" w:lineRule="exact"/>
              <w:rPr>
                <w:sz w:val="20"/>
                <w:szCs w:val="20"/>
                <w:color w:val="auto"/>
              </w:rPr>
            </w:pPr>
            <w:r>
              <w:rPr>
                <w:rFonts w:ascii="Arial" w:cs="Arial" w:eastAsia="Arial" w:hAnsi="Arial"/>
                <w:sz w:val="13"/>
                <w:szCs w:val="13"/>
                <w:color w:val="auto"/>
              </w:rPr>
              <w:t>719</w:t>
            </w:r>
          </w:p>
        </w:tc>
        <w:tc>
          <w:tcPr>
            <w:tcW w:w="120" w:type="dxa"/>
            <w:vAlign w:val="bottom"/>
          </w:tcPr>
          <w:p>
            <w:pPr>
              <w:jc w:val="right"/>
              <w:spacing w:after="0" w:line="122" w:lineRule="exact"/>
              <w:rPr>
                <w:sz w:val="20"/>
                <w:szCs w:val="20"/>
                <w:color w:val="auto"/>
              </w:rPr>
            </w:pPr>
            <w:r>
              <w:rPr>
                <w:rFonts w:ascii="Arial" w:cs="Arial" w:eastAsia="Arial" w:hAnsi="Arial"/>
                <w:sz w:val="13"/>
                <w:szCs w:val="13"/>
                <w:color w:val="auto"/>
              </w:rPr>
              <w:t>$</w:t>
            </w:r>
          </w:p>
        </w:tc>
        <w:tc>
          <w:tcPr>
            <w:tcW w:w="940" w:type="dxa"/>
            <w:vAlign w:val="bottom"/>
          </w:tcPr>
          <w:p>
            <w:pPr>
              <w:jc w:val="right"/>
              <w:ind w:right="17"/>
              <w:spacing w:after="0" w:line="122" w:lineRule="exact"/>
              <w:rPr>
                <w:sz w:val="20"/>
                <w:szCs w:val="20"/>
                <w:color w:val="auto"/>
              </w:rPr>
            </w:pPr>
            <w:r>
              <w:rPr>
                <w:rFonts w:ascii="Arial" w:cs="Arial" w:eastAsia="Arial" w:hAnsi="Arial"/>
                <w:sz w:val="13"/>
                <w:szCs w:val="13"/>
                <w:color w:val="auto"/>
              </w:rPr>
              <w:t>371</w:t>
            </w:r>
          </w:p>
        </w:tc>
        <w:tc>
          <w:tcPr>
            <w:tcW w:w="100" w:type="dxa"/>
            <w:vAlign w:val="bottom"/>
          </w:tcPr>
          <w:p>
            <w:pPr>
              <w:jc w:val="right"/>
              <w:spacing w:after="0" w:line="122" w:lineRule="exact"/>
              <w:rPr>
                <w:sz w:val="20"/>
                <w:szCs w:val="20"/>
                <w:color w:val="auto"/>
              </w:rPr>
            </w:pPr>
            <w:r>
              <w:rPr>
                <w:rFonts w:ascii="Arial" w:cs="Arial" w:eastAsia="Arial" w:hAnsi="Arial"/>
                <w:sz w:val="13"/>
                <w:szCs w:val="13"/>
                <w:color w:val="auto"/>
              </w:rPr>
              <w:t>$</w:t>
            </w:r>
          </w:p>
        </w:tc>
        <w:tc>
          <w:tcPr>
            <w:tcW w:w="1000" w:type="dxa"/>
            <w:vAlign w:val="bottom"/>
          </w:tcPr>
          <w:p>
            <w:pPr>
              <w:jc w:val="right"/>
              <w:ind w:right="57"/>
              <w:spacing w:after="0" w:line="122" w:lineRule="exact"/>
              <w:rPr>
                <w:sz w:val="20"/>
                <w:szCs w:val="20"/>
                <w:color w:val="auto"/>
              </w:rPr>
            </w:pPr>
            <w:r>
              <w:rPr>
                <w:rFonts w:ascii="Arial" w:cs="Arial" w:eastAsia="Arial" w:hAnsi="Arial"/>
                <w:sz w:val="13"/>
                <w:szCs w:val="13"/>
                <w:color w:val="auto"/>
              </w:rPr>
              <w:t>1,028</w:t>
            </w:r>
          </w:p>
        </w:tc>
        <w:tc>
          <w:tcPr>
            <w:tcW w:w="100" w:type="dxa"/>
            <w:vAlign w:val="bottom"/>
            <w:gridSpan w:val="2"/>
          </w:tcPr>
          <w:p>
            <w:pPr>
              <w:jc w:val="right"/>
              <w:spacing w:after="0" w:line="122" w:lineRule="exact"/>
              <w:rPr>
                <w:sz w:val="20"/>
                <w:szCs w:val="20"/>
                <w:color w:val="auto"/>
              </w:rPr>
            </w:pPr>
            <w:r>
              <w:rPr>
                <w:rFonts w:ascii="Arial" w:cs="Arial" w:eastAsia="Arial" w:hAnsi="Arial"/>
                <w:sz w:val="13"/>
                <w:szCs w:val="13"/>
                <w:color w:val="auto"/>
                <w:w w:val="82"/>
              </w:rPr>
              <w:t>$</w:t>
            </w:r>
          </w:p>
        </w:tc>
        <w:tc>
          <w:tcPr>
            <w:tcW w:w="820" w:type="dxa"/>
            <w:vAlign w:val="bottom"/>
          </w:tcPr>
          <w:p>
            <w:pPr>
              <w:jc w:val="right"/>
              <w:ind w:right="97"/>
              <w:spacing w:after="0" w:line="122" w:lineRule="exact"/>
              <w:rPr>
                <w:sz w:val="20"/>
                <w:szCs w:val="20"/>
                <w:color w:val="auto"/>
              </w:rPr>
            </w:pPr>
            <w:r>
              <w:rPr>
                <w:rFonts w:ascii="Arial" w:cs="Arial" w:eastAsia="Arial" w:hAnsi="Arial"/>
                <w:sz w:val="13"/>
                <w:szCs w:val="13"/>
                <w:color w:val="auto"/>
              </w:rPr>
              <w:t>399</w:t>
            </w:r>
          </w:p>
        </w:tc>
        <w:tc>
          <w:tcPr>
            <w:tcW w:w="120" w:type="dxa"/>
            <w:vAlign w:val="bottom"/>
          </w:tcPr>
          <w:p>
            <w:pPr>
              <w:jc w:val="right"/>
              <w:spacing w:after="0" w:line="122" w:lineRule="exact"/>
              <w:rPr>
                <w:sz w:val="20"/>
                <w:szCs w:val="20"/>
                <w:color w:val="auto"/>
              </w:rPr>
            </w:pPr>
            <w:r>
              <w:rPr>
                <w:rFonts w:ascii="Arial" w:cs="Arial" w:eastAsia="Arial" w:hAnsi="Arial"/>
                <w:sz w:val="13"/>
                <w:szCs w:val="13"/>
                <w:color w:val="auto"/>
                <w:w w:val="82"/>
              </w:rPr>
              <w:t>$</w:t>
            </w:r>
          </w:p>
        </w:tc>
        <w:tc>
          <w:tcPr>
            <w:tcW w:w="600" w:type="dxa"/>
            <w:vAlign w:val="bottom"/>
          </w:tcPr>
          <w:p>
            <w:pPr>
              <w:jc w:val="right"/>
              <w:ind w:right="17"/>
              <w:spacing w:after="0" w:line="122" w:lineRule="exact"/>
              <w:rPr>
                <w:sz w:val="20"/>
                <w:szCs w:val="20"/>
                <w:color w:val="auto"/>
              </w:rPr>
            </w:pPr>
            <w:r>
              <w:rPr>
                <w:rFonts w:ascii="Arial" w:cs="Arial" w:eastAsia="Arial" w:hAnsi="Arial"/>
                <w:sz w:val="13"/>
                <w:szCs w:val="13"/>
                <w:color w:val="auto"/>
              </w:rPr>
              <w:t>1,101</w:t>
            </w:r>
          </w:p>
        </w:tc>
        <w:tc>
          <w:tcPr>
            <w:tcW w:w="180" w:type="dxa"/>
            <w:vAlign w:val="bottom"/>
          </w:tcPr>
          <w:p>
            <w:pPr>
              <w:jc w:val="right"/>
              <w:ind w:right="17"/>
              <w:spacing w:after="0" w:line="122" w:lineRule="exact"/>
              <w:rPr>
                <w:sz w:val="20"/>
                <w:szCs w:val="20"/>
                <w:color w:val="auto"/>
              </w:rPr>
            </w:pPr>
            <w:r>
              <w:rPr>
                <w:rFonts w:ascii="Arial" w:cs="Arial" w:eastAsia="Arial" w:hAnsi="Arial"/>
                <w:sz w:val="13"/>
                <w:szCs w:val="13"/>
                <w:color w:val="auto"/>
              </w:rPr>
              <w:t>$</w:t>
            </w:r>
          </w:p>
        </w:tc>
        <w:tc>
          <w:tcPr>
            <w:tcW w:w="440" w:type="dxa"/>
            <w:vAlign w:val="bottom"/>
          </w:tcPr>
          <w:p>
            <w:pPr>
              <w:jc w:val="right"/>
              <w:spacing w:after="0" w:line="122" w:lineRule="exact"/>
              <w:rPr>
                <w:sz w:val="20"/>
                <w:szCs w:val="20"/>
                <w:color w:val="auto"/>
              </w:rPr>
            </w:pPr>
            <w:r>
              <w:rPr>
                <w:rFonts w:ascii="Arial" w:cs="Arial" w:eastAsia="Arial" w:hAnsi="Arial"/>
                <w:sz w:val="13"/>
                <w:szCs w:val="13"/>
                <w:color w:val="auto"/>
              </w:rPr>
              <w:t>1,062</w:t>
            </w:r>
          </w:p>
        </w:tc>
        <w:tc>
          <w:tcPr>
            <w:tcW w:w="120" w:type="dxa"/>
            <w:vAlign w:val="bottom"/>
          </w:tcPr>
          <w:p>
            <w:pPr>
              <w:jc w:val="right"/>
              <w:spacing w:after="0" w:line="122" w:lineRule="exact"/>
              <w:rPr>
                <w:sz w:val="20"/>
                <w:szCs w:val="20"/>
                <w:color w:val="auto"/>
              </w:rPr>
            </w:pPr>
            <w:r>
              <w:rPr>
                <w:rFonts w:ascii="Arial" w:cs="Arial" w:eastAsia="Arial" w:hAnsi="Arial"/>
                <w:sz w:val="13"/>
                <w:szCs w:val="13"/>
                <w:color w:val="auto"/>
              </w:rPr>
              <w:t>$</w:t>
            </w:r>
          </w:p>
        </w:tc>
        <w:tc>
          <w:tcPr>
            <w:tcW w:w="760" w:type="dxa"/>
            <w:vAlign w:val="bottom"/>
          </w:tcPr>
          <w:p>
            <w:pPr>
              <w:jc w:val="right"/>
              <w:ind w:right="97"/>
              <w:spacing w:after="0" w:line="122" w:lineRule="exact"/>
              <w:rPr>
                <w:sz w:val="20"/>
                <w:szCs w:val="20"/>
                <w:color w:val="auto"/>
              </w:rPr>
            </w:pPr>
            <w:r>
              <w:rPr>
                <w:rFonts w:ascii="Arial" w:cs="Arial" w:eastAsia="Arial" w:hAnsi="Arial"/>
                <w:sz w:val="13"/>
                <w:szCs w:val="13"/>
                <w:color w:val="auto"/>
              </w:rPr>
              <w:t>822</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720" w:type="dxa"/>
            <w:vAlign w:val="bottom"/>
          </w:tcPr>
          <w:p>
            <w:pPr>
              <w:jc w:val="right"/>
              <w:ind w:right="117"/>
              <w:spacing w:after="0" w:line="122" w:lineRule="exact"/>
              <w:rPr>
                <w:sz w:val="20"/>
                <w:szCs w:val="20"/>
                <w:color w:val="auto"/>
              </w:rPr>
            </w:pPr>
            <w:r>
              <w:rPr>
                <w:rFonts w:ascii="Arial" w:cs="Arial" w:eastAsia="Arial" w:hAnsi="Arial"/>
                <w:sz w:val="13"/>
                <w:szCs w:val="13"/>
                <w:color w:val="auto"/>
              </w:rPr>
              <w:t>10</w:t>
            </w:r>
          </w:p>
        </w:tc>
        <w:tc>
          <w:tcPr>
            <w:tcW w:w="120" w:type="dxa"/>
            <w:vAlign w:val="bottom"/>
          </w:tcPr>
          <w:p>
            <w:pPr>
              <w:jc w:val="right"/>
              <w:ind w:right="9"/>
              <w:spacing w:after="0"/>
              <w:rPr>
                <w:sz w:val="20"/>
                <w:szCs w:val="20"/>
                <w:color w:val="auto"/>
              </w:rPr>
            </w:pPr>
            <w:r>
              <w:rPr>
                <w:rFonts w:ascii="Arial" w:cs="Arial" w:eastAsia="Arial" w:hAnsi="Arial"/>
                <w:sz w:val="9"/>
                <w:szCs w:val="9"/>
                <w:color w:val="auto"/>
                <w:w w:val="78"/>
              </w:rPr>
              <w:t>$</w:t>
            </w:r>
          </w:p>
        </w:tc>
        <w:tc>
          <w:tcPr>
            <w:tcW w:w="760" w:type="dxa"/>
            <w:vAlign w:val="bottom"/>
          </w:tcPr>
          <w:p>
            <w:pPr>
              <w:jc w:val="right"/>
              <w:ind w:right="57"/>
              <w:spacing w:after="0" w:line="122" w:lineRule="exact"/>
              <w:rPr>
                <w:sz w:val="20"/>
                <w:szCs w:val="20"/>
                <w:color w:val="auto"/>
              </w:rPr>
            </w:pPr>
            <w:r>
              <w:rPr>
                <w:rFonts w:ascii="Arial" w:cs="Arial" w:eastAsia="Arial" w:hAnsi="Arial"/>
                <w:sz w:val="13"/>
                <w:szCs w:val="13"/>
                <w:color w:val="auto"/>
              </w:rPr>
              <w:t>5,512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520" w:type="dxa"/>
            <w:vAlign w:val="bottom"/>
          </w:tcPr>
          <w:p>
            <w:pPr>
              <w:ind w:left="160"/>
              <w:spacing w:after="0" w:line="176" w:lineRule="exact"/>
              <w:rPr>
                <w:sz w:val="20"/>
                <w:szCs w:val="20"/>
                <w:color w:val="auto"/>
              </w:rPr>
            </w:pPr>
            <w:r>
              <w:rPr>
                <w:rFonts w:ascii="Arial" w:cs="Arial" w:eastAsia="Arial" w:hAnsi="Arial"/>
                <w:sz w:val="13"/>
                <w:szCs w:val="13"/>
                <w:color w:val="auto"/>
              </w:rPr>
              <w:t>Share-based compensation</w:t>
            </w:r>
            <w:r>
              <w:rPr>
                <w:rFonts w:ascii="Arial" w:cs="Arial" w:eastAsia="Arial" w:hAnsi="Arial"/>
                <w:sz w:val="20"/>
                <w:szCs w:val="20"/>
                <w:color w:val="auto"/>
                <w:vertAlign w:val="superscript"/>
              </w:rPr>
              <w:t>1</w:t>
            </w:r>
          </w:p>
        </w:tc>
        <w:tc>
          <w:tcPr>
            <w:tcW w:w="60" w:type="dxa"/>
            <w:vAlign w:val="bottom"/>
          </w:tcPr>
          <w:p>
            <w:pPr>
              <w:spacing w:after="0"/>
              <w:rPr>
                <w:sz w:val="15"/>
                <w:szCs w:val="15"/>
                <w:color w:val="auto"/>
              </w:rPr>
            </w:pP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90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(13)</w:t>
            </w:r>
          </w:p>
        </w:tc>
        <w:tc>
          <w:tcPr>
            <w:tcW w:w="100" w:type="dxa"/>
            <w:vAlign w:val="bottom"/>
          </w:tcPr>
          <w:p>
            <w:pPr>
              <w:spacing w:after="0"/>
              <w:rPr>
                <w:sz w:val="15"/>
                <w:szCs w:val="15"/>
                <w:color w:val="auto"/>
              </w:rPr>
            </w:pPr>
          </w:p>
        </w:tc>
        <w:tc>
          <w:tcPr>
            <w:tcW w:w="1000" w:type="dxa"/>
            <w:vAlign w:val="bottom"/>
          </w:tcPr>
          <w:p>
            <w:pPr>
              <w:jc w:val="right"/>
              <w:ind w:right="17"/>
              <w:spacing w:after="0"/>
              <w:rPr>
                <w:sz w:val="20"/>
                <w:szCs w:val="20"/>
                <w:color w:val="auto"/>
              </w:rPr>
            </w:pPr>
            <w:r>
              <w:rPr>
                <w:rFonts w:ascii="Arial" w:cs="Arial" w:eastAsia="Arial" w:hAnsi="Arial"/>
                <w:sz w:val="13"/>
                <w:szCs w:val="13"/>
                <w:color w:val="auto"/>
              </w:rPr>
              <w:t>(2)</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jc w:val="right"/>
              <w:ind w:right="37"/>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(61)</w:t>
            </w:r>
          </w:p>
        </w:tc>
        <w:tc>
          <w:tcPr>
            <w:tcW w:w="18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(15)</w:t>
            </w:r>
          </w:p>
        </w:tc>
        <w:tc>
          <w:tcPr>
            <w:tcW w:w="120" w:type="dxa"/>
            <w:vAlign w:val="bottom"/>
          </w:tcPr>
          <w:p>
            <w:pPr>
              <w:spacing w:after="0"/>
              <w:rPr>
                <w:sz w:val="15"/>
                <w:szCs w:val="15"/>
                <w:color w:val="auto"/>
              </w:rPr>
            </w:pPr>
          </w:p>
        </w:tc>
        <w:tc>
          <w:tcPr>
            <w:tcW w:w="760" w:type="dxa"/>
            <w:vAlign w:val="bottom"/>
          </w:tcPr>
          <w:p>
            <w:pPr>
              <w:jc w:val="right"/>
              <w:ind w:right="57"/>
              <w:spacing w:after="0"/>
              <w:rPr>
                <w:sz w:val="20"/>
                <w:szCs w:val="20"/>
                <w:color w:val="auto"/>
              </w:rPr>
            </w:pPr>
            <w:r>
              <w:rPr>
                <w:rFonts w:ascii="Arial" w:cs="Arial" w:eastAsia="Arial" w:hAnsi="Arial"/>
                <w:sz w:val="13"/>
                <w:szCs w:val="13"/>
                <w:color w:val="auto"/>
              </w:rPr>
              <w:t>(115)</w:t>
            </w:r>
          </w:p>
        </w:tc>
        <w:tc>
          <w:tcPr>
            <w:tcW w:w="80" w:type="dxa"/>
            <w:vAlign w:val="bottom"/>
          </w:tcPr>
          <w:p>
            <w:pPr>
              <w:spacing w:after="0"/>
              <w:rPr>
                <w:sz w:val="15"/>
                <w:szCs w:val="15"/>
                <w:color w:val="auto"/>
              </w:rPr>
            </w:pPr>
          </w:p>
        </w:tc>
        <w:tc>
          <w:tcPr>
            <w:tcW w:w="72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60" w:type="dxa"/>
            <w:vAlign w:val="bottom"/>
          </w:tcPr>
          <w:p>
            <w:pPr>
              <w:jc w:val="right"/>
              <w:ind w:right="17"/>
              <w:spacing w:after="0"/>
              <w:rPr>
                <w:sz w:val="20"/>
                <w:szCs w:val="20"/>
                <w:color w:val="auto"/>
              </w:rPr>
            </w:pPr>
            <w:r>
              <w:rPr>
                <w:rFonts w:ascii="Arial" w:cs="Arial" w:eastAsia="Arial" w:hAnsi="Arial"/>
                <w:sz w:val="13"/>
                <w:szCs w:val="13"/>
                <w:color w:val="auto"/>
              </w:rPr>
              <w:t>(209)</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520" w:type="dxa"/>
            <w:vAlign w:val="bottom"/>
          </w:tcPr>
          <w:p>
            <w:pPr>
              <w:ind w:left="160"/>
              <w:spacing w:after="0" w:line="176" w:lineRule="exact"/>
              <w:rPr>
                <w:sz w:val="20"/>
                <w:szCs w:val="20"/>
                <w:color w:val="auto"/>
              </w:rPr>
            </w:pPr>
            <w:r>
              <w:rPr>
                <w:rFonts w:ascii="Arial" w:cs="Arial" w:eastAsia="Arial" w:hAnsi="Arial"/>
                <w:sz w:val="13"/>
                <w:szCs w:val="13"/>
                <w:color w:val="auto"/>
              </w:rPr>
              <w:t>Amortization of intangible assets</w:t>
            </w:r>
            <w:r>
              <w:rPr>
                <w:rFonts w:ascii="Arial" w:cs="Arial" w:eastAsia="Arial" w:hAnsi="Arial"/>
                <w:sz w:val="20"/>
                <w:szCs w:val="20"/>
                <w:color w:val="auto"/>
                <w:vertAlign w:val="superscript"/>
              </w:rPr>
              <w:t>2</w:t>
            </w:r>
          </w:p>
        </w:tc>
        <w:tc>
          <w:tcPr>
            <w:tcW w:w="60" w:type="dxa"/>
            <w:vAlign w:val="bottom"/>
          </w:tcPr>
          <w:p>
            <w:pPr>
              <w:spacing w:after="0"/>
              <w:rPr>
                <w:sz w:val="15"/>
                <w:szCs w:val="15"/>
                <w:color w:val="auto"/>
              </w:rPr>
            </w:pP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90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94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00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jc w:val="right"/>
              <w:ind w:right="37"/>
              <w:spacing w:after="0"/>
              <w:rPr>
                <w:sz w:val="20"/>
                <w:szCs w:val="20"/>
                <w:color w:val="auto"/>
              </w:rPr>
            </w:pPr>
            <w:r>
              <w:rPr>
                <w:rFonts w:ascii="Arial" w:cs="Arial" w:eastAsia="Arial" w:hAnsi="Arial"/>
                <w:sz w:val="13"/>
                <w:szCs w:val="13"/>
                <w:color w:val="auto"/>
              </w:rPr>
              <w:t>(318)</w:t>
            </w:r>
          </w:p>
        </w:tc>
        <w:tc>
          <w:tcPr>
            <w:tcW w:w="120" w:type="dxa"/>
            <w:vAlign w:val="bottom"/>
          </w:tcPr>
          <w:p>
            <w:pPr>
              <w:spacing w:after="0"/>
              <w:rPr>
                <w:sz w:val="15"/>
                <w:szCs w:val="15"/>
                <w:color w:val="auto"/>
              </w:rPr>
            </w:pPr>
          </w:p>
        </w:tc>
        <w:tc>
          <w:tcPr>
            <w:tcW w:w="60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(44)</w:t>
            </w:r>
          </w:p>
        </w:tc>
        <w:tc>
          <w:tcPr>
            <w:tcW w:w="120" w:type="dxa"/>
            <w:vAlign w:val="bottom"/>
          </w:tcPr>
          <w:p>
            <w:pPr>
              <w:spacing w:after="0"/>
              <w:rPr>
                <w:sz w:val="15"/>
                <w:szCs w:val="15"/>
                <w:color w:val="auto"/>
              </w:rPr>
            </w:pPr>
          </w:p>
        </w:tc>
        <w:tc>
          <w:tcPr>
            <w:tcW w:w="760" w:type="dxa"/>
            <w:vAlign w:val="bottom"/>
          </w:tcPr>
          <w:p>
            <w:pPr>
              <w:jc w:val="right"/>
              <w:ind w:right="57"/>
              <w:spacing w:after="0"/>
              <w:rPr>
                <w:sz w:val="20"/>
                <w:szCs w:val="20"/>
                <w:color w:val="auto"/>
              </w:rPr>
            </w:pPr>
            <w:r>
              <w:rPr>
                <w:rFonts w:ascii="Arial" w:cs="Arial" w:eastAsia="Arial" w:hAnsi="Arial"/>
                <w:sz w:val="13"/>
                <w:szCs w:val="13"/>
                <w:color w:val="auto"/>
              </w:rPr>
              <w:t>(8)</w:t>
            </w:r>
          </w:p>
        </w:tc>
        <w:tc>
          <w:tcPr>
            <w:tcW w:w="80" w:type="dxa"/>
            <w:vAlign w:val="bottom"/>
          </w:tcPr>
          <w:p>
            <w:pPr>
              <w:spacing w:after="0"/>
              <w:rPr>
                <w:sz w:val="15"/>
                <w:szCs w:val="15"/>
                <w:color w:val="auto"/>
              </w:rPr>
            </w:pPr>
          </w:p>
        </w:tc>
        <w:tc>
          <w:tcPr>
            <w:tcW w:w="72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60" w:type="dxa"/>
            <w:vAlign w:val="bottom"/>
          </w:tcPr>
          <w:p>
            <w:pPr>
              <w:jc w:val="right"/>
              <w:ind w:right="17"/>
              <w:spacing w:after="0"/>
              <w:rPr>
                <w:sz w:val="20"/>
                <w:szCs w:val="20"/>
                <w:color w:val="auto"/>
              </w:rPr>
            </w:pPr>
            <w:r>
              <w:rPr>
                <w:rFonts w:ascii="Arial" w:cs="Arial" w:eastAsia="Arial" w:hAnsi="Arial"/>
                <w:sz w:val="13"/>
                <w:szCs w:val="13"/>
                <w:color w:val="auto"/>
              </w:rPr>
              <w:t>(370)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520" w:type="dxa"/>
            <w:vAlign w:val="bottom"/>
          </w:tcPr>
          <w:p>
            <w:pPr>
              <w:ind w:left="160"/>
              <w:spacing w:after="0" w:line="168" w:lineRule="exact"/>
              <w:rPr>
                <w:sz w:val="20"/>
                <w:szCs w:val="20"/>
                <w:color w:val="auto"/>
              </w:rPr>
            </w:pPr>
            <w:r>
              <w:rPr>
                <w:rFonts w:ascii="Arial" w:cs="Arial" w:eastAsia="Arial" w:hAnsi="Arial"/>
                <w:sz w:val="12"/>
                <w:szCs w:val="12"/>
                <w:color w:val="auto"/>
              </w:rPr>
              <w:t>Restructuring and related costs</w:t>
            </w:r>
            <w:r>
              <w:rPr>
                <w:rFonts w:ascii="Arial" w:cs="Arial" w:eastAsia="Arial" w:hAnsi="Arial"/>
                <w:sz w:val="19"/>
                <w:szCs w:val="19"/>
                <w:color w:val="auto"/>
                <w:vertAlign w:val="superscript"/>
              </w:rPr>
              <w:t>3</w:t>
            </w:r>
          </w:p>
        </w:tc>
        <w:tc>
          <w:tcPr>
            <w:tcW w:w="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(10)</w:t>
            </w: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(10)</w:t>
            </w:r>
          </w:p>
        </w:tc>
        <w:tc>
          <w:tcPr>
            <w:tcW w:w="0" w:type="dxa"/>
            <w:vAlign w:val="bottom"/>
          </w:tcPr>
          <w:p>
            <w:pPr>
              <w:spacing w:after="0"/>
              <w:rPr>
                <w:sz w:val="1"/>
                <w:szCs w:val="1"/>
                <w:color w:val="auto"/>
              </w:rPr>
            </w:pPr>
          </w:p>
        </w:tc>
      </w:tr>
      <w:tr>
        <w:trPr>
          <w:trHeight w:val="149"/>
        </w:trPr>
        <w:tc>
          <w:tcPr>
            <w:tcW w:w="2540" w:type="dxa"/>
            <w:vAlign w:val="bottom"/>
            <w:gridSpan w:val="2"/>
          </w:tcPr>
          <w:p>
            <w:pPr>
              <w:spacing w:after="0" w:line="133" w:lineRule="exact"/>
              <w:rPr>
                <w:sz w:val="20"/>
                <w:szCs w:val="20"/>
                <w:color w:val="auto"/>
              </w:rPr>
            </w:pPr>
            <w:r>
              <w:rPr>
                <w:rFonts w:ascii="Arial" w:cs="Arial" w:eastAsia="Arial" w:hAnsi="Arial"/>
                <w:sz w:val="13"/>
                <w:szCs w:val="13"/>
                <w:color w:val="auto"/>
              </w:rPr>
              <w:t>Non-GAAP Measurement</w:t>
            </w: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8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7,500</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719</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358</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1,026</w:t>
            </w:r>
          </w:p>
        </w:tc>
        <w:tc>
          <w:tcPr>
            <w:tcW w:w="1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78</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1,040</w:t>
            </w:r>
          </w:p>
        </w:tc>
        <w:tc>
          <w:tcPr>
            <w:tcW w:w="1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1,003</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699</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72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auto"/>
            </w:tcBorders>
          </w:tcPr>
          <w:p>
            <w:pPr>
              <w:jc w:val="right"/>
              <w:ind w:right="9"/>
              <w:spacing w:after="0"/>
              <w:rPr>
                <w:sz w:val="20"/>
                <w:szCs w:val="20"/>
                <w:color w:val="auto"/>
              </w:rPr>
            </w:pPr>
            <w:r>
              <w:rPr>
                <w:rFonts w:ascii="Arial" w:cs="Arial" w:eastAsia="Arial" w:hAnsi="Arial"/>
                <w:sz w:val="9"/>
                <w:szCs w:val="9"/>
                <w:color w:val="auto"/>
                <w:w w:val="78"/>
              </w:rPr>
              <w:t>$</w:t>
            </w:r>
          </w:p>
        </w:tc>
        <w:tc>
          <w:tcPr>
            <w:tcW w:w="7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4,923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20" w:type="dxa"/>
            <w:vAlign w:val="bottom"/>
            <w:vMerge w:val="restart"/>
          </w:tcPr>
          <w:p>
            <w:pPr>
              <w:ind w:left="160"/>
              <w:spacing w:after="0"/>
              <w:rPr>
                <w:sz w:val="20"/>
                <w:szCs w:val="20"/>
                <w:color w:val="auto"/>
              </w:rPr>
            </w:pPr>
            <w:r>
              <w:rPr>
                <w:rFonts w:ascii="Arial" w:cs="Arial" w:eastAsia="Arial" w:hAnsi="Arial"/>
                <w:sz w:val="13"/>
                <w:szCs w:val="13"/>
                <w:color w:val="auto"/>
                <w:w w:val="94"/>
              </w:rPr>
              <w:t>Net effect of deferred revenues and related</w:t>
            </w:r>
          </w:p>
        </w:tc>
        <w:tc>
          <w:tcPr>
            <w:tcW w:w="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2520" w:type="dxa"/>
            <w:vAlign w:val="bottom"/>
            <w:vMerge w:val="continue"/>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2520" w:type="dxa"/>
            <w:vAlign w:val="bottom"/>
          </w:tcPr>
          <w:p>
            <w:pPr>
              <w:ind w:left="160"/>
              <w:spacing w:after="0"/>
              <w:rPr>
                <w:sz w:val="20"/>
                <w:szCs w:val="20"/>
                <w:color w:val="auto"/>
              </w:rPr>
            </w:pPr>
            <w:r>
              <w:rPr>
                <w:rFonts w:ascii="Arial" w:cs="Arial" w:eastAsia="Arial" w:hAnsi="Arial"/>
                <w:sz w:val="13"/>
                <w:szCs w:val="13"/>
                <w:color w:val="auto"/>
              </w:rPr>
              <w:t>cost of revenues</w:t>
            </w:r>
            <w:r>
              <w:rPr>
                <w:rFonts w:ascii="Arial" w:cs="Arial" w:eastAsia="Arial" w:hAnsi="Arial"/>
                <w:sz w:val="20"/>
                <w:szCs w:val="20"/>
                <w:color w:val="auto"/>
                <w:vertAlign w:val="superscript"/>
              </w:rPr>
              <w:t>4</w:t>
            </w: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(238)</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(48)</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(76)</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17"/>
              <w:spacing w:after="0"/>
              <w:rPr>
                <w:sz w:val="20"/>
                <w:szCs w:val="20"/>
                <w:color w:val="auto"/>
              </w:rPr>
            </w:pPr>
            <w:r>
              <w:rPr>
                <w:rFonts w:ascii="Arial" w:cs="Arial" w:eastAsia="Arial" w:hAnsi="Arial"/>
                <w:sz w:val="13"/>
                <w:szCs w:val="13"/>
                <w:color w:val="auto"/>
              </w:rPr>
              <w:t>(2)</w:t>
            </w:r>
          </w:p>
        </w:tc>
        <w:tc>
          <w:tcPr>
            <w:tcW w:w="100" w:type="dxa"/>
            <w:vAlign w:val="bottom"/>
            <w:gridSpan w:val="2"/>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tcPr>
          <w:p>
            <w:pPr>
              <w:jc w:val="right"/>
              <w:ind w:right="37"/>
              <w:spacing w:after="0"/>
              <w:rPr>
                <w:sz w:val="20"/>
                <w:szCs w:val="20"/>
                <w:color w:val="auto"/>
              </w:rPr>
            </w:pPr>
            <w:r>
              <w:rPr>
                <w:rFonts w:ascii="Arial" w:cs="Arial" w:eastAsia="Arial" w:hAnsi="Arial"/>
                <w:sz w:val="13"/>
                <w:szCs w:val="13"/>
                <w:color w:val="auto"/>
              </w:rPr>
              <w:t>(12)</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4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72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120" w:type="dxa"/>
            <w:vAlign w:val="bottom"/>
          </w:tcPr>
          <w:p>
            <w:pPr>
              <w:jc w:val="right"/>
              <w:ind w:right="9"/>
              <w:spacing w:after="0"/>
              <w:rPr>
                <w:sz w:val="20"/>
                <w:szCs w:val="20"/>
                <w:color w:val="auto"/>
              </w:rPr>
            </w:pPr>
            <w:r>
              <w:rPr>
                <w:rFonts w:ascii="Arial" w:cs="Arial" w:eastAsia="Arial" w:hAnsi="Arial"/>
                <w:sz w:val="9"/>
                <w:szCs w:val="9"/>
                <w:color w:val="auto"/>
                <w:w w:val="78"/>
              </w:rPr>
              <w:t>$</w:t>
            </w:r>
          </w:p>
        </w:tc>
        <w:tc>
          <w:tcPr>
            <w:tcW w:w="760" w:type="dxa"/>
            <w:vAlign w:val="bottom"/>
          </w:tcPr>
          <w:p>
            <w:pPr>
              <w:jc w:val="right"/>
              <w:ind w:right="17"/>
              <w:spacing w:after="0"/>
              <w:rPr>
                <w:sz w:val="20"/>
                <w:szCs w:val="20"/>
                <w:color w:val="auto"/>
              </w:rPr>
            </w:pPr>
            <w:r>
              <w:rPr>
                <w:rFonts w:ascii="Arial" w:cs="Arial" w:eastAsia="Arial" w:hAnsi="Arial"/>
                <w:sz w:val="13"/>
                <w:szCs w:val="13"/>
                <w:color w:val="auto"/>
              </w:rPr>
              <w:t>(138)</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2520" w:type="dxa"/>
            <w:vAlign w:val="bottom"/>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w w:val="91"/>
              </w:rPr>
              <w:t>Operating</w:t>
            </w:r>
          </w:p>
        </w:tc>
        <w:tc>
          <w:tcPr>
            <w:tcW w:w="140" w:type="dxa"/>
            <w:vAlign w:val="bottom"/>
          </w:tcPr>
          <w:p>
            <w:pPr>
              <w:spacing w:after="0"/>
              <w:rPr>
                <w:sz w:val="12"/>
                <w:szCs w:val="12"/>
                <w:color w:val="auto"/>
              </w:rPr>
            </w:pPr>
          </w:p>
        </w:tc>
        <w:tc>
          <w:tcPr>
            <w:tcW w:w="9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7"/>
              </w:rPr>
              <w:t>Net Income</w:t>
            </w:r>
            <w:r>
              <w:rPr>
                <w:rFonts w:ascii="Arial" w:cs="Arial" w:eastAsia="Arial" w:hAnsi="Arial"/>
                <w:sz w:val="20"/>
                <w:szCs w:val="20"/>
                <w:b w:val="1"/>
                <w:bCs w:val="1"/>
                <w:color w:val="auto"/>
                <w:w w:val="87"/>
                <w:vertAlign w:val="superscript"/>
              </w:rPr>
              <w:t>8</w:t>
            </w:r>
          </w:p>
        </w:tc>
        <w:tc>
          <w:tcPr>
            <w:tcW w:w="120" w:type="dxa"/>
            <w:vAlign w:val="bottom"/>
          </w:tcPr>
          <w:p>
            <w:pPr>
              <w:spacing w:after="0"/>
              <w:rPr>
                <w:sz w:val="12"/>
                <w:szCs w:val="12"/>
                <w:color w:val="auto"/>
              </w:rPr>
            </w:pPr>
          </w:p>
        </w:tc>
        <w:tc>
          <w:tcPr>
            <w:tcW w:w="940" w:type="dxa"/>
            <w:vAlign w:val="bottom"/>
          </w:tcPr>
          <w:p>
            <w:pPr>
              <w:jc w:val="center"/>
              <w:ind w:right="17"/>
              <w:spacing w:after="0" w:line="143" w:lineRule="exact"/>
              <w:rPr>
                <w:sz w:val="20"/>
                <w:szCs w:val="20"/>
                <w:color w:val="auto"/>
              </w:rPr>
            </w:pPr>
            <w:r>
              <w:rPr>
                <w:rFonts w:ascii="Arial" w:cs="Arial" w:eastAsia="Arial" w:hAnsi="Arial"/>
                <w:sz w:val="13"/>
                <w:szCs w:val="13"/>
                <w:b w:val="1"/>
                <w:bCs w:val="1"/>
                <w:color w:val="auto"/>
                <w:w w:val="87"/>
              </w:rPr>
              <w:t>Basic Earnings</w:t>
            </w:r>
          </w:p>
        </w:tc>
        <w:tc>
          <w:tcPr>
            <w:tcW w:w="100" w:type="dxa"/>
            <w:vAlign w:val="bottom"/>
          </w:tcPr>
          <w:p>
            <w:pPr>
              <w:spacing w:after="0"/>
              <w:rPr>
                <w:sz w:val="12"/>
                <w:szCs w:val="12"/>
                <w:color w:val="auto"/>
              </w:rPr>
            </w:pPr>
          </w:p>
        </w:tc>
        <w:tc>
          <w:tcPr>
            <w:tcW w:w="1000" w:type="dxa"/>
            <w:vAlign w:val="bottom"/>
          </w:tcPr>
          <w:p>
            <w:pPr>
              <w:jc w:val="center"/>
              <w:ind w:right="17"/>
              <w:spacing w:after="0" w:line="143" w:lineRule="exact"/>
              <w:rPr>
                <w:sz w:val="20"/>
                <w:szCs w:val="20"/>
                <w:color w:val="auto"/>
              </w:rPr>
            </w:pPr>
            <w:r>
              <w:rPr>
                <w:rFonts w:ascii="Arial" w:cs="Arial" w:eastAsia="Arial" w:hAnsi="Arial"/>
                <w:sz w:val="13"/>
                <w:szCs w:val="13"/>
                <w:b w:val="1"/>
                <w:bCs w:val="1"/>
                <w:color w:val="auto"/>
                <w:w w:val="89"/>
              </w:rPr>
              <w:t>Diluted Earnings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540" w:type="dxa"/>
            <w:vAlign w:val="bottom"/>
            <w:gridSpan w:val="2"/>
            <w:vMerge w:val="restart"/>
          </w:tcPr>
          <w:p>
            <w:pPr>
              <w:spacing w:after="0"/>
              <w:rPr>
                <w:sz w:val="20"/>
                <w:szCs w:val="20"/>
                <w:color w:val="auto"/>
              </w:rPr>
            </w:pPr>
            <w:r>
              <w:rPr>
                <w:rFonts w:ascii="Arial" w:cs="Arial" w:eastAsia="Arial" w:hAnsi="Arial"/>
                <w:sz w:val="13"/>
                <w:szCs w:val="13"/>
                <w:color w:val="auto"/>
              </w:rPr>
              <w:t>GAAP Measurement</w:t>
            </w:r>
          </w:p>
        </w:tc>
        <w:tc>
          <w:tcPr>
            <w:tcW w:w="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Income</w:t>
            </w: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spacing w:after="0" w:line="162" w:lineRule="exact"/>
              <w:rPr>
                <w:sz w:val="20"/>
                <w:szCs w:val="20"/>
                <w:color w:val="auto"/>
              </w:rPr>
            </w:pPr>
            <w:r>
              <w:rPr>
                <w:rFonts w:ascii="Arial" w:cs="Arial" w:eastAsia="Arial" w:hAnsi="Arial"/>
                <w:sz w:val="12"/>
                <w:szCs w:val="12"/>
                <w:b w:val="1"/>
                <w:bCs w:val="1"/>
                <w:color w:val="auto"/>
                <w:w w:val="93"/>
              </w:rPr>
              <w:t>per Share</w:t>
            </w:r>
            <w:r>
              <w:rPr>
                <w:rFonts w:ascii="Arial" w:cs="Arial" w:eastAsia="Arial" w:hAnsi="Arial"/>
                <w:sz w:val="18"/>
                <w:szCs w:val="18"/>
                <w:b w:val="1"/>
                <w:bCs w:val="1"/>
                <w:color w:val="auto"/>
                <w:w w:val="93"/>
                <w:vertAlign w:val="superscript"/>
              </w:rPr>
              <w:t>8</w:t>
            </w: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spacing w:after="0" w:line="162" w:lineRule="exact"/>
              <w:rPr>
                <w:sz w:val="20"/>
                <w:szCs w:val="20"/>
                <w:color w:val="auto"/>
              </w:rPr>
            </w:pPr>
            <w:r>
              <w:rPr>
                <w:rFonts w:ascii="Arial" w:cs="Arial" w:eastAsia="Arial" w:hAnsi="Arial"/>
                <w:sz w:val="12"/>
                <w:szCs w:val="12"/>
                <w:b w:val="1"/>
                <w:bCs w:val="1"/>
                <w:color w:val="auto"/>
                <w:w w:val="93"/>
              </w:rPr>
              <w:t>per Share</w:t>
            </w:r>
            <w:r>
              <w:rPr>
                <w:rFonts w:ascii="Arial" w:cs="Arial" w:eastAsia="Arial" w:hAnsi="Arial"/>
                <w:sz w:val="18"/>
                <w:szCs w:val="18"/>
                <w:color w:val="auto"/>
                <w:w w:val="93"/>
                <w:vertAlign w:val="superscript"/>
              </w:rPr>
              <w:t>8</w:t>
            </w:r>
          </w:p>
        </w:tc>
        <w:tc>
          <w:tcPr>
            <w:tcW w:w="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2540" w:type="dxa"/>
            <w:vAlign w:val="bottom"/>
            <w:gridSpan w:val="2"/>
            <w:vMerge w:val="continue"/>
          </w:tcPr>
          <w:p>
            <w:pPr>
              <w:spacing w:after="0"/>
              <w:rPr>
                <w:sz w:val="10"/>
                <w:szCs w:val="10"/>
                <w:color w:val="auto"/>
              </w:rPr>
            </w:pP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800" w:type="dxa"/>
            <w:vAlign w:val="bottom"/>
          </w:tcPr>
          <w:p>
            <w:pPr>
              <w:jc w:val="right"/>
              <w:ind w:right="17"/>
              <w:spacing w:after="0" w:line="122" w:lineRule="exact"/>
              <w:rPr>
                <w:sz w:val="20"/>
                <w:szCs w:val="20"/>
                <w:color w:val="auto"/>
              </w:rPr>
            </w:pPr>
            <w:r>
              <w:rPr>
                <w:rFonts w:ascii="Arial" w:cs="Arial" w:eastAsia="Arial" w:hAnsi="Arial"/>
                <w:sz w:val="13"/>
                <w:szCs w:val="13"/>
                <w:color w:val="auto"/>
              </w:rPr>
              <w:t>1,988</w:t>
            </w:r>
          </w:p>
        </w:tc>
        <w:tc>
          <w:tcPr>
            <w:tcW w:w="140" w:type="dxa"/>
            <w:vAlign w:val="bottom"/>
          </w:tcPr>
          <w:p>
            <w:pPr>
              <w:jc w:val="right"/>
              <w:spacing w:after="0" w:line="122" w:lineRule="exact"/>
              <w:rPr>
                <w:sz w:val="20"/>
                <w:szCs w:val="20"/>
                <w:color w:val="auto"/>
              </w:rPr>
            </w:pPr>
            <w:r>
              <w:rPr>
                <w:rFonts w:ascii="Arial" w:cs="Arial" w:eastAsia="Arial" w:hAnsi="Arial"/>
                <w:sz w:val="13"/>
                <w:szCs w:val="13"/>
                <w:color w:val="auto"/>
              </w:rPr>
              <w:t>$</w:t>
            </w:r>
          </w:p>
        </w:tc>
        <w:tc>
          <w:tcPr>
            <w:tcW w:w="900" w:type="dxa"/>
            <w:vAlign w:val="bottom"/>
          </w:tcPr>
          <w:p>
            <w:pPr>
              <w:jc w:val="right"/>
              <w:ind w:right="17"/>
              <w:spacing w:after="0" w:line="122" w:lineRule="exact"/>
              <w:rPr>
                <w:sz w:val="20"/>
                <w:szCs w:val="20"/>
                <w:color w:val="auto"/>
              </w:rPr>
            </w:pPr>
            <w:r>
              <w:rPr>
                <w:rFonts w:ascii="Arial" w:cs="Arial" w:eastAsia="Arial" w:hAnsi="Arial"/>
                <w:sz w:val="13"/>
                <w:szCs w:val="13"/>
                <w:color w:val="auto"/>
              </w:rPr>
              <w:t>1,848</w:t>
            </w:r>
          </w:p>
        </w:tc>
        <w:tc>
          <w:tcPr>
            <w:tcW w:w="120" w:type="dxa"/>
            <w:vAlign w:val="bottom"/>
          </w:tcPr>
          <w:p>
            <w:pPr>
              <w:jc w:val="right"/>
              <w:spacing w:after="0" w:line="122" w:lineRule="exact"/>
              <w:rPr>
                <w:sz w:val="20"/>
                <w:szCs w:val="20"/>
                <w:color w:val="auto"/>
              </w:rPr>
            </w:pPr>
            <w:r>
              <w:rPr>
                <w:rFonts w:ascii="Arial" w:cs="Arial" w:eastAsia="Arial" w:hAnsi="Arial"/>
                <w:sz w:val="13"/>
                <w:szCs w:val="13"/>
                <w:color w:val="auto"/>
              </w:rPr>
              <w:t>$</w:t>
            </w:r>
          </w:p>
        </w:tc>
        <w:tc>
          <w:tcPr>
            <w:tcW w:w="940" w:type="dxa"/>
            <w:vAlign w:val="bottom"/>
          </w:tcPr>
          <w:p>
            <w:pPr>
              <w:jc w:val="right"/>
              <w:ind w:right="17"/>
              <w:spacing w:after="0" w:line="122" w:lineRule="exact"/>
              <w:rPr>
                <w:sz w:val="20"/>
                <w:szCs w:val="20"/>
                <w:color w:val="auto"/>
              </w:rPr>
            </w:pPr>
            <w:r>
              <w:rPr>
                <w:rFonts w:ascii="Arial" w:cs="Arial" w:eastAsia="Arial" w:hAnsi="Arial"/>
                <w:sz w:val="13"/>
                <w:szCs w:val="13"/>
                <w:color w:val="auto"/>
              </w:rPr>
              <w:t>2.43</w:t>
            </w:r>
          </w:p>
        </w:tc>
        <w:tc>
          <w:tcPr>
            <w:tcW w:w="100" w:type="dxa"/>
            <w:vAlign w:val="bottom"/>
          </w:tcPr>
          <w:p>
            <w:pPr>
              <w:jc w:val="right"/>
              <w:spacing w:after="0" w:line="122" w:lineRule="exact"/>
              <w:rPr>
                <w:sz w:val="20"/>
                <w:szCs w:val="20"/>
                <w:color w:val="auto"/>
              </w:rPr>
            </w:pPr>
            <w:r>
              <w:rPr>
                <w:rFonts w:ascii="Arial" w:cs="Arial" w:eastAsia="Arial" w:hAnsi="Arial"/>
                <w:sz w:val="13"/>
                <w:szCs w:val="13"/>
                <w:color w:val="auto"/>
              </w:rPr>
              <w:t>$</w:t>
            </w:r>
          </w:p>
        </w:tc>
        <w:tc>
          <w:tcPr>
            <w:tcW w:w="1000" w:type="dxa"/>
            <w:vAlign w:val="bottom"/>
          </w:tcPr>
          <w:p>
            <w:pPr>
              <w:jc w:val="right"/>
              <w:ind w:right="57"/>
              <w:spacing w:after="0" w:line="122" w:lineRule="exact"/>
              <w:rPr>
                <w:sz w:val="20"/>
                <w:szCs w:val="20"/>
                <w:color w:val="auto"/>
              </w:rPr>
            </w:pPr>
            <w:r>
              <w:rPr>
                <w:rFonts w:ascii="Arial" w:cs="Arial" w:eastAsia="Arial" w:hAnsi="Arial"/>
                <w:sz w:val="13"/>
                <w:szCs w:val="13"/>
                <w:color w:val="auto"/>
              </w:rPr>
              <w:t>2.40</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520" w:type="dxa"/>
            <w:vAlign w:val="bottom"/>
          </w:tcPr>
          <w:p>
            <w:pPr>
              <w:ind w:left="160"/>
              <w:spacing w:after="0" w:line="176" w:lineRule="exact"/>
              <w:rPr>
                <w:sz w:val="20"/>
                <w:szCs w:val="20"/>
                <w:color w:val="auto"/>
              </w:rPr>
            </w:pPr>
            <w:r>
              <w:rPr>
                <w:rFonts w:ascii="Arial" w:cs="Arial" w:eastAsia="Arial" w:hAnsi="Arial"/>
                <w:sz w:val="13"/>
                <w:szCs w:val="13"/>
                <w:color w:val="auto"/>
              </w:rPr>
              <w:t>Share-based compensation</w:t>
            </w:r>
            <w:r>
              <w:rPr>
                <w:rFonts w:ascii="Arial" w:cs="Arial" w:eastAsia="Arial" w:hAnsi="Arial"/>
                <w:sz w:val="20"/>
                <w:szCs w:val="20"/>
                <w:color w:val="auto"/>
                <w:vertAlign w:val="superscript"/>
              </w:rPr>
              <w:t>1</w:t>
            </w:r>
          </w:p>
        </w:tc>
        <w:tc>
          <w:tcPr>
            <w:tcW w:w="60" w:type="dxa"/>
            <w:vAlign w:val="bottom"/>
          </w:tcPr>
          <w:p>
            <w:pPr>
              <w:spacing w:after="0"/>
              <w:rPr>
                <w:sz w:val="15"/>
                <w:szCs w:val="15"/>
                <w:color w:val="auto"/>
              </w:rPr>
            </w:pP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209</w:t>
            </w:r>
          </w:p>
        </w:tc>
        <w:tc>
          <w:tcPr>
            <w:tcW w:w="140" w:type="dxa"/>
            <w:vAlign w:val="bottom"/>
          </w:tcPr>
          <w:p>
            <w:pPr>
              <w:spacing w:after="0"/>
              <w:rPr>
                <w:sz w:val="15"/>
                <w:szCs w:val="15"/>
                <w:color w:val="auto"/>
              </w:rPr>
            </w:pPr>
          </w:p>
        </w:tc>
        <w:tc>
          <w:tcPr>
            <w:tcW w:w="900" w:type="dxa"/>
            <w:vAlign w:val="bottom"/>
          </w:tcPr>
          <w:p>
            <w:pPr>
              <w:jc w:val="right"/>
              <w:ind w:right="17"/>
              <w:spacing w:after="0"/>
              <w:rPr>
                <w:sz w:val="20"/>
                <w:szCs w:val="20"/>
                <w:color w:val="auto"/>
              </w:rPr>
            </w:pPr>
            <w:r>
              <w:rPr>
                <w:rFonts w:ascii="Arial" w:cs="Arial" w:eastAsia="Arial" w:hAnsi="Arial"/>
                <w:sz w:val="13"/>
                <w:szCs w:val="13"/>
                <w:color w:val="auto"/>
              </w:rPr>
              <w:t>209</w:t>
            </w:r>
          </w:p>
        </w:tc>
        <w:tc>
          <w:tcPr>
            <w:tcW w:w="120" w:type="dxa"/>
            <w:vAlign w:val="bottom"/>
          </w:tcPr>
          <w:p>
            <w:pPr>
              <w:spacing w:after="0"/>
              <w:rPr>
                <w:sz w:val="15"/>
                <w:szCs w:val="15"/>
                <w:color w:val="auto"/>
              </w:rPr>
            </w:pPr>
          </w:p>
        </w:tc>
        <w:tc>
          <w:tcPr>
            <w:tcW w:w="940" w:type="dxa"/>
            <w:vAlign w:val="bottom"/>
          </w:tcPr>
          <w:p>
            <w:pPr>
              <w:jc w:val="right"/>
              <w:ind w:right="17"/>
              <w:spacing w:after="0"/>
              <w:rPr>
                <w:sz w:val="20"/>
                <w:szCs w:val="20"/>
                <w:color w:val="auto"/>
              </w:rPr>
            </w:pPr>
            <w:r>
              <w:rPr>
                <w:rFonts w:ascii="Arial" w:cs="Arial" w:eastAsia="Arial" w:hAnsi="Arial"/>
                <w:sz w:val="13"/>
                <w:szCs w:val="13"/>
                <w:color w:val="auto"/>
              </w:rPr>
              <w:t>0.27</w:t>
            </w:r>
          </w:p>
        </w:tc>
        <w:tc>
          <w:tcPr>
            <w:tcW w:w="100" w:type="dxa"/>
            <w:vAlign w:val="bottom"/>
          </w:tcPr>
          <w:p>
            <w:pPr>
              <w:spacing w:after="0"/>
              <w:rPr>
                <w:sz w:val="15"/>
                <w:szCs w:val="15"/>
                <w:color w:val="auto"/>
              </w:rPr>
            </w:pPr>
          </w:p>
        </w:tc>
        <w:tc>
          <w:tcPr>
            <w:tcW w:w="1000" w:type="dxa"/>
            <w:vAlign w:val="bottom"/>
          </w:tcPr>
          <w:p>
            <w:pPr>
              <w:jc w:val="right"/>
              <w:ind w:right="57"/>
              <w:spacing w:after="0"/>
              <w:rPr>
                <w:sz w:val="20"/>
                <w:szCs w:val="20"/>
                <w:color w:val="auto"/>
              </w:rPr>
            </w:pPr>
            <w:r>
              <w:rPr>
                <w:rFonts w:ascii="Arial" w:cs="Arial" w:eastAsia="Arial" w:hAnsi="Arial"/>
                <w:sz w:val="13"/>
                <w:szCs w:val="13"/>
                <w:color w:val="auto"/>
              </w:rPr>
              <w:t>0.27</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520" w:type="dxa"/>
            <w:vAlign w:val="bottom"/>
          </w:tcPr>
          <w:p>
            <w:pPr>
              <w:ind w:left="160"/>
              <w:spacing w:after="0" w:line="176" w:lineRule="exact"/>
              <w:rPr>
                <w:sz w:val="20"/>
                <w:szCs w:val="20"/>
                <w:color w:val="auto"/>
              </w:rPr>
            </w:pPr>
            <w:r>
              <w:rPr>
                <w:rFonts w:ascii="Arial" w:cs="Arial" w:eastAsia="Arial" w:hAnsi="Arial"/>
                <w:sz w:val="13"/>
                <w:szCs w:val="13"/>
                <w:color w:val="auto"/>
              </w:rPr>
              <w:t>Amortization of intangible assets</w:t>
            </w:r>
            <w:r>
              <w:rPr>
                <w:rFonts w:ascii="Arial" w:cs="Arial" w:eastAsia="Arial" w:hAnsi="Arial"/>
                <w:sz w:val="20"/>
                <w:szCs w:val="20"/>
                <w:color w:val="auto"/>
                <w:vertAlign w:val="superscript"/>
              </w:rPr>
              <w:t>2</w:t>
            </w:r>
          </w:p>
        </w:tc>
        <w:tc>
          <w:tcPr>
            <w:tcW w:w="60" w:type="dxa"/>
            <w:vAlign w:val="bottom"/>
          </w:tcPr>
          <w:p>
            <w:pPr>
              <w:spacing w:after="0"/>
              <w:rPr>
                <w:sz w:val="15"/>
                <w:szCs w:val="15"/>
                <w:color w:val="auto"/>
              </w:rPr>
            </w:pP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370</w:t>
            </w:r>
          </w:p>
        </w:tc>
        <w:tc>
          <w:tcPr>
            <w:tcW w:w="140" w:type="dxa"/>
            <w:vAlign w:val="bottom"/>
          </w:tcPr>
          <w:p>
            <w:pPr>
              <w:spacing w:after="0"/>
              <w:rPr>
                <w:sz w:val="15"/>
                <w:szCs w:val="15"/>
                <w:color w:val="auto"/>
              </w:rPr>
            </w:pPr>
          </w:p>
        </w:tc>
        <w:tc>
          <w:tcPr>
            <w:tcW w:w="900" w:type="dxa"/>
            <w:vAlign w:val="bottom"/>
          </w:tcPr>
          <w:p>
            <w:pPr>
              <w:jc w:val="right"/>
              <w:ind w:right="17"/>
              <w:spacing w:after="0"/>
              <w:rPr>
                <w:sz w:val="20"/>
                <w:szCs w:val="20"/>
                <w:color w:val="auto"/>
              </w:rPr>
            </w:pPr>
            <w:r>
              <w:rPr>
                <w:rFonts w:ascii="Arial" w:cs="Arial" w:eastAsia="Arial" w:hAnsi="Arial"/>
                <w:sz w:val="13"/>
                <w:szCs w:val="13"/>
                <w:color w:val="auto"/>
              </w:rPr>
              <w:t>370</w:t>
            </w:r>
          </w:p>
        </w:tc>
        <w:tc>
          <w:tcPr>
            <w:tcW w:w="120" w:type="dxa"/>
            <w:vAlign w:val="bottom"/>
          </w:tcPr>
          <w:p>
            <w:pPr>
              <w:spacing w:after="0"/>
              <w:rPr>
                <w:sz w:val="15"/>
                <w:szCs w:val="15"/>
                <w:color w:val="auto"/>
              </w:rPr>
            </w:pPr>
          </w:p>
        </w:tc>
        <w:tc>
          <w:tcPr>
            <w:tcW w:w="940" w:type="dxa"/>
            <w:vAlign w:val="bottom"/>
          </w:tcPr>
          <w:p>
            <w:pPr>
              <w:jc w:val="right"/>
              <w:ind w:right="17"/>
              <w:spacing w:after="0"/>
              <w:rPr>
                <w:sz w:val="20"/>
                <w:szCs w:val="20"/>
                <w:color w:val="auto"/>
              </w:rPr>
            </w:pPr>
            <w:r>
              <w:rPr>
                <w:rFonts w:ascii="Arial" w:cs="Arial" w:eastAsia="Arial" w:hAnsi="Arial"/>
                <w:sz w:val="13"/>
                <w:szCs w:val="13"/>
                <w:color w:val="auto"/>
              </w:rPr>
              <w:t>0.48</w:t>
            </w:r>
          </w:p>
        </w:tc>
        <w:tc>
          <w:tcPr>
            <w:tcW w:w="100" w:type="dxa"/>
            <w:vAlign w:val="bottom"/>
          </w:tcPr>
          <w:p>
            <w:pPr>
              <w:spacing w:after="0"/>
              <w:rPr>
                <w:sz w:val="15"/>
                <w:szCs w:val="15"/>
                <w:color w:val="auto"/>
              </w:rPr>
            </w:pPr>
          </w:p>
        </w:tc>
        <w:tc>
          <w:tcPr>
            <w:tcW w:w="1000" w:type="dxa"/>
            <w:vAlign w:val="bottom"/>
          </w:tcPr>
          <w:p>
            <w:pPr>
              <w:jc w:val="right"/>
              <w:ind w:right="57"/>
              <w:spacing w:after="0"/>
              <w:rPr>
                <w:sz w:val="20"/>
                <w:szCs w:val="20"/>
                <w:color w:val="auto"/>
              </w:rPr>
            </w:pPr>
            <w:r>
              <w:rPr>
                <w:rFonts w:ascii="Arial" w:cs="Arial" w:eastAsia="Arial" w:hAnsi="Arial"/>
                <w:sz w:val="13"/>
                <w:szCs w:val="13"/>
                <w:color w:val="auto"/>
              </w:rPr>
              <w:t>0.48</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520" w:type="dxa"/>
            <w:vAlign w:val="bottom"/>
          </w:tcPr>
          <w:p>
            <w:pPr>
              <w:ind w:left="160"/>
              <w:spacing w:after="0" w:line="176" w:lineRule="exact"/>
              <w:rPr>
                <w:sz w:val="20"/>
                <w:szCs w:val="20"/>
                <w:color w:val="auto"/>
              </w:rPr>
            </w:pPr>
            <w:r>
              <w:rPr>
                <w:rFonts w:ascii="Arial" w:cs="Arial" w:eastAsia="Arial" w:hAnsi="Arial"/>
                <w:sz w:val="13"/>
                <w:szCs w:val="13"/>
                <w:color w:val="auto"/>
              </w:rPr>
              <w:t>Restructuring and related costs</w:t>
            </w:r>
            <w:r>
              <w:rPr>
                <w:rFonts w:ascii="Arial" w:cs="Arial" w:eastAsia="Arial" w:hAnsi="Arial"/>
                <w:sz w:val="20"/>
                <w:szCs w:val="20"/>
                <w:color w:val="auto"/>
                <w:vertAlign w:val="superscript"/>
              </w:rPr>
              <w:t>3</w:t>
            </w:r>
          </w:p>
        </w:tc>
        <w:tc>
          <w:tcPr>
            <w:tcW w:w="60" w:type="dxa"/>
            <w:vAlign w:val="bottom"/>
          </w:tcPr>
          <w:p>
            <w:pPr>
              <w:spacing w:after="0"/>
              <w:rPr>
                <w:sz w:val="15"/>
                <w:szCs w:val="15"/>
                <w:color w:val="auto"/>
              </w:rPr>
            </w:pP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10</w:t>
            </w:r>
          </w:p>
        </w:tc>
        <w:tc>
          <w:tcPr>
            <w:tcW w:w="140" w:type="dxa"/>
            <w:vAlign w:val="bottom"/>
          </w:tcPr>
          <w:p>
            <w:pPr>
              <w:spacing w:after="0"/>
              <w:rPr>
                <w:sz w:val="15"/>
                <w:szCs w:val="15"/>
                <w:color w:val="auto"/>
              </w:rPr>
            </w:pPr>
          </w:p>
        </w:tc>
        <w:tc>
          <w:tcPr>
            <w:tcW w:w="900" w:type="dxa"/>
            <w:vAlign w:val="bottom"/>
          </w:tcPr>
          <w:p>
            <w:pPr>
              <w:jc w:val="right"/>
              <w:ind w:right="17"/>
              <w:spacing w:after="0"/>
              <w:rPr>
                <w:sz w:val="20"/>
                <w:szCs w:val="20"/>
                <w:color w:val="auto"/>
              </w:rPr>
            </w:pPr>
            <w:r>
              <w:rPr>
                <w:rFonts w:ascii="Arial" w:cs="Arial" w:eastAsia="Arial" w:hAnsi="Arial"/>
                <w:sz w:val="13"/>
                <w:szCs w:val="13"/>
                <w:color w:val="auto"/>
              </w:rPr>
              <w:t>10</w:t>
            </w:r>
          </w:p>
        </w:tc>
        <w:tc>
          <w:tcPr>
            <w:tcW w:w="120" w:type="dxa"/>
            <w:vAlign w:val="bottom"/>
          </w:tcPr>
          <w:p>
            <w:pPr>
              <w:spacing w:after="0"/>
              <w:rPr>
                <w:sz w:val="15"/>
                <w:szCs w:val="15"/>
                <w:color w:val="auto"/>
              </w:rPr>
            </w:pPr>
          </w:p>
        </w:tc>
        <w:tc>
          <w:tcPr>
            <w:tcW w:w="940" w:type="dxa"/>
            <w:vAlign w:val="bottom"/>
          </w:tcPr>
          <w:p>
            <w:pPr>
              <w:jc w:val="right"/>
              <w:ind w:right="17"/>
              <w:spacing w:after="0"/>
              <w:rPr>
                <w:sz w:val="20"/>
                <w:szCs w:val="20"/>
                <w:color w:val="auto"/>
              </w:rPr>
            </w:pPr>
            <w:r>
              <w:rPr>
                <w:rFonts w:ascii="Arial" w:cs="Arial" w:eastAsia="Arial" w:hAnsi="Arial"/>
                <w:sz w:val="13"/>
                <w:szCs w:val="13"/>
                <w:color w:val="auto"/>
              </w:rPr>
              <w:t>0.01</w:t>
            </w:r>
          </w:p>
        </w:tc>
        <w:tc>
          <w:tcPr>
            <w:tcW w:w="100" w:type="dxa"/>
            <w:vAlign w:val="bottom"/>
          </w:tcPr>
          <w:p>
            <w:pPr>
              <w:spacing w:after="0"/>
              <w:rPr>
                <w:sz w:val="15"/>
                <w:szCs w:val="15"/>
                <w:color w:val="auto"/>
              </w:rPr>
            </w:pPr>
          </w:p>
        </w:tc>
        <w:tc>
          <w:tcPr>
            <w:tcW w:w="1000" w:type="dxa"/>
            <w:vAlign w:val="bottom"/>
          </w:tcPr>
          <w:p>
            <w:pPr>
              <w:jc w:val="right"/>
              <w:ind w:right="57"/>
              <w:spacing w:after="0"/>
              <w:rPr>
                <w:sz w:val="20"/>
                <w:szCs w:val="20"/>
                <w:color w:val="auto"/>
              </w:rPr>
            </w:pPr>
            <w:r>
              <w:rPr>
                <w:rFonts w:ascii="Arial" w:cs="Arial" w:eastAsia="Arial" w:hAnsi="Arial"/>
                <w:sz w:val="13"/>
                <w:szCs w:val="13"/>
                <w:color w:val="auto"/>
              </w:rPr>
              <w:t>0.01</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520" w:type="dxa"/>
            <w:vAlign w:val="bottom"/>
          </w:tcPr>
          <w:p>
            <w:pPr>
              <w:ind w:left="160"/>
              <w:spacing w:after="0" w:line="176" w:lineRule="exact"/>
              <w:rPr>
                <w:sz w:val="20"/>
                <w:szCs w:val="20"/>
                <w:color w:val="auto"/>
              </w:rPr>
            </w:pPr>
            <w:r>
              <w:rPr>
                <w:rFonts w:ascii="Arial" w:cs="Arial" w:eastAsia="Arial" w:hAnsi="Arial"/>
                <w:sz w:val="13"/>
                <w:szCs w:val="13"/>
                <w:color w:val="auto"/>
              </w:rPr>
              <w:t>Loss on extinguishment of debt</w:t>
            </w:r>
            <w:r>
              <w:rPr>
                <w:rFonts w:ascii="Arial" w:cs="Arial" w:eastAsia="Arial" w:hAnsi="Arial"/>
                <w:sz w:val="20"/>
                <w:szCs w:val="20"/>
                <w:color w:val="auto"/>
                <w:vertAlign w:val="superscript"/>
              </w:rPr>
              <w:t>5</w:t>
            </w:r>
          </w:p>
        </w:tc>
        <w:tc>
          <w:tcPr>
            <w:tcW w:w="60" w:type="dxa"/>
            <w:vAlign w:val="bottom"/>
          </w:tcPr>
          <w:p>
            <w:pPr>
              <w:spacing w:after="0"/>
              <w:rPr>
                <w:sz w:val="15"/>
                <w:szCs w:val="15"/>
                <w:color w:val="auto"/>
              </w:rPr>
            </w:pP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900" w:type="dxa"/>
            <w:vAlign w:val="bottom"/>
          </w:tcPr>
          <w:p>
            <w:pPr>
              <w:jc w:val="right"/>
              <w:ind w:right="17"/>
              <w:spacing w:after="0"/>
              <w:rPr>
                <w:sz w:val="20"/>
                <w:szCs w:val="20"/>
                <w:color w:val="auto"/>
              </w:rPr>
            </w:pPr>
            <w:r>
              <w:rPr>
                <w:rFonts w:ascii="Arial" w:cs="Arial" w:eastAsia="Arial" w:hAnsi="Arial"/>
                <w:sz w:val="13"/>
                <w:szCs w:val="13"/>
                <w:color w:val="auto"/>
              </w:rPr>
              <w:t>40</w:t>
            </w:r>
          </w:p>
        </w:tc>
        <w:tc>
          <w:tcPr>
            <w:tcW w:w="120" w:type="dxa"/>
            <w:vAlign w:val="bottom"/>
          </w:tcPr>
          <w:p>
            <w:pPr>
              <w:spacing w:after="0"/>
              <w:rPr>
                <w:sz w:val="15"/>
                <w:szCs w:val="15"/>
                <w:color w:val="auto"/>
              </w:rPr>
            </w:pPr>
          </w:p>
        </w:tc>
        <w:tc>
          <w:tcPr>
            <w:tcW w:w="940" w:type="dxa"/>
            <w:vAlign w:val="bottom"/>
          </w:tcPr>
          <w:p>
            <w:pPr>
              <w:jc w:val="right"/>
              <w:ind w:right="17"/>
              <w:spacing w:after="0"/>
              <w:rPr>
                <w:sz w:val="20"/>
                <w:szCs w:val="20"/>
                <w:color w:val="auto"/>
              </w:rPr>
            </w:pPr>
            <w:r>
              <w:rPr>
                <w:rFonts w:ascii="Arial" w:cs="Arial" w:eastAsia="Arial" w:hAnsi="Arial"/>
                <w:sz w:val="13"/>
                <w:szCs w:val="13"/>
                <w:color w:val="auto"/>
              </w:rPr>
              <w:t>0.05</w:t>
            </w:r>
          </w:p>
        </w:tc>
        <w:tc>
          <w:tcPr>
            <w:tcW w:w="100" w:type="dxa"/>
            <w:vAlign w:val="bottom"/>
          </w:tcPr>
          <w:p>
            <w:pPr>
              <w:spacing w:after="0"/>
              <w:rPr>
                <w:sz w:val="15"/>
                <w:szCs w:val="15"/>
                <w:color w:val="auto"/>
              </w:rPr>
            </w:pPr>
          </w:p>
        </w:tc>
        <w:tc>
          <w:tcPr>
            <w:tcW w:w="1000" w:type="dxa"/>
            <w:vAlign w:val="bottom"/>
          </w:tcPr>
          <w:p>
            <w:pPr>
              <w:jc w:val="right"/>
              <w:ind w:right="57"/>
              <w:spacing w:after="0"/>
              <w:rPr>
                <w:sz w:val="20"/>
                <w:szCs w:val="20"/>
                <w:color w:val="auto"/>
              </w:rPr>
            </w:pPr>
            <w:r>
              <w:rPr>
                <w:rFonts w:ascii="Arial" w:cs="Arial" w:eastAsia="Arial" w:hAnsi="Arial"/>
                <w:sz w:val="13"/>
                <w:szCs w:val="13"/>
                <w:color w:val="auto"/>
              </w:rPr>
              <w:t>0.05</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520" w:type="dxa"/>
            <w:vAlign w:val="bottom"/>
          </w:tcPr>
          <w:p>
            <w:pPr>
              <w:ind w:left="160"/>
              <w:spacing w:after="0" w:line="176" w:lineRule="exact"/>
              <w:rPr>
                <w:sz w:val="20"/>
                <w:szCs w:val="20"/>
                <w:color w:val="auto"/>
              </w:rPr>
            </w:pPr>
            <w:r>
              <w:rPr>
                <w:rFonts w:ascii="Arial" w:cs="Arial" w:eastAsia="Arial" w:hAnsi="Arial"/>
                <w:sz w:val="13"/>
                <w:szCs w:val="13"/>
                <w:color w:val="auto"/>
              </w:rPr>
              <w:t>Income tax impacts from items above</w:t>
            </w:r>
            <w:r>
              <w:rPr>
                <w:rFonts w:ascii="Arial" w:cs="Arial" w:eastAsia="Arial" w:hAnsi="Arial"/>
                <w:sz w:val="20"/>
                <w:szCs w:val="20"/>
                <w:color w:val="auto"/>
                <w:vertAlign w:val="superscript"/>
              </w:rPr>
              <w:t>6</w:t>
            </w:r>
          </w:p>
        </w:tc>
        <w:tc>
          <w:tcPr>
            <w:tcW w:w="60" w:type="dxa"/>
            <w:vAlign w:val="bottom"/>
          </w:tcPr>
          <w:p>
            <w:pPr>
              <w:spacing w:after="0"/>
              <w:rPr>
                <w:sz w:val="15"/>
                <w:szCs w:val="15"/>
                <w:color w:val="auto"/>
              </w:rPr>
            </w:pP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(167)</w:t>
            </w:r>
          </w:p>
        </w:tc>
        <w:tc>
          <w:tcPr>
            <w:tcW w:w="1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(0.22)</w:t>
            </w:r>
          </w:p>
        </w:tc>
        <w:tc>
          <w:tcPr>
            <w:tcW w:w="100" w:type="dxa"/>
            <w:vAlign w:val="bottom"/>
          </w:tcPr>
          <w:p>
            <w:pPr>
              <w:spacing w:after="0"/>
              <w:rPr>
                <w:sz w:val="15"/>
                <w:szCs w:val="15"/>
                <w:color w:val="auto"/>
              </w:rPr>
            </w:pPr>
          </w:p>
        </w:tc>
        <w:tc>
          <w:tcPr>
            <w:tcW w:w="1000" w:type="dxa"/>
            <w:vAlign w:val="bottom"/>
          </w:tcPr>
          <w:p>
            <w:pPr>
              <w:jc w:val="right"/>
              <w:ind w:right="17"/>
              <w:spacing w:after="0"/>
              <w:rPr>
                <w:sz w:val="20"/>
                <w:szCs w:val="20"/>
                <w:color w:val="auto"/>
              </w:rPr>
            </w:pPr>
            <w:r>
              <w:rPr>
                <w:rFonts w:ascii="Arial" w:cs="Arial" w:eastAsia="Arial" w:hAnsi="Arial"/>
                <w:sz w:val="13"/>
                <w:szCs w:val="13"/>
                <w:color w:val="auto"/>
              </w:rPr>
              <w:t>(0.22)</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520" w:type="dxa"/>
            <w:vAlign w:val="bottom"/>
          </w:tcPr>
          <w:p>
            <w:pPr>
              <w:ind w:left="160"/>
              <w:spacing w:after="0" w:line="183" w:lineRule="exact"/>
              <w:rPr>
                <w:sz w:val="20"/>
                <w:szCs w:val="20"/>
                <w:color w:val="auto"/>
              </w:rPr>
            </w:pPr>
            <w:r>
              <w:rPr>
                <w:rFonts w:ascii="Arial" w:cs="Arial" w:eastAsia="Arial" w:hAnsi="Arial"/>
                <w:sz w:val="13"/>
                <w:szCs w:val="13"/>
                <w:color w:val="auto"/>
              </w:rPr>
              <w:t>Discrete tax-related items</w:t>
            </w:r>
            <w:r>
              <w:rPr>
                <w:rFonts w:ascii="Arial" w:cs="Arial" w:eastAsia="Arial" w:hAnsi="Arial"/>
                <w:sz w:val="20"/>
                <w:szCs w:val="20"/>
                <w:color w:val="auto"/>
                <w:vertAlign w:val="superscript"/>
              </w:rPr>
              <w:t>7</w:t>
            </w:r>
          </w:p>
        </w:tc>
        <w:tc>
          <w:tcPr>
            <w:tcW w:w="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(211)</w:t>
            </w: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(0.27)</w:t>
            </w: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(0.27)</w:t>
            </w:r>
          </w:p>
        </w:tc>
        <w:tc>
          <w:tcPr>
            <w:tcW w:w="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540" w:type="dxa"/>
            <w:vAlign w:val="bottom"/>
            <w:gridSpan w:val="2"/>
          </w:tcPr>
          <w:p>
            <w:pPr>
              <w:spacing w:after="0" w:line="129" w:lineRule="exact"/>
              <w:rPr>
                <w:sz w:val="20"/>
                <w:szCs w:val="20"/>
                <w:color w:val="auto"/>
              </w:rPr>
            </w:pPr>
            <w:r>
              <w:rPr>
                <w:rFonts w:ascii="Arial" w:cs="Arial" w:eastAsia="Arial" w:hAnsi="Arial"/>
                <w:sz w:val="13"/>
                <w:szCs w:val="13"/>
                <w:color w:val="auto"/>
              </w:rPr>
              <w:t>Non-GAAP Measurement</w:t>
            </w: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800" w:type="dxa"/>
            <w:vAlign w:val="bottom"/>
            <w:tcBorders>
              <w:bottom w:val="single" w:sz="8" w:color="auto"/>
            </w:tcBorders>
          </w:tcPr>
          <w:p>
            <w:pPr>
              <w:jc w:val="right"/>
              <w:ind w:right="17"/>
              <w:spacing w:after="0" w:line="129" w:lineRule="exact"/>
              <w:rPr>
                <w:sz w:val="20"/>
                <w:szCs w:val="20"/>
                <w:color w:val="auto"/>
              </w:rPr>
            </w:pPr>
            <w:r>
              <w:rPr>
                <w:rFonts w:ascii="Arial" w:cs="Arial" w:eastAsia="Arial" w:hAnsi="Arial"/>
                <w:sz w:val="13"/>
                <w:szCs w:val="13"/>
                <w:color w:val="auto"/>
              </w:rPr>
              <w:t>2,577</w:t>
            </w:r>
          </w:p>
        </w:tc>
        <w:tc>
          <w:tcPr>
            <w:tcW w:w="1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900" w:type="dxa"/>
            <w:vAlign w:val="bottom"/>
            <w:tcBorders>
              <w:bottom w:val="single" w:sz="8" w:color="auto"/>
            </w:tcBorders>
          </w:tcPr>
          <w:p>
            <w:pPr>
              <w:jc w:val="right"/>
              <w:ind w:right="17"/>
              <w:spacing w:after="0" w:line="129" w:lineRule="exact"/>
              <w:rPr>
                <w:sz w:val="20"/>
                <w:szCs w:val="20"/>
                <w:color w:val="auto"/>
              </w:rPr>
            </w:pPr>
            <w:r>
              <w:rPr>
                <w:rFonts w:ascii="Arial" w:cs="Arial" w:eastAsia="Arial" w:hAnsi="Arial"/>
                <w:sz w:val="13"/>
                <w:szCs w:val="13"/>
                <w:color w:val="auto"/>
              </w:rPr>
              <w:t>2,099</w:t>
            </w:r>
          </w:p>
        </w:tc>
        <w:tc>
          <w:tcPr>
            <w:tcW w:w="1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940" w:type="dxa"/>
            <w:vAlign w:val="bottom"/>
            <w:tcBorders>
              <w:bottom w:val="single" w:sz="8" w:color="auto"/>
            </w:tcBorders>
          </w:tcPr>
          <w:p>
            <w:pPr>
              <w:jc w:val="right"/>
              <w:ind w:right="17"/>
              <w:spacing w:after="0" w:line="129" w:lineRule="exact"/>
              <w:rPr>
                <w:sz w:val="20"/>
                <w:szCs w:val="20"/>
                <w:color w:val="auto"/>
              </w:rPr>
            </w:pPr>
            <w:r>
              <w:rPr>
                <w:rFonts w:ascii="Arial" w:cs="Arial" w:eastAsia="Arial" w:hAnsi="Arial"/>
                <w:sz w:val="13"/>
                <w:szCs w:val="13"/>
                <w:color w:val="auto"/>
              </w:rPr>
              <w:t>2.76</w:t>
            </w:r>
          </w:p>
        </w:tc>
        <w:tc>
          <w:tcPr>
            <w:tcW w:w="1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1000" w:type="dxa"/>
            <w:vAlign w:val="bottom"/>
            <w:tcBorders>
              <w:bottom w:val="single" w:sz="8" w:color="auto"/>
            </w:tcBorders>
          </w:tcPr>
          <w:p>
            <w:pPr>
              <w:jc w:val="right"/>
              <w:ind w:right="57"/>
              <w:spacing w:after="0" w:line="129" w:lineRule="exact"/>
              <w:rPr>
                <w:sz w:val="20"/>
                <w:szCs w:val="20"/>
                <w:color w:val="auto"/>
              </w:rPr>
            </w:pPr>
            <w:r>
              <w:rPr>
                <w:rFonts w:ascii="Arial" w:cs="Arial" w:eastAsia="Arial" w:hAnsi="Arial"/>
                <w:sz w:val="13"/>
                <w:szCs w:val="13"/>
                <w:color w:val="auto"/>
              </w:rPr>
              <w:t>2.72</w:t>
            </w:r>
          </w:p>
        </w:tc>
        <w:tc>
          <w:tcPr>
            <w:tcW w:w="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20" w:type="dxa"/>
            <w:vAlign w:val="bottom"/>
            <w:vMerge w:val="restart"/>
          </w:tcPr>
          <w:p>
            <w:pPr>
              <w:ind w:left="160"/>
              <w:spacing w:after="0"/>
              <w:rPr>
                <w:sz w:val="20"/>
                <w:szCs w:val="20"/>
                <w:color w:val="auto"/>
              </w:rPr>
            </w:pPr>
            <w:r>
              <w:rPr>
                <w:rFonts w:ascii="Arial" w:cs="Arial" w:eastAsia="Arial" w:hAnsi="Arial"/>
                <w:sz w:val="13"/>
                <w:szCs w:val="13"/>
                <w:color w:val="auto"/>
                <w:w w:val="94"/>
              </w:rPr>
              <w:t>Net effect of deferred revenues and related</w:t>
            </w:r>
          </w:p>
        </w:tc>
        <w:tc>
          <w:tcPr>
            <w:tcW w:w="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2520" w:type="dxa"/>
            <w:vAlign w:val="bottom"/>
            <w:vMerge w:val="continue"/>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2520" w:type="dxa"/>
            <w:vAlign w:val="bottom"/>
          </w:tcPr>
          <w:p>
            <w:pPr>
              <w:ind w:left="160"/>
              <w:spacing w:after="0"/>
              <w:rPr>
                <w:sz w:val="20"/>
                <w:szCs w:val="20"/>
                <w:color w:val="auto"/>
              </w:rPr>
            </w:pPr>
            <w:r>
              <w:rPr>
                <w:rFonts w:ascii="Arial" w:cs="Arial" w:eastAsia="Arial" w:hAnsi="Arial"/>
                <w:sz w:val="13"/>
                <w:szCs w:val="13"/>
                <w:color w:val="auto"/>
              </w:rPr>
              <w:t>cost of revenues</w:t>
            </w:r>
            <w:r>
              <w:rPr>
                <w:rFonts w:ascii="Arial" w:cs="Arial" w:eastAsia="Arial" w:hAnsi="Arial"/>
                <w:sz w:val="20"/>
                <w:szCs w:val="20"/>
                <w:color w:val="auto"/>
                <w:vertAlign w:val="superscript"/>
              </w:rPr>
              <w:t>4</w:t>
            </w: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(100)</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(96)</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(0.13)</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17"/>
              <w:spacing w:after="0"/>
              <w:rPr>
                <w:sz w:val="20"/>
                <w:szCs w:val="20"/>
                <w:color w:val="auto"/>
              </w:rPr>
            </w:pPr>
            <w:r>
              <w:rPr>
                <w:rFonts w:ascii="Arial" w:cs="Arial" w:eastAsia="Arial" w:hAnsi="Arial"/>
                <w:sz w:val="13"/>
                <w:szCs w:val="13"/>
                <w:color w:val="auto"/>
              </w:rPr>
              <w:t>(0.12)</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340" w:hanging="332"/>
        <w:spacing w:after="0"/>
        <w:tabs>
          <w:tab w:leader="none" w:pos="340" w:val="left"/>
        </w:tabs>
        <w:numPr>
          <w:ilvl w:val="0"/>
          <w:numId w:val="39"/>
        </w:numPr>
        <w:rPr>
          <w:rFonts w:ascii="Arial" w:cs="Arial" w:eastAsia="Arial" w:hAnsi="Arial"/>
          <w:sz w:val="10"/>
          <w:szCs w:val="10"/>
          <w:color w:val="auto"/>
        </w:rPr>
      </w:pPr>
      <w:r>
        <w:rPr>
          <w:rFonts w:ascii="Arial" w:cs="Arial" w:eastAsia="Arial" w:hAnsi="Arial"/>
          <w:sz w:val="13"/>
          <w:szCs w:val="13"/>
          <w:color w:val="auto"/>
        </w:rPr>
        <w:t>Includes expenses related to share-based compensation.</w:t>
      </w:r>
    </w:p>
    <w:p>
      <w:pPr>
        <w:spacing w:after="0" w:line="8" w:lineRule="exact"/>
        <w:rPr>
          <w:sz w:val="20"/>
          <w:szCs w:val="20"/>
          <w:color w:val="auto"/>
        </w:rPr>
      </w:pPr>
    </w:p>
    <w:p>
      <w:pPr>
        <w:ind w:left="340" w:hanging="332"/>
        <w:spacing w:after="0"/>
        <w:tabs>
          <w:tab w:leader="none" w:pos="340" w:val="left"/>
        </w:tabs>
        <w:numPr>
          <w:ilvl w:val="0"/>
          <w:numId w:val="40"/>
        </w:numPr>
        <w:rPr>
          <w:rFonts w:ascii="Arial" w:cs="Arial" w:eastAsia="Arial" w:hAnsi="Arial"/>
          <w:sz w:val="10"/>
          <w:szCs w:val="10"/>
          <w:color w:val="auto"/>
        </w:rPr>
      </w:pPr>
      <w:r>
        <w:rPr>
          <w:rFonts w:ascii="Arial" w:cs="Arial" w:eastAsia="Arial" w:hAnsi="Arial"/>
          <w:sz w:val="13"/>
          <w:szCs w:val="13"/>
          <w:color w:val="auto"/>
        </w:rPr>
        <w:t>Reflects amortization of intangible assets from purchase price accounting.</w:t>
      </w:r>
    </w:p>
    <w:p>
      <w:pPr>
        <w:ind w:left="340" w:hanging="332"/>
        <w:spacing w:after="0"/>
        <w:tabs>
          <w:tab w:leader="none" w:pos="340" w:val="left"/>
        </w:tabs>
        <w:numPr>
          <w:ilvl w:val="0"/>
          <w:numId w:val="41"/>
        </w:numPr>
        <w:rPr>
          <w:rFonts w:ascii="Arial" w:cs="Arial" w:eastAsia="Arial" w:hAnsi="Arial"/>
          <w:sz w:val="10"/>
          <w:szCs w:val="10"/>
          <w:color w:val="auto"/>
        </w:rPr>
      </w:pPr>
      <w:r>
        <w:rPr>
          <w:rFonts w:ascii="Arial" w:cs="Arial" w:eastAsia="Arial" w:hAnsi="Arial"/>
          <w:sz w:val="13"/>
          <w:szCs w:val="13"/>
          <w:color w:val="auto"/>
        </w:rPr>
        <w:t>Reflects restructuring initiatives, primarily severance and other restructuring-related costs.</w:t>
      </w:r>
    </w:p>
    <w:p>
      <w:pPr>
        <w:ind w:left="340" w:hanging="332"/>
        <w:spacing w:after="0"/>
        <w:tabs>
          <w:tab w:leader="none" w:pos="340" w:val="left"/>
        </w:tabs>
        <w:numPr>
          <w:ilvl w:val="0"/>
          <w:numId w:val="42"/>
        </w:numPr>
        <w:rPr>
          <w:rFonts w:ascii="Arial" w:cs="Arial" w:eastAsia="Arial" w:hAnsi="Arial"/>
          <w:sz w:val="10"/>
          <w:szCs w:val="10"/>
          <w:color w:val="auto"/>
        </w:rPr>
      </w:pPr>
      <w:r>
        <w:rPr>
          <w:rFonts w:ascii="Arial" w:cs="Arial" w:eastAsia="Arial" w:hAnsi="Arial"/>
          <w:sz w:val="12"/>
          <w:szCs w:val="12"/>
          <w:color w:val="auto"/>
        </w:rPr>
        <w:t>Reflects the net effect from deferral of revenues and (recognition) of deferred revenues, along with related cost of revenues, on certain of our online enabled products, including the effects of taxes.</w:t>
      </w:r>
    </w:p>
    <w:p>
      <w:pPr>
        <w:spacing w:after="0" w:line="10" w:lineRule="exact"/>
        <w:rPr>
          <w:rFonts w:ascii="Arial" w:cs="Arial" w:eastAsia="Arial" w:hAnsi="Arial"/>
          <w:sz w:val="10"/>
          <w:szCs w:val="10"/>
          <w:color w:val="auto"/>
        </w:rPr>
      </w:pPr>
    </w:p>
    <w:p>
      <w:pPr>
        <w:spacing w:after="0"/>
        <w:rPr>
          <w:rFonts w:ascii="Arial" w:cs="Arial" w:eastAsia="Arial" w:hAnsi="Arial"/>
          <w:sz w:val="10"/>
          <w:szCs w:val="10"/>
          <w:color w:val="auto"/>
        </w:rPr>
      </w:pPr>
      <w:r>
        <w:rPr>
          <w:rFonts w:ascii="Arial" w:cs="Arial" w:eastAsia="Arial" w:hAnsi="Arial"/>
          <w:sz w:val="10"/>
          <w:szCs w:val="10"/>
          <w:color w:val="auto"/>
        </w:rPr>
        <w:t>5</w:t>
      </w:r>
      <w:r>
        <w:rPr>
          <w:rFonts w:ascii="Arial" w:cs="Arial" w:eastAsia="Arial" w:hAnsi="Arial"/>
          <w:sz w:val="11"/>
          <w:szCs w:val="11"/>
          <w:color w:val="auto"/>
        </w:rPr>
        <w:t>Reflects the loss on extinguishment of debt from redemption activities.</w:t>
      </w:r>
    </w:p>
    <w:p>
      <w:pPr>
        <w:spacing w:after="0" w:line="22" w:lineRule="exact"/>
        <w:rPr>
          <w:rFonts w:ascii="Arial" w:cs="Arial" w:eastAsia="Arial" w:hAnsi="Arial"/>
          <w:sz w:val="10"/>
          <w:szCs w:val="10"/>
          <w:color w:val="auto"/>
        </w:rPr>
      </w:pPr>
    </w:p>
    <w:p>
      <w:pPr>
        <w:ind w:left="340" w:right="100" w:hanging="324"/>
        <w:spacing w:after="0" w:line="216" w:lineRule="auto"/>
        <w:rPr>
          <w:rFonts w:ascii="Arial" w:cs="Arial" w:eastAsia="Arial" w:hAnsi="Arial"/>
          <w:sz w:val="10"/>
          <w:szCs w:val="10"/>
          <w:color w:val="auto"/>
        </w:rPr>
      </w:pPr>
      <w:r>
        <w:rPr>
          <w:rFonts w:ascii="Arial" w:cs="Arial" w:eastAsia="Arial" w:hAnsi="Arial"/>
          <w:sz w:val="10"/>
          <w:szCs w:val="10"/>
          <w:color w:val="auto"/>
        </w:rPr>
        <w:t>6</w:t>
      </w:r>
      <w:r>
        <w:rPr>
          <w:rFonts w:ascii="Arial" w:cs="Arial" w:eastAsia="Arial" w:hAnsi="Arial"/>
          <w:sz w:val="13"/>
          <w:szCs w:val="13"/>
          <w:color w:val="auto"/>
        </w:rPr>
        <w:t>Reflects the income tax impact associated with the above items. Tax impact on non-GAAP pre-tax income is calculated under the same accounting principles applied to the GAAP pre-tax income under ASC 740, which employs an annual effective tax rate method to the results.</w:t>
      </w:r>
    </w:p>
    <w:p>
      <w:pPr>
        <w:spacing w:after="0" w:line="1" w:lineRule="exact"/>
        <w:rPr>
          <w:rFonts w:ascii="Arial" w:cs="Arial" w:eastAsia="Arial" w:hAnsi="Arial"/>
          <w:sz w:val="10"/>
          <w:szCs w:val="10"/>
          <w:color w:val="auto"/>
        </w:rPr>
      </w:pPr>
    </w:p>
    <w:p>
      <w:pPr>
        <w:ind w:left="340" w:right="20" w:hanging="324"/>
        <w:spacing w:after="0" w:line="216" w:lineRule="auto"/>
        <w:rPr>
          <w:rFonts w:ascii="Arial" w:cs="Arial" w:eastAsia="Arial" w:hAnsi="Arial"/>
          <w:sz w:val="10"/>
          <w:szCs w:val="10"/>
          <w:color w:val="auto"/>
        </w:rPr>
      </w:pPr>
      <w:r>
        <w:rPr>
          <w:rFonts w:ascii="Arial" w:cs="Arial" w:eastAsia="Arial" w:hAnsi="Arial"/>
          <w:sz w:val="10"/>
          <w:szCs w:val="10"/>
          <w:color w:val="auto"/>
        </w:rPr>
        <w:t>7</w:t>
      </w:r>
      <w:r>
        <w:rPr>
          <w:rFonts w:ascii="Arial" w:cs="Arial" w:eastAsia="Arial" w:hAnsi="Arial"/>
          <w:sz w:val="13"/>
          <w:szCs w:val="13"/>
          <w:color w:val="auto"/>
        </w:rPr>
        <w:t>Reflects the impact of significant discrete tax-related items, including amounts related to changes in tax laws, amounts related to the potential or final resolution of tax positions, and/or other unusual or unique tax-related items and activities. Activision Blizzard provided additional information in our Form 10-K for the year ended December 31, 2018.</w:t>
      </w:r>
    </w:p>
    <w:p>
      <w:pPr>
        <w:spacing w:after="0" w:line="1" w:lineRule="exact"/>
        <w:rPr>
          <w:rFonts w:ascii="Arial" w:cs="Arial" w:eastAsia="Arial" w:hAnsi="Arial"/>
          <w:sz w:val="10"/>
          <w:szCs w:val="10"/>
          <w:color w:val="auto"/>
        </w:rPr>
      </w:pPr>
    </w:p>
    <w:p>
      <w:pPr>
        <w:ind w:left="340" w:right="420" w:hanging="324"/>
        <w:spacing w:after="0" w:line="229" w:lineRule="auto"/>
        <w:rPr>
          <w:rFonts w:ascii="Arial" w:cs="Arial" w:eastAsia="Arial" w:hAnsi="Arial"/>
          <w:sz w:val="10"/>
          <w:szCs w:val="10"/>
          <w:color w:val="auto"/>
        </w:rPr>
      </w:pPr>
      <w:r>
        <w:rPr>
          <w:rFonts w:ascii="Arial" w:cs="Arial" w:eastAsia="Arial" w:hAnsi="Arial"/>
          <w:sz w:val="10"/>
          <w:szCs w:val="10"/>
          <w:color w:val="auto"/>
        </w:rPr>
        <w:t>8</w:t>
      </w:r>
      <w:r>
        <w:rPr>
          <w:rFonts w:ascii="Arial" w:cs="Arial" w:eastAsia="Arial" w:hAnsi="Arial"/>
          <w:sz w:val="13"/>
          <w:szCs w:val="13"/>
          <w:color w:val="auto"/>
        </w:rPr>
        <w:t>GAAP Net Income, GAAP EPS, and Discrete tax-related items, as presented above, have been revised to reflect the reduction in income tax expense for Q4 2018 that was identified during Q1 2019, as previously discussed.</w:t>
      </w:r>
    </w:p>
    <w:p>
      <w:pPr>
        <w:spacing w:after="0" w:line="110" w:lineRule="exact"/>
        <w:rPr>
          <w:sz w:val="20"/>
          <w:szCs w:val="20"/>
          <w:color w:val="auto"/>
        </w:rPr>
      </w:pPr>
    </w:p>
    <w:p>
      <w:pPr>
        <w:spacing w:after="0"/>
        <w:rPr>
          <w:sz w:val="20"/>
          <w:szCs w:val="20"/>
          <w:color w:val="auto"/>
        </w:rPr>
      </w:pPr>
      <w:r>
        <w:rPr>
          <w:rFonts w:ascii="Arial" w:cs="Arial" w:eastAsia="Arial" w:hAnsi="Arial"/>
          <w:sz w:val="13"/>
          <w:szCs w:val="13"/>
          <w:color w:val="auto"/>
        </w:rPr>
        <w:t>The GAAP and non-GAAP earnings per share information is presented as calculated. The sum of these measures, as presented, may differ due to the impact of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7" w:name="page18"/>
    <w:bookmarkEnd w:id="17"/>
    <w:p>
      <w:pPr>
        <w:jc w:val="right"/>
        <w:spacing w:after="0"/>
        <w:rPr>
          <w:sz w:val="20"/>
          <w:szCs w:val="20"/>
          <w:color w:val="auto"/>
        </w:rPr>
      </w:pPr>
      <w:r>
        <w:rPr>
          <w:rFonts w:ascii="Arial" w:cs="Arial" w:eastAsia="Arial" w:hAnsi="Arial"/>
          <w:sz w:val="18"/>
          <w:szCs w:val="18"/>
          <w:b w:val="1"/>
          <w:bCs w:val="1"/>
          <w:color w:val="auto"/>
        </w:rPr>
        <w:t>9</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ACTIVISION BLIZZARD,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SEGMENTS INFORMATION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Months and Years Ended December 31, 2019 and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in millions)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3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right"/>
              <w:ind w:right="18"/>
              <w:spacing w:after="0"/>
              <w:rPr>
                <w:sz w:val="20"/>
                <w:szCs w:val="20"/>
                <w:color w:val="auto"/>
              </w:rPr>
            </w:pPr>
            <w:r>
              <w:rPr>
                <w:rFonts w:ascii="Arial" w:cs="Arial" w:eastAsia="Arial" w:hAnsi="Arial"/>
                <w:sz w:val="14"/>
                <w:szCs w:val="14"/>
                <w:b w:val="1"/>
                <w:bCs w:val="1"/>
                <w:color w:val="auto"/>
              </w:rPr>
              <w:t>December 31, 2019</w:t>
            </w:r>
          </w:p>
        </w:tc>
        <w:tc>
          <w:tcPr>
            <w:tcW w:w="3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5"/>
          </w:tcPr>
          <w:p>
            <w:pPr>
              <w:ind w:left="100"/>
              <w:spacing w:after="0"/>
              <w:rPr>
                <w:sz w:val="20"/>
                <w:szCs w:val="20"/>
                <w:color w:val="auto"/>
              </w:rPr>
            </w:pPr>
            <w:r>
              <w:rPr>
                <w:rFonts w:ascii="Arial" w:cs="Arial" w:eastAsia="Arial" w:hAnsi="Arial"/>
                <w:sz w:val="14"/>
                <w:szCs w:val="14"/>
                <w:b w:val="1"/>
                <w:bCs w:val="1"/>
                <w:color w:val="auto"/>
              </w:rPr>
              <w:t>$ Increase / (Decrease)</w:t>
            </w: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340" w:type="dxa"/>
            <w:vAlign w:val="bottom"/>
            <w:vMerge w:val="restart"/>
          </w:tcPr>
          <w:p>
            <w:pPr>
              <w:spacing w:after="0"/>
              <w:rPr>
                <w:sz w:val="20"/>
                <w:szCs w:val="20"/>
                <w:color w:val="auto"/>
              </w:rPr>
            </w:pPr>
            <w:r>
              <w:rPr>
                <w:rFonts w:ascii="Arial" w:cs="Arial" w:eastAsia="Arial" w:hAnsi="Arial"/>
                <w:sz w:val="14"/>
                <w:szCs w:val="14"/>
                <w:b w:val="1"/>
                <w:bCs w:val="1"/>
                <w:color w:val="auto"/>
              </w:rPr>
              <w:t>Segment Net Revenues</w:t>
            </w:r>
          </w:p>
        </w:tc>
        <w:tc>
          <w:tcPr>
            <w:tcW w:w="120" w:type="dxa"/>
            <w:vAlign w:val="bottom"/>
          </w:tcPr>
          <w:p>
            <w:pPr>
              <w:spacing w:after="0"/>
              <w:rPr>
                <w:sz w:val="12"/>
                <w:szCs w:val="12"/>
                <w:color w:val="auto"/>
              </w:rPr>
            </w:pPr>
          </w:p>
        </w:tc>
        <w:tc>
          <w:tcPr>
            <w:tcW w:w="820" w:type="dxa"/>
            <w:vAlign w:val="bottom"/>
            <w:gridSpan w:val="2"/>
          </w:tcPr>
          <w:p>
            <w:pPr>
              <w:jc w:val="right"/>
              <w:ind w:right="88"/>
              <w:spacing w:after="0" w:line="142" w:lineRule="exact"/>
              <w:rPr>
                <w:sz w:val="20"/>
                <w:szCs w:val="20"/>
                <w:color w:val="auto"/>
              </w:rPr>
            </w:pPr>
            <w:r>
              <w:rPr>
                <w:rFonts w:ascii="Arial" w:cs="Arial" w:eastAsia="Arial" w:hAnsi="Arial"/>
                <w:sz w:val="14"/>
                <w:szCs w:val="14"/>
                <w:b w:val="1"/>
                <w:bCs w:val="1"/>
                <w:color w:val="auto"/>
                <w:w w:val="95"/>
              </w:rPr>
              <w:t>Activision</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ind w:right="188"/>
              <w:spacing w:after="0" w:line="142" w:lineRule="exact"/>
              <w:rPr>
                <w:sz w:val="20"/>
                <w:szCs w:val="20"/>
                <w:color w:val="auto"/>
              </w:rPr>
            </w:pPr>
            <w:r>
              <w:rPr>
                <w:rFonts w:ascii="Arial" w:cs="Arial" w:eastAsia="Arial" w:hAnsi="Arial"/>
                <w:sz w:val="14"/>
                <w:szCs w:val="14"/>
                <w:b w:val="1"/>
                <w:bCs w:val="1"/>
                <w:color w:val="auto"/>
              </w:rPr>
              <w:t>Blizzard</w:t>
            </w:r>
          </w:p>
        </w:tc>
        <w:tc>
          <w:tcPr>
            <w:tcW w:w="140" w:type="dxa"/>
            <w:vAlign w:val="bottom"/>
          </w:tcPr>
          <w:p>
            <w:pPr>
              <w:spacing w:after="0"/>
              <w:rPr>
                <w:sz w:val="12"/>
                <w:szCs w:val="12"/>
                <w:color w:val="auto"/>
              </w:rPr>
            </w:pPr>
          </w:p>
        </w:tc>
        <w:tc>
          <w:tcPr>
            <w:tcW w:w="5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King</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right"/>
              <w:ind w:right="328"/>
              <w:spacing w:after="0" w:line="142" w:lineRule="exact"/>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jc w:val="right"/>
              <w:ind w:right="128"/>
              <w:spacing w:after="0" w:line="142" w:lineRule="exact"/>
              <w:rPr>
                <w:sz w:val="20"/>
                <w:szCs w:val="20"/>
                <w:color w:val="auto"/>
              </w:rPr>
            </w:pPr>
            <w:r>
              <w:rPr>
                <w:rFonts w:ascii="Arial" w:cs="Arial" w:eastAsia="Arial" w:hAnsi="Arial"/>
                <w:sz w:val="14"/>
                <w:szCs w:val="14"/>
                <w:b w:val="1"/>
                <w:bCs w:val="1"/>
                <w:color w:val="auto"/>
                <w:w w:val="89"/>
              </w:rPr>
              <w:t>Activision</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ind w:right="168"/>
              <w:spacing w:after="0" w:line="142" w:lineRule="exact"/>
              <w:rPr>
                <w:sz w:val="20"/>
                <w:szCs w:val="20"/>
                <w:color w:val="auto"/>
              </w:rPr>
            </w:pPr>
            <w:r>
              <w:rPr>
                <w:rFonts w:ascii="Arial" w:cs="Arial" w:eastAsia="Arial" w:hAnsi="Arial"/>
                <w:sz w:val="14"/>
                <w:szCs w:val="14"/>
                <w:b w:val="1"/>
                <w:bCs w:val="1"/>
                <w:color w:val="auto"/>
                <w:w w:val="96"/>
              </w:rPr>
              <w:t>Blizzard</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ind w:left="80"/>
              <w:spacing w:after="0" w:line="142" w:lineRule="exact"/>
              <w:rPr>
                <w:sz w:val="20"/>
                <w:szCs w:val="20"/>
                <w:color w:val="auto"/>
              </w:rPr>
            </w:pPr>
            <w:r>
              <w:rPr>
                <w:rFonts w:ascii="Arial" w:cs="Arial" w:eastAsia="Arial" w:hAnsi="Arial"/>
                <w:sz w:val="14"/>
                <w:szCs w:val="14"/>
                <w:b w:val="1"/>
                <w:bCs w:val="1"/>
                <w:color w:val="auto"/>
              </w:rPr>
              <w:t>King</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ind w:right="268"/>
              <w:spacing w:after="0" w:line="142"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23"/>
        </w:trPr>
        <w:tc>
          <w:tcPr>
            <w:tcW w:w="334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3340" w:type="dxa"/>
            <w:vAlign w:val="bottom"/>
          </w:tcPr>
          <w:p>
            <w:pPr>
              <w:ind w:left="180"/>
              <w:spacing w:after="0" w:line="159" w:lineRule="exact"/>
              <w:rPr>
                <w:sz w:val="20"/>
                <w:szCs w:val="20"/>
                <w:color w:val="auto"/>
              </w:rPr>
            </w:pPr>
            <w:r>
              <w:rPr>
                <w:rFonts w:ascii="Arial" w:cs="Arial" w:eastAsia="Arial" w:hAnsi="Arial"/>
                <w:sz w:val="14"/>
                <w:szCs w:val="14"/>
                <w:color w:val="auto"/>
              </w:rPr>
              <w:t>Net revenues from external customers</w:t>
            </w:r>
          </w:p>
        </w:tc>
        <w:tc>
          <w:tcPr>
            <w:tcW w:w="340" w:type="dxa"/>
            <w:vAlign w:val="bottom"/>
            <w:gridSpan w:val="2"/>
          </w:tcPr>
          <w:p>
            <w:pPr>
              <w:jc w:val="right"/>
              <w:ind w:right="98"/>
              <w:spacing w:after="0" w:line="159" w:lineRule="exact"/>
              <w:rPr>
                <w:sz w:val="20"/>
                <w:szCs w:val="20"/>
                <w:color w:val="auto"/>
              </w:rPr>
            </w:pPr>
            <w:r>
              <w:rPr>
                <w:rFonts w:ascii="Arial" w:cs="Arial" w:eastAsia="Arial" w:hAnsi="Arial"/>
                <w:sz w:val="14"/>
                <w:szCs w:val="14"/>
                <w:color w:val="auto"/>
              </w:rPr>
              <w:t>$</w:t>
            </w:r>
          </w:p>
        </w:tc>
        <w:tc>
          <w:tcPr>
            <w:tcW w:w="600" w:type="dxa"/>
            <w:vAlign w:val="bottom"/>
          </w:tcPr>
          <w:p>
            <w:pPr>
              <w:jc w:val="right"/>
              <w:ind w:right="48"/>
              <w:spacing w:after="0" w:line="159" w:lineRule="exact"/>
              <w:rPr>
                <w:sz w:val="20"/>
                <w:szCs w:val="20"/>
                <w:color w:val="auto"/>
              </w:rPr>
            </w:pPr>
            <w:r>
              <w:rPr>
                <w:rFonts w:ascii="Arial" w:cs="Arial" w:eastAsia="Arial" w:hAnsi="Arial"/>
                <w:sz w:val="14"/>
                <w:szCs w:val="14"/>
                <w:color w:val="auto"/>
              </w:rPr>
              <w:t>1,426</w:t>
            </w:r>
          </w:p>
        </w:tc>
        <w:tc>
          <w:tcPr>
            <w:tcW w:w="2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w:t>
            </w:r>
          </w:p>
        </w:tc>
        <w:tc>
          <w:tcPr>
            <w:tcW w:w="820" w:type="dxa"/>
            <w:vAlign w:val="bottom"/>
          </w:tcPr>
          <w:p>
            <w:pPr>
              <w:jc w:val="right"/>
              <w:ind w:right="48"/>
              <w:spacing w:after="0" w:line="159" w:lineRule="exact"/>
              <w:rPr>
                <w:sz w:val="20"/>
                <w:szCs w:val="20"/>
                <w:color w:val="auto"/>
              </w:rPr>
            </w:pPr>
            <w:r>
              <w:rPr>
                <w:rFonts w:ascii="Arial" w:cs="Arial" w:eastAsia="Arial" w:hAnsi="Arial"/>
                <w:sz w:val="14"/>
                <w:szCs w:val="14"/>
                <w:color w:val="auto"/>
              </w:rPr>
              <w:t>562</w:t>
            </w:r>
          </w:p>
        </w:tc>
        <w:tc>
          <w:tcPr>
            <w:tcW w:w="700" w:type="dxa"/>
            <w:vAlign w:val="bottom"/>
            <w:gridSpan w:val="2"/>
          </w:tcPr>
          <w:p>
            <w:pPr>
              <w:jc w:val="right"/>
              <w:ind w:right="438"/>
              <w:spacing w:after="0" w:line="159" w:lineRule="exact"/>
              <w:rPr>
                <w:sz w:val="20"/>
                <w:szCs w:val="20"/>
                <w:color w:val="auto"/>
              </w:rPr>
            </w:pPr>
            <w:r>
              <w:rPr>
                <w:rFonts w:ascii="Arial" w:cs="Arial" w:eastAsia="Arial" w:hAnsi="Arial"/>
                <w:sz w:val="14"/>
                <w:szCs w:val="14"/>
                <w:color w:val="auto"/>
              </w:rPr>
              <w:t>$</w:t>
            </w:r>
          </w:p>
        </w:tc>
        <w:tc>
          <w:tcPr>
            <w:tcW w:w="340" w:type="dxa"/>
            <w:vAlign w:val="bottom"/>
          </w:tcPr>
          <w:p>
            <w:pPr>
              <w:jc w:val="right"/>
              <w:ind w:right="28"/>
              <w:spacing w:after="0" w:line="159" w:lineRule="exact"/>
              <w:rPr>
                <w:sz w:val="20"/>
                <w:szCs w:val="20"/>
                <w:color w:val="auto"/>
              </w:rPr>
            </w:pPr>
            <w:r>
              <w:rPr>
                <w:rFonts w:ascii="Arial" w:cs="Arial" w:eastAsia="Arial" w:hAnsi="Arial"/>
                <w:sz w:val="14"/>
                <w:szCs w:val="14"/>
                <w:color w:val="auto"/>
                <w:w w:val="94"/>
              </w:rPr>
              <w:t>503</w:t>
            </w:r>
          </w:p>
        </w:tc>
        <w:tc>
          <w:tcPr>
            <w:tcW w:w="280" w:type="dxa"/>
            <w:vAlign w:val="bottom"/>
            <w:gridSpan w:val="2"/>
          </w:tcPr>
          <w:p>
            <w:pPr>
              <w:jc w:val="right"/>
              <w:ind w:right="49"/>
              <w:spacing w:after="0" w:line="159" w:lineRule="exact"/>
              <w:rPr>
                <w:sz w:val="20"/>
                <w:szCs w:val="20"/>
                <w:color w:val="auto"/>
              </w:rPr>
            </w:pPr>
            <w:r>
              <w:rPr>
                <w:rFonts w:ascii="Arial" w:cs="Arial" w:eastAsia="Arial" w:hAnsi="Arial"/>
                <w:sz w:val="14"/>
                <w:szCs w:val="14"/>
                <w:color w:val="auto"/>
              </w:rPr>
              <w:t>$</w:t>
            </w:r>
          </w:p>
        </w:tc>
        <w:tc>
          <w:tcPr>
            <w:tcW w:w="780" w:type="dxa"/>
            <w:vAlign w:val="bottom"/>
          </w:tcPr>
          <w:p>
            <w:pPr>
              <w:jc w:val="right"/>
              <w:ind w:right="88"/>
              <w:spacing w:after="0" w:line="159" w:lineRule="exact"/>
              <w:rPr>
                <w:sz w:val="20"/>
                <w:szCs w:val="20"/>
                <w:color w:val="auto"/>
              </w:rPr>
            </w:pPr>
            <w:r>
              <w:rPr>
                <w:rFonts w:ascii="Arial" w:cs="Arial" w:eastAsia="Arial" w:hAnsi="Arial"/>
                <w:sz w:val="14"/>
                <w:szCs w:val="14"/>
                <w:color w:val="auto"/>
              </w:rPr>
              <w:t>2,491</w:t>
            </w:r>
          </w:p>
        </w:tc>
        <w:tc>
          <w:tcPr>
            <w:tcW w:w="18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line="159" w:lineRule="exact"/>
              <w:rPr>
                <w:sz w:val="20"/>
                <w:szCs w:val="20"/>
                <w:color w:val="auto"/>
              </w:rPr>
            </w:pPr>
            <w:r>
              <w:rPr>
                <w:rFonts w:ascii="Arial" w:cs="Arial" w:eastAsia="Arial" w:hAnsi="Arial"/>
                <w:sz w:val="14"/>
                <w:szCs w:val="14"/>
                <w:color w:val="auto"/>
              </w:rPr>
              <w:t>15</w:t>
            </w:r>
          </w:p>
        </w:tc>
        <w:tc>
          <w:tcPr>
            <w:tcW w:w="2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59" w:lineRule="exact"/>
              <w:rPr>
                <w:sz w:val="20"/>
                <w:szCs w:val="20"/>
                <w:color w:val="auto"/>
              </w:rPr>
            </w:pPr>
            <w:r>
              <w:rPr>
                <w:rFonts w:ascii="Arial" w:cs="Arial" w:eastAsia="Arial" w:hAnsi="Arial"/>
                <w:sz w:val="14"/>
                <w:szCs w:val="14"/>
                <w:color w:val="auto"/>
              </w:rPr>
              <w:t>(85)</w:t>
            </w:r>
          </w:p>
        </w:tc>
        <w:tc>
          <w:tcPr>
            <w:tcW w:w="260" w:type="dxa"/>
            <w:vAlign w:val="bottom"/>
            <w:gridSpan w:val="2"/>
          </w:tcPr>
          <w:p>
            <w:pPr>
              <w:jc w:val="right"/>
              <w:ind w:right="8"/>
              <w:spacing w:after="0" w:line="15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59" w:lineRule="exact"/>
              <w:rPr>
                <w:sz w:val="20"/>
                <w:szCs w:val="20"/>
                <w:color w:val="auto"/>
              </w:rPr>
            </w:pPr>
            <w:r>
              <w:rPr>
                <w:rFonts w:ascii="Arial" w:cs="Arial" w:eastAsia="Arial" w:hAnsi="Arial"/>
                <w:sz w:val="14"/>
                <w:szCs w:val="14"/>
                <w:color w:val="auto"/>
              </w:rPr>
              <w:t>(40)</w:t>
            </w:r>
          </w:p>
        </w:tc>
        <w:tc>
          <w:tcPr>
            <w:tcW w:w="100" w:type="dxa"/>
            <w:vAlign w:val="bottom"/>
          </w:tcPr>
          <w:p>
            <w:pPr>
              <w:spacing w:after="0"/>
              <w:rPr>
                <w:sz w:val="13"/>
                <w:szCs w:val="13"/>
                <w:color w:val="auto"/>
              </w:rPr>
            </w:pPr>
          </w:p>
        </w:tc>
        <w:tc>
          <w:tcPr>
            <w:tcW w:w="160" w:type="dxa"/>
            <w:vAlign w:val="bottom"/>
            <w:gridSpan w:val="2"/>
          </w:tcPr>
          <w:p>
            <w:pPr>
              <w:jc w:val="right"/>
              <w:ind w:right="29"/>
              <w:spacing w:after="0" w:line="159" w:lineRule="exact"/>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line="159" w:lineRule="exact"/>
              <w:rPr>
                <w:sz w:val="20"/>
                <w:szCs w:val="20"/>
                <w:color w:val="auto"/>
              </w:rPr>
            </w:pPr>
            <w:r>
              <w:rPr>
                <w:rFonts w:ascii="Arial" w:cs="Arial" w:eastAsia="Arial" w:hAnsi="Arial"/>
                <w:sz w:val="14"/>
                <w:szCs w:val="14"/>
                <w:color w:val="auto"/>
              </w:rPr>
              <w:t>(110)</w:t>
            </w:r>
          </w:p>
        </w:tc>
        <w:tc>
          <w:tcPr>
            <w:tcW w:w="0" w:type="dxa"/>
            <w:vAlign w:val="bottom"/>
          </w:tcPr>
          <w:p>
            <w:pPr>
              <w:spacing w:after="0"/>
              <w:rPr>
                <w:sz w:val="1"/>
                <w:szCs w:val="1"/>
                <w:color w:val="auto"/>
              </w:rPr>
            </w:pPr>
          </w:p>
        </w:tc>
      </w:tr>
      <w:tr>
        <w:trPr>
          <w:trHeight w:val="198"/>
        </w:trPr>
        <w:tc>
          <w:tcPr>
            <w:tcW w:w="3340" w:type="dxa"/>
            <w:vAlign w:val="bottom"/>
          </w:tcPr>
          <w:p>
            <w:pPr>
              <w:ind w:left="180"/>
              <w:spacing w:after="0" w:line="198" w:lineRule="exact"/>
              <w:rPr>
                <w:sz w:val="20"/>
                <w:szCs w:val="20"/>
                <w:color w:val="auto"/>
              </w:rPr>
            </w:pPr>
            <w:r>
              <w:rPr>
                <w:rFonts w:ascii="Arial" w:cs="Arial" w:eastAsia="Arial" w:hAnsi="Arial"/>
                <w:sz w:val="14"/>
                <w:szCs w:val="14"/>
                <w:color w:val="auto"/>
              </w:rPr>
              <w:t>Intersegment net revenues</w:t>
            </w:r>
            <w:r>
              <w:rPr>
                <w:rFonts w:ascii="Arial" w:cs="Arial" w:eastAsia="Arial" w:hAnsi="Arial"/>
                <w:sz w:val="22"/>
                <w:szCs w:val="22"/>
                <w:color w:val="auto"/>
                <w:vertAlign w:val="superscript"/>
              </w:rPr>
              <w:t>1</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33</w:t>
            </w: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ind w:right="88"/>
              <w:spacing w:after="0"/>
              <w:rPr>
                <w:sz w:val="20"/>
                <w:szCs w:val="20"/>
                <w:color w:val="auto"/>
              </w:rPr>
            </w:pPr>
            <w:r>
              <w:rPr>
                <w:rFonts w:ascii="Arial" w:cs="Arial" w:eastAsia="Arial" w:hAnsi="Arial"/>
                <w:sz w:val="14"/>
                <w:szCs w:val="14"/>
                <w:color w:val="auto"/>
              </w:rPr>
              <w:t>33</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42"/>
        </w:trPr>
        <w:tc>
          <w:tcPr>
            <w:tcW w:w="3340" w:type="dxa"/>
            <w:vAlign w:val="bottom"/>
          </w:tcPr>
          <w:p>
            <w:pPr>
              <w:ind w:left="180"/>
              <w:spacing w:after="0" w:line="142" w:lineRule="exact"/>
              <w:rPr>
                <w:sz w:val="20"/>
                <w:szCs w:val="20"/>
                <w:color w:val="auto"/>
              </w:rPr>
            </w:pPr>
            <w:r>
              <w:rPr>
                <w:rFonts w:ascii="Arial" w:cs="Arial" w:eastAsia="Arial" w:hAnsi="Arial"/>
                <w:sz w:val="14"/>
                <w:szCs w:val="14"/>
                <w:color w:val="auto"/>
              </w:rPr>
              <w:t>Segment net revenues</w:t>
            </w:r>
          </w:p>
        </w:tc>
        <w:tc>
          <w:tcPr>
            <w:tcW w:w="120" w:type="dxa"/>
            <w:vAlign w:val="bottom"/>
          </w:tcPr>
          <w:p>
            <w:pPr>
              <w:spacing w:after="0"/>
              <w:rPr>
                <w:sz w:val="12"/>
                <w:szCs w:val="12"/>
                <w:color w:val="auto"/>
              </w:rPr>
            </w:pPr>
          </w:p>
        </w:tc>
        <w:tc>
          <w:tcPr>
            <w:tcW w:w="220" w:type="dxa"/>
            <w:vAlign w:val="bottom"/>
            <w:tcBorders>
              <w:top w:val="single" w:sz="8" w:color="auto"/>
              <w:bottom w:val="single" w:sz="8" w:color="auto"/>
            </w:tcBorders>
          </w:tcPr>
          <w:p>
            <w:pPr>
              <w:jc w:val="right"/>
              <w:ind w:right="98"/>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rPr>
              <w:t>1,426</w:t>
            </w:r>
          </w:p>
        </w:tc>
        <w:tc>
          <w:tcPr>
            <w:tcW w:w="12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rPr>
              <w:t>595</w:t>
            </w:r>
          </w:p>
        </w:tc>
        <w:tc>
          <w:tcPr>
            <w:tcW w:w="140" w:type="dxa"/>
            <w:vAlign w:val="bottom"/>
          </w:tcPr>
          <w:p>
            <w:pPr>
              <w:spacing w:after="0"/>
              <w:rPr>
                <w:sz w:val="12"/>
                <w:szCs w:val="12"/>
                <w:color w:val="auto"/>
              </w:rPr>
            </w:pPr>
          </w:p>
        </w:tc>
        <w:tc>
          <w:tcPr>
            <w:tcW w:w="560" w:type="dxa"/>
            <w:vAlign w:val="bottom"/>
            <w:tcBorders>
              <w:top w:val="single" w:sz="8" w:color="auto"/>
              <w:bottom w:val="single" w:sz="8" w:color="auto"/>
            </w:tcBorders>
          </w:tcPr>
          <w:p>
            <w:pPr>
              <w:jc w:val="right"/>
              <w:ind w:right="438"/>
              <w:spacing w:after="0"/>
              <w:rPr>
                <w:sz w:val="20"/>
                <w:szCs w:val="20"/>
                <w:color w:val="auto"/>
              </w:rPr>
            </w:pPr>
            <w:r>
              <w:rPr>
                <w:rFonts w:ascii="Arial" w:cs="Arial" w:eastAsia="Arial" w:hAnsi="Arial"/>
                <w:sz w:val="10"/>
                <w:szCs w:val="10"/>
                <w:color w:val="auto"/>
                <w:w w:val="71"/>
              </w:rPr>
              <w:t>$</w:t>
            </w:r>
          </w:p>
        </w:tc>
        <w:tc>
          <w:tcPr>
            <w:tcW w:w="340" w:type="dxa"/>
            <w:vAlign w:val="bottom"/>
            <w:tcBorders>
              <w:top w:val="single" w:sz="8" w:color="auto"/>
              <w:bottom w:val="single" w:sz="8" w:color="auto"/>
            </w:tcBorders>
          </w:tcPr>
          <w:p>
            <w:pPr>
              <w:jc w:val="right"/>
              <w:ind w:right="28"/>
              <w:spacing w:after="0" w:line="142" w:lineRule="exact"/>
              <w:rPr>
                <w:sz w:val="20"/>
                <w:szCs w:val="20"/>
                <w:color w:val="auto"/>
              </w:rPr>
            </w:pPr>
            <w:r>
              <w:rPr>
                <w:rFonts w:ascii="Arial" w:cs="Arial" w:eastAsia="Arial" w:hAnsi="Arial"/>
                <w:sz w:val="14"/>
                <w:szCs w:val="14"/>
                <w:color w:val="auto"/>
                <w:w w:val="94"/>
              </w:rPr>
              <w:t>503</w:t>
            </w:r>
          </w:p>
        </w:tc>
        <w:tc>
          <w:tcPr>
            <w:tcW w:w="120" w:type="dxa"/>
            <w:vAlign w:val="bottom"/>
          </w:tcPr>
          <w:p>
            <w:pPr>
              <w:spacing w:after="0"/>
              <w:rPr>
                <w:sz w:val="12"/>
                <w:szCs w:val="12"/>
                <w:color w:val="auto"/>
              </w:rPr>
            </w:pPr>
          </w:p>
        </w:tc>
        <w:tc>
          <w:tcPr>
            <w:tcW w:w="16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jc w:val="right"/>
              <w:ind w:right="88"/>
              <w:spacing w:after="0" w:line="142" w:lineRule="exact"/>
              <w:rPr>
                <w:sz w:val="20"/>
                <w:szCs w:val="20"/>
                <w:color w:val="auto"/>
              </w:rPr>
            </w:pPr>
            <w:r>
              <w:rPr>
                <w:rFonts w:ascii="Arial" w:cs="Arial" w:eastAsia="Arial" w:hAnsi="Arial"/>
                <w:sz w:val="14"/>
                <w:szCs w:val="14"/>
                <w:color w:val="auto"/>
              </w:rPr>
              <w:t>2,524</w:t>
            </w:r>
          </w:p>
        </w:tc>
        <w:tc>
          <w:tcPr>
            <w:tcW w:w="120" w:type="dxa"/>
            <w:vAlign w:val="bottom"/>
          </w:tcPr>
          <w:p>
            <w:pPr>
              <w:spacing w:after="0"/>
              <w:rPr>
                <w:sz w:val="12"/>
                <w:szCs w:val="12"/>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tcPr>
          <w:p>
            <w:pPr>
              <w:jc w:val="right"/>
              <w:ind w:right="28"/>
              <w:spacing w:after="0" w:line="142" w:lineRule="exact"/>
              <w:rPr>
                <w:sz w:val="20"/>
                <w:szCs w:val="20"/>
                <w:color w:val="auto"/>
              </w:rPr>
            </w:pPr>
            <w:r>
              <w:rPr>
                <w:rFonts w:ascii="Arial" w:cs="Arial" w:eastAsia="Arial" w:hAnsi="Arial"/>
                <w:sz w:val="14"/>
                <w:szCs w:val="14"/>
                <w:color w:val="auto"/>
              </w:rPr>
              <w:t>15</w:t>
            </w:r>
          </w:p>
        </w:tc>
        <w:tc>
          <w:tcPr>
            <w:tcW w:w="10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(91)</w:t>
            </w:r>
          </w:p>
        </w:tc>
        <w:tc>
          <w:tcPr>
            <w:tcW w:w="100" w:type="dxa"/>
            <w:vAlign w:val="bottom"/>
          </w:tcPr>
          <w:p>
            <w:pPr>
              <w:spacing w:after="0"/>
              <w:rPr>
                <w:sz w:val="12"/>
                <w:szCs w:val="12"/>
                <w:color w:val="auto"/>
              </w:rPr>
            </w:pPr>
          </w:p>
        </w:tc>
        <w:tc>
          <w:tcPr>
            <w:tcW w:w="160" w:type="dxa"/>
            <w:vAlign w:val="bottom"/>
            <w:tcBorders>
              <w:top w:val="single" w:sz="8" w:color="auto"/>
              <w:bottom w:val="single" w:sz="8" w:color="auto"/>
            </w:tcBorders>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(40)</w:t>
            </w:r>
          </w:p>
        </w:tc>
        <w:tc>
          <w:tcPr>
            <w:tcW w:w="10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(116)</w:t>
            </w:r>
          </w:p>
        </w:tc>
        <w:tc>
          <w:tcPr>
            <w:tcW w:w="0" w:type="dxa"/>
            <w:vAlign w:val="bottom"/>
          </w:tcPr>
          <w:p>
            <w:pPr>
              <w:spacing w:after="0"/>
              <w:rPr>
                <w:sz w:val="1"/>
                <w:szCs w:val="1"/>
                <w:color w:val="auto"/>
              </w:rPr>
            </w:pPr>
          </w:p>
        </w:tc>
      </w:tr>
      <w:tr>
        <w:trPr>
          <w:trHeight w:val="20"/>
        </w:trPr>
        <w:tc>
          <w:tcPr>
            <w:tcW w:w="3340" w:type="dxa"/>
            <w:vAlign w:val="bottom"/>
            <w:vMerge w:val="restart"/>
          </w:tcPr>
          <w:p>
            <w:pPr>
              <w:spacing w:after="0"/>
              <w:rPr>
                <w:sz w:val="20"/>
                <w:szCs w:val="20"/>
                <w:color w:val="auto"/>
              </w:rPr>
            </w:pPr>
            <w:r>
              <w:rPr>
                <w:rFonts w:ascii="Arial" w:cs="Arial" w:eastAsia="Arial" w:hAnsi="Arial"/>
                <w:sz w:val="14"/>
                <w:szCs w:val="14"/>
                <w:b w:val="1"/>
                <w:bCs w:val="1"/>
                <w:color w:val="auto"/>
              </w:rPr>
              <w:t>Segment operating income</w:t>
            </w: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3"/>
        </w:trPr>
        <w:tc>
          <w:tcPr>
            <w:tcW w:w="3340" w:type="dxa"/>
            <w:vAlign w:val="bottom"/>
            <w:vMerge w:val="continue"/>
          </w:tcPr>
          <w:p>
            <w:pPr>
              <w:spacing w:after="0"/>
              <w:rPr>
                <w:sz w:val="24"/>
                <w:szCs w:val="24"/>
                <w:color w:val="auto"/>
              </w:rPr>
            </w:pPr>
          </w:p>
        </w:tc>
        <w:tc>
          <w:tcPr>
            <w:tcW w:w="340" w:type="dxa"/>
            <w:vAlign w:val="bottom"/>
            <w:gridSpan w:val="2"/>
          </w:tcPr>
          <w:p>
            <w:pPr>
              <w:jc w:val="right"/>
              <w:ind w:right="98"/>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696</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260</w:t>
            </w:r>
          </w:p>
        </w:tc>
        <w:tc>
          <w:tcPr>
            <w:tcW w:w="700" w:type="dxa"/>
            <w:vAlign w:val="bottom"/>
            <w:gridSpan w:val="2"/>
          </w:tcPr>
          <w:p>
            <w:pPr>
              <w:jc w:val="right"/>
              <w:ind w:right="438"/>
              <w:spacing w:after="0"/>
              <w:rPr>
                <w:sz w:val="20"/>
                <w:szCs w:val="20"/>
                <w:color w:val="auto"/>
              </w:rPr>
            </w:pPr>
            <w:r>
              <w:rPr>
                <w:rFonts w:ascii="Arial" w:cs="Arial" w:eastAsia="Arial" w:hAnsi="Arial"/>
                <w:sz w:val="14"/>
                <w:szCs w:val="14"/>
                <w:color w:val="auto"/>
              </w:rPr>
              <w:t>$</w:t>
            </w:r>
          </w:p>
        </w:tc>
        <w:tc>
          <w:tcPr>
            <w:tcW w:w="340" w:type="dxa"/>
            <w:vAlign w:val="bottom"/>
          </w:tcPr>
          <w:p>
            <w:pPr>
              <w:jc w:val="right"/>
              <w:ind w:right="28"/>
              <w:spacing w:after="0"/>
              <w:rPr>
                <w:sz w:val="20"/>
                <w:szCs w:val="20"/>
                <w:color w:val="auto"/>
              </w:rPr>
            </w:pPr>
            <w:r>
              <w:rPr>
                <w:rFonts w:ascii="Arial" w:cs="Arial" w:eastAsia="Arial" w:hAnsi="Arial"/>
                <w:sz w:val="14"/>
                <w:szCs w:val="14"/>
                <w:color w:val="auto"/>
                <w:w w:val="94"/>
              </w:rPr>
              <w:t>197</w:t>
            </w:r>
          </w:p>
        </w:tc>
        <w:tc>
          <w:tcPr>
            <w:tcW w:w="280" w:type="dxa"/>
            <w:vAlign w:val="bottom"/>
            <w:gridSpan w:val="2"/>
          </w:tcPr>
          <w:p>
            <w:pPr>
              <w:jc w:val="right"/>
              <w:ind w:right="49"/>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88"/>
              <w:spacing w:after="0"/>
              <w:rPr>
                <w:sz w:val="20"/>
                <w:szCs w:val="20"/>
                <w:color w:val="auto"/>
              </w:rPr>
            </w:pPr>
            <w:r>
              <w:rPr>
                <w:rFonts w:ascii="Arial" w:cs="Arial" w:eastAsia="Arial" w:hAnsi="Arial"/>
                <w:sz w:val="14"/>
                <w:szCs w:val="14"/>
                <w:color w:val="auto"/>
              </w:rPr>
              <w:t>1,153</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(27)</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19</w:t>
            </w:r>
          </w:p>
        </w:tc>
        <w:tc>
          <w:tcPr>
            <w:tcW w:w="26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24"/>
                <w:szCs w:val="24"/>
                <w:color w:val="auto"/>
              </w:rPr>
            </w:pPr>
          </w:p>
        </w:tc>
        <w:tc>
          <w:tcPr>
            <w:tcW w:w="160" w:type="dxa"/>
            <w:vAlign w:val="bottom"/>
            <w:gridSpan w:val="2"/>
          </w:tcPr>
          <w:p>
            <w:pPr>
              <w:jc w:val="right"/>
              <w:ind w:right="29"/>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297"/>
        </w:trPr>
        <w:tc>
          <w:tcPr>
            <w:tcW w:w="3340" w:type="dxa"/>
            <w:vAlign w:val="bottom"/>
          </w:tcPr>
          <w:p>
            <w:pPr>
              <w:spacing w:after="0"/>
              <w:rPr>
                <w:sz w:val="20"/>
                <w:szCs w:val="20"/>
                <w:color w:val="auto"/>
              </w:rPr>
            </w:pPr>
            <w:r>
              <w:rPr>
                <w:rFonts w:ascii="Arial" w:cs="Arial" w:eastAsia="Arial" w:hAnsi="Arial"/>
                <w:sz w:val="14"/>
                <w:szCs w:val="14"/>
                <w:b w:val="1"/>
                <w:bCs w:val="1"/>
                <w:color w:val="auto"/>
              </w:rPr>
              <w:t>Operating Margin</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45.7%</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6"/>
          </w:tcPr>
          <w:p>
            <w:pPr>
              <w:ind w:left="280"/>
              <w:spacing w:after="0"/>
              <w:rPr>
                <w:sz w:val="20"/>
                <w:szCs w:val="20"/>
                <w:color w:val="auto"/>
              </w:rPr>
            </w:pPr>
            <w:r>
              <w:rPr>
                <w:rFonts w:ascii="Arial" w:cs="Arial" w:eastAsia="Arial" w:hAnsi="Arial"/>
                <w:sz w:val="14"/>
                <w:szCs w:val="14"/>
                <w:b w:val="1"/>
                <w:bCs w:val="1"/>
                <w:color w:val="auto"/>
              </w:rPr>
              <w:t>December 31, 2018</w:t>
            </w: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3"/>
          </w:tcPr>
          <w:p>
            <w:pPr>
              <w:ind w:left="40"/>
              <w:spacing w:after="0"/>
              <w:rPr>
                <w:sz w:val="20"/>
                <w:szCs w:val="20"/>
                <w:color w:val="auto"/>
              </w:rPr>
            </w:pPr>
            <w:r>
              <w:rPr>
                <w:rFonts w:ascii="Arial" w:cs="Arial" w:eastAsia="Arial" w:hAnsi="Arial"/>
                <w:sz w:val="14"/>
                <w:szCs w:val="14"/>
                <w:b w:val="1"/>
                <w:bCs w:val="1"/>
                <w:color w:val="auto"/>
              </w:rPr>
              <w:t>Activision</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ind w:right="188"/>
              <w:spacing w:after="0"/>
              <w:rPr>
                <w:sz w:val="20"/>
                <w:szCs w:val="20"/>
                <w:color w:val="auto"/>
              </w:rPr>
            </w:pPr>
            <w:r>
              <w:rPr>
                <w:rFonts w:ascii="Arial" w:cs="Arial" w:eastAsia="Arial" w:hAnsi="Arial"/>
                <w:sz w:val="14"/>
                <w:szCs w:val="14"/>
                <w:b w:val="1"/>
                <w:bCs w:val="1"/>
                <w:color w:val="auto"/>
              </w:rPr>
              <w:t>Blizzard</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ind w:left="100"/>
              <w:spacing w:after="0"/>
              <w:rPr>
                <w:sz w:val="20"/>
                <w:szCs w:val="20"/>
                <w:color w:val="auto"/>
              </w:rPr>
            </w:pPr>
            <w:r>
              <w:rPr>
                <w:rFonts w:ascii="Arial" w:cs="Arial" w:eastAsia="Arial" w:hAnsi="Arial"/>
                <w:sz w:val="14"/>
                <w:szCs w:val="14"/>
                <w:b w:val="1"/>
                <w:bCs w:val="1"/>
                <w:color w:val="auto"/>
              </w:rPr>
              <w:t>King</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ind w:right="328"/>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3340" w:type="dxa"/>
            <w:vAlign w:val="bottom"/>
            <w:gridSpan w:val="2"/>
          </w:tcPr>
          <w:p>
            <w:pPr>
              <w:spacing w:after="0"/>
              <w:rPr>
                <w:sz w:val="20"/>
                <w:szCs w:val="20"/>
                <w:color w:val="auto"/>
              </w:rPr>
            </w:pPr>
            <w:r>
              <w:rPr>
                <w:rFonts w:ascii="Arial" w:cs="Arial" w:eastAsia="Arial" w:hAnsi="Arial"/>
                <w:sz w:val="14"/>
                <w:szCs w:val="14"/>
                <w:b w:val="1"/>
                <w:bCs w:val="1"/>
                <w:color w:val="auto"/>
              </w:rPr>
              <w:t>Segment Net Revenues</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gridSpan w:val="2"/>
          </w:tcPr>
          <w:p>
            <w:pPr>
              <w:ind w:left="180"/>
              <w:spacing w:after="0"/>
              <w:rPr>
                <w:sz w:val="20"/>
                <w:szCs w:val="20"/>
                <w:color w:val="auto"/>
              </w:rPr>
            </w:pPr>
            <w:r>
              <w:rPr>
                <w:rFonts w:ascii="Arial" w:cs="Arial" w:eastAsia="Arial" w:hAnsi="Arial"/>
                <w:sz w:val="14"/>
                <w:szCs w:val="14"/>
                <w:color w:val="auto"/>
              </w:rPr>
              <w:t>Net revenues from external customers</w:t>
            </w:r>
          </w:p>
        </w:tc>
        <w:tc>
          <w:tcPr>
            <w:tcW w:w="34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28"/>
              <w:spacing w:after="0"/>
              <w:rPr>
                <w:sz w:val="20"/>
                <w:szCs w:val="20"/>
                <w:color w:val="auto"/>
              </w:rPr>
            </w:pPr>
            <w:r>
              <w:rPr>
                <w:rFonts w:ascii="Arial" w:cs="Arial" w:eastAsia="Arial" w:hAnsi="Arial"/>
                <w:sz w:val="14"/>
                <w:szCs w:val="14"/>
                <w:color w:val="auto"/>
              </w:rPr>
              <w:t>1,411</w:t>
            </w:r>
          </w:p>
        </w:tc>
        <w:tc>
          <w:tcPr>
            <w:tcW w:w="20" w:type="dxa"/>
            <w:vAlign w:val="bottom"/>
          </w:tcPr>
          <w:p>
            <w:pPr>
              <w:spacing w:after="0"/>
              <w:rPr>
                <w:sz w:val="18"/>
                <w:szCs w:val="18"/>
                <w:color w:val="auto"/>
              </w:rPr>
            </w:pPr>
          </w:p>
        </w:tc>
        <w:tc>
          <w:tcPr>
            <w:tcW w:w="220" w:type="dxa"/>
            <w:vAlign w:val="bottom"/>
            <w:gridSpan w:val="3"/>
          </w:tcPr>
          <w:p>
            <w:pPr>
              <w:jc w:val="right"/>
              <w:ind w:right="4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647</w:t>
            </w:r>
          </w:p>
        </w:tc>
        <w:tc>
          <w:tcPr>
            <w:tcW w:w="28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543</w:t>
            </w:r>
          </w:p>
        </w:tc>
        <w:tc>
          <w:tcPr>
            <w:tcW w:w="120" w:type="dxa"/>
            <w:vAlign w:val="bottom"/>
          </w:tcPr>
          <w:p>
            <w:pPr>
              <w:spacing w:after="0"/>
              <w:rPr>
                <w:sz w:val="18"/>
                <w:szCs w:val="18"/>
                <w:color w:val="auto"/>
              </w:rPr>
            </w:pPr>
          </w:p>
        </w:tc>
        <w:tc>
          <w:tcPr>
            <w:tcW w:w="160" w:type="dxa"/>
            <w:vAlign w:val="bottom"/>
            <w:gridSpan w:val="2"/>
          </w:tcPr>
          <w:p>
            <w:pPr>
              <w:jc w:val="right"/>
              <w:ind w:right="49"/>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ind w:right="88"/>
              <w:spacing w:after="0"/>
              <w:rPr>
                <w:sz w:val="20"/>
                <w:szCs w:val="20"/>
                <w:color w:val="auto"/>
              </w:rPr>
            </w:pPr>
            <w:r>
              <w:rPr>
                <w:rFonts w:ascii="Arial" w:cs="Arial" w:eastAsia="Arial" w:hAnsi="Arial"/>
                <w:sz w:val="14"/>
                <w:szCs w:val="14"/>
                <w:color w:val="auto"/>
              </w:rPr>
              <w:t>2,601</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3340" w:type="dxa"/>
            <w:vAlign w:val="bottom"/>
            <w:gridSpan w:val="2"/>
          </w:tcPr>
          <w:p>
            <w:pPr>
              <w:ind w:left="180"/>
              <w:spacing w:after="0" w:line="201" w:lineRule="exact"/>
              <w:rPr>
                <w:sz w:val="20"/>
                <w:szCs w:val="20"/>
                <w:color w:val="auto"/>
              </w:rPr>
            </w:pPr>
            <w:r>
              <w:rPr>
                <w:rFonts w:ascii="Arial" w:cs="Arial" w:eastAsia="Arial" w:hAnsi="Arial"/>
                <w:sz w:val="14"/>
                <w:szCs w:val="14"/>
                <w:color w:val="auto"/>
              </w:rPr>
              <w:t>Intersegment net revenues</w:t>
            </w:r>
            <w:r>
              <w:rPr>
                <w:rFonts w:ascii="Arial" w:cs="Arial" w:eastAsia="Arial" w:hAnsi="Arial"/>
                <w:sz w:val="23"/>
                <w:szCs w:val="23"/>
                <w:color w:val="auto"/>
                <w:vertAlign w:val="superscript"/>
              </w:rPr>
              <w:t>1</w:t>
            </w: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39</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39</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340" w:type="dxa"/>
            <w:vAlign w:val="bottom"/>
            <w:gridSpan w:val="2"/>
          </w:tcPr>
          <w:p>
            <w:pPr>
              <w:ind w:left="180"/>
              <w:spacing w:after="0"/>
              <w:rPr>
                <w:sz w:val="20"/>
                <w:szCs w:val="20"/>
                <w:color w:val="auto"/>
              </w:rPr>
            </w:pPr>
            <w:r>
              <w:rPr>
                <w:rFonts w:ascii="Arial" w:cs="Arial" w:eastAsia="Arial" w:hAnsi="Arial"/>
                <w:sz w:val="14"/>
                <w:szCs w:val="14"/>
                <w:color w:val="auto"/>
              </w:rPr>
              <w:t>Segment net revenues</w:t>
            </w:r>
          </w:p>
        </w:tc>
        <w:tc>
          <w:tcPr>
            <w:tcW w:w="34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28"/>
              <w:spacing w:after="0"/>
              <w:rPr>
                <w:sz w:val="20"/>
                <w:szCs w:val="20"/>
                <w:color w:val="auto"/>
              </w:rPr>
            </w:pPr>
            <w:r>
              <w:rPr>
                <w:rFonts w:ascii="Arial" w:cs="Arial" w:eastAsia="Arial" w:hAnsi="Arial"/>
                <w:sz w:val="14"/>
                <w:szCs w:val="14"/>
                <w:color w:val="auto"/>
              </w:rPr>
              <w:t>1,411</w:t>
            </w:r>
          </w:p>
        </w:tc>
        <w:tc>
          <w:tcPr>
            <w:tcW w:w="20" w:type="dxa"/>
            <w:vAlign w:val="bottom"/>
          </w:tcPr>
          <w:p>
            <w:pPr>
              <w:spacing w:after="0"/>
              <w:rPr>
                <w:sz w:val="18"/>
                <w:szCs w:val="18"/>
                <w:color w:val="auto"/>
              </w:rPr>
            </w:pPr>
          </w:p>
        </w:tc>
        <w:tc>
          <w:tcPr>
            <w:tcW w:w="220" w:type="dxa"/>
            <w:vAlign w:val="bottom"/>
            <w:gridSpan w:val="3"/>
          </w:tcPr>
          <w:p>
            <w:pPr>
              <w:jc w:val="right"/>
              <w:ind w:right="4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686</w:t>
            </w:r>
          </w:p>
        </w:tc>
        <w:tc>
          <w:tcPr>
            <w:tcW w:w="28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543</w:t>
            </w:r>
          </w:p>
        </w:tc>
        <w:tc>
          <w:tcPr>
            <w:tcW w:w="120" w:type="dxa"/>
            <w:vAlign w:val="bottom"/>
          </w:tcPr>
          <w:p>
            <w:pPr>
              <w:spacing w:after="0"/>
              <w:rPr>
                <w:sz w:val="18"/>
                <w:szCs w:val="18"/>
                <w:color w:val="auto"/>
              </w:rPr>
            </w:pPr>
          </w:p>
        </w:tc>
        <w:tc>
          <w:tcPr>
            <w:tcW w:w="160" w:type="dxa"/>
            <w:vAlign w:val="bottom"/>
            <w:gridSpan w:val="2"/>
          </w:tcPr>
          <w:p>
            <w:pPr>
              <w:jc w:val="right"/>
              <w:ind w:right="49"/>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ind w:right="88"/>
              <w:spacing w:after="0"/>
              <w:rPr>
                <w:sz w:val="20"/>
                <w:szCs w:val="20"/>
                <w:color w:val="auto"/>
              </w:rPr>
            </w:pPr>
            <w:r>
              <w:rPr>
                <w:rFonts w:ascii="Arial" w:cs="Arial" w:eastAsia="Arial" w:hAnsi="Arial"/>
                <w:sz w:val="14"/>
                <w:szCs w:val="14"/>
                <w:color w:val="auto"/>
              </w:rPr>
              <w:t>2,640</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Segment operating income</w:t>
            </w: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1"/>
        </w:trPr>
        <w:tc>
          <w:tcPr>
            <w:tcW w:w="3340" w:type="dxa"/>
            <w:vAlign w:val="bottom"/>
            <w:gridSpan w:val="2"/>
            <w:vMerge w:val="continue"/>
          </w:tcPr>
          <w:p>
            <w:pPr>
              <w:spacing w:after="0"/>
              <w:rPr>
                <w:sz w:val="24"/>
                <w:szCs w:val="24"/>
                <w:color w:val="auto"/>
              </w:rPr>
            </w:pPr>
          </w:p>
        </w:tc>
        <w:tc>
          <w:tcPr>
            <w:tcW w:w="34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28"/>
              <w:spacing w:after="0"/>
              <w:rPr>
                <w:sz w:val="20"/>
                <w:szCs w:val="20"/>
                <w:color w:val="auto"/>
              </w:rPr>
            </w:pPr>
            <w:r>
              <w:rPr>
                <w:rFonts w:ascii="Arial" w:cs="Arial" w:eastAsia="Arial" w:hAnsi="Arial"/>
                <w:sz w:val="14"/>
                <w:szCs w:val="14"/>
                <w:color w:val="auto"/>
              </w:rPr>
              <w:t>723</w:t>
            </w:r>
          </w:p>
        </w:tc>
        <w:tc>
          <w:tcPr>
            <w:tcW w:w="20" w:type="dxa"/>
            <w:vAlign w:val="bottom"/>
          </w:tcPr>
          <w:p>
            <w:pPr>
              <w:spacing w:after="0"/>
              <w:rPr>
                <w:sz w:val="24"/>
                <w:szCs w:val="24"/>
                <w:color w:val="auto"/>
              </w:rPr>
            </w:pPr>
          </w:p>
        </w:tc>
        <w:tc>
          <w:tcPr>
            <w:tcW w:w="220" w:type="dxa"/>
            <w:vAlign w:val="bottom"/>
            <w:gridSpan w:val="3"/>
          </w:tcPr>
          <w:p>
            <w:pPr>
              <w:jc w:val="right"/>
              <w:ind w:right="4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241</w:t>
            </w:r>
          </w:p>
        </w:tc>
        <w:tc>
          <w:tcPr>
            <w:tcW w:w="28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207</w:t>
            </w:r>
          </w:p>
        </w:tc>
        <w:tc>
          <w:tcPr>
            <w:tcW w:w="120" w:type="dxa"/>
            <w:vAlign w:val="bottom"/>
          </w:tcPr>
          <w:p>
            <w:pPr>
              <w:spacing w:after="0"/>
              <w:rPr>
                <w:sz w:val="24"/>
                <w:szCs w:val="24"/>
                <w:color w:val="auto"/>
              </w:rPr>
            </w:pPr>
          </w:p>
        </w:tc>
        <w:tc>
          <w:tcPr>
            <w:tcW w:w="160" w:type="dxa"/>
            <w:vAlign w:val="bottom"/>
            <w:gridSpan w:val="2"/>
          </w:tcPr>
          <w:p>
            <w:pPr>
              <w:jc w:val="right"/>
              <w:ind w:right="49"/>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ind w:right="88"/>
              <w:spacing w:after="0"/>
              <w:rPr>
                <w:sz w:val="20"/>
                <w:szCs w:val="20"/>
                <w:color w:val="auto"/>
              </w:rPr>
            </w:pPr>
            <w:r>
              <w:rPr>
                <w:rFonts w:ascii="Arial" w:cs="Arial" w:eastAsia="Arial" w:hAnsi="Arial"/>
                <w:sz w:val="14"/>
                <w:szCs w:val="14"/>
                <w:color w:val="auto"/>
              </w:rPr>
              <w:t>1,171</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340" w:type="dxa"/>
            <w:vAlign w:val="bottom"/>
            <w:gridSpan w:val="2"/>
          </w:tcPr>
          <w:p>
            <w:pPr>
              <w:spacing w:after="0"/>
              <w:rPr>
                <w:sz w:val="20"/>
                <w:szCs w:val="20"/>
                <w:color w:val="auto"/>
              </w:rPr>
            </w:pPr>
            <w:r>
              <w:rPr>
                <w:rFonts w:ascii="Arial" w:cs="Arial" w:eastAsia="Arial" w:hAnsi="Arial"/>
                <w:sz w:val="14"/>
                <w:szCs w:val="14"/>
                <w:b w:val="1"/>
                <w:bCs w:val="1"/>
                <w:color w:val="auto"/>
              </w:rPr>
              <w:t>Operating Margin</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44.4%</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32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Years Ended:</w:t>
            </w:r>
          </w:p>
        </w:tc>
        <w:tc>
          <w:tcPr>
            <w:tcW w:w="1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6"/>
          </w:tcPr>
          <w:p>
            <w:pPr>
              <w:ind w:left="240"/>
              <w:spacing w:after="0"/>
              <w:rPr>
                <w:sz w:val="20"/>
                <w:szCs w:val="20"/>
                <w:color w:val="auto"/>
              </w:rPr>
            </w:pPr>
            <w:r>
              <w:rPr>
                <w:rFonts w:ascii="Arial" w:cs="Arial" w:eastAsia="Arial" w:hAnsi="Arial"/>
                <w:sz w:val="14"/>
                <w:szCs w:val="14"/>
                <w:b w:val="1"/>
                <w:bCs w:val="1"/>
                <w:color w:val="auto"/>
              </w:rPr>
              <w:t>December 31, 2019</w:t>
            </w: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5"/>
          </w:tcPr>
          <w:p>
            <w:pPr>
              <w:ind w:left="100"/>
              <w:spacing w:after="0"/>
              <w:rPr>
                <w:sz w:val="20"/>
                <w:szCs w:val="20"/>
                <w:color w:val="auto"/>
              </w:rPr>
            </w:pPr>
            <w:r>
              <w:rPr>
                <w:rFonts w:ascii="Arial" w:cs="Arial" w:eastAsia="Arial" w:hAnsi="Arial"/>
                <w:sz w:val="14"/>
                <w:szCs w:val="14"/>
                <w:b w:val="1"/>
                <w:bCs w:val="1"/>
                <w:color w:val="auto"/>
              </w:rPr>
              <w:t>$ Increase / (Decrease)</w:t>
            </w: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33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Segment Net Revenues</w:t>
            </w:r>
          </w:p>
        </w:tc>
        <w:tc>
          <w:tcPr>
            <w:tcW w:w="940" w:type="dxa"/>
            <w:vAlign w:val="bottom"/>
            <w:gridSpan w:val="4"/>
          </w:tcPr>
          <w:p>
            <w:pPr>
              <w:ind w:left="80"/>
              <w:spacing w:after="0" w:line="142" w:lineRule="exact"/>
              <w:rPr>
                <w:sz w:val="20"/>
                <w:szCs w:val="20"/>
                <w:color w:val="auto"/>
              </w:rPr>
            </w:pPr>
            <w:r>
              <w:rPr>
                <w:rFonts w:ascii="Arial" w:cs="Arial" w:eastAsia="Arial" w:hAnsi="Arial"/>
                <w:sz w:val="14"/>
                <w:szCs w:val="14"/>
                <w:b w:val="1"/>
                <w:bCs w:val="1"/>
                <w:color w:val="auto"/>
              </w:rPr>
              <w:t>Activision</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ind w:right="208"/>
              <w:spacing w:after="0" w:line="142" w:lineRule="exact"/>
              <w:rPr>
                <w:sz w:val="20"/>
                <w:szCs w:val="20"/>
                <w:color w:val="auto"/>
              </w:rPr>
            </w:pPr>
            <w:r>
              <w:rPr>
                <w:rFonts w:ascii="Arial" w:cs="Arial" w:eastAsia="Arial" w:hAnsi="Arial"/>
                <w:sz w:val="14"/>
                <w:szCs w:val="14"/>
                <w:b w:val="1"/>
                <w:bCs w:val="1"/>
                <w:color w:val="auto"/>
                <w:w w:val="96"/>
              </w:rPr>
              <w:t>Blizzard</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ind w:left="100"/>
              <w:spacing w:after="0" w:line="142" w:lineRule="exact"/>
              <w:rPr>
                <w:sz w:val="20"/>
                <w:szCs w:val="20"/>
                <w:color w:val="auto"/>
              </w:rPr>
            </w:pPr>
            <w:r>
              <w:rPr>
                <w:rFonts w:ascii="Arial" w:cs="Arial" w:eastAsia="Arial" w:hAnsi="Arial"/>
                <w:sz w:val="14"/>
                <w:szCs w:val="14"/>
                <w:b w:val="1"/>
                <w:bCs w:val="1"/>
                <w:color w:val="auto"/>
              </w:rPr>
              <w:t>King</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right"/>
              <w:ind w:right="288"/>
              <w:spacing w:after="0" w:line="142" w:lineRule="exact"/>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jc w:val="right"/>
              <w:ind w:right="128"/>
              <w:spacing w:after="0" w:line="142" w:lineRule="exact"/>
              <w:rPr>
                <w:sz w:val="20"/>
                <w:szCs w:val="20"/>
                <w:color w:val="auto"/>
              </w:rPr>
            </w:pPr>
            <w:r>
              <w:rPr>
                <w:rFonts w:ascii="Arial" w:cs="Arial" w:eastAsia="Arial" w:hAnsi="Arial"/>
                <w:sz w:val="14"/>
                <w:szCs w:val="14"/>
                <w:b w:val="1"/>
                <w:bCs w:val="1"/>
                <w:color w:val="auto"/>
                <w:w w:val="89"/>
              </w:rPr>
              <w:t>Activision</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ind w:right="168"/>
              <w:spacing w:after="0" w:line="142" w:lineRule="exact"/>
              <w:rPr>
                <w:sz w:val="20"/>
                <w:szCs w:val="20"/>
                <w:color w:val="auto"/>
              </w:rPr>
            </w:pPr>
            <w:r>
              <w:rPr>
                <w:rFonts w:ascii="Arial" w:cs="Arial" w:eastAsia="Arial" w:hAnsi="Arial"/>
                <w:sz w:val="14"/>
                <w:szCs w:val="14"/>
                <w:b w:val="1"/>
                <w:bCs w:val="1"/>
                <w:color w:val="auto"/>
                <w:w w:val="96"/>
              </w:rPr>
              <w:t>Blizzard</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ind w:left="80"/>
              <w:spacing w:after="0" w:line="142" w:lineRule="exact"/>
              <w:rPr>
                <w:sz w:val="20"/>
                <w:szCs w:val="20"/>
                <w:color w:val="auto"/>
              </w:rPr>
            </w:pPr>
            <w:r>
              <w:rPr>
                <w:rFonts w:ascii="Arial" w:cs="Arial" w:eastAsia="Arial" w:hAnsi="Arial"/>
                <w:sz w:val="14"/>
                <w:szCs w:val="14"/>
                <w:b w:val="1"/>
                <w:bCs w:val="1"/>
                <w:color w:val="auto"/>
              </w:rPr>
              <w:t>King</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ind w:right="268"/>
              <w:spacing w:after="0" w:line="142"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23"/>
        </w:trPr>
        <w:tc>
          <w:tcPr>
            <w:tcW w:w="3340" w:type="dxa"/>
            <w:vAlign w:val="bottom"/>
            <w:gridSpan w:val="2"/>
            <w:vMerge w:val="continue"/>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3340" w:type="dxa"/>
            <w:vAlign w:val="bottom"/>
            <w:gridSpan w:val="2"/>
          </w:tcPr>
          <w:p>
            <w:pPr>
              <w:ind w:left="100"/>
              <w:spacing w:after="0" w:line="159" w:lineRule="exact"/>
              <w:rPr>
                <w:sz w:val="20"/>
                <w:szCs w:val="20"/>
                <w:color w:val="auto"/>
              </w:rPr>
            </w:pPr>
            <w:r>
              <w:rPr>
                <w:rFonts w:ascii="Arial" w:cs="Arial" w:eastAsia="Arial" w:hAnsi="Arial"/>
                <w:sz w:val="14"/>
                <w:szCs w:val="14"/>
                <w:color w:val="auto"/>
              </w:rPr>
              <w:t>Net revenues from external customers</w:t>
            </w:r>
          </w:p>
        </w:tc>
        <w:tc>
          <w:tcPr>
            <w:tcW w:w="12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220" w:type="dxa"/>
            <w:vAlign w:val="bottom"/>
          </w:tcPr>
          <w:p>
            <w:pPr>
              <w:spacing w:after="0"/>
              <w:rPr>
                <w:sz w:val="13"/>
                <w:szCs w:val="13"/>
                <w:color w:val="auto"/>
              </w:rPr>
            </w:pPr>
          </w:p>
        </w:tc>
        <w:tc>
          <w:tcPr>
            <w:tcW w:w="580" w:type="dxa"/>
            <w:vAlign w:val="bottom"/>
          </w:tcPr>
          <w:p>
            <w:pPr>
              <w:jc w:val="right"/>
              <w:ind w:right="48"/>
              <w:spacing w:after="0" w:line="159" w:lineRule="exact"/>
              <w:rPr>
                <w:sz w:val="20"/>
                <w:szCs w:val="20"/>
                <w:color w:val="auto"/>
              </w:rPr>
            </w:pPr>
            <w:r>
              <w:rPr>
                <w:rFonts w:ascii="Arial" w:cs="Arial" w:eastAsia="Arial" w:hAnsi="Arial"/>
                <w:sz w:val="14"/>
                <w:szCs w:val="14"/>
                <w:color w:val="auto"/>
              </w:rPr>
              <w:t>2,219</w:t>
            </w:r>
          </w:p>
        </w:tc>
        <w:tc>
          <w:tcPr>
            <w:tcW w:w="20" w:type="dxa"/>
            <w:vAlign w:val="bottom"/>
          </w:tcPr>
          <w:p>
            <w:pPr>
              <w:spacing w:after="0"/>
              <w:rPr>
                <w:sz w:val="13"/>
                <w:szCs w:val="13"/>
                <w:color w:val="auto"/>
              </w:rPr>
            </w:pPr>
          </w:p>
        </w:tc>
        <w:tc>
          <w:tcPr>
            <w:tcW w:w="220" w:type="dxa"/>
            <w:vAlign w:val="bottom"/>
            <w:gridSpan w:val="3"/>
          </w:tcPr>
          <w:p>
            <w:pPr>
              <w:jc w:val="right"/>
              <w:ind w:right="40"/>
              <w:spacing w:after="0" w:line="159" w:lineRule="exact"/>
              <w:rPr>
                <w:sz w:val="20"/>
                <w:szCs w:val="20"/>
                <w:color w:val="auto"/>
              </w:rPr>
            </w:pPr>
            <w:r>
              <w:rPr>
                <w:rFonts w:ascii="Arial" w:cs="Arial" w:eastAsia="Arial" w:hAnsi="Arial"/>
                <w:sz w:val="14"/>
                <w:szCs w:val="14"/>
                <w:color w:val="auto"/>
              </w:rPr>
              <w:t>$</w:t>
            </w:r>
          </w:p>
        </w:tc>
        <w:tc>
          <w:tcPr>
            <w:tcW w:w="820" w:type="dxa"/>
            <w:vAlign w:val="bottom"/>
          </w:tcPr>
          <w:p>
            <w:pPr>
              <w:jc w:val="right"/>
              <w:ind w:right="48"/>
              <w:spacing w:after="0" w:line="159" w:lineRule="exact"/>
              <w:rPr>
                <w:sz w:val="20"/>
                <w:szCs w:val="20"/>
                <w:color w:val="auto"/>
              </w:rPr>
            </w:pPr>
            <w:r>
              <w:rPr>
                <w:rFonts w:ascii="Arial" w:cs="Arial" w:eastAsia="Arial" w:hAnsi="Arial"/>
                <w:sz w:val="14"/>
                <w:szCs w:val="14"/>
                <w:color w:val="auto"/>
              </w:rPr>
              <w:t>1,676</w:t>
            </w:r>
          </w:p>
        </w:tc>
        <w:tc>
          <w:tcPr>
            <w:tcW w:w="280" w:type="dxa"/>
            <w:vAlign w:val="bottom"/>
            <w:gridSpan w:val="3"/>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760" w:type="dxa"/>
            <w:vAlign w:val="bottom"/>
          </w:tcPr>
          <w:p>
            <w:pPr>
              <w:jc w:val="right"/>
              <w:ind w:right="48"/>
              <w:spacing w:after="0" w:line="159" w:lineRule="exact"/>
              <w:rPr>
                <w:sz w:val="20"/>
                <w:szCs w:val="20"/>
                <w:color w:val="auto"/>
              </w:rPr>
            </w:pPr>
            <w:r>
              <w:rPr>
                <w:rFonts w:ascii="Arial" w:cs="Arial" w:eastAsia="Arial" w:hAnsi="Arial"/>
                <w:sz w:val="14"/>
                <w:szCs w:val="14"/>
                <w:color w:val="auto"/>
              </w:rPr>
              <w:t>2,031</w:t>
            </w:r>
          </w:p>
        </w:tc>
        <w:tc>
          <w:tcPr>
            <w:tcW w:w="120" w:type="dxa"/>
            <w:vAlign w:val="bottom"/>
          </w:tcPr>
          <w:p>
            <w:pPr>
              <w:spacing w:after="0"/>
              <w:rPr>
                <w:sz w:val="13"/>
                <w:szCs w:val="13"/>
                <w:color w:val="auto"/>
              </w:rPr>
            </w:pPr>
          </w:p>
        </w:tc>
        <w:tc>
          <w:tcPr>
            <w:tcW w:w="160" w:type="dxa"/>
            <w:vAlign w:val="bottom"/>
            <w:gridSpan w:val="2"/>
          </w:tcPr>
          <w:p>
            <w:pPr>
              <w:jc w:val="right"/>
              <w:ind w:right="29"/>
              <w:spacing w:after="0" w:line="159" w:lineRule="exact"/>
              <w:rPr>
                <w:sz w:val="20"/>
                <w:szCs w:val="20"/>
                <w:color w:val="auto"/>
              </w:rPr>
            </w:pPr>
            <w:r>
              <w:rPr>
                <w:rFonts w:ascii="Arial" w:cs="Arial" w:eastAsia="Arial" w:hAnsi="Arial"/>
                <w:sz w:val="14"/>
                <w:szCs w:val="14"/>
                <w:color w:val="auto"/>
                <w:w w:val="76"/>
              </w:rPr>
              <w:t>$</w:t>
            </w:r>
          </w:p>
        </w:tc>
        <w:tc>
          <w:tcPr>
            <w:tcW w:w="780" w:type="dxa"/>
            <w:vAlign w:val="bottom"/>
          </w:tcPr>
          <w:p>
            <w:pPr>
              <w:jc w:val="right"/>
              <w:ind w:right="48"/>
              <w:spacing w:after="0" w:line="159" w:lineRule="exact"/>
              <w:rPr>
                <w:sz w:val="20"/>
                <w:szCs w:val="20"/>
                <w:color w:val="auto"/>
              </w:rPr>
            </w:pPr>
            <w:r>
              <w:rPr>
                <w:rFonts w:ascii="Arial" w:cs="Arial" w:eastAsia="Arial" w:hAnsi="Arial"/>
                <w:sz w:val="14"/>
                <w:szCs w:val="14"/>
                <w:color w:val="auto"/>
              </w:rPr>
              <w:t>5,926</w:t>
            </w:r>
          </w:p>
        </w:tc>
        <w:tc>
          <w:tcPr>
            <w:tcW w:w="18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w:t>
            </w:r>
          </w:p>
        </w:tc>
        <w:tc>
          <w:tcPr>
            <w:tcW w:w="820" w:type="dxa"/>
            <w:vAlign w:val="bottom"/>
          </w:tcPr>
          <w:p>
            <w:pPr>
              <w:jc w:val="right"/>
              <w:spacing w:after="0" w:line="159" w:lineRule="exact"/>
              <w:rPr>
                <w:sz w:val="20"/>
                <w:szCs w:val="20"/>
                <w:color w:val="auto"/>
              </w:rPr>
            </w:pPr>
            <w:r>
              <w:rPr>
                <w:rFonts w:ascii="Arial" w:cs="Arial" w:eastAsia="Arial" w:hAnsi="Arial"/>
                <w:sz w:val="14"/>
                <w:szCs w:val="14"/>
                <w:color w:val="auto"/>
              </w:rPr>
              <w:t>(239)</w:t>
            </w:r>
          </w:p>
        </w:tc>
        <w:tc>
          <w:tcPr>
            <w:tcW w:w="2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59" w:lineRule="exact"/>
              <w:rPr>
                <w:sz w:val="20"/>
                <w:szCs w:val="20"/>
                <w:color w:val="auto"/>
              </w:rPr>
            </w:pPr>
            <w:r>
              <w:rPr>
                <w:rFonts w:ascii="Arial" w:cs="Arial" w:eastAsia="Arial" w:hAnsi="Arial"/>
                <w:sz w:val="14"/>
                <w:szCs w:val="14"/>
                <w:color w:val="auto"/>
              </w:rPr>
              <w:t>(562)</w:t>
            </w:r>
          </w:p>
        </w:tc>
        <w:tc>
          <w:tcPr>
            <w:tcW w:w="260" w:type="dxa"/>
            <w:vAlign w:val="bottom"/>
            <w:gridSpan w:val="2"/>
          </w:tcPr>
          <w:p>
            <w:pPr>
              <w:jc w:val="right"/>
              <w:ind w:right="8"/>
              <w:spacing w:after="0" w:line="15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59" w:lineRule="exact"/>
              <w:rPr>
                <w:sz w:val="20"/>
                <w:szCs w:val="20"/>
                <w:color w:val="auto"/>
              </w:rPr>
            </w:pPr>
            <w:r>
              <w:rPr>
                <w:rFonts w:ascii="Arial" w:cs="Arial" w:eastAsia="Arial" w:hAnsi="Arial"/>
                <w:sz w:val="14"/>
                <w:szCs w:val="14"/>
                <w:color w:val="auto"/>
              </w:rPr>
              <w:t>(55)</w:t>
            </w:r>
          </w:p>
        </w:tc>
        <w:tc>
          <w:tcPr>
            <w:tcW w:w="100" w:type="dxa"/>
            <w:vAlign w:val="bottom"/>
          </w:tcPr>
          <w:p>
            <w:pPr>
              <w:spacing w:after="0"/>
              <w:rPr>
                <w:sz w:val="13"/>
                <w:szCs w:val="13"/>
                <w:color w:val="auto"/>
              </w:rPr>
            </w:pPr>
          </w:p>
        </w:tc>
        <w:tc>
          <w:tcPr>
            <w:tcW w:w="160" w:type="dxa"/>
            <w:vAlign w:val="bottom"/>
            <w:gridSpan w:val="2"/>
          </w:tcPr>
          <w:p>
            <w:pPr>
              <w:jc w:val="right"/>
              <w:ind w:right="29"/>
              <w:spacing w:after="0" w:line="159" w:lineRule="exact"/>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line="159" w:lineRule="exact"/>
              <w:rPr>
                <w:sz w:val="20"/>
                <w:szCs w:val="20"/>
                <w:color w:val="auto"/>
              </w:rPr>
            </w:pPr>
            <w:r>
              <w:rPr>
                <w:rFonts w:ascii="Arial" w:cs="Arial" w:eastAsia="Arial" w:hAnsi="Arial"/>
                <w:sz w:val="14"/>
                <w:szCs w:val="14"/>
                <w:color w:val="auto"/>
              </w:rPr>
              <w:t>(856)</w:t>
            </w:r>
          </w:p>
        </w:tc>
        <w:tc>
          <w:tcPr>
            <w:tcW w:w="0" w:type="dxa"/>
            <w:vAlign w:val="bottom"/>
          </w:tcPr>
          <w:p>
            <w:pPr>
              <w:spacing w:after="0"/>
              <w:rPr>
                <w:sz w:val="1"/>
                <w:szCs w:val="1"/>
                <w:color w:val="auto"/>
              </w:rPr>
            </w:pPr>
          </w:p>
        </w:tc>
      </w:tr>
      <w:tr>
        <w:trPr>
          <w:trHeight w:val="198"/>
        </w:trPr>
        <w:tc>
          <w:tcPr>
            <w:tcW w:w="3340" w:type="dxa"/>
            <w:vAlign w:val="bottom"/>
            <w:gridSpan w:val="2"/>
          </w:tcPr>
          <w:p>
            <w:pPr>
              <w:ind w:left="100"/>
              <w:spacing w:after="0" w:line="198" w:lineRule="exact"/>
              <w:rPr>
                <w:sz w:val="20"/>
                <w:szCs w:val="20"/>
                <w:color w:val="auto"/>
              </w:rPr>
            </w:pPr>
            <w:r>
              <w:rPr>
                <w:rFonts w:ascii="Arial" w:cs="Arial" w:eastAsia="Arial" w:hAnsi="Arial"/>
                <w:sz w:val="14"/>
                <w:szCs w:val="14"/>
                <w:color w:val="auto"/>
              </w:rPr>
              <w:t>Intersegment net revenues</w:t>
            </w:r>
            <w:r>
              <w:rPr>
                <w:rFonts w:ascii="Arial" w:cs="Arial" w:eastAsia="Arial" w:hAnsi="Arial"/>
                <w:sz w:val="22"/>
                <w:szCs w:val="22"/>
                <w:color w:val="auto"/>
                <w:vertAlign w:val="superscript"/>
              </w:rPr>
              <w:t>1</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43</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43</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42"/>
        </w:trPr>
        <w:tc>
          <w:tcPr>
            <w:tcW w:w="3340" w:type="dxa"/>
            <w:vAlign w:val="bottom"/>
            <w:gridSpan w:val="2"/>
          </w:tcPr>
          <w:p>
            <w:pPr>
              <w:ind w:left="100"/>
              <w:spacing w:after="0" w:line="142" w:lineRule="exact"/>
              <w:rPr>
                <w:sz w:val="20"/>
                <w:szCs w:val="20"/>
                <w:color w:val="auto"/>
              </w:rPr>
            </w:pPr>
            <w:r>
              <w:rPr>
                <w:rFonts w:ascii="Arial" w:cs="Arial" w:eastAsia="Arial" w:hAnsi="Arial"/>
                <w:sz w:val="14"/>
                <w:szCs w:val="14"/>
                <w:color w:val="auto"/>
              </w:rPr>
              <w:t>Segment net revenues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2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rPr>
              <w:t>2,219</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bottom w:val="single" w:sz="8" w:color="auto"/>
            </w:tcBorders>
            <w:gridSpan w:val="2"/>
          </w:tcPr>
          <w:p>
            <w:pPr>
              <w:jc w:val="right"/>
              <w:ind w:right="40"/>
              <w:spacing w:after="0" w:line="142"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rPr>
              <w:t>1,719</w:t>
            </w:r>
          </w:p>
        </w:tc>
        <w:tc>
          <w:tcPr>
            <w:tcW w:w="120" w:type="dxa"/>
            <w:vAlign w:val="bottom"/>
          </w:tcPr>
          <w:p>
            <w:pPr>
              <w:spacing w:after="0"/>
              <w:rPr>
                <w:sz w:val="12"/>
                <w:szCs w:val="12"/>
                <w:color w:val="auto"/>
              </w:rPr>
            </w:pPr>
          </w:p>
        </w:tc>
        <w:tc>
          <w:tcPr>
            <w:tcW w:w="16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rPr>
              <w:t>2,031</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rPr>
              <w:t>5,969</w:t>
            </w:r>
          </w:p>
        </w:tc>
        <w:tc>
          <w:tcPr>
            <w:tcW w:w="120" w:type="dxa"/>
            <w:vAlign w:val="bottom"/>
          </w:tcPr>
          <w:p>
            <w:pPr>
              <w:spacing w:after="0"/>
              <w:rPr>
                <w:sz w:val="12"/>
                <w:szCs w:val="12"/>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(239)</w:t>
            </w:r>
          </w:p>
        </w:tc>
        <w:tc>
          <w:tcPr>
            <w:tcW w:w="10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(572)</w:t>
            </w:r>
          </w:p>
        </w:tc>
        <w:tc>
          <w:tcPr>
            <w:tcW w:w="100" w:type="dxa"/>
            <w:vAlign w:val="bottom"/>
          </w:tcPr>
          <w:p>
            <w:pPr>
              <w:spacing w:after="0"/>
              <w:rPr>
                <w:sz w:val="12"/>
                <w:szCs w:val="12"/>
                <w:color w:val="auto"/>
              </w:rPr>
            </w:pPr>
          </w:p>
        </w:tc>
        <w:tc>
          <w:tcPr>
            <w:tcW w:w="160" w:type="dxa"/>
            <w:vAlign w:val="bottom"/>
            <w:tcBorders>
              <w:top w:val="single" w:sz="8" w:color="auto"/>
              <w:bottom w:val="single" w:sz="8" w:color="auto"/>
            </w:tcBorders>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(55)</w:t>
            </w:r>
          </w:p>
        </w:tc>
        <w:tc>
          <w:tcPr>
            <w:tcW w:w="10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(866)</w:t>
            </w:r>
          </w:p>
        </w:tc>
        <w:tc>
          <w:tcPr>
            <w:tcW w:w="0" w:type="dxa"/>
            <w:vAlign w:val="bottom"/>
          </w:tcPr>
          <w:p>
            <w:pPr>
              <w:spacing w:after="0"/>
              <w:rPr>
                <w:sz w:val="1"/>
                <w:szCs w:val="1"/>
                <w:color w:val="auto"/>
              </w:rPr>
            </w:pPr>
          </w:p>
        </w:tc>
      </w:tr>
      <w:tr>
        <w:trPr>
          <w:trHeight w:val="20"/>
        </w:trPr>
        <w:tc>
          <w:tcPr>
            <w:tcW w:w="33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Segment operating income</w:t>
            </w: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gridSpan w:val="2"/>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gridSpan w:val="2"/>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3"/>
        </w:trPr>
        <w:tc>
          <w:tcPr>
            <w:tcW w:w="3340" w:type="dxa"/>
            <w:vAlign w:val="bottom"/>
            <w:gridSpan w:val="2"/>
            <w:vMerge w:val="continue"/>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220" w:type="dxa"/>
            <w:vAlign w:val="bottom"/>
          </w:tcPr>
          <w:p>
            <w:pPr>
              <w:spacing w:after="0"/>
              <w:rPr>
                <w:sz w:val="24"/>
                <w:szCs w:val="24"/>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850</w:t>
            </w:r>
          </w:p>
        </w:tc>
        <w:tc>
          <w:tcPr>
            <w:tcW w:w="20" w:type="dxa"/>
            <w:vAlign w:val="bottom"/>
          </w:tcPr>
          <w:p>
            <w:pPr>
              <w:spacing w:after="0"/>
              <w:rPr>
                <w:sz w:val="24"/>
                <w:szCs w:val="24"/>
                <w:color w:val="auto"/>
              </w:rPr>
            </w:pPr>
          </w:p>
        </w:tc>
        <w:tc>
          <w:tcPr>
            <w:tcW w:w="220" w:type="dxa"/>
            <w:vAlign w:val="bottom"/>
            <w:gridSpan w:val="3"/>
          </w:tcPr>
          <w:p>
            <w:pPr>
              <w:jc w:val="right"/>
              <w:ind w:right="4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464</w:t>
            </w:r>
          </w:p>
        </w:tc>
        <w:tc>
          <w:tcPr>
            <w:tcW w:w="28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740</w:t>
            </w:r>
          </w:p>
        </w:tc>
        <w:tc>
          <w:tcPr>
            <w:tcW w:w="120" w:type="dxa"/>
            <w:vAlign w:val="bottom"/>
          </w:tcPr>
          <w:p>
            <w:pPr>
              <w:spacing w:after="0"/>
              <w:rPr>
                <w:sz w:val="24"/>
                <w:szCs w:val="24"/>
                <w:color w:val="auto"/>
              </w:rPr>
            </w:pPr>
          </w:p>
        </w:tc>
        <w:tc>
          <w:tcPr>
            <w:tcW w:w="160" w:type="dxa"/>
            <w:vAlign w:val="bottom"/>
            <w:gridSpan w:val="2"/>
          </w:tcPr>
          <w:p>
            <w:pPr>
              <w:jc w:val="right"/>
              <w:ind w:right="29"/>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2,054</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(161)</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(221)</w:t>
            </w:r>
          </w:p>
        </w:tc>
        <w:tc>
          <w:tcPr>
            <w:tcW w:w="26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24"/>
                <w:szCs w:val="24"/>
                <w:color w:val="auto"/>
              </w:rPr>
            </w:pPr>
          </w:p>
        </w:tc>
        <w:tc>
          <w:tcPr>
            <w:tcW w:w="160" w:type="dxa"/>
            <w:vAlign w:val="bottom"/>
            <w:gridSpan w:val="2"/>
          </w:tcPr>
          <w:p>
            <w:pPr>
              <w:jc w:val="right"/>
              <w:ind w:right="29"/>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(392)</w:t>
            </w:r>
          </w:p>
        </w:tc>
        <w:tc>
          <w:tcPr>
            <w:tcW w:w="0" w:type="dxa"/>
            <w:vAlign w:val="bottom"/>
          </w:tcPr>
          <w:p>
            <w:pPr>
              <w:spacing w:after="0"/>
              <w:rPr>
                <w:sz w:val="1"/>
                <w:szCs w:val="1"/>
                <w:color w:val="auto"/>
              </w:rPr>
            </w:pPr>
          </w:p>
        </w:tc>
      </w:tr>
      <w:tr>
        <w:trPr>
          <w:trHeight w:val="297"/>
        </w:trPr>
        <w:tc>
          <w:tcPr>
            <w:tcW w:w="3340" w:type="dxa"/>
            <w:vAlign w:val="bottom"/>
            <w:gridSpan w:val="2"/>
          </w:tcPr>
          <w:p>
            <w:pPr>
              <w:spacing w:after="0"/>
              <w:rPr>
                <w:sz w:val="20"/>
                <w:szCs w:val="20"/>
                <w:color w:val="auto"/>
              </w:rPr>
            </w:pPr>
            <w:r>
              <w:rPr>
                <w:rFonts w:ascii="Arial" w:cs="Arial" w:eastAsia="Arial" w:hAnsi="Arial"/>
                <w:sz w:val="14"/>
                <w:szCs w:val="14"/>
                <w:b w:val="1"/>
                <w:bCs w:val="1"/>
                <w:color w:val="auto"/>
              </w:rPr>
              <w:t>Operating Margin</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80" w:type="dxa"/>
            <w:vAlign w:val="bottom"/>
            <w:gridSpan w:val="6"/>
            <w:vMerge w:val="restart"/>
          </w:tcPr>
          <w:p>
            <w:pPr>
              <w:ind w:left="240"/>
              <w:spacing w:after="0"/>
              <w:rPr>
                <w:sz w:val="20"/>
                <w:szCs w:val="20"/>
                <w:color w:val="auto"/>
              </w:rPr>
            </w:pPr>
            <w:r>
              <w:rPr>
                <w:rFonts w:ascii="Arial" w:cs="Arial" w:eastAsia="Arial" w:hAnsi="Arial"/>
                <w:sz w:val="14"/>
                <w:szCs w:val="14"/>
                <w:b w:val="1"/>
                <w:bCs w:val="1"/>
                <w:color w:val="auto"/>
              </w:rPr>
              <w:t>December 31, 2018</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34.4%</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3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980" w:type="dxa"/>
            <w:vAlign w:val="bottom"/>
            <w:tcBorders>
              <w:bottom w:val="single" w:sz="8" w:color="auto"/>
            </w:tcBorders>
            <w:gridSpan w:val="6"/>
            <w:vMerge w:val="continue"/>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3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Segment Net Revenues</w:t>
            </w:r>
          </w:p>
        </w:tc>
        <w:tc>
          <w:tcPr>
            <w:tcW w:w="940" w:type="dxa"/>
            <w:vAlign w:val="bottom"/>
            <w:gridSpan w:val="4"/>
          </w:tcPr>
          <w:p>
            <w:pPr>
              <w:ind w:left="80"/>
              <w:spacing w:after="0" w:line="142" w:lineRule="exact"/>
              <w:rPr>
                <w:sz w:val="20"/>
                <w:szCs w:val="20"/>
                <w:color w:val="auto"/>
              </w:rPr>
            </w:pPr>
            <w:r>
              <w:rPr>
                <w:rFonts w:ascii="Arial" w:cs="Arial" w:eastAsia="Arial" w:hAnsi="Arial"/>
                <w:sz w:val="14"/>
                <w:szCs w:val="14"/>
                <w:b w:val="1"/>
                <w:bCs w:val="1"/>
                <w:color w:val="auto"/>
              </w:rPr>
              <w:t>Activision</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ind w:right="208"/>
              <w:spacing w:after="0" w:line="142" w:lineRule="exact"/>
              <w:rPr>
                <w:sz w:val="20"/>
                <w:szCs w:val="20"/>
                <w:color w:val="auto"/>
              </w:rPr>
            </w:pPr>
            <w:r>
              <w:rPr>
                <w:rFonts w:ascii="Arial" w:cs="Arial" w:eastAsia="Arial" w:hAnsi="Arial"/>
                <w:sz w:val="14"/>
                <w:szCs w:val="14"/>
                <w:b w:val="1"/>
                <w:bCs w:val="1"/>
                <w:color w:val="auto"/>
                <w:w w:val="96"/>
              </w:rPr>
              <w:t>Blizzard</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ind w:left="100"/>
              <w:spacing w:after="0" w:line="142" w:lineRule="exact"/>
              <w:rPr>
                <w:sz w:val="20"/>
                <w:szCs w:val="20"/>
                <w:color w:val="auto"/>
              </w:rPr>
            </w:pPr>
            <w:r>
              <w:rPr>
                <w:rFonts w:ascii="Arial" w:cs="Arial" w:eastAsia="Arial" w:hAnsi="Arial"/>
                <w:sz w:val="14"/>
                <w:szCs w:val="14"/>
                <w:b w:val="1"/>
                <w:bCs w:val="1"/>
                <w:color w:val="auto"/>
              </w:rPr>
              <w:t>King</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right"/>
              <w:ind w:right="288"/>
              <w:spacing w:after="0" w:line="142" w:lineRule="exact"/>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3340" w:type="dxa"/>
            <w:vAlign w:val="bottom"/>
            <w:gridSpan w:val="2"/>
            <w:vMerge w:val="continue"/>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3340" w:type="dxa"/>
            <w:vAlign w:val="bottom"/>
            <w:gridSpan w:val="2"/>
          </w:tcPr>
          <w:p>
            <w:pPr>
              <w:ind w:left="180"/>
              <w:spacing w:after="0" w:line="159" w:lineRule="exact"/>
              <w:rPr>
                <w:sz w:val="20"/>
                <w:szCs w:val="20"/>
                <w:color w:val="auto"/>
              </w:rPr>
            </w:pPr>
            <w:r>
              <w:rPr>
                <w:rFonts w:ascii="Arial" w:cs="Arial" w:eastAsia="Arial" w:hAnsi="Arial"/>
                <w:sz w:val="14"/>
                <w:szCs w:val="14"/>
                <w:color w:val="auto"/>
              </w:rPr>
              <w:t>Net revenues from external customers</w:t>
            </w:r>
          </w:p>
        </w:tc>
        <w:tc>
          <w:tcPr>
            <w:tcW w:w="12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220" w:type="dxa"/>
            <w:vAlign w:val="bottom"/>
          </w:tcPr>
          <w:p>
            <w:pPr>
              <w:spacing w:after="0"/>
              <w:rPr>
                <w:sz w:val="13"/>
                <w:szCs w:val="13"/>
                <w:color w:val="auto"/>
              </w:rPr>
            </w:pPr>
          </w:p>
        </w:tc>
        <w:tc>
          <w:tcPr>
            <w:tcW w:w="580" w:type="dxa"/>
            <w:vAlign w:val="bottom"/>
          </w:tcPr>
          <w:p>
            <w:pPr>
              <w:jc w:val="right"/>
              <w:ind w:right="48"/>
              <w:spacing w:after="0" w:line="159" w:lineRule="exact"/>
              <w:rPr>
                <w:sz w:val="20"/>
                <w:szCs w:val="20"/>
                <w:color w:val="auto"/>
              </w:rPr>
            </w:pPr>
            <w:r>
              <w:rPr>
                <w:rFonts w:ascii="Arial" w:cs="Arial" w:eastAsia="Arial" w:hAnsi="Arial"/>
                <w:sz w:val="14"/>
                <w:szCs w:val="14"/>
                <w:color w:val="auto"/>
              </w:rPr>
              <w:t>2,458</w:t>
            </w:r>
          </w:p>
        </w:tc>
        <w:tc>
          <w:tcPr>
            <w:tcW w:w="20" w:type="dxa"/>
            <w:vAlign w:val="bottom"/>
          </w:tcPr>
          <w:p>
            <w:pPr>
              <w:spacing w:after="0"/>
              <w:rPr>
                <w:sz w:val="13"/>
                <w:szCs w:val="13"/>
                <w:color w:val="auto"/>
              </w:rPr>
            </w:pPr>
          </w:p>
        </w:tc>
        <w:tc>
          <w:tcPr>
            <w:tcW w:w="220" w:type="dxa"/>
            <w:vAlign w:val="bottom"/>
            <w:gridSpan w:val="3"/>
          </w:tcPr>
          <w:p>
            <w:pPr>
              <w:jc w:val="right"/>
              <w:ind w:right="40"/>
              <w:spacing w:after="0" w:line="159" w:lineRule="exact"/>
              <w:rPr>
                <w:sz w:val="20"/>
                <w:szCs w:val="20"/>
                <w:color w:val="auto"/>
              </w:rPr>
            </w:pPr>
            <w:r>
              <w:rPr>
                <w:rFonts w:ascii="Arial" w:cs="Arial" w:eastAsia="Arial" w:hAnsi="Arial"/>
                <w:sz w:val="14"/>
                <w:szCs w:val="14"/>
                <w:color w:val="auto"/>
              </w:rPr>
              <w:t>$</w:t>
            </w:r>
          </w:p>
        </w:tc>
        <w:tc>
          <w:tcPr>
            <w:tcW w:w="820" w:type="dxa"/>
            <w:vAlign w:val="bottom"/>
          </w:tcPr>
          <w:p>
            <w:pPr>
              <w:jc w:val="right"/>
              <w:ind w:right="48"/>
              <w:spacing w:after="0" w:line="159" w:lineRule="exact"/>
              <w:rPr>
                <w:sz w:val="20"/>
                <w:szCs w:val="20"/>
                <w:color w:val="auto"/>
              </w:rPr>
            </w:pPr>
            <w:r>
              <w:rPr>
                <w:rFonts w:ascii="Arial" w:cs="Arial" w:eastAsia="Arial" w:hAnsi="Arial"/>
                <w:sz w:val="14"/>
                <w:szCs w:val="14"/>
                <w:color w:val="auto"/>
              </w:rPr>
              <w:t>2,238</w:t>
            </w:r>
          </w:p>
        </w:tc>
        <w:tc>
          <w:tcPr>
            <w:tcW w:w="280" w:type="dxa"/>
            <w:vAlign w:val="bottom"/>
            <w:gridSpan w:val="3"/>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760" w:type="dxa"/>
            <w:vAlign w:val="bottom"/>
          </w:tcPr>
          <w:p>
            <w:pPr>
              <w:jc w:val="right"/>
              <w:ind w:right="48"/>
              <w:spacing w:after="0" w:line="159" w:lineRule="exact"/>
              <w:rPr>
                <w:sz w:val="20"/>
                <w:szCs w:val="20"/>
                <w:color w:val="auto"/>
              </w:rPr>
            </w:pPr>
            <w:r>
              <w:rPr>
                <w:rFonts w:ascii="Arial" w:cs="Arial" w:eastAsia="Arial" w:hAnsi="Arial"/>
                <w:sz w:val="14"/>
                <w:szCs w:val="14"/>
                <w:color w:val="auto"/>
              </w:rPr>
              <w:t>2,086</w:t>
            </w:r>
          </w:p>
        </w:tc>
        <w:tc>
          <w:tcPr>
            <w:tcW w:w="120" w:type="dxa"/>
            <w:vAlign w:val="bottom"/>
          </w:tcPr>
          <w:p>
            <w:pPr>
              <w:spacing w:after="0"/>
              <w:rPr>
                <w:sz w:val="13"/>
                <w:szCs w:val="13"/>
                <w:color w:val="auto"/>
              </w:rPr>
            </w:pPr>
          </w:p>
        </w:tc>
        <w:tc>
          <w:tcPr>
            <w:tcW w:w="160" w:type="dxa"/>
            <w:vAlign w:val="bottom"/>
            <w:gridSpan w:val="2"/>
          </w:tcPr>
          <w:p>
            <w:pPr>
              <w:jc w:val="right"/>
              <w:ind w:right="29"/>
              <w:spacing w:after="0" w:line="159" w:lineRule="exact"/>
              <w:rPr>
                <w:sz w:val="20"/>
                <w:szCs w:val="20"/>
                <w:color w:val="auto"/>
              </w:rPr>
            </w:pPr>
            <w:r>
              <w:rPr>
                <w:rFonts w:ascii="Arial" w:cs="Arial" w:eastAsia="Arial" w:hAnsi="Arial"/>
                <w:sz w:val="14"/>
                <w:szCs w:val="14"/>
                <w:color w:val="auto"/>
                <w:w w:val="76"/>
              </w:rPr>
              <w:t>$</w:t>
            </w:r>
          </w:p>
        </w:tc>
        <w:tc>
          <w:tcPr>
            <w:tcW w:w="780" w:type="dxa"/>
            <w:vAlign w:val="bottom"/>
          </w:tcPr>
          <w:p>
            <w:pPr>
              <w:jc w:val="right"/>
              <w:ind w:right="48"/>
              <w:spacing w:after="0" w:line="159" w:lineRule="exact"/>
              <w:rPr>
                <w:sz w:val="20"/>
                <w:szCs w:val="20"/>
                <w:color w:val="auto"/>
              </w:rPr>
            </w:pPr>
            <w:r>
              <w:rPr>
                <w:rFonts w:ascii="Arial" w:cs="Arial" w:eastAsia="Arial" w:hAnsi="Arial"/>
                <w:sz w:val="14"/>
                <w:szCs w:val="14"/>
                <w:color w:val="auto"/>
              </w:rPr>
              <w:t>6,782</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3340" w:type="dxa"/>
            <w:vAlign w:val="bottom"/>
            <w:gridSpan w:val="2"/>
          </w:tcPr>
          <w:p>
            <w:pPr>
              <w:ind w:left="180"/>
              <w:spacing w:after="0" w:line="198" w:lineRule="exact"/>
              <w:rPr>
                <w:sz w:val="20"/>
                <w:szCs w:val="20"/>
                <w:color w:val="auto"/>
              </w:rPr>
            </w:pPr>
            <w:r>
              <w:rPr>
                <w:rFonts w:ascii="Arial" w:cs="Arial" w:eastAsia="Arial" w:hAnsi="Arial"/>
                <w:sz w:val="14"/>
                <w:szCs w:val="14"/>
                <w:color w:val="auto"/>
              </w:rPr>
              <w:t>Intersegment net revenues</w:t>
            </w:r>
            <w:r>
              <w:rPr>
                <w:rFonts w:ascii="Arial" w:cs="Arial" w:eastAsia="Arial" w:hAnsi="Arial"/>
                <w:sz w:val="22"/>
                <w:szCs w:val="22"/>
                <w:color w:val="auto"/>
                <w:vertAlign w:val="superscript"/>
              </w:rPr>
              <w:t>1</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53</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53</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3340" w:type="dxa"/>
            <w:vAlign w:val="bottom"/>
            <w:gridSpan w:val="2"/>
          </w:tcPr>
          <w:p>
            <w:pPr>
              <w:ind w:left="180"/>
              <w:spacing w:after="0" w:line="142" w:lineRule="exact"/>
              <w:rPr>
                <w:sz w:val="20"/>
                <w:szCs w:val="20"/>
                <w:color w:val="auto"/>
              </w:rPr>
            </w:pPr>
            <w:r>
              <w:rPr>
                <w:rFonts w:ascii="Arial" w:cs="Arial" w:eastAsia="Arial" w:hAnsi="Arial"/>
                <w:sz w:val="14"/>
                <w:szCs w:val="14"/>
                <w:color w:val="auto"/>
              </w:rPr>
              <w:t>Segment net revenues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2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rPr>
              <w:t>2,458</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bottom w:val="single" w:sz="8" w:color="auto"/>
            </w:tcBorders>
            <w:gridSpan w:val="2"/>
          </w:tcPr>
          <w:p>
            <w:pPr>
              <w:jc w:val="right"/>
              <w:ind w:right="40"/>
              <w:spacing w:after="0" w:line="142"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rPr>
              <w:t>2,291</w:t>
            </w:r>
          </w:p>
        </w:tc>
        <w:tc>
          <w:tcPr>
            <w:tcW w:w="120" w:type="dxa"/>
            <w:vAlign w:val="bottom"/>
          </w:tcPr>
          <w:p>
            <w:pPr>
              <w:spacing w:after="0"/>
              <w:rPr>
                <w:sz w:val="12"/>
                <w:szCs w:val="12"/>
                <w:color w:val="auto"/>
              </w:rPr>
            </w:pPr>
          </w:p>
        </w:tc>
        <w:tc>
          <w:tcPr>
            <w:tcW w:w="16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rPr>
              <w:t>2,086</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rPr>
              <w:t>6,835</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3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Segment operating income</w:t>
            </w: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gridSpan w:val="2"/>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gridSpan w:val="2"/>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3"/>
        </w:trPr>
        <w:tc>
          <w:tcPr>
            <w:tcW w:w="3340" w:type="dxa"/>
            <w:vAlign w:val="bottom"/>
            <w:gridSpan w:val="2"/>
            <w:vMerge w:val="continue"/>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220" w:type="dxa"/>
            <w:vAlign w:val="bottom"/>
          </w:tcPr>
          <w:p>
            <w:pPr>
              <w:spacing w:after="0"/>
              <w:rPr>
                <w:sz w:val="24"/>
                <w:szCs w:val="24"/>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1,011</w:t>
            </w:r>
          </w:p>
        </w:tc>
        <w:tc>
          <w:tcPr>
            <w:tcW w:w="20" w:type="dxa"/>
            <w:vAlign w:val="bottom"/>
          </w:tcPr>
          <w:p>
            <w:pPr>
              <w:spacing w:after="0"/>
              <w:rPr>
                <w:sz w:val="24"/>
                <w:szCs w:val="24"/>
                <w:color w:val="auto"/>
              </w:rPr>
            </w:pPr>
          </w:p>
        </w:tc>
        <w:tc>
          <w:tcPr>
            <w:tcW w:w="220" w:type="dxa"/>
            <w:vAlign w:val="bottom"/>
            <w:gridSpan w:val="3"/>
          </w:tcPr>
          <w:p>
            <w:pPr>
              <w:jc w:val="right"/>
              <w:ind w:right="4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685</w:t>
            </w:r>
          </w:p>
        </w:tc>
        <w:tc>
          <w:tcPr>
            <w:tcW w:w="28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750</w:t>
            </w:r>
          </w:p>
        </w:tc>
        <w:tc>
          <w:tcPr>
            <w:tcW w:w="120" w:type="dxa"/>
            <w:vAlign w:val="bottom"/>
          </w:tcPr>
          <w:p>
            <w:pPr>
              <w:spacing w:after="0"/>
              <w:rPr>
                <w:sz w:val="24"/>
                <w:szCs w:val="24"/>
                <w:color w:val="auto"/>
              </w:rPr>
            </w:pPr>
          </w:p>
        </w:tc>
        <w:tc>
          <w:tcPr>
            <w:tcW w:w="160" w:type="dxa"/>
            <w:vAlign w:val="bottom"/>
            <w:gridSpan w:val="2"/>
          </w:tcPr>
          <w:p>
            <w:pPr>
              <w:jc w:val="right"/>
              <w:ind w:right="29"/>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2,446</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40" w:type="dxa"/>
            <w:vAlign w:val="bottom"/>
            <w:gridSpan w:val="2"/>
          </w:tcPr>
          <w:p>
            <w:pPr>
              <w:spacing w:after="0"/>
              <w:rPr>
                <w:sz w:val="20"/>
                <w:szCs w:val="20"/>
                <w:color w:val="auto"/>
              </w:rPr>
            </w:pPr>
            <w:r>
              <w:rPr>
                <w:rFonts w:ascii="Arial" w:cs="Arial" w:eastAsia="Arial" w:hAnsi="Arial"/>
                <w:sz w:val="14"/>
                <w:szCs w:val="14"/>
                <w:b w:val="1"/>
                <w:bCs w:val="1"/>
                <w:color w:val="auto"/>
              </w:rPr>
              <w:t>Operating Margin</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35.8%</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82" w:lineRule="exact"/>
        <w:rPr>
          <w:sz w:val="20"/>
          <w:szCs w:val="20"/>
          <w:color w:val="auto"/>
        </w:rPr>
      </w:pPr>
    </w:p>
    <w:p>
      <w:pPr>
        <w:ind w:left="340" w:hanging="332"/>
        <w:spacing w:after="0"/>
        <w:tabs>
          <w:tab w:leader="none" w:pos="340" w:val="left"/>
        </w:tabs>
        <w:numPr>
          <w:ilvl w:val="0"/>
          <w:numId w:val="43"/>
        </w:numPr>
        <w:rPr>
          <w:rFonts w:ascii="Arial" w:cs="Arial" w:eastAsia="Arial" w:hAnsi="Arial"/>
          <w:sz w:val="12"/>
          <w:szCs w:val="12"/>
          <w:color w:val="auto"/>
        </w:rPr>
      </w:pPr>
      <w:r>
        <w:rPr>
          <w:rFonts w:ascii="Arial" w:cs="Arial" w:eastAsia="Arial" w:hAnsi="Arial"/>
          <w:sz w:val="14"/>
          <w:szCs w:val="14"/>
          <w:color w:val="auto"/>
        </w:rPr>
        <w:t>Intersegment revenues reflect licensing and service fees charged between segments.</w:t>
      </w:r>
    </w:p>
    <w:p>
      <w:pPr>
        <w:spacing w:after="0" w:line="222"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 xml:space="preserve">Our operating segments are consistent with the manner in which our operations are reviewed and managed by our Chief Executive Officer, who is our chief operating decision maker (“CODM”). The CODM reviews segment performance exclusive of: the impact of the change in deferred revenues and related cost of revenues with respect to certain of our online-enabled games; share-based compensation expense; amortization of intangible assets as a result of purchase price accounting; fees and other expenses (including legal fees, costs, expenses and accruals) related to acquisitions, associated integration activities, and financings; certain restructuring and related costs; and other non-cash charges. </w:t>
      </w:r>
      <w:r>
        <w:rPr>
          <w:rFonts w:ascii="Arial" w:cs="Arial" w:eastAsia="Arial" w:hAnsi="Arial"/>
          <w:sz w:val="17"/>
          <w:szCs w:val="17"/>
          <w:b w:val="1"/>
          <w:bCs w:val="1"/>
          <w:color w:val="auto"/>
        </w:rPr>
        <w:t>See the following page for the reconciliation tables of segment revenues</w:t>
      </w:r>
      <w:r>
        <w:rPr>
          <w:rFonts w:ascii="Arial" w:cs="Arial" w:eastAsia="Arial" w:hAnsi="Arial"/>
          <w:sz w:val="17"/>
          <w:szCs w:val="17"/>
          <w:color w:val="auto"/>
        </w:rPr>
        <w:t xml:space="preserve"> </w:t>
      </w:r>
      <w:r>
        <w:rPr>
          <w:rFonts w:ascii="Arial" w:cs="Arial" w:eastAsia="Arial" w:hAnsi="Arial"/>
          <w:sz w:val="17"/>
          <w:szCs w:val="17"/>
          <w:b w:val="1"/>
          <w:bCs w:val="1"/>
          <w:color w:val="auto"/>
        </w:rPr>
        <w:t>and operating income to consolidated net revenues and consolidated operating income.</w:t>
      </w:r>
    </w:p>
    <w:p>
      <w:pPr>
        <w:spacing w:after="0" w:line="17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Our operating segments are also consistent with our internal organization structure, the way we assess operating performance and allocate resources, and the availability of separate financial information. We do not aggregate operating segments.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8" w:name="page19"/>
    <w:bookmarkEnd w:id="18"/>
    <w:p>
      <w:pPr>
        <w:jc w:val="right"/>
        <w:spacing w:after="0"/>
        <w:rPr>
          <w:sz w:val="20"/>
          <w:szCs w:val="20"/>
          <w:color w:val="auto"/>
        </w:rPr>
      </w:pPr>
      <w:r>
        <w:rPr>
          <w:rFonts w:ascii="Arial" w:cs="Arial" w:eastAsia="Arial" w:hAnsi="Arial"/>
          <w:sz w:val="18"/>
          <w:szCs w:val="18"/>
          <w:b w:val="1"/>
          <w:bCs w:val="1"/>
          <w:color w:val="auto"/>
        </w:rPr>
        <w:t>10</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ACTIVISION BLIZZARD,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SEGMENTS INFORMATION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Months and Years Ended December 31, 2019 and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in millions)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6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Three Months Ended December 31,</w:t>
            </w:r>
          </w:p>
        </w:tc>
        <w:tc>
          <w:tcPr>
            <w:tcW w:w="4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gridSpan w:val="4"/>
          </w:tcPr>
          <w:p>
            <w:pPr>
              <w:jc w:val="right"/>
              <w:ind w:right="679"/>
              <w:spacing w:after="0"/>
              <w:rPr>
                <w:sz w:val="20"/>
                <w:szCs w:val="20"/>
                <w:color w:val="auto"/>
              </w:rPr>
            </w:pPr>
            <w:r>
              <w:rPr>
                <w:rFonts w:ascii="Arial" w:cs="Arial" w:eastAsia="Arial" w:hAnsi="Arial"/>
                <w:sz w:val="16"/>
                <w:szCs w:val="16"/>
                <w:b w:val="1"/>
                <w:bCs w:val="1"/>
                <w:color w:val="auto"/>
              </w:rPr>
              <w:t>Years Ended December 31,</w:t>
            </w:r>
          </w:p>
        </w:tc>
        <w:tc>
          <w:tcPr>
            <w:tcW w:w="0" w:type="dxa"/>
            <w:vAlign w:val="bottom"/>
          </w:tcPr>
          <w:p>
            <w:pPr>
              <w:spacing w:after="0"/>
              <w:rPr>
                <w:sz w:val="1"/>
                <w:szCs w:val="1"/>
                <w:color w:val="auto"/>
              </w:rPr>
            </w:pPr>
          </w:p>
        </w:tc>
      </w:tr>
      <w:tr>
        <w:trPr>
          <w:trHeight w:val="207"/>
        </w:trPr>
        <w:tc>
          <w:tcPr>
            <w:tcW w:w="4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b w:val="1"/>
                <w:bCs w:val="1"/>
                <w:color w:val="auto"/>
              </w:rPr>
              <w:t>2019</w:t>
            </w:r>
          </w:p>
        </w:tc>
        <w:tc>
          <w:tcPr>
            <w:tcW w:w="580" w:type="dxa"/>
            <w:vAlign w:val="bottom"/>
          </w:tcPr>
          <w:p>
            <w:pPr>
              <w:spacing w:after="0"/>
              <w:rPr>
                <w:sz w:val="17"/>
                <w:szCs w:val="17"/>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2018</w:t>
            </w: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jc w:val="right"/>
              <w:ind w:right="61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jc w:val="right"/>
              <w:ind w:right="599"/>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209"/>
        </w:trPr>
        <w:tc>
          <w:tcPr>
            <w:tcW w:w="4620" w:type="dxa"/>
            <w:vAlign w:val="bottom"/>
          </w:tcPr>
          <w:p>
            <w:pPr>
              <w:spacing w:after="0"/>
              <w:rPr>
                <w:sz w:val="20"/>
                <w:szCs w:val="20"/>
                <w:color w:val="auto"/>
              </w:rPr>
            </w:pPr>
            <w:r>
              <w:rPr>
                <w:rFonts w:ascii="Arial" w:cs="Arial" w:eastAsia="Arial" w:hAnsi="Arial"/>
                <w:sz w:val="16"/>
                <w:szCs w:val="16"/>
                <w:b w:val="1"/>
                <w:bCs w:val="1"/>
                <w:color w:val="auto"/>
              </w:rPr>
              <w:t>Reconciliation to consolidated net revenues:</w:t>
            </w:r>
          </w:p>
        </w:tc>
        <w:tc>
          <w:tcPr>
            <w:tcW w:w="8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620" w:type="dxa"/>
            <w:vAlign w:val="bottom"/>
          </w:tcPr>
          <w:p>
            <w:pPr>
              <w:spacing w:after="0"/>
              <w:rPr>
                <w:sz w:val="20"/>
                <w:szCs w:val="20"/>
                <w:color w:val="auto"/>
              </w:rPr>
            </w:pPr>
            <w:r>
              <w:rPr>
                <w:rFonts w:ascii="Arial" w:cs="Arial" w:eastAsia="Arial" w:hAnsi="Arial"/>
                <w:sz w:val="16"/>
                <w:szCs w:val="16"/>
                <w:color w:val="auto"/>
              </w:rPr>
              <w:t>Segment net revenues</w:t>
            </w:r>
          </w:p>
        </w:tc>
        <w:tc>
          <w:tcPr>
            <w:tcW w:w="1120" w:type="dxa"/>
            <w:vAlign w:val="bottom"/>
            <w:gridSpan w:val="2"/>
          </w:tcPr>
          <w:p>
            <w:pPr>
              <w:jc w:val="right"/>
              <w:ind w:right="879"/>
              <w:spacing w:after="0"/>
              <w:rPr>
                <w:sz w:val="20"/>
                <w:szCs w:val="20"/>
                <w:color w:val="auto"/>
              </w:rPr>
            </w:pPr>
            <w:r>
              <w:rPr>
                <w:rFonts w:ascii="Arial" w:cs="Arial" w:eastAsia="Arial" w:hAnsi="Arial"/>
                <w:sz w:val="16"/>
                <w:szCs w:val="16"/>
                <w:color w:val="auto"/>
              </w:rPr>
              <w:t>$</w:t>
            </w: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2,524</w:t>
            </w:r>
          </w:p>
        </w:tc>
        <w:tc>
          <w:tcPr>
            <w:tcW w:w="1240" w:type="dxa"/>
            <w:vAlign w:val="bottom"/>
            <w:gridSpan w:val="2"/>
          </w:tcPr>
          <w:p>
            <w:pPr>
              <w:jc w:val="right"/>
              <w:ind w:right="1020"/>
              <w:spacing w:after="0"/>
              <w:rPr>
                <w:sz w:val="20"/>
                <w:szCs w:val="20"/>
                <w:color w:val="auto"/>
              </w:rPr>
            </w:pPr>
            <w:r>
              <w:rPr>
                <w:rFonts w:ascii="Arial" w:cs="Arial" w:eastAsia="Arial" w:hAnsi="Arial"/>
                <w:sz w:val="16"/>
                <w:szCs w:val="16"/>
                <w:color w:val="auto"/>
              </w:rPr>
              <w:t>$</w:t>
            </w:r>
          </w:p>
        </w:tc>
        <w:tc>
          <w:tcPr>
            <w:tcW w:w="480" w:type="dxa"/>
            <w:vAlign w:val="bottom"/>
          </w:tcPr>
          <w:p>
            <w:pPr>
              <w:jc w:val="right"/>
              <w:ind w:right="19"/>
              <w:spacing w:after="0"/>
              <w:rPr>
                <w:sz w:val="20"/>
                <w:szCs w:val="20"/>
                <w:color w:val="auto"/>
              </w:rPr>
            </w:pPr>
            <w:r>
              <w:rPr>
                <w:rFonts w:ascii="Arial" w:cs="Arial" w:eastAsia="Arial" w:hAnsi="Arial"/>
                <w:sz w:val="16"/>
                <w:szCs w:val="16"/>
                <w:color w:val="auto"/>
                <w:w w:val="89"/>
              </w:rPr>
              <w:t>2,640</w:t>
            </w:r>
          </w:p>
        </w:tc>
        <w:tc>
          <w:tcPr>
            <w:tcW w:w="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5,969</w:t>
            </w:r>
          </w:p>
        </w:tc>
        <w:tc>
          <w:tcPr>
            <w:tcW w:w="100" w:type="dxa"/>
            <w:vAlign w:val="bottom"/>
          </w:tcPr>
          <w:p>
            <w:pPr>
              <w:spacing w:after="0"/>
              <w:rPr>
                <w:sz w:val="18"/>
                <w:szCs w:val="18"/>
                <w:color w:val="auto"/>
              </w:rPr>
            </w:pPr>
          </w:p>
        </w:tc>
        <w:tc>
          <w:tcPr>
            <w:tcW w:w="320" w:type="dxa"/>
            <w:vAlign w:val="bottom"/>
          </w:tcPr>
          <w:p>
            <w:pPr>
              <w:jc w:val="right"/>
              <w:ind w:right="164"/>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6,835</w:t>
            </w:r>
          </w:p>
        </w:tc>
        <w:tc>
          <w:tcPr>
            <w:tcW w:w="0" w:type="dxa"/>
            <w:vAlign w:val="bottom"/>
          </w:tcPr>
          <w:p>
            <w:pPr>
              <w:spacing w:after="0"/>
              <w:rPr>
                <w:sz w:val="1"/>
                <w:szCs w:val="1"/>
                <w:color w:val="auto"/>
              </w:rPr>
            </w:pPr>
          </w:p>
        </w:tc>
      </w:tr>
      <w:tr>
        <w:trPr>
          <w:trHeight w:val="243"/>
        </w:trPr>
        <w:tc>
          <w:tcPr>
            <w:tcW w:w="4620" w:type="dxa"/>
            <w:vAlign w:val="bottom"/>
          </w:tcPr>
          <w:p>
            <w:pPr>
              <w:spacing w:after="0" w:line="242" w:lineRule="exact"/>
              <w:rPr>
                <w:sz w:val="20"/>
                <w:szCs w:val="20"/>
                <w:color w:val="auto"/>
              </w:rPr>
            </w:pPr>
            <w:r>
              <w:rPr>
                <w:rFonts w:ascii="Arial" w:cs="Arial" w:eastAsia="Arial" w:hAnsi="Arial"/>
                <w:sz w:val="16"/>
                <w:szCs w:val="16"/>
                <w:color w:val="auto"/>
              </w:rPr>
              <w:t>Revenues from non-reportable segments</w:t>
            </w:r>
            <w:r>
              <w:rPr>
                <w:rFonts w:ascii="Arial" w:cs="Arial" w:eastAsia="Arial" w:hAnsi="Arial"/>
                <w:sz w:val="27"/>
                <w:szCs w:val="27"/>
                <w:color w:val="auto"/>
                <w:vertAlign w:val="superscript"/>
              </w:rPr>
              <w:t>1</w:t>
            </w:r>
          </w:p>
        </w:tc>
        <w:tc>
          <w:tcPr>
            <w:tcW w:w="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217</w:t>
            </w: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80" w:type="dxa"/>
            <w:vAlign w:val="bottom"/>
          </w:tcPr>
          <w:p>
            <w:pPr>
              <w:jc w:val="right"/>
              <w:ind w:right="19"/>
              <w:spacing w:after="0"/>
              <w:rPr>
                <w:sz w:val="20"/>
                <w:szCs w:val="20"/>
                <w:color w:val="auto"/>
              </w:rPr>
            </w:pPr>
            <w:r>
              <w:rPr>
                <w:rFonts w:ascii="Arial" w:cs="Arial" w:eastAsia="Arial" w:hAnsi="Arial"/>
                <w:sz w:val="16"/>
                <w:szCs w:val="16"/>
                <w:color w:val="auto"/>
              </w:rPr>
              <w:t>234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462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480</w:t>
            </w:r>
          </w:p>
        </w:tc>
        <w:tc>
          <w:tcPr>
            <w:tcW w:w="0" w:type="dxa"/>
            <w:vAlign w:val="bottom"/>
          </w:tcPr>
          <w:p>
            <w:pPr>
              <w:spacing w:after="0"/>
              <w:rPr>
                <w:sz w:val="1"/>
                <w:szCs w:val="1"/>
                <w:color w:val="auto"/>
              </w:rPr>
            </w:pPr>
          </w:p>
        </w:tc>
      </w:tr>
      <w:tr>
        <w:trPr>
          <w:trHeight w:val="243"/>
        </w:trPr>
        <w:tc>
          <w:tcPr>
            <w:tcW w:w="4620" w:type="dxa"/>
            <w:vAlign w:val="bottom"/>
          </w:tcPr>
          <w:p>
            <w:pPr>
              <w:spacing w:after="0" w:line="242" w:lineRule="exact"/>
              <w:rPr>
                <w:sz w:val="20"/>
                <w:szCs w:val="20"/>
                <w:color w:val="auto"/>
              </w:rPr>
            </w:pPr>
            <w:r>
              <w:rPr>
                <w:rFonts w:ascii="Arial" w:cs="Arial" w:eastAsia="Arial" w:hAnsi="Arial"/>
                <w:sz w:val="16"/>
                <w:szCs w:val="16"/>
                <w:color w:val="auto"/>
              </w:rPr>
              <w:t>Net effect from recognition (deferral) of deferred net revenues</w:t>
            </w:r>
            <w:r>
              <w:rPr>
                <w:rFonts w:ascii="Arial" w:cs="Arial" w:eastAsia="Arial" w:hAnsi="Arial"/>
                <w:sz w:val="27"/>
                <w:szCs w:val="27"/>
                <w:color w:val="auto"/>
                <w:vertAlign w:val="superscript"/>
              </w:rPr>
              <w:t>2</w:t>
            </w:r>
          </w:p>
        </w:tc>
        <w:tc>
          <w:tcPr>
            <w:tcW w:w="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(722)</w:t>
            </w: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(454)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101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238</w:t>
            </w:r>
          </w:p>
        </w:tc>
        <w:tc>
          <w:tcPr>
            <w:tcW w:w="0" w:type="dxa"/>
            <w:vAlign w:val="bottom"/>
          </w:tcPr>
          <w:p>
            <w:pPr>
              <w:spacing w:after="0"/>
              <w:rPr>
                <w:sz w:val="1"/>
                <w:szCs w:val="1"/>
                <w:color w:val="auto"/>
              </w:rPr>
            </w:pPr>
          </w:p>
        </w:tc>
      </w:tr>
      <w:tr>
        <w:trPr>
          <w:trHeight w:val="254"/>
        </w:trPr>
        <w:tc>
          <w:tcPr>
            <w:tcW w:w="4620" w:type="dxa"/>
            <w:vAlign w:val="bottom"/>
          </w:tcPr>
          <w:p>
            <w:pPr>
              <w:spacing w:after="0" w:line="254" w:lineRule="exact"/>
              <w:rPr>
                <w:sz w:val="20"/>
                <w:szCs w:val="20"/>
                <w:color w:val="auto"/>
              </w:rPr>
            </w:pPr>
            <w:r>
              <w:rPr>
                <w:rFonts w:ascii="Arial" w:cs="Arial" w:eastAsia="Arial" w:hAnsi="Arial"/>
                <w:sz w:val="16"/>
                <w:szCs w:val="16"/>
                <w:color w:val="auto"/>
              </w:rPr>
              <w:t>Elimination of intersegment revenues</w:t>
            </w:r>
            <w:r>
              <w:rPr>
                <w:rFonts w:ascii="Arial" w:cs="Arial" w:eastAsia="Arial" w:hAnsi="Arial"/>
                <w:sz w:val="27"/>
                <w:szCs w:val="27"/>
                <w:color w:val="auto"/>
                <w:vertAlign w:val="superscript"/>
              </w:rPr>
              <w:t>3</w:t>
            </w:r>
          </w:p>
        </w:tc>
        <w:tc>
          <w:tcPr>
            <w:tcW w:w="80" w:type="dxa"/>
            <w:vAlign w:val="bottom"/>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w:t>
            </w:r>
          </w:p>
        </w:tc>
        <w:tc>
          <w:tcPr>
            <w:tcW w:w="140" w:type="dxa"/>
            <w:vAlign w:val="bottom"/>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w:t>
            </w:r>
          </w:p>
        </w:tc>
        <w:tc>
          <w:tcPr>
            <w:tcW w:w="1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620" w:type="dxa"/>
            <w:vAlign w:val="bottom"/>
          </w:tcPr>
          <w:p>
            <w:pPr>
              <w:spacing w:after="0"/>
              <w:rPr>
                <w:sz w:val="20"/>
                <w:szCs w:val="20"/>
                <w:color w:val="auto"/>
              </w:rPr>
            </w:pPr>
            <w:r>
              <w:rPr>
                <w:rFonts w:ascii="Arial" w:cs="Arial" w:eastAsia="Arial" w:hAnsi="Arial"/>
                <w:sz w:val="16"/>
                <w:szCs w:val="16"/>
                <w:color w:val="auto"/>
              </w:rPr>
              <w:t>Consolidated net revenues</w:t>
            </w:r>
          </w:p>
        </w:tc>
        <w:tc>
          <w:tcPr>
            <w:tcW w:w="1120" w:type="dxa"/>
            <w:vAlign w:val="bottom"/>
            <w:gridSpan w:val="2"/>
          </w:tcPr>
          <w:p>
            <w:pPr>
              <w:jc w:val="right"/>
              <w:ind w:right="879"/>
              <w:spacing w:after="0"/>
              <w:rPr>
                <w:sz w:val="20"/>
                <w:szCs w:val="20"/>
                <w:color w:val="auto"/>
              </w:rPr>
            </w:pPr>
            <w:r>
              <w:rPr>
                <w:rFonts w:ascii="Arial" w:cs="Arial" w:eastAsia="Arial" w:hAnsi="Arial"/>
                <w:sz w:val="16"/>
                <w:szCs w:val="16"/>
                <w:color w:val="auto"/>
              </w:rPr>
              <w:t>$</w:t>
            </w: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1,986</w:t>
            </w:r>
          </w:p>
        </w:tc>
        <w:tc>
          <w:tcPr>
            <w:tcW w:w="1240" w:type="dxa"/>
            <w:vAlign w:val="bottom"/>
            <w:gridSpan w:val="2"/>
          </w:tcPr>
          <w:p>
            <w:pPr>
              <w:jc w:val="right"/>
              <w:ind w:right="1020"/>
              <w:spacing w:after="0"/>
              <w:rPr>
                <w:sz w:val="20"/>
                <w:szCs w:val="20"/>
                <w:color w:val="auto"/>
              </w:rPr>
            </w:pPr>
            <w:r>
              <w:rPr>
                <w:rFonts w:ascii="Arial" w:cs="Arial" w:eastAsia="Arial" w:hAnsi="Arial"/>
                <w:sz w:val="16"/>
                <w:szCs w:val="16"/>
                <w:color w:val="auto"/>
              </w:rPr>
              <w:t>$</w:t>
            </w:r>
          </w:p>
        </w:tc>
        <w:tc>
          <w:tcPr>
            <w:tcW w:w="480" w:type="dxa"/>
            <w:vAlign w:val="bottom"/>
          </w:tcPr>
          <w:p>
            <w:pPr>
              <w:jc w:val="right"/>
              <w:ind w:right="19"/>
              <w:spacing w:after="0"/>
              <w:rPr>
                <w:sz w:val="20"/>
                <w:szCs w:val="20"/>
                <w:color w:val="auto"/>
              </w:rPr>
            </w:pPr>
            <w:r>
              <w:rPr>
                <w:rFonts w:ascii="Arial" w:cs="Arial" w:eastAsia="Arial" w:hAnsi="Arial"/>
                <w:sz w:val="16"/>
                <w:szCs w:val="16"/>
                <w:color w:val="auto"/>
                <w:w w:val="89"/>
              </w:rPr>
              <w:t>2,381</w:t>
            </w:r>
          </w:p>
        </w:tc>
        <w:tc>
          <w:tcPr>
            <w:tcW w:w="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6,489</w:t>
            </w:r>
          </w:p>
        </w:tc>
        <w:tc>
          <w:tcPr>
            <w:tcW w:w="100" w:type="dxa"/>
            <w:vAlign w:val="bottom"/>
          </w:tcPr>
          <w:p>
            <w:pPr>
              <w:spacing w:after="0"/>
              <w:rPr>
                <w:sz w:val="18"/>
                <w:szCs w:val="18"/>
                <w:color w:val="auto"/>
              </w:rPr>
            </w:pPr>
          </w:p>
        </w:tc>
        <w:tc>
          <w:tcPr>
            <w:tcW w:w="320" w:type="dxa"/>
            <w:vAlign w:val="bottom"/>
          </w:tcPr>
          <w:p>
            <w:pPr>
              <w:jc w:val="right"/>
              <w:ind w:right="164"/>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7,500</w:t>
            </w:r>
          </w:p>
        </w:tc>
        <w:tc>
          <w:tcPr>
            <w:tcW w:w="0" w:type="dxa"/>
            <w:vAlign w:val="bottom"/>
          </w:tcPr>
          <w:p>
            <w:pPr>
              <w:spacing w:after="0"/>
              <w:rPr>
                <w:sz w:val="1"/>
                <w:szCs w:val="1"/>
                <w:color w:val="auto"/>
              </w:rPr>
            </w:pPr>
          </w:p>
        </w:tc>
      </w:tr>
      <w:tr>
        <w:trPr>
          <w:trHeight w:val="20"/>
        </w:trPr>
        <w:tc>
          <w:tcPr>
            <w:tcW w:w="4620" w:type="dxa"/>
            <w:vAlign w:val="bottom"/>
            <w:vMerge w:val="restart"/>
          </w:tcPr>
          <w:p>
            <w:pPr>
              <w:spacing w:after="0"/>
              <w:rPr>
                <w:sz w:val="20"/>
                <w:szCs w:val="20"/>
                <w:color w:val="auto"/>
              </w:rPr>
            </w:pPr>
            <w:r>
              <w:rPr>
                <w:rFonts w:ascii="Arial" w:cs="Arial" w:eastAsia="Arial" w:hAnsi="Arial"/>
                <w:sz w:val="16"/>
                <w:szCs w:val="16"/>
                <w:b w:val="1"/>
                <w:bCs w:val="1"/>
                <w:color w:val="auto"/>
                <w:w w:val="90"/>
              </w:rPr>
              <w:t>Reconciliation to consolidated income before income tax expense:</w:t>
            </w:r>
          </w:p>
        </w:tc>
        <w:tc>
          <w:tcPr>
            <w:tcW w:w="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7"/>
        </w:trPr>
        <w:tc>
          <w:tcPr>
            <w:tcW w:w="462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4620" w:type="dxa"/>
            <w:vAlign w:val="bottom"/>
          </w:tcPr>
          <w:p>
            <w:pPr>
              <w:spacing w:after="0"/>
              <w:rPr>
                <w:sz w:val="20"/>
                <w:szCs w:val="20"/>
                <w:color w:val="auto"/>
              </w:rPr>
            </w:pPr>
            <w:r>
              <w:rPr>
                <w:rFonts w:ascii="Arial" w:cs="Arial" w:eastAsia="Arial" w:hAnsi="Arial"/>
                <w:sz w:val="16"/>
                <w:szCs w:val="16"/>
                <w:color w:val="auto"/>
              </w:rPr>
              <w:t>Segment operating income</w:t>
            </w:r>
          </w:p>
        </w:tc>
        <w:tc>
          <w:tcPr>
            <w:tcW w:w="1120" w:type="dxa"/>
            <w:vAlign w:val="bottom"/>
            <w:gridSpan w:val="2"/>
          </w:tcPr>
          <w:p>
            <w:pPr>
              <w:jc w:val="right"/>
              <w:ind w:right="879"/>
              <w:spacing w:after="0"/>
              <w:rPr>
                <w:sz w:val="20"/>
                <w:szCs w:val="20"/>
                <w:color w:val="auto"/>
              </w:rPr>
            </w:pPr>
            <w:r>
              <w:rPr>
                <w:rFonts w:ascii="Arial" w:cs="Arial" w:eastAsia="Arial" w:hAnsi="Arial"/>
                <w:sz w:val="16"/>
                <w:szCs w:val="16"/>
                <w:color w:val="auto"/>
              </w:rPr>
              <w:t>$</w:t>
            </w: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1,153</w:t>
            </w:r>
          </w:p>
        </w:tc>
        <w:tc>
          <w:tcPr>
            <w:tcW w:w="1240" w:type="dxa"/>
            <w:vAlign w:val="bottom"/>
            <w:gridSpan w:val="2"/>
          </w:tcPr>
          <w:p>
            <w:pPr>
              <w:jc w:val="right"/>
              <w:ind w:right="1020"/>
              <w:spacing w:after="0"/>
              <w:rPr>
                <w:sz w:val="20"/>
                <w:szCs w:val="20"/>
                <w:color w:val="auto"/>
              </w:rPr>
            </w:pPr>
            <w:r>
              <w:rPr>
                <w:rFonts w:ascii="Arial" w:cs="Arial" w:eastAsia="Arial" w:hAnsi="Arial"/>
                <w:sz w:val="16"/>
                <w:szCs w:val="16"/>
                <w:color w:val="auto"/>
              </w:rPr>
              <w:t>$</w:t>
            </w:r>
          </w:p>
        </w:tc>
        <w:tc>
          <w:tcPr>
            <w:tcW w:w="480" w:type="dxa"/>
            <w:vAlign w:val="bottom"/>
          </w:tcPr>
          <w:p>
            <w:pPr>
              <w:jc w:val="right"/>
              <w:ind w:right="19"/>
              <w:spacing w:after="0"/>
              <w:rPr>
                <w:sz w:val="20"/>
                <w:szCs w:val="20"/>
                <w:color w:val="auto"/>
              </w:rPr>
            </w:pPr>
            <w:r>
              <w:rPr>
                <w:rFonts w:ascii="Arial" w:cs="Arial" w:eastAsia="Arial" w:hAnsi="Arial"/>
                <w:sz w:val="16"/>
                <w:szCs w:val="16"/>
                <w:color w:val="auto"/>
                <w:w w:val="89"/>
              </w:rPr>
              <w:t>1,171</w:t>
            </w:r>
          </w:p>
        </w:tc>
        <w:tc>
          <w:tcPr>
            <w:tcW w:w="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2,054</w:t>
            </w:r>
          </w:p>
        </w:tc>
        <w:tc>
          <w:tcPr>
            <w:tcW w:w="100" w:type="dxa"/>
            <w:vAlign w:val="bottom"/>
          </w:tcPr>
          <w:p>
            <w:pPr>
              <w:spacing w:after="0"/>
              <w:rPr>
                <w:sz w:val="18"/>
                <w:szCs w:val="18"/>
                <w:color w:val="auto"/>
              </w:rPr>
            </w:pPr>
          </w:p>
        </w:tc>
        <w:tc>
          <w:tcPr>
            <w:tcW w:w="320" w:type="dxa"/>
            <w:vAlign w:val="bottom"/>
          </w:tcPr>
          <w:p>
            <w:pPr>
              <w:jc w:val="right"/>
              <w:ind w:right="164"/>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2,446</w:t>
            </w:r>
          </w:p>
        </w:tc>
        <w:tc>
          <w:tcPr>
            <w:tcW w:w="0" w:type="dxa"/>
            <w:vAlign w:val="bottom"/>
          </w:tcPr>
          <w:p>
            <w:pPr>
              <w:spacing w:after="0"/>
              <w:rPr>
                <w:sz w:val="1"/>
                <w:szCs w:val="1"/>
                <w:color w:val="auto"/>
              </w:rPr>
            </w:pPr>
          </w:p>
        </w:tc>
      </w:tr>
      <w:tr>
        <w:trPr>
          <w:trHeight w:val="244"/>
        </w:trPr>
        <w:tc>
          <w:tcPr>
            <w:tcW w:w="4620" w:type="dxa"/>
            <w:vAlign w:val="bottom"/>
          </w:tcPr>
          <w:p>
            <w:pPr>
              <w:spacing w:after="0" w:line="244" w:lineRule="exact"/>
              <w:rPr>
                <w:sz w:val="20"/>
                <w:szCs w:val="20"/>
                <w:color w:val="auto"/>
              </w:rPr>
            </w:pPr>
            <w:r>
              <w:rPr>
                <w:rFonts w:ascii="Arial" w:cs="Arial" w:eastAsia="Arial" w:hAnsi="Arial"/>
                <w:sz w:val="16"/>
                <w:szCs w:val="16"/>
                <w:color w:val="auto"/>
              </w:rPr>
              <w:t>Operating income (loss) from non-reportable segments</w:t>
            </w:r>
            <w:r>
              <w:rPr>
                <w:rFonts w:ascii="Arial" w:cs="Arial" w:eastAsia="Arial" w:hAnsi="Arial"/>
                <w:sz w:val="27"/>
                <w:szCs w:val="27"/>
                <w:color w:val="auto"/>
                <w:vertAlign w:val="superscript"/>
              </w:rPr>
              <w:t>1</w:t>
            </w:r>
          </w:p>
        </w:tc>
        <w:tc>
          <w:tcPr>
            <w:tcW w:w="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15</w:t>
            </w: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80" w:type="dxa"/>
            <w:vAlign w:val="bottom"/>
          </w:tcPr>
          <w:p>
            <w:pPr>
              <w:jc w:val="right"/>
              <w:ind w:right="19"/>
              <w:spacing w:after="0"/>
              <w:rPr>
                <w:sz w:val="20"/>
                <w:szCs w:val="20"/>
                <w:color w:val="auto"/>
              </w:rPr>
            </w:pPr>
            <w:r>
              <w:rPr>
                <w:rFonts w:ascii="Arial" w:cs="Arial" w:eastAsia="Arial" w:hAnsi="Arial"/>
                <w:sz w:val="16"/>
                <w:szCs w:val="16"/>
                <w:color w:val="auto"/>
              </w:rPr>
              <w:t>35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02"/>
        </w:trPr>
        <w:tc>
          <w:tcPr>
            <w:tcW w:w="4620" w:type="dxa"/>
            <w:vAlign w:val="bottom"/>
          </w:tcPr>
          <w:p>
            <w:pPr>
              <w:spacing w:after="0"/>
              <w:rPr>
                <w:sz w:val="20"/>
                <w:szCs w:val="20"/>
                <w:color w:val="auto"/>
              </w:rPr>
            </w:pPr>
            <w:r>
              <w:rPr>
                <w:rFonts w:ascii="Arial" w:cs="Arial" w:eastAsia="Arial" w:hAnsi="Arial"/>
                <w:sz w:val="16"/>
                <w:szCs w:val="16"/>
                <w:color w:val="auto"/>
                <w:w w:val="98"/>
              </w:rPr>
              <w:t>Net effect from recognition (deferral) of deferred net revenues and</w:t>
            </w: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4620" w:type="dxa"/>
            <w:vAlign w:val="bottom"/>
          </w:tcPr>
          <w:p>
            <w:pPr>
              <w:spacing w:after="0" w:line="240" w:lineRule="exact"/>
              <w:rPr>
                <w:sz w:val="20"/>
                <w:szCs w:val="20"/>
                <w:color w:val="auto"/>
              </w:rPr>
            </w:pPr>
            <w:r>
              <w:rPr>
                <w:rFonts w:ascii="Arial" w:cs="Arial" w:eastAsia="Arial" w:hAnsi="Arial"/>
                <w:sz w:val="16"/>
                <w:szCs w:val="16"/>
                <w:color w:val="auto"/>
              </w:rPr>
              <w:t>related cost of revenues</w:t>
            </w:r>
            <w:r>
              <w:rPr>
                <w:rFonts w:ascii="Arial" w:cs="Arial" w:eastAsia="Arial" w:hAnsi="Arial"/>
                <w:sz w:val="27"/>
                <w:szCs w:val="27"/>
                <w:color w:val="auto"/>
                <w:vertAlign w:val="superscript"/>
              </w:rPr>
              <w:t>2</w:t>
            </w: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(577)</w:t>
            </w: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(368)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52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6"/>
                <w:szCs w:val="16"/>
                <w:color w:val="auto"/>
              </w:rPr>
              <w:t>Share-based compensation expense</w:t>
            </w: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(39)</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(43)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(166)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(209</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0"/>
        </w:trPr>
        <w:tc>
          <w:tcPr>
            <w:tcW w:w="4620" w:type="dxa"/>
            <w:vAlign w:val="bottom"/>
          </w:tcPr>
          <w:p>
            <w:pPr>
              <w:spacing w:after="0"/>
              <w:rPr>
                <w:sz w:val="20"/>
                <w:szCs w:val="20"/>
                <w:color w:val="auto"/>
              </w:rPr>
            </w:pPr>
            <w:r>
              <w:rPr>
                <w:rFonts w:ascii="Arial" w:cs="Arial" w:eastAsia="Arial" w:hAnsi="Arial"/>
                <w:sz w:val="16"/>
                <w:szCs w:val="16"/>
                <w:color w:val="auto"/>
              </w:rPr>
              <w:t>Amortization of intangible assets</w:t>
            </w: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(51)</w:t>
            </w: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(91)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(203)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(370</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620" w:type="dxa"/>
            <w:vAlign w:val="bottom"/>
          </w:tcPr>
          <w:p>
            <w:pPr>
              <w:spacing w:after="0" w:line="242" w:lineRule="exact"/>
              <w:rPr>
                <w:sz w:val="20"/>
                <w:szCs w:val="20"/>
                <w:color w:val="auto"/>
              </w:rPr>
            </w:pPr>
            <w:r>
              <w:rPr>
                <w:rFonts w:ascii="Arial" w:cs="Arial" w:eastAsia="Arial" w:hAnsi="Arial"/>
                <w:sz w:val="16"/>
                <w:szCs w:val="16"/>
                <w:color w:val="auto"/>
              </w:rPr>
              <w:t>Restructuring and related costs</w:t>
            </w:r>
            <w:r>
              <w:rPr>
                <w:rFonts w:ascii="Arial" w:cs="Arial" w:eastAsia="Arial" w:hAnsi="Arial"/>
                <w:sz w:val="27"/>
                <w:szCs w:val="27"/>
                <w:color w:val="auto"/>
                <w:vertAlign w:val="superscript"/>
              </w:rPr>
              <w:t>4</w:t>
            </w:r>
          </w:p>
        </w:tc>
        <w:tc>
          <w:tcPr>
            <w:tcW w:w="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(30)</w:t>
            </w: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(137)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(10</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4"/>
        </w:trPr>
        <w:tc>
          <w:tcPr>
            <w:tcW w:w="4620" w:type="dxa"/>
            <w:vAlign w:val="bottom"/>
          </w:tcPr>
          <w:p>
            <w:pPr>
              <w:spacing w:after="0" w:line="254" w:lineRule="exact"/>
              <w:rPr>
                <w:sz w:val="20"/>
                <w:szCs w:val="20"/>
                <w:color w:val="auto"/>
              </w:rPr>
            </w:pPr>
            <w:r>
              <w:rPr>
                <w:rFonts w:ascii="Arial" w:cs="Arial" w:eastAsia="Arial" w:hAnsi="Arial"/>
                <w:sz w:val="16"/>
                <w:szCs w:val="16"/>
                <w:color w:val="auto"/>
              </w:rPr>
              <w:t>Discrete tax-related items</w:t>
            </w:r>
            <w:r>
              <w:rPr>
                <w:rFonts w:ascii="Arial" w:cs="Arial" w:eastAsia="Arial" w:hAnsi="Arial"/>
                <w:sz w:val="27"/>
                <w:szCs w:val="27"/>
                <w:color w:val="auto"/>
                <w:vertAlign w:val="superscript"/>
              </w:rPr>
              <w:t>5</w:t>
            </w:r>
          </w:p>
        </w:tc>
        <w:tc>
          <w:tcPr>
            <w:tcW w:w="80" w:type="dxa"/>
            <w:vAlign w:val="bottom"/>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140" w:type="dxa"/>
            <w:vAlign w:val="bottom"/>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4"/>
        </w:trPr>
        <w:tc>
          <w:tcPr>
            <w:tcW w:w="4620" w:type="dxa"/>
            <w:vAlign w:val="bottom"/>
          </w:tcPr>
          <w:p>
            <w:pPr>
              <w:spacing w:after="0"/>
              <w:rPr>
                <w:sz w:val="20"/>
                <w:szCs w:val="20"/>
                <w:color w:val="auto"/>
              </w:rPr>
            </w:pPr>
            <w:r>
              <w:rPr>
                <w:rFonts w:ascii="Arial" w:cs="Arial" w:eastAsia="Arial" w:hAnsi="Arial"/>
                <w:sz w:val="16"/>
                <w:szCs w:val="16"/>
                <w:color w:val="auto"/>
              </w:rPr>
              <w:t>Consolidated operating income</w:t>
            </w: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454</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80" w:type="dxa"/>
            <w:vAlign w:val="bottom"/>
          </w:tcPr>
          <w:p>
            <w:pPr>
              <w:jc w:val="right"/>
              <w:ind w:right="19"/>
              <w:spacing w:after="0"/>
              <w:rPr>
                <w:sz w:val="20"/>
                <w:szCs w:val="20"/>
                <w:color w:val="auto"/>
              </w:rPr>
            </w:pPr>
            <w:r>
              <w:rPr>
                <w:rFonts w:ascii="Arial" w:cs="Arial" w:eastAsia="Arial" w:hAnsi="Arial"/>
                <w:sz w:val="16"/>
                <w:szCs w:val="16"/>
                <w:color w:val="auto"/>
              </w:rPr>
              <w:t>694</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1,607</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1,988</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6"/>
                <w:szCs w:val="16"/>
                <w:color w:val="auto"/>
              </w:rPr>
              <w:t>Interest and other expense (income), net</w:t>
            </w: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7</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80" w:type="dxa"/>
            <w:vAlign w:val="bottom"/>
          </w:tcPr>
          <w:p>
            <w:pPr>
              <w:jc w:val="right"/>
              <w:ind w:right="19"/>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71</w:t>
            </w:r>
          </w:p>
        </w:tc>
        <w:tc>
          <w:tcPr>
            <w:tcW w:w="0" w:type="dxa"/>
            <w:vAlign w:val="bottom"/>
          </w:tcPr>
          <w:p>
            <w:pPr>
              <w:spacing w:after="0"/>
              <w:rPr>
                <w:sz w:val="1"/>
                <w:szCs w:val="1"/>
                <w:color w:val="auto"/>
              </w:rPr>
            </w:pPr>
          </w:p>
        </w:tc>
      </w:tr>
      <w:tr>
        <w:trPr>
          <w:trHeight w:val="219"/>
        </w:trPr>
        <w:tc>
          <w:tcPr>
            <w:tcW w:w="4620" w:type="dxa"/>
            <w:vAlign w:val="bottom"/>
          </w:tcPr>
          <w:p>
            <w:pPr>
              <w:spacing w:after="0"/>
              <w:rPr>
                <w:sz w:val="20"/>
                <w:szCs w:val="20"/>
                <w:color w:val="auto"/>
              </w:rPr>
            </w:pPr>
            <w:r>
              <w:rPr>
                <w:rFonts w:ascii="Arial" w:cs="Arial" w:eastAsia="Arial" w:hAnsi="Arial"/>
                <w:sz w:val="16"/>
                <w:szCs w:val="16"/>
                <w:color w:val="auto"/>
              </w:rPr>
              <w:t>Loss on extinguishment of debt</w:t>
            </w:r>
          </w:p>
        </w:tc>
        <w:tc>
          <w:tcPr>
            <w:tcW w:w="8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13"/>
        </w:trPr>
        <w:tc>
          <w:tcPr>
            <w:tcW w:w="4620" w:type="dxa"/>
            <w:vAlign w:val="bottom"/>
          </w:tcPr>
          <w:p>
            <w:pPr>
              <w:spacing w:after="0"/>
              <w:rPr>
                <w:sz w:val="20"/>
                <w:szCs w:val="20"/>
                <w:color w:val="auto"/>
              </w:rPr>
            </w:pPr>
            <w:r>
              <w:rPr>
                <w:rFonts w:ascii="Arial" w:cs="Arial" w:eastAsia="Arial" w:hAnsi="Arial"/>
                <w:sz w:val="16"/>
                <w:szCs w:val="16"/>
                <w:color w:val="auto"/>
              </w:rPr>
              <w:t>Consolidated income before income tax expense (benefit)</w:t>
            </w:r>
          </w:p>
        </w:tc>
        <w:tc>
          <w:tcPr>
            <w:tcW w:w="1120" w:type="dxa"/>
            <w:vAlign w:val="bottom"/>
            <w:gridSpan w:val="2"/>
          </w:tcPr>
          <w:p>
            <w:pPr>
              <w:jc w:val="right"/>
              <w:ind w:right="879"/>
              <w:spacing w:after="0"/>
              <w:rPr>
                <w:sz w:val="20"/>
                <w:szCs w:val="20"/>
                <w:color w:val="auto"/>
              </w:rPr>
            </w:pPr>
            <w:r>
              <w:rPr>
                <w:rFonts w:ascii="Arial" w:cs="Arial" w:eastAsia="Arial" w:hAnsi="Arial"/>
                <w:sz w:val="16"/>
                <w:szCs w:val="16"/>
                <w:color w:val="auto"/>
              </w:rPr>
              <w:t>$</w:t>
            </w: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447</w:t>
            </w:r>
          </w:p>
        </w:tc>
        <w:tc>
          <w:tcPr>
            <w:tcW w:w="1240" w:type="dxa"/>
            <w:vAlign w:val="bottom"/>
            <w:gridSpan w:val="2"/>
          </w:tcPr>
          <w:p>
            <w:pPr>
              <w:jc w:val="right"/>
              <w:ind w:right="1020"/>
              <w:spacing w:after="0"/>
              <w:rPr>
                <w:sz w:val="20"/>
                <w:szCs w:val="20"/>
                <w:color w:val="auto"/>
              </w:rPr>
            </w:pPr>
            <w:r>
              <w:rPr>
                <w:rFonts w:ascii="Arial" w:cs="Arial" w:eastAsia="Arial" w:hAnsi="Arial"/>
                <w:sz w:val="16"/>
                <w:szCs w:val="16"/>
                <w:color w:val="auto"/>
              </w:rPr>
              <w:t>$</w:t>
            </w:r>
          </w:p>
        </w:tc>
        <w:tc>
          <w:tcPr>
            <w:tcW w:w="480" w:type="dxa"/>
            <w:vAlign w:val="bottom"/>
          </w:tcPr>
          <w:p>
            <w:pPr>
              <w:jc w:val="right"/>
              <w:ind w:right="19"/>
              <w:spacing w:after="0"/>
              <w:rPr>
                <w:sz w:val="20"/>
                <w:szCs w:val="20"/>
                <w:color w:val="auto"/>
              </w:rPr>
            </w:pPr>
            <w:r>
              <w:rPr>
                <w:rFonts w:ascii="Arial" w:cs="Arial" w:eastAsia="Arial" w:hAnsi="Arial"/>
                <w:sz w:val="16"/>
                <w:szCs w:val="16"/>
                <w:color w:val="auto"/>
              </w:rPr>
              <w:t>690</w:t>
            </w:r>
          </w:p>
        </w:tc>
        <w:tc>
          <w:tcPr>
            <w:tcW w:w="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1,633</w:t>
            </w:r>
          </w:p>
        </w:tc>
        <w:tc>
          <w:tcPr>
            <w:tcW w:w="100" w:type="dxa"/>
            <w:vAlign w:val="bottom"/>
          </w:tcPr>
          <w:p>
            <w:pPr>
              <w:spacing w:after="0"/>
              <w:rPr>
                <w:sz w:val="18"/>
                <w:szCs w:val="18"/>
                <w:color w:val="auto"/>
              </w:rPr>
            </w:pPr>
          </w:p>
        </w:tc>
        <w:tc>
          <w:tcPr>
            <w:tcW w:w="320" w:type="dxa"/>
            <w:vAlign w:val="bottom"/>
          </w:tcPr>
          <w:p>
            <w:pPr>
              <w:jc w:val="right"/>
              <w:ind w:right="164"/>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1,877</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left="340" w:right="300" w:hanging="332"/>
        <w:spacing w:after="0" w:line="198" w:lineRule="auto"/>
        <w:tabs>
          <w:tab w:leader="none" w:pos="340" w:val="left"/>
        </w:tabs>
        <w:numPr>
          <w:ilvl w:val="0"/>
          <w:numId w:val="44"/>
        </w:numPr>
        <w:rPr>
          <w:rFonts w:ascii="Arial" w:cs="Arial" w:eastAsia="Arial" w:hAnsi="Arial"/>
          <w:sz w:val="27"/>
          <w:szCs w:val="27"/>
          <w:color w:val="auto"/>
          <w:vertAlign w:val="superscript"/>
        </w:rPr>
      </w:pPr>
      <w:r>
        <w:rPr>
          <w:rFonts w:ascii="Arial" w:cs="Arial" w:eastAsia="Arial" w:hAnsi="Arial"/>
          <w:sz w:val="16"/>
          <w:szCs w:val="16"/>
          <w:color w:val="auto"/>
        </w:rPr>
        <w:t>Includes other income and expenses from operating segments managed outside the reportable segments, including our distribution business. Also includes unallocated corporate income and expenses.</w:t>
      </w:r>
    </w:p>
    <w:p>
      <w:pPr>
        <w:ind w:left="340" w:hanging="332"/>
        <w:spacing w:after="0" w:line="184" w:lineRule="auto"/>
        <w:tabs>
          <w:tab w:leader="none" w:pos="340" w:val="left"/>
        </w:tabs>
        <w:numPr>
          <w:ilvl w:val="0"/>
          <w:numId w:val="45"/>
        </w:numPr>
        <w:rPr>
          <w:rFonts w:ascii="Arial" w:cs="Arial" w:eastAsia="Arial" w:hAnsi="Arial"/>
          <w:sz w:val="23"/>
          <w:szCs w:val="23"/>
          <w:color w:val="auto"/>
          <w:vertAlign w:val="superscript"/>
        </w:rPr>
      </w:pPr>
      <w:r>
        <w:rPr>
          <w:rFonts w:ascii="Arial" w:cs="Arial" w:eastAsia="Arial" w:hAnsi="Arial"/>
          <w:sz w:val="14"/>
          <w:szCs w:val="14"/>
          <w:color w:val="auto"/>
        </w:rPr>
        <w:t>Reflects the net effect from (deferral) of revenues and recognition of deferred revenues, along with related cost of revenues, on certain of our online enabled products.</w:t>
      </w:r>
    </w:p>
    <w:p>
      <w:pPr>
        <w:ind w:left="340" w:hanging="332"/>
        <w:spacing w:after="0" w:line="184" w:lineRule="auto"/>
        <w:tabs>
          <w:tab w:leader="none" w:pos="340" w:val="left"/>
        </w:tabs>
        <w:numPr>
          <w:ilvl w:val="0"/>
          <w:numId w:val="46"/>
        </w:numPr>
        <w:rPr>
          <w:rFonts w:ascii="Arial" w:cs="Arial" w:eastAsia="Arial" w:hAnsi="Arial"/>
          <w:sz w:val="23"/>
          <w:szCs w:val="23"/>
          <w:color w:val="auto"/>
          <w:vertAlign w:val="superscript"/>
        </w:rPr>
      </w:pPr>
      <w:r>
        <w:rPr>
          <w:rFonts w:ascii="Arial" w:cs="Arial" w:eastAsia="Arial" w:hAnsi="Arial"/>
          <w:sz w:val="14"/>
          <w:szCs w:val="14"/>
          <w:color w:val="auto"/>
        </w:rPr>
        <w:t>Intersegment revenues reflect licensing and service fees charged between segments.</w:t>
      </w:r>
    </w:p>
    <w:p>
      <w:pPr>
        <w:ind w:left="340" w:hanging="332"/>
        <w:spacing w:after="0" w:line="184" w:lineRule="auto"/>
        <w:tabs>
          <w:tab w:leader="none" w:pos="340" w:val="left"/>
        </w:tabs>
        <w:numPr>
          <w:ilvl w:val="0"/>
          <w:numId w:val="47"/>
        </w:numPr>
        <w:rPr>
          <w:rFonts w:ascii="Arial" w:cs="Arial" w:eastAsia="Arial" w:hAnsi="Arial"/>
          <w:sz w:val="23"/>
          <w:szCs w:val="23"/>
          <w:color w:val="auto"/>
          <w:vertAlign w:val="superscript"/>
        </w:rPr>
      </w:pPr>
      <w:r>
        <w:rPr>
          <w:rFonts w:ascii="Arial" w:cs="Arial" w:eastAsia="Arial" w:hAnsi="Arial"/>
          <w:sz w:val="14"/>
          <w:szCs w:val="14"/>
          <w:color w:val="auto"/>
        </w:rPr>
        <w:t>Reflects restructuring initiatives, primarily severance and other restructuring-related costs.</w:t>
      </w:r>
    </w:p>
    <w:p>
      <w:pPr>
        <w:ind w:left="340" w:hanging="332"/>
        <w:spacing w:after="0" w:line="184" w:lineRule="auto"/>
        <w:tabs>
          <w:tab w:leader="none" w:pos="340" w:val="left"/>
        </w:tabs>
        <w:numPr>
          <w:ilvl w:val="0"/>
          <w:numId w:val="48"/>
        </w:numPr>
        <w:rPr>
          <w:rFonts w:ascii="Arial" w:cs="Arial" w:eastAsia="Arial" w:hAnsi="Arial"/>
          <w:sz w:val="23"/>
          <w:szCs w:val="23"/>
          <w:color w:val="auto"/>
          <w:vertAlign w:val="superscript"/>
        </w:rPr>
      </w:pPr>
      <w:r>
        <w:rPr>
          <w:rFonts w:ascii="Arial" w:cs="Arial" w:eastAsia="Arial" w:hAnsi="Arial"/>
          <w:sz w:val="14"/>
          <w:szCs w:val="14"/>
          <w:color w:val="auto"/>
        </w:rPr>
        <w:t>Reflects the impact of other unusual or unique tax-related items and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433070</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9" w:name="page20"/>
    <w:bookmarkEnd w:id="19"/>
    <w:p>
      <w:pPr>
        <w:jc w:val="right"/>
        <w:spacing w:after="0"/>
        <w:rPr>
          <w:sz w:val="20"/>
          <w:szCs w:val="20"/>
          <w:color w:val="auto"/>
        </w:rPr>
      </w:pPr>
      <w:r>
        <w:rPr>
          <w:rFonts w:ascii="Arial" w:cs="Arial" w:eastAsia="Arial" w:hAnsi="Arial"/>
          <w:sz w:val="18"/>
          <w:szCs w:val="18"/>
          <w:b w:val="1"/>
          <w:bCs w:val="1"/>
          <w:color w:val="auto"/>
        </w:rPr>
        <w:t>11</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ACTIVISION BLIZZARD,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REVENUES BY DISTRIBUTION CHANNEL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Months and Years Ended December 31, 2019 and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in millions)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6"/>
                <w:szCs w:val="16"/>
                <w:b w:val="1"/>
                <w:bCs w:val="1"/>
                <w:color w:val="auto"/>
              </w:rPr>
              <w:t>Three Months Ended</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0" w:type="dxa"/>
            <w:vAlign w:val="bottom"/>
            <w:gridSpan w:val="3"/>
          </w:tcPr>
          <w:p>
            <w:pPr>
              <w:ind w:left="300"/>
              <w:spacing w:after="0"/>
              <w:rPr>
                <w:sz w:val="20"/>
                <w:szCs w:val="20"/>
                <w:color w:val="auto"/>
              </w:rPr>
            </w:pPr>
            <w:r>
              <w:rPr>
                <w:rFonts w:ascii="Arial" w:cs="Arial" w:eastAsia="Arial" w:hAnsi="Arial"/>
                <w:sz w:val="16"/>
                <w:szCs w:val="16"/>
                <w:b w:val="1"/>
                <w:bCs w:val="1"/>
                <w:color w:val="auto"/>
              </w:rPr>
              <w:t>December 31, 2019</w:t>
            </w:r>
          </w:p>
        </w:tc>
        <w:tc>
          <w:tcPr>
            <w:tcW w:w="180" w:type="dxa"/>
            <w:vAlign w:val="bottom"/>
          </w:tcPr>
          <w:p>
            <w:pPr>
              <w:spacing w:after="0"/>
              <w:rPr>
                <w:sz w:val="18"/>
                <w:szCs w:val="18"/>
                <w:color w:val="auto"/>
              </w:rPr>
            </w:pPr>
          </w:p>
        </w:tc>
        <w:tc>
          <w:tcPr>
            <w:tcW w:w="2080" w:type="dxa"/>
            <w:vAlign w:val="bottom"/>
            <w:gridSpan w:val="2"/>
          </w:tcPr>
          <w:p>
            <w:pPr>
              <w:jc w:val="right"/>
              <w:ind w:right="400"/>
              <w:spacing w:after="0"/>
              <w:rPr>
                <w:sz w:val="20"/>
                <w:szCs w:val="20"/>
                <w:color w:val="auto"/>
              </w:rPr>
            </w:pPr>
            <w:r>
              <w:rPr>
                <w:rFonts w:ascii="Arial" w:cs="Arial" w:eastAsia="Arial" w:hAnsi="Arial"/>
                <w:sz w:val="16"/>
                <w:szCs w:val="16"/>
                <w:b w:val="1"/>
                <w:bCs w:val="1"/>
                <w:color w:val="auto"/>
              </w:rPr>
              <w:t>December 31, 2018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ind w:left="60"/>
              <w:spacing w:after="0"/>
              <w:rPr>
                <w:sz w:val="20"/>
                <w:szCs w:val="20"/>
                <w:color w:val="auto"/>
              </w:rPr>
            </w:pPr>
            <w:r>
              <w:rPr>
                <w:rFonts w:ascii="Arial" w:cs="Arial" w:eastAsia="Arial" w:hAnsi="Arial"/>
                <w:sz w:val="16"/>
                <w:szCs w:val="16"/>
                <w:b w:val="1"/>
                <w:bCs w:val="1"/>
                <w:color w:val="auto"/>
              </w:rPr>
              <w:t>$ Increase</w:t>
            </w:r>
          </w:p>
        </w:tc>
        <w:tc>
          <w:tcPr>
            <w:tcW w:w="1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93"/>
              </w:rPr>
              <w:t>% Increase</w:t>
            </w:r>
          </w:p>
        </w:tc>
        <w:tc>
          <w:tcPr>
            <w:tcW w:w="0" w:type="dxa"/>
            <w:vAlign w:val="bottom"/>
          </w:tcPr>
          <w:p>
            <w:pPr>
              <w:spacing w:after="0"/>
              <w:rPr>
                <w:sz w:val="1"/>
                <w:szCs w:val="1"/>
                <w:color w:val="auto"/>
              </w:rPr>
            </w:pPr>
          </w:p>
        </w:tc>
      </w:tr>
      <w:tr>
        <w:trPr>
          <w:trHeight w:val="223"/>
        </w:trPr>
        <w:tc>
          <w:tcPr>
            <w:tcW w:w="35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Amount</w:t>
            </w:r>
          </w:p>
        </w:tc>
        <w:tc>
          <w:tcPr>
            <w:tcW w:w="1160" w:type="dxa"/>
            <w:vAlign w:val="bottom"/>
            <w:tcBorders>
              <w:top w:val="single" w:sz="8" w:color="auto"/>
              <w:bottom w:val="single" w:sz="8" w:color="auto"/>
            </w:tcBorders>
          </w:tcPr>
          <w:p>
            <w:pPr>
              <w:jc w:val="right"/>
              <w:ind w:right="40"/>
              <w:spacing w:after="0" w:line="223" w:lineRule="exact"/>
              <w:rPr>
                <w:sz w:val="20"/>
                <w:szCs w:val="20"/>
                <w:color w:val="auto"/>
              </w:rPr>
            </w:pPr>
            <w:r>
              <w:rPr>
                <w:rFonts w:ascii="Arial" w:cs="Arial" w:eastAsia="Arial" w:hAnsi="Arial"/>
                <w:sz w:val="15"/>
                <w:szCs w:val="15"/>
                <w:b w:val="1"/>
                <w:bCs w:val="1"/>
                <w:color w:val="auto"/>
              </w:rPr>
              <w:t>% of Total</w:t>
            </w:r>
            <w:r>
              <w:rPr>
                <w:rFonts w:ascii="Arial" w:cs="Arial" w:eastAsia="Arial" w:hAnsi="Arial"/>
                <w:sz w:val="25"/>
                <w:szCs w:val="25"/>
                <w:b w:val="1"/>
                <w:bCs w:val="1"/>
                <w:color w:val="auto"/>
                <w:vertAlign w:val="superscript"/>
              </w:rPr>
              <w:t>1</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Amount</w:t>
            </w:r>
          </w:p>
        </w:tc>
        <w:tc>
          <w:tcPr>
            <w:tcW w:w="1140" w:type="dxa"/>
            <w:vAlign w:val="bottom"/>
            <w:tcBorders>
              <w:top w:val="single" w:sz="8" w:color="auto"/>
              <w:bottom w:val="single" w:sz="8" w:color="auto"/>
            </w:tcBorders>
          </w:tcPr>
          <w:p>
            <w:pPr>
              <w:jc w:val="right"/>
              <w:ind w:right="40"/>
              <w:spacing w:after="0" w:line="223" w:lineRule="exact"/>
              <w:rPr>
                <w:sz w:val="20"/>
                <w:szCs w:val="20"/>
                <w:color w:val="auto"/>
              </w:rPr>
            </w:pPr>
            <w:r>
              <w:rPr>
                <w:rFonts w:ascii="Arial" w:cs="Arial" w:eastAsia="Arial" w:hAnsi="Arial"/>
                <w:sz w:val="15"/>
                <w:szCs w:val="15"/>
                <w:b w:val="1"/>
                <w:bCs w:val="1"/>
                <w:color w:val="auto"/>
              </w:rPr>
              <w:t>% of Total</w:t>
            </w:r>
            <w:r>
              <w:rPr>
                <w:rFonts w:ascii="Arial" w:cs="Arial" w:eastAsia="Arial" w:hAnsi="Arial"/>
                <w:sz w:val="25"/>
                <w:szCs w:val="25"/>
                <w:b w:val="1"/>
                <w:bCs w:val="1"/>
                <w:color w:val="auto"/>
                <w:vertAlign w:val="superscript"/>
              </w:rPr>
              <w:t>1</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(Decrease)</w:t>
            </w:r>
          </w:p>
        </w:tc>
        <w:tc>
          <w:tcPr>
            <w:tcW w:w="100" w:type="dxa"/>
            <w:vAlign w:val="bottom"/>
          </w:tcPr>
          <w:p>
            <w:pPr>
              <w:spacing w:after="0"/>
              <w:rPr>
                <w:sz w:val="19"/>
                <w:szCs w:val="19"/>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(Decrease)</w:t>
            </w:r>
          </w:p>
        </w:tc>
        <w:tc>
          <w:tcPr>
            <w:tcW w:w="0" w:type="dxa"/>
            <w:vAlign w:val="bottom"/>
          </w:tcPr>
          <w:p>
            <w:pPr>
              <w:spacing w:after="0"/>
              <w:rPr>
                <w:sz w:val="1"/>
                <w:szCs w:val="1"/>
                <w:color w:val="auto"/>
              </w:rPr>
            </w:pPr>
          </w:p>
        </w:tc>
      </w:tr>
      <w:tr>
        <w:trPr>
          <w:trHeight w:val="185"/>
        </w:trPr>
        <w:tc>
          <w:tcPr>
            <w:tcW w:w="3500" w:type="dxa"/>
            <w:vAlign w:val="bottom"/>
          </w:tcPr>
          <w:p>
            <w:pPr>
              <w:spacing w:after="0"/>
              <w:rPr>
                <w:sz w:val="20"/>
                <w:szCs w:val="20"/>
                <w:color w:val="auto"/>
              </w:rPr>
            </w:pPr>
            <w:r>
              <w:rPr>
                <w:rFonts w:ascii="Arial" w:cs="Arial" w:eastAsia="Arial" w:hAnsi="Arial"/>
                <w:sz w:val="16"/>
                <w:szCs w:val="16"/>
                <w:b w:val="1"/>
                <w:bCs w:val="1"/>
                <w:color w:val="auto"/>
              </w:rPr>
              <w:t>Net Revenues by Distribution Channel</w:t>
            </w: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3500" w:type="dxa"/>
            <w:vAlign w:val="bottom"/>
          </w:tcPr>
          <w:p>
            <w:pPr>
              <w:ind w:left="180"/>
              <w:spacing w:after="0" w:line="244" w:lineRule="exact"/>
              <w:rPr>
                <w:sz w:val="20"/>
                <w:szCs w:val="20"/>
                <w:color w:val="auto"/>
              </w:rPr>
            </w:pPr>
            <w:r>
              <w:rPr>
                <w:rFonts w:ascii="Arial" w:cs="Arial" w:eastAsia="Arial" w:hAnsi="Arial"/>
                <w:sz w:val="16"/>
                <w:szCs w:val="16"/>
                <w:color w:val="auto"/>
              </w:rPr>
              <w:t>Digital online channels</w:t>
            </w:r>
            <w:r>
              <w:rPr>
                <w:rFonts w:ascii="Arial" w:cs="Arial" w:eastAsia="Arial" w:hAnsi="Arial"/>
                <w:sz w:val="27"/>
                <w:szCs w:val="27"/>
                <w:color w:val="auto"/>
                <w:vertAlign w:val="superscript"/>
              </w:rPr>
              <w:t>2</w:t>
            </w:r>
          </w:p>
        </w:tc>
        <w:tc>
          <w:tcPr>
            <w:tcW w:w="1020" w:type="dxa"/>
            <w:vAlign w:val="bottom"/>
            <w:gridSpan w:val="2"/>
          </w:tcPr>
          <w:p>
            <w:pPr>
              <w:jc w:val="right"/>
              <w:ind w:right="24"/>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1,439</w:t>
            </w:r>
          </w:p>
        </w:tc>
        <w:tc>
          <w:tcPr>
            <w:tcW w:w="1160" w:type="dxa"/>
            <w:vAlign w:val="bottom"/>
          </w:tcPr>
          <w:p>
            <w:pPr>
              <w:jc w:val="right"/>
              <w:spacing w:after="0"/>
              <w:rPr>
                <w:sz w:val="20"/>
                <w:szCs w:val="20"/>
                <w:color w:val="auto"/>
              </w:rPr>
            </w:pPr>
            <w:r>
              <w:rPr>
                <w:rFonts w:ascii="Arial" w:cs="Arial" w:eastAsia="Arial" w:hAnsi="Arial"/>
                <w:sz w:val="16"/>
                <w:szCs w:val="16"/>
                <w:color w:val="auto"/>
              </w:rPr>
              <w:t>72%</w:t>
            </w:r>
          </w:p>
        </w:tc>
        <w:tc>
          <w:tcPr>
            <w:tcW w:w="100" w:type="dxa"/>
            <w:vAlign w:val="bottom"/>
          </w:tcPr>
          <w:p>
            <w:pPr>
              <w:spacing w:after="0"/>
              <w:rPr>
                <w:sz w:val="21"/>
                <w:szCs w:val="21"/>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1,788</w:t>
            </w:r>
          </w:p>
        </w:tc>
        <w:tc>
          <w:tcPr>
            <w:tcW w:w="1140" w:type="dxa"/>
            <w:vAlign w:val="bottom"/>
          </w:tcPr>
          <w:p>
            <w:pPr>
              <w:jc w:val="right"/>
              <w:spacing w:after="0"/>
              <w:rPr>
                <w:sz w:val="20"/>
                <w:szCs w:val="20"/>
                <w:color w:val="auto"/>
              </w:rPr>
            </w:pPr>
            <w:r>
              <w:rPr>
                <w:rFonts w:ascii="Arial" w:cs="Arial" w:eastAsia="Arial" w:hAnsi="Arial"/>
                <w:sz w:val="16"/>
                <w:szCs w:val="16"/>
                <w:color w:val="auto"/>
              </w:rPr>
              <w:t>75%</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(349)</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02"/>
        </w:trPr>
        <w:tc>
          <w:tcPr>
            <w:tcW w:w="3500" w:type="dxa"/>
            <w:vAlign w:val="bottom"/>
          </w:tcPr>
          <w:p>
            <w:pPr>
              <w:ind w:left="180"/>
              <w:spacing w:after="0"/>
              <w:rPr>
                <w:sz w:val="20"/>
                <w:szCs w:val="20"/>
                <w:color w:val="auto"/>
              </w:rPr>
            </w:pPr>
            <w:r>
              <w:rPr>
                <w:rFonts w:ascii="Arial" w:cs="Arial" w:eastAsia="Arial" w:hAnsi="Arial"/>
                <w:sz w:val="16"/>
                <w:szCs w:val="16"/>
                <w:color w:val="auto"/>
              </w:rPr>
              <w:t>Retail channels</w:t>
            </w: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310</w:t>
            </w:r>
          </w:p>
        </w:tc>
        <w:tc>
          <w:tcPr>
            <w:tcW w:w="1160" w:type="dxa"/>
            <w:vAlign w:val="bottom"/>
          </w:tcPr>
          <w:p>
            <w:pPr>
              <w:jc w:val="right"/>
              <w:ind w:right="60"/>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343</w:t>
            </w: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(33)</w:t>
            </w:r>
          </w:p>
        </w:tc>
        <w:tc>
          <w:tcPr>
            <w:tcW w:w="1200" w:type="dxa"/>
            <w:vAlign w:val="bottom"/>
            <w:gridSpan w:val="2"/>
          </w:tcPr>
          <w:p>
            <w:pPr>
              <w:jc w:val="right"/>
              <w:ind w:right="59"/>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54"/>
        </w:trPr>
        <w:tc>
          <w:tcPr>
            <w:tcW w:w="3500" w:type="dxa"/>
            <w:vAlign w:val="bottom"/>
          </w:tcPr>
          <w:p>
            <w:pPr>
              <w:ind w:left="180"/>
              <w:spacing w:after="0" w:line="254" w:lineRule="exact"/>
              <w:rPr>
                <w:sz w:val="20"/>
                <w:szCs w:val="20"/>
                <w:color w:val="auto"/>
              </w:rPr>
            </w:pPr>
            <w:r>
              <w:rPr>
                <w:rFonts w:ascii="Arial" w:cs="Arial" w:eastAsia="Arial" w:hAnsi="Arial"/>
                <w:sz w:val="16"/>
                <w:szCs w:val="16"/>
                <w:color w:val="auto"/>
              </w:rPr>
              <w:t>Other</w:t>
            </w:r>
            <w:r>
              <w:rPr>
                <w:rFonts w:ascii="Arial" w:cs="Arial" w:eastAsia="Arial" w:hAnsi="Arial"/>
                <w:sz w:val="27"/>
                <w:szCs w:val="27"/>
                <w:color w:val="auto"/>
                <w:vertAlign w:val="superscript"/>
              </w:rPr>
              <w:t>3</w:t>
            </w:r>
          </w:p>
        </w:tc>
        <w:tc>
          <w:tcPr>
            <w:tcW w:w="84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237</w:t>
            </w:r>
          </w:p>
        </w:tc>
        <w:tc>
          <w:tcPr>
            <w:tcW w:w="11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250</w:t>
            </w:r>
          </w:p>
        </w:tc>
        <w:tc>
          <w:tcPr>
            <w:tcW w:w="11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1200" w:type="dxa"/>
            <w:vAlign w:val="bottom"/>
            <w:gridSpan w:val="2"/>
          </w:tcPr>
          <w:p>
            <w:pPr>
              <w:jc w:val="right"/>
              <w:ind w:right="59"/>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31"/>
        </w:trPr>
        <w:tc>
          <w:tcPr>
            <w:tcW w:w="3500" w:type="dxa"/>
            <w:vAlign w:val="bottom"/>
          </w:tcPr>
          <w:p>
            <w:pPr>
              <w:ind w:left="340"/>
              <w:spacing w:after="0"/>
              <w:rPr>
                <w:sz w:val="20"/>
                <w:szCs w:val="20"/>
                <w:color w:val="auto"/>
              </w:rPr>
            </w:pPr>
            <w:r>
              <w:rPr>
                <w:rFonts w:ascii="Arial" w:cs="Arial" w:eastAsia="Arial" w:hAnsi="Arial"/>
                <w:sz w:val="16"/>
                <w:szCs w:val="16"/>
                <w:color w:val="auto"/>
              </w:rPr>
              <w:t>Total consolidated net revenues</w:t>
            </w:r>
          </w:p>
        </w:tc>
        <w:tc>
          <w:tcPr>
            <w:tcW w:w="1020" w:type="dxa"/>
            <w:vAlign w:val="bottom"/>
            <w:gridSpan w:val="2"/>
          </w:tcPr>
          <w:p>
            <w:pPr>
              <w:jc w:val="right"/>
              <w:ind w:right="24"/>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1,986</w:t>
            </w:r>
          </w:p>
        </w:tc>
        <w:tc>
          <w:tcPr>
            <w:tcW w:w="1160" w:type="dxa"/>
            <w:vAlign w:val="bottom"/>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20"/>
                <w:szCs w:val="20"/>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2,381</w:t>
            </w:r>
          </w:p>
        </w:tc>
        <w:tc>
          <w:tcPr>
            <w:tcW w:w="1140" w:type="dxa"/>
            <w:vAlign w:val="bottom"/>
          </w:tcPr>
          <w:p>
            <w:pPr>
              <w:jc w:val="right"/>
              <w:spacing w:after="0"/>
              <w:rPr>
                <w:sz w:val="20"/>
                <w:szCs w:val="20"/>
                <w:color w:val="auto"/>
              </w:rPr>
            </w:pPr>
            <w:r>
              <w:rPr>
                <w:rFonts w:ascii="Arial" w:cs="Arial" w:eastAsia="Arial" w:hAnsi="Arial"/>
                <w:sz w:val="16"/>
                <w:szCs w:val="16"/>
                <w:color w:val="auto"/>
              </w:rPr>
              <w:t>100%</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(395)</w:t>
            </w:r>
          </w:p>
        </w:tc>
        <w:tc>
          <w:tcPr>
            <w:tcW w:w="1200" w:type="dxa"/>
            <w:vAlign w:val="bottom"/>
            <w:gridSpan w:val="2"/>
          </w:tcPr>
          <w:p>
            <w:pPr>
              <w:jc w:val="right"/>
              <w:ind w:right="59"/>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0"/>
        </w:trPr>
        <w:tc>
          <w:tcPr>
            <w:tcW w:w="3500" w:type="dxa"/>
            <w:vAlign w:val="bottom"/>
            <w:vMerge w:val="restart"/>
          </w:tcPr>
          <w:p>
            <w:pPr>
              <w:spacing w:after="0"/>
              <w:rPr>
                <w:sz w:val="20"/>
                <w:szCs w:val="20"/>
                <w:color w:val="auto"/>
              </w:rPr>
            </w:pPr>
            <w:r>
              <w:rPr>
                <w:rFonts w:ascii="Arial" w:cs="Arial" w:eastAsia="Arial" w:hAnsi="Arial"/>
                <w:sz w:val="16"/>
                <w:szCs w:val="16"/>
                <w:b w:val="1"/>
                <w:bCs w:val="1"/>
                <w:color w:val="auto"/>
              </w:rPr>
              <w:t>Change in deferred revenues</w:t>
            </w:r>
            <w:r>
              <w:rPr>
                <w:rFonts w:ascii="Arial" w:cs="Arial" w:eastAsia="Arial" w:hAnsi="Arial"/>
                <w:sz w:val="27"/>
                <w:szCs w:val="27"/>
                <w:b w:val="1"/>
                <w:bCs w:val="1"/>
                <w:color w:val="auto"/>
                <w:vertAlign w:val="superscript"/>
              </w:rPr>
              <w:t>4</w:t>
            </w:r>
          </w:p>
        </w:tc>
        <w:tc>
          <w:tcPr>
            <w:tcW w:w="8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1"/>
        </w:trPr>
        <w:tc>
          <w:tcPr>
            <w:tcW w:w="350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3500" w:type="dxa"/>
            <w:vAlign w:val="bottom"/>
          </w:tcPr>
          <w:p>
            <w:pPr>
              <w:ind w:left="180"/>
              <w:spacing w:after="0" w:line="244" w:lineRule="exact"/>
              <w:rPr>
                <w:sz w:val="20"/>
                <w:szCs w:val="20"/>
                <w:color w:val="auto"/>
              </w:rPr>
            </w:pPr>
            <w:r>
              <w:rPr>
                <w:rFonts w:ascii="Arial" w:cs="Arial" w:eastAsia="Arial" w:hAnsi="Arial"/>
                <w:sz w:val="16"/>
                <w:szCs w:val="16"/>
                <w:color w:val="auto"/>
              </w:rPr>
              <w:t>Digital online channels</w:t>
            </w:r>
            <w:r>
              <w:rPr>
                <w:rFonts w:ascii="Arial" w:cs="Arial" w:eastAsia="Arial" w:hAnsi="Arial"/>
                <w:sz w:val="27"/>
                <w:szCs w:val="27"/>
                <w:color w:val="auto"/>
                <w:vertAlign w:val="superscript"/>
              </w:rPr>
              <w:t>2</w:t>
            </w:r>
          </w:p>
        </w:tc>
        <w:tc>
          <w:tcPr>
            <w:tcW w:w="1020" w:type="dxa"/>
            <w:vAlign w:val="bottom"/>
            <w:gridSpan w:val="2"/>
          </w:tcPr>
          <w:p>
            <w:pPr>
              <w:jc w:val="right"/>
              <w:ind w:right="24"/>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439</w:t>
            </w: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92</w:t>
            </w: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3500" w:type="dxa"/>
            <w:vAlign w:val="bottom"/>
          </w:tcPr>
          <w:p>
            <w:pPr>
              <w:ind w:left="180"/>
              <w:spacing w:after="0"/>
              <w:rPr>
                <w:sz w:val="20"/>
                <w:szCs w:val="20"/>
                <w:color w:val="auto"/>
              </w:rPr>
            </w:pPr>
            <w:r>
              <w:rPr>
                <w:rFonts w:ascii="Arial" w:cs="Arial" w:eastAsia="Arial" w:hAnsi="Arial"/>
                <w:sz w:val="16"/>
                <w:szCs w:val="16"/>
                <w:color w:val="auto"/>
              </w:rPr>
              <w:t>Retail channels</w:t>
            </w: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278</w:t>
            </w: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356</w:t>
            </w: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4"/>
        </w:trPr>
        <w:tc>
          <w:tcPr>
            <w:tcW w:w="3500" w:type="dxa"/>
            <w:vAlign w:val="bottom"/>
          </w:tcPr>
          <w:p>
            <w:pPr>
              <w:ind w:left="180"/>
              <w:spacing w:after="0" w:line="254" w:lineRule="exact"/>
              <w:rPr>
                <w:sz w:val="20"/>
                <w:szCs w:val="20"/>
                <w:color w:val="auto"/>
              </w:rPr>
            </w:pPr>
            <w:r>
              <w:rPr>
                <w:rFonts w:ascii="Arial" w:cs="Arial" w:eastAsia="Arial" w:hAnsi="Arial"/>
                <w:sz w:val="16"/>
                <w:szCs w:val="16"/>
                <w:color w:val="auto"/>
              </w:rPr>
              <w:t>Other</w:t>
            </w:r>
            <w:r>
              <w:rPr>
                <w:rFonts w:ascii="Arial" w:cs="Arial" w:eastAsia="Arial" w:hAnsi="Arial"/>
                <w:sz w:val="27"/>
                <w:szCs w:val="27"/>
                <w:color w:val="auto"/>
                <w:vertAlign w:val="superscript"/>
              </w:rPr>
              <w:t>3</w:t>
            </w:r>
          </w:p>
        </w:tc>
        <w:tc>
          <w:tcPr>
            <w:tcW w:w="84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w:t>
            </w: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w:t>
            </w: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3500" w:type="dxa"/>
            <w:vAlign w:val="bottom"/>
          </w:tcPr>
          <w:p>
            <w:pPr>
              <w:ind w:left="340"/>
              <w:spacing w:after="0"/>
              <w:rPr>
                <w:sz w:val="20"/>
                <w:szCs w:val="20"/>
                <w:color w:val="auto"/>
              </w:rPr>
            </w:pPr>
            <w:r>
              <w:rPr>
                <w:rFonts w:ascii="Arial" w:cs="Arial" w:eastAsia="Arial" w:hAnsi="Arial"/>
                <w:sz w:val="16"/>
                <w:szCs w:val="16"/>
                <w:color w:val="auto"/>
              </w:rPr>
              <w:t>Total changes in deferred revenues</w:t>
            </w:r>
          </w:p>
        </w:tc>
        <w:tc>
          <w:tcPr>
            <w:tcW w:w="840" w:type="dxa"/>
            <w:vAlign w:val="bottom"/>
          </w:tcPr>
          <w:p>
            <w:pPr>
              <w:spacing w:after="0"/>
              <w:rPr>
                <w:sz w:val="17"/>
                <w:szCs w:val="17"/>
                <w:color w:val="auto"/>
              </w:rPr>
            </w:pPr>
          </w:p>
        </w:tc>
        <w:tc>
          <w:tcPr>
            <w:tcW w:w="1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722</w:t>
            </w: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454</w:t>
            </w: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3"/>
        </w:trPr>
        <w:tc>
          <w:tcPr>
            <w:tcW w:w="35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2"/>
          </w:tcPr>
          <w:p>
            <w:pPr>
              <w:jc w:val="right"/>
              <w:ind w:right="580"/>
              <w:spacing w:after="0"/>
              <w:rPr>
                <w:sz w:val="20"/>
                <w:szCs w:val="20"/>
                <w:color w:val="auto"/>
              </w:rPr>
            </w:pPr>
            <w:r>
              <w:rPr>
                <w:rFonts w:ascii="Arial" w:cs="Arial" w:eastAsia="Arial" w:hAnsi="Arial"/>
                <w:sz w:val="16"/>
                <w:szCs w:val="16"/>
                <w:b w:val="1"/>
                <w:bCs w:val="1"/>
                <w:color w:val="auto"/>
              </w:rPr>
              <w:t>Years Ended</w:t>
            </w: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0" w:type="dxa"/>
            <w:vAlign w:val="bottom"/>
            <w:gridSpan w:val="3"/>
          </w:tcPr>
          <w:p>
            <w:pPr>
              <w:ind w:left="300"/>
              <w:spacing w:after="0"/>
              <w:rPr>
                <w:sz w:val="20"/>
                <w:szCs w:val="20"/>
                <w:color w:val="auto"/>
              </w:rPr>
            </w:pPr>
            <w:r>
              <w:rPr>
                <w:rFonts w:ascii="Arial" w:cs="Arial" w:eastAsia="Arial" w:hAnsi="Arial"/>
                <w:sz w:val="16"/>
                <w:szCs w:val="16"/>
                <w:b w:val="1"/>
                <w:bCs w:val="1"/>
                <w:color w:val="auto"/>
              </w:rPr>
              <w:t>December 31, 2019</w:t>
            </w:r>
          </w:p>
        </w:tc>
        <w:tc>
          <w:tcPr>
            <w:tcW w:w="180" w:type="dxa"/>
            <w:vAlign w:val="bottom"/>
          </w:tcPr>
          <w:p>
            <w:pPr>
              <w:spacing w:after="0"/>
              <w:rPr>
                <w:sz w:val="18"/>
                <w:szCs w:val="18"/>
                <w:color w:val="auto"/>
              </w:rPr>
            </w:pPr>
          </w:p>
        </w:tc>
        <w:tc>
          <w:tcPr>
            <w:tcW w:w="2080" w:type="dxa"/>
            <w:vAlign w:val="bottom"/>
            <w:gridSpan w:val="2"/>
          </w:tcPr>
          <w:p>
            <w:pPr>
              <w:jc w:val="right"/>
              <w:ind w:right="400"/>
              <w:spacing w:after="0"/>
              <w:rPr>
                <w:sz w:val="20"/>
                <w:szCs w:val="20"/>
                <w:color w:val="auto"/>
              </w:rPr>
            </w:pPr>
            <w:r>
              <w:rPr>
                <w:rFonts w:ascii="Arial" w:cs="Arial" w:eastAsia="Arial" w:hAnsi="Arial"/>
                <w:sz w:val="16"/>
                <w:szCs w:val="16"/>
                <w:b w:val="1"/>
                <w:bCs w:val="1"/>
                <w:color w:val="auto"/>
              </w:rPr>
              <w:t>December 31, 2018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ind w:left="60"/>
              <w:spacing w:after="0"/>
              <w:rPr>
                <w:sz w:val="20"/>
                <w:szCs w:val="20"/>
                <w:color w:val="auto"/>
              </w:rPr>
            </w:pPr>
            <w:r>
              <w:rPr>
                <w:rFonts w:ascii="Arial" w:cs="Arial" w:eastAsia="Arial" w:hAnsi="Arial"/>
                <w:sz w:val="16"/>
                <w:szCs w:val="16"/>
                <w:b w:val="1"/>
                <w:bCs w:val="1"/>
                <w:color w:val="auto"/>
              </w:rPr>
              <w:t>$ Increase</w:t>
            </w:r>
          </w:p>
        </w:tc>
        <w:tc>
          <w:tcPr>
            <w:tcW w:w="1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93"/>
              </w:rPr>
              <w:t>% Increase</w:t>
            </w:r>
          </w:p>
        </w:tc>
        <w:tc>
          <w:tcPr>
            <w:tcW w:w="0" w:type="dxa"/>
            <w:vAlign w:val="bottom"/>
          </w:tcPr>
          <w:p>
            <w:pPr>
              <w:spacing w:after="0"/>
              <w:rPr>
                <w:sz w:val="1"/>
                <w:szCs w:val="1"/>
                <w:color w:val="auto"/>
              </w:rPr>
            </w:pPr>
          </w:p>
        </w:tc>
      </w:tr>
      <w:tr>
        <w:trPr>
          <w:trHeight w:val="223"/>
        </w:trPr>
        <w:tc>
          <w:tcPr>
            <w:tcW w:w="35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Amount</w:t>
            </w:r>
          </w:p>
        </w:tc>
        <w:tc>
          <w:tcPr>
            <w:tcW w:w="1160" w:type="dxa"/>
            <w:vAlign w:val="bottom"/>
            <w:tcBorders>
              <w:top w:val="single" w:sz="8" w:color="auto"/>
              <w:bottom w:val="single" w:sz="8" w:color="auto"/>
            </w:tcBorders>
          </w:tcPr>
          <w:p>
            <w:pPr>
              <w:jc w:val="right"/>
              <w:ind w:right="40"/>
              <w:spacing w:after="0" w:line="223" w:lineRule="exact"/>
              <w:rPr>
                <w:sz w:val="20"/>
                <w:szCs w:val="20"/>
                <w:color w:val="auto"/>
              </w:rPr>
            </w:pPr>
            <w:r>
              <w:rPr>
                <w:rFonts w:ascii="Arial" w:cs="Arial" w:eastAsia="Arial" w:hAnsi="Arial"/>
                <w:sz w:val="15"/>
                <w:szCs w:val="15"/>
                <w:b w:val="1"/>
                <w:bCs w:val="1"/>
                <w:color w:val="auto"/>
              </w:rPr>
              <w:t>% of Total</w:t>
            </w:r>
            <w:r>
              <w:rPr>
                <w:rFonts w:ascii="Arial" w:cs="Arial" w:eastAsia="Arial" w:hAnsi="Arial"/>
                <w:sz w:val="25"/>
                <w:szCs w:val="25"/>
                <w:b w:val="1"/>
                <w:bCs w:val="1"/>
                <w:color w:val="auto"/>
                <w:vertAlign w:val="superscript"/>
              </w:rPr>
              <w:t>1</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Amount</w:t>
            </w:r>
          </w:p>
        </w:tc>
        <w:tc>
          <w:tcPr>
            <w:tcW w:w="1140" w:type="dxa"/>
            <w:vAlign w:val="bottom"/>
            <w:tcBorders>
              <w:top w:val="single" w:sz="8" w:color="auto"/>
              <w:bottom w:val="single" w:sz="8" w:color="auto"/>
            </w:tcBorders>
          </w:tcPr>
          <w:p>
            <w:pPr>
              <w:jc w:val="right"/>
              <w:ind w:right="40"/>
              <w:spacing w:after="0" w:line="223" w:lineRule="exact"/>
              <w:rPr>
                <w:sz w:val="20"/>
                <w:szCs w:val="20"/>
                <w:color w:val="auto"/>
              </w:rPr>
            </w:pPr>
            <w:r>
              <w:rPr>
                <w:rFonts w:ascii="Arial" w:cs="Arial" w:eastAsia="Arial" w:hAnsi="Arial"/>
                <w:sz w:val="15"/>
                <w:szCs w:val="15"/>
                <w:b w:val="1"/>
                <w:bCs w:val="1"/>
                <w:color w:val="auto"/>
              </w:rPr>
              <w:t>% of Total</w:t>
            </w:r>
            <w:r>
              <w:rPr>
                <w:rFonts w:ascii="Arial" w:cs="Arial" w:eastAsia="Arial" w:hAnsi="Arial"/>
                <w:sz w:val="25"/>
                <w:szCs w:val="25"/>
                <w:b w:val="1"/>
                <w:bCs w:val="1"/>
                <w:color w:val="auto"/>
                <w:vertAlign w:val="superscript"/>
              </w:rPr>
              <w:t>1</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(Decrease)</w:t>
            </w:r>
          </w:p>
        </w:tc>
        <w:tc>
          <w:tcPr>
            <w:tcW w:w="100" w:type="dxa"/>
            <w:vAlign w:val="bottom"/>
          </w:tcPr>
          <w:p>
            <w:pPr>
              <w:spacing w:after="0"/>
              <w:rPr>
                <w:sz w:val="19"/>
                <w:szCs w:val="19"/>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(Decrease)</w:t>
            </w:r>
          </w:p>
        </w:tc>
        <w:tc>
          <w:tcPr>
            <w:tcW w:w="0" w:type="dxa"/>
            <w:vAlign w:val="bottom"/>
          </w:tcPr>
          <w:p>
            <w:pPr>
              <w:spacing w:after="0"/>
              <w:rPr>
                <w:sz w:val="1"/>
                <w:szCs w:val="1"/>
                <w:color w:val="auto"/>
              </w:rPr>
            </w:pPr>
          </w:p>
        </w:tc>
      </w:tr>
      <w:tr>
        <w:trPr>
          <w:trHeight w:val="185"/>
        </w:trPr>
        <w:tc>
          <w:tcPr>
            <w:tcW w:w="3500" w:type="dxa"/>
            <w:vAlign w:val="bottom"/>
          </w:tcPr>
          <w:p>
            <w:pPr>
              <w:spacing w:after="0"/>
              <w:rPr>
                <w:sz w:val="20"/>
                <w:szCs w:val="20"/>
                <w:color w:val="auto"/>
              </w:rPr>
            </w:pPr>
            <w:r>
              <w:rPr>
                <w:rFonts w:ascii="Arial" w:cs="Arial" w:eastAsia="Arial" w:hAnsi="Arial"/>
                <w:sz w:val="16"/>
                <w:szCs w:val="16"/>
                <w:b w:val="1"/>
                <w:bCs w:val="1"/>
                <w:color w:val="auto"/>
              </w:rPr>
              <w:t>Net Revenues by Distribution Channel</w:t>
            </w: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3500" w:type="dxa"/>
            <w:vAlign w:val="bottom"/>
          </w:tcPr>
          <w:p>
            <w:pPr>
              <w:ind w:left="180"/>
              <w:spacing w:after="0" w:line="244" w:lineRule="exact"/>
              <w:rPr>
                <w:sz w:val="20"/>
                <w:szCs w:val="20"/>
                <w:color w:val="auto"/>
              </w:rPr>
            </w:pPr>
            <w:r>
              <w:rPr>
                <w:rFonts w:ascii="Arial" w:cs="Arial" w:eastAsia="Arial" w:hAnsi="Arial"/>
                <w:sz w:val="16"/>
                <w:szCs w:val="16"/>
                <w:color w:val="auto"/>
              </w:rPr>
              <w:t>Digital online channels</w:t>
            </w:r>
            <w:r>
              <w:rPr>
                <w:rFonts w:ascii="Arial" w:cs="Arial" w:eastAsia="Arial" w:hAnsi="Arial"/>
                <w:sz w:val="27"/>
                <w:szCs w:val="27"/>
                <w:color w:val="auto"/>
                <w:vertAlign w:val="superscript"/>
              </w:rPr>
              <w:t>2</w:t>
            </w:r>
          </w:p>
        </w:tc>
        <w:tc>
          <w:tcPr>
            <w:tcW w:w="1020" w:type="dxa"/>
            <w:vAlign w:val="bottom"/>
            <w:gridSpan w:val="2"/>
          </w:tcPr>
          <w:p>
            <w:pPr>
              <w:jc w:val="right"/>
              <w:ind w:right="24"/>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4,932</w:t>
            </w:r>
          </w:p>
        </w:tc>
        <w:tc>
          <w:tcPr>
            <w:tcW w:w="1160" w:type="dxa"/>
            <w:vAlign w:val="bottom"/>
          </w:tcPr>
          <w:p>
            <w:pPr>
              <w:jc w:val="right"/>
              <w:spacing w:after="0"/>
              <w:rPr>
                <w:sz w:val="20"/>
                <w:szCs w:val="20"/>
                <w:color w:val="auto"/>
              </w:rPr>
            </w:pPr>
            <w:r>
              <w:rPr>
                <w:rFonts w:ascii="Arial" w:cs="Arial" w:eastAsia="Arial" w:hAnsi="Arial"/>
                <w:sz w:val="16"/>
                <w:szCs w:val="16"/>
                <w:color w:val="auto"/>
              </w:rPr>
              <w:t>76%</w:t>
            </w:r>
          </w:p>
        </w:tc>
        <w:tc>
          <w:tcPr>
            <w:tcW w:w="100" w:type="dxa"/>
            <w:vAlign w:val="bottom"/>
          </w:tcPr>
          <w:p>
            <w:pPr>
              <w:spacing w:after="0"/>
              <w:rPr>
                <w:sz w:val="21"/>
                <w:szCs w:val="21"/>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5,786</w:t>
            </w:r>
          </w:p>
        </w:tc>
        <w:tc>
          <w:tcPr>
            <w:tcW w:w="1140" w:type="dxa"/>
            <w:vAlign w:val="bottom"/>
          </w:tcPr>
          <w:p>
            <w:pPr>
              <w:jc w:val="right"/>
              <w:spacing w:after="0"/>
              <w:rPr>
                <w:sz w:val="20"/>
                <w:szCs w:val="20"/>
                <w:color w:val="auto"/>
              </w:rPr>
            </w:pPr>
            <w:r>
              <w:rPr>
                <w:rFonts w:ascii="Arial" w:cs="Arial" w:eastAsia="Arial" w:hAnsi="Arial"/>
                <w:sz w:val="16"/>
                <w:szCs w:val="16"/>
                <w:color w:val="auto"/>
              </w:rPr>
              <w:t>77%</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(854)</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02"/>
        </w:trPr>
        <w:tc>
          <w:tcPr>
            <w:tcW w:w="3500" w:type="dxa"/>
            <w:vAlign w:val="bottom"/>
          </w:tcPr>
          <w:p>
            <w:pPr>
              <w:ind w:left="180"/>
              <w:spacing w:after="0"/>
              <w:rPr>
                <w:sz w:val="20"/>
                <w:szCs w:val="20"/>
                <w:color w:val="auto"/>
              </w:rPr>
            </w:pPr>
            <w:r>
              <w:rPr>
                <w:rFonts w:ascii="Arial" w:cs="Arial" w:eastAsia="Arial" w:hAnsi="Arial"/>
                <w:sz w:val="16"/>
                <w:szCs w:val="16"/>
                <w:color w:val="auto"/>
              </w:rPr>
              <w:t>Retail channels</w:t>
            </w: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909</w:t>
            </w:r>
          </w:p>
        </w:tc>
        <w:tc>
          <w:tcPr>
            <w:tcW w:w="1160" w:type="dxa"/>
            <w:vAlign w:val="bottom"/>
          </w:tcPr>
          <w:p>
            <w:pPr>
              <w:jc w:val="right"/>
              <w:ind w:right="60"/>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1,107</w:t>
            </w: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(198)</w:t>
            </w:r>
          </w:p>
        </w:tc>
        <w:tc>
          <w:tcPr>
            <w:tcW w:w="1200" w:type="dxa"/>
            <w:vAlign w:val="bottom"/>
            <w:gridSpan w:val="2"/>
          </w:tcPr>
          <w:p>
            <w:pPr>
              <w:jc w:val="right"/>
              <w:ind w:right="59"/>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54"/>
        </w:trPr>
        <w:tc>
          <w:tcPr>
            <w:tcW w:w="3500" w:type="dxa"/>
            <w:vAlign w:val="bottom"/>
          </w:tcPr>
          <w:p>
            <w:pPr>
              <w:ind w:left="180"/>
              <w:spacing w:after="0" w:line="254" w:lineRule="exact"/>
              <w:rPr>
                <w:sz w:val="20"/>
                <w:szCs w:val="20"/>
                <w:color w:val="auto"/>
              </w:rPr>
            </w:pPr>
            <w:r>
              <w:rPr>
                <w:rFonts w:ascii="Arial" w:cs="Arial" w:eastAsia="Arial" w:hAnsi="Arial"/>
                <w:sz w:val="16"/>
                <w:szCs w:val="16"/>
                <w:color w:val="auto"/>
              </w:rPr>
              <w:t>Other</w:t>
            </w:r>
            <w:r>
              <w:rPr>
                <w:rFonts w:ascii="Arial" w:cs="Arial" w:eastAsia="Arial" w:hAnsi="Arial"/>
                <w:sz w:val="27"/>
                <w:szCs w:val="27"/>
                <w:color w:val="auto"/>
                <w:vertAlign w:val="superscript"/>
              </w:rPr>
              <w:t>3</w:t>
            </w:r>
          </w:p>
        </w:tc>
        <w:tc>
          <w:tcPr>
            <w:tcW w:w="84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648</w:t>
            </w:r>
          </w:p>
        </w:tc>
        <w:tc>
          <w:tcPr>
            <w:tcW w:w="11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607</w:t>
            </w:r>
          </w:p>
        </w:tc>
        <w:tc>
          <w:tcPr>
            <w:tcW w:w="11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41</w:t>
            </w:r>
          </w:p>
        </w:tc>
        <w:tc>
          <w:tcPr>
            <w:tcW w:w="1200" w:type="dxa"/>
            <w:vAlign w:val="bottom"/>
            <w:gridSpan w:val="2"/>
          </w:tcPr>
          <w:p>
            <w:pPr>
              <w:jc w:val="right"/>
              <w:ind w:right="99"/>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196"/>
        </w:trPr>
        <w:tc>
          <w:tcPr>
            <w:tcW w:w="3500" w:type="dxa"/>
            <w:vAlign w:val="bottom"/>
          </w:tcPr>
          <w:p>
            <w:pPr>
              <w:ind w:left="340"/>
              <w:spacing w:after="0"/>
              <w:rPr>
                <w:sz w:val="20"/>
                <w:szCs w:val="20"/>
                <w:color w:val="auto"/>
              </w:rPr>
            </w:pPr>
            <w:r>
              <w:rPr>
                <w:rFonts w:ascii="Arial" w:cs="Arial" w:eastAsia="Arial" w:hAnsi="Arial"/>
                <w:sz w:val="16"/>
                <w:szCs w:val="16"/>
                <w:color w:val="auto"/>
              </w:rPr>
              <w:t>Total consolidated net revenues</w:t>
            </w:r>
          </w:p>
        </w:tc>
        <w:tc>
          <w:tcPr>
            <w:tcW w:w="840" w:type="dxa"/>
            <w:vAlign w:val="bottom"/>
          </w:tcPr>
          <w:p>
            <w:pPr>
              <w:spacing w:after="0"/>
              <w:rPr>
                <w:sz w:val="17"/>
                <w:szCs w:val="17"/>
                <w:color w:val="auto"/>
              </w:rPr>
            </w:pPr>
          </w:p>
        </w:tc>
        <w:tc>
          <w:tcPr>
            <w:tcW w:w="1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6,489</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7,500</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12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(1,011)</w:t>
            </w:r>
          </w:p>
        </w:tc>
        <w:tc>
          <w:tcPr>
            <w:tcW w:w="1200" w:type="dxa"/>
            <w:vAlign w:val="bottom"/>
            <w:gridSpan w:val="2"/>
          </w:tcPr>
          <w:p>
            <w:pPr>
              <w:jc w:val="right"/>
              <w:ind w:right="59"/>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0"/>
        </w:trPr>
        <w:tc>
          <w:tcPr>
            <w:tcW w:w="3500" w:type="dxa"/>
            <w:vAlign w:val="bottom"/>
            <w:vMerge w:val="restart"/>
          </w:tcPr>
          <w:p>
            <w:pPr>
              <w:spacing w:after="0"/>
              <w:rPr>
                <w:sz w:val="20"/>
                <w:szCs w:val="20"/>
                <w:color w:val="auto"/>
              </w:rPr>
            </w:pPr>
            <w:r>
              <w:rPr>
                <w:rFonts w:ascii="Arial" w:cs="Arial" w:eastAsia="Arial" w:hAnsi="Arial"/>
                <w:sz w:val="16"/>
                <w:szCs w:val="16"/>
                <w:b w:val="1"/>
                <w:bCs w:val="1"/>
                <w:color w:val="auto"/>
              </w:rPr>
              <w:t>Change in deferred revenues</w:t>
            </w:r>
            <w:r>
              <w:rPr>
                <w:rFonts w:ascii="Arial" w:cs="Arial" w:eastAsia="Arial" w:hAnsi="Arial"/>
                <w:sz w:val="27"/>
                <w:szCs w:val="27"/>
                <w:b w:val="1"/>
                <w:bCs w:val="1"/>
                <w:color w:val="auto"/>
                <w:vertAlign w:val="superscript"/>
              </w:rPr>
              <w:t>4</w:t>
            </w:r>
          </w:p>
        </w:tc>
        <w:tc>
          <w:tcPr>
            <w:tcW w:w="8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5"/>
        </w:trPr>
        <w:tc>
          <w:tcPr>
            <w:tcW w:w="350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3500" w:type="dxa"/>
            <w:vAlign w:val="bottom"/>
          </w:tcPr>
          <w:p>
            <w:pPr>
              <w:ind w:left="180"/>
              <w:spacing w:after="0" w:line="244" w:lineRule="exact"/>
              <w:rPr>
                <w:sz w:val="20"/>
                <w:szCs w:val="20"/>
                <w:color w:val="auto"/>
              </w:rPr>
            </w:pPr>
            <w:r>
              <w:rPr>
                <w:rFonts w:ascii="Arial" w:cs="Arial" w:eastAsia="Arial" w:hAnsi="Arial"/>
                <w:sz w:val="16"/>
                <w:szCs w:val="16"/>
                <w:color w:val="auto"/>
              </w:rPr>
              <w:t>Digital online channels</w:t>
            </w:r>
            <w:r>
              <w:rPr>
                <w:rFonts w:ascii="Arial" w:cs="Arial" w:eastAsia="Arial" w:hAnsi="Arial"/>
                <w:sz w:val="27"/>
                <w:szCs w:val="27"/>
                <w:color w:val="auto"/>
                <w:vertAlign w:val="superscript"/>
              </w:rPr>
              <w:t>2</w:t>
            </w:r>
          </w:p>
        </w:tc>
        <w:tc>
          <w:tcPr>
            <w:tcW w:w="1020" w:type="dxa"/>
            <w:vAlign w:val="bottom"/>
            <w:gridSpan w:val="2"/>
          </w:tcPr>
          <w:p>
            <w:pPr>
              <w:jc w:val="right"/>
              <w:ind w:right="24"/>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(4)</w:t>
            </w: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(68)</w:t>
            </w: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3500" w:type="dxa"/>
            <w:vAlign w:val="bottom"/>
          </w:tcPr>
          <w:p>
            <w:pPr>
              <w:ind w:left="180"/>
              <w:spacing w:after="0"/>
              <w:rPr>
                <w:sz w:val="20"/>
                <w:szCs w:val="20"/>
                <w:color w:val="auto"/>
              </w:rPr>
            </w:pPr>
            <w:r>
              <w:rPr>
                <w:rFonts w:ascii="Arial" w:cs="Arial" w:eastAsia="Arial" w:hAnsi="Arial"/>
                <w:sz w:val="16"/>
                <w:szCs w:val="16"/>
                <w:color w:val="auto"/>
              </w:rPr>
              <w:t>Retail channels</w:t>
            </w: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(95)</w:t>
            </w: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(191)</w:t>
            </w: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4"/>
        </w:trPr>
        <w:tc>
          <w:tcPr>
            <w:tcW w:w="3500" w:type="dxa"/>
            <w:vAlign w:val="bottom"/>
          </w:tcPr>
          <w:p>
            <w:pPr>
              <w:ind w:left="180"/>
              <w:spacing w:after="0" w:line="254" w:lineRule="exact"/>
              <w:rPr>
                <w:sz w:val="20"/>
                <w:szCs w:val="20"/>
                <w:color w:val="auto"/>
              </w:rPr>
            </w:pPr>
            <w:r>
              <w:rPr>
                <w:rFonts w:ascii="Arial" w:cs="Arial" w:eastAsia="Arial" w:hAnsi="Arial"/>
                <w:sz w:val="16"/>
                <w:szCs w:val="16"/>
                <w:color w:val="auto"/>
              </w:rPr>
              <w:t>Other</w:t>
            </w:r>
            <w:r>
              <w:rPr>
                <w:rFonts w:ascii="Arial" w:cs="Arial" w:eastAsia="Arial" w:hAnsi="Arial"/>
                <w:sz w:val="27"/>
                <w:szCs w:val="27"/>
                <w:color w:val="auto"/>
                <w:vertAlign w:val="superscript"/>
              </w:rPr>
              <w:t>3</w:t>
            </w:r>
          </w:p>
        </w:tc>
        <w:tc>
          <w:tcPr>
            <w:tcW w:w="84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21</w:t>
            </w: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3500" w:type="dxa"/>
            <w:vAlign w:val="bottom"/>
          </w:tcPr>
          <w:p>
            <w:pPr>
              <w:ind w:left="340"/>
              <w:spacing w:after="0"/>
              <w:rPr>
                <w:sz w:val="20"/>
                <w:szCs w:val="20"/>
                <w:color w:val="auto"/>
              </w:rPr>
            </w:pPr>
            <w:r>
              <w:rPr>
                <w:rFonts w:ascii="Arial" w:cs="Arial" w:eastAsia="Arial" w:hAnsi="Arial"/>
                <w:sz w:val="16"/>
                <w:szCs w:val="16"/>
                <w:color w:val="auto"/>
              </w:rPr>
              <w:t>Total changes in deferred revenues</w:t>
            </w:r>
          </w:p>
        </w:tc>
        <w:tc>
          <w:tcPr>
            <w:tcW w:w="840" w:type="dxa"/>
            <w:vAlign w:val="bottom"/>
          </w:tcPr>
          <w:p>
            <w:pPr>
              <w:spacing w:after="0"/>
              <w:rPr>
                <w:sz w:val="17"/>
                <w:szCs w:val="17"/>
                <w:color w:val="auto"/>
              </w:rPr>
            </w:pPr>
          </w:p>
        </w:tc>
        <w:tc>
          <w:tcPr>
            <w:tcW w:w="1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w:t>
            </w: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(238)</w:t>
            </w: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2" w:lineRule="exact"/>
        <w:rPr>
          <w:sz w:val="20"/>
          <w:szCs w:val="20"/>
          <w:color w:val="auto"/>
        </w:rPr>
      </w:pPr>
    </w:p>
    <w:p>
      <w:pPr>
        <w:ind w:left="340" w:hanging="332"/>
        <w:spacing w:after="0"/>
        <w:tabs>
          <w:tab w:leader="none" w:pos="340" w:val="left"/>
        </w:tabs>
        <w:numPr>
          <w:ilvl w:val="0"/>
          <w:numId w:val="49"/>
        </w:numPr>
        <w:rPr>
          <w:rFonts w:ascii="Arial" w:cs="Arial" w:eastAsia="Arial" w:hAnsi="Arial"/>
          <w:sz w:val="27"/>
          <w:szCs w:val="27"/>
          <w:color w:val="auto"/>
          <w:vertAlign w:val="superscript"/>
        </w:rPr>
      </w:pPr>
      <w:r>
        <w:rPr>
          <w:rFonts w:ascii="Arial" w:cs="Arial" w:eastAsia="Arial" w:hAnsi="Arial"/>
          <w:sz w:val="16"/>
          <w:szCs w:val="16"/>
          <w:color w:val="auto"/>
        </w:rPr>
        <w:t>The percentages of total are presented as calculated. Therefore, the sum of these percentages, as presented, may differ due to the impact of rounding.</w:t>
      </w:r>
    </w:p>
    <w:p>
      <w:pPr>
        <w:spacing w:after="0" w:line="7" w:lineRule="exact"/>
        <w:rPr>
          <w:sz w:val="20"/>
          <w:szCs w:val="20"/>
          <w:color w:val="auto"/>
        </w:rPr>
      </w:pPr>
    </w:p>
    <w:p>
      <w:pPr>
        <w:ind w:left="340" w:right="140" w:hanging="332"/>
        <w:spacing w:after="0" w:line="193" w:lineRule="auto"/>
        <w:tabs>
          <w:tab w:leader="none" w:pos="340" w:val="left"/>
        </w:tabs>
        <w:numPr>
          <w:ilvl w:val="0"/>
          <w:numId w:val="50"/>
        </w:numPr>
        <w:rPr>
          <w:rFonts w:ascii="Arial" w:cs="Arial" w:eastAsia="Arial" w:hAnsi="Arial"/>
          <w:sz w:val="27"/>
          <w:szCs w:val="27"/>
          <w:color w:val="auto"/>
          <w:vertAlign w:val="superscript"/>
        </w:rPr>
      </w:pPr>
      <w:r>
        <w:rPr>
          <w:rFonts w:ascii="Arial" w:cs="Arial" w:eastAsia="Arial" w:hAnsi="Arial"/>
          <w:sz w:val="16"/>
          <w:szCs w:val="16"/>
          <w:color w:val="auto"/>
        </w:rPr>
        <w:t>Net revenues from Digital online channels represent revenues from digitally-distributed subscriptions, downloadable content, microtransactions, and products, as well as licensing royalties.</w:t>
      </w:r>
    </w:p>
    <w:p>
      <w:pPr>
        <w:ind w:left="340" w:hanging="332"/>
        <w:spacing w:after="0" w:line="184" w:lineRule="auto"/>
        <w:tabs>
          <w:tab w:leader="none" w:pos="340" w:val="left"/>
        </w:tabs>
        <w:numPr>
          <w:ilvl w:val="0"/>
          <w:numId w:val="51"/>
        </w:numPr>
        <w:rPr>
          <w:rFonts w:ascii="Arial" w:cs="Arial" w:eastAsia="Arial" w:hAnsi="Arial"/>
          <w:sz w:val="23"/>
          <w:szCs w:val="23"/>
          <w:color w:val="auto"/>
          <w:vertAlign w:val="superscript"/>
        </w:rPr>
      </w:pPr>
      <w:r>
        <w:rPr>
          <w:rFonts w:ascii="Arial" w:cs="Arial" w:eastAsia="Arial" w:hAnsi="Arial"/>
          <w:sz w:val="14"/>
          <w:szCs w:val="14"/>
          <w:color w:val="auto"/>
        </w:rPr>
        <w:t>Net revenues from Other primarily includes revenues from our distribution business and the Overwatch League.</w:t>
      </w:r>
    </w:p>
    <w:p>
      <w:pPr>
        <w:ind w:left="340" w:hanging="332"/>
        <w:spacing w:after="0" w:line="183" w:lineRule="auto"/>
        <w:tabs>
          <w:tab w:leader="none" w:pos="340" w:val="left"/>
        </w:tabs>
        <w:numPr>
          <w:ilvl w:val="0"/>
          <w:numId w:val="52"/>
        </w:numPr>
        <w:rPr>
          <w:rFonts w:ascii="Arial" w:cs="Arial" w:eastAsia="Arial" w:hAnsi="Arial"/>
          <w:sz w:val="23"/>
          <w:szCs w:val="23"/>
          <w:color w:val="auto"/>
          <w:vertAlign w:val="superscript"/>
        </w:rPr>
      </w:pPr>
      <w:r>
        <w:rPr>
          <w:rFonts w:ascii="Arial" w:cs="Arial" w:eastAsia="Arial" w:hAnsi="Arial"/>
          <w:sz w:val="14"/>
          <w:szCs w:val="14"/>
          <w:color w:val="auto"/>
        </w:rPr>
        <w:t>Reflects the net effect from deferral of revenues and (recognition) of deferred revenues on certain of our online enabled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433070</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20" w:name="page21"/>
    <w:bookmarkEnd w:id="20"/>
    <w:p>
      <w:pPr>
        <w:jc w:val="right"/>
        <w:spacing w:after="0"/>
        <w:rPr>
          <w:sz w:val="20"/>
          <w:szCs w:val="20"/>
          <w:color w:val="auto"/>
        </w:rPr>
      </w:pPr>
      <w:r>
        <w:rPr>
          <w:rFonts w:ascii="Arial" w:cs="Arial" w:eastAsia="Arial" w:hAnsi="Arial"/>
          <w:sz w:val="18"/>
          <w:szCs w:val="18"/>
          <w:b w:val="1"/>
          <w:bCs w:val="1"/>
          <w:color w:val="auto"/>
        </w:rPr>
        <w:t>12</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ACTIVISION BLIZZARD,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REVENUES BY PLATFORM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Months and Years Ended December 31, 2019 and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in millions)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6"/>
                <w:szCs w:val="16"/>
                <w:b w:val="1"/>
                <w:bCs w:val="1"/>
                <w:color w:val="auto"/>
              </w:rPr>
              <w:t>Three Months Ended</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0" w:type="dxa"/>
            <w:vAlign w:val="bottom"/>
            <w:gridSpan w:val="3"/>
          </w:tcPr>
          <w:p>
            <w:pPr>
              <w:ind w:left="300"/>
              <w:spacing w:after="0"/>
              <w:rPr>
                <w:sz w:val="20"/>
                <w:szCs w:val="20"/>
                <w:color w:val="auto"/>
              </w:rPr>
            </w:pPr>
            <w:r>
              <w:rPr>
                <w:rFonts w:ascii="Arial" w:cs="Arial" w:eastAsia="Arial" w:hAnsi="Arial"/>
                <w:sz w:val="16"/>
                <w:szCs w:val="16"/>
                <w:b w:val="1"/>
                <w:bCs w:val="1"/>
                <w:color w:val="auto"/>
              </w:rPr>
              <w:t>December 31, 2019</w:t>
            </w:r>
          </w:p>
        </w:tc>
        <w:tc>
          <w:tcPr>
            <w:tcW w:w="180" w:type="dxa"/>
            <w:vAlign w:val="bottom"/>
          </w:tcPr>
          <w:p>
            <w:pPr>
              <w:spacing w:after="0"/>
              <w:rPr>
                <w:sz w:val="18"/>
                <w:szCs w:val="18"/>
                <w:color w:val="auto"/>
              </w:rPr>
            </w:pPr>
          </w:p>
        </w:tc>
        <w:tc>
          <w:tcPr>
            <w:tcW w:w="2080" w:type="dxa"/>
            <w:vAlign w:val="bottom"/>
            <w:gridSpan w:val="2"/>
          </w:tcPr>
          <w:p>
            <w:pPr>
              <w:jc w:val="right"/>
              <w:ind w:right="400"/>
              <w:spacing w:after="0"/>
              <w:rPr>
                <w:sz w:val="20"/>
                <w:szCs w:val="20"/>
                <w:color w:val="auto"/>
              </w:rPr>
            </w:pPr>
            <w:r>
              <w:rPr>
                <w:rFonts w:ascii="Arial" w:cs="Arial" w:eastAsia="Arial" w:hAnsi="Arial"/>
                <w:sz w:val="16"/>
                <w:szCs w:val="16"/>
                <w:b w:val="1"/>
                <w:bCs w:val="1"/>
                <w:color w:val="auto"/>
              </w:rPr>
              <w:t>December 31, 2018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ind w:left="60"/>
              <w:spacing w:after="0"/>
              <w:rPr>
                <w:sz w:val="20"/>
                <w:szCs w:val="20"/>
                <w:color w:val="auto"/>
              </w:rPr>
            </w:pPr>
            <w:r>
              <w:rPr>
                <w:rFonts w:ascii="Arial" w:cs="Arial" w:eastAsia="Arial" w:hAnsi="Arial"/>
                <w:sz w:val="16"/>
                <w:szCs w:val="16"/>
                <w:b w:val="1"/>
                <w:bCs w:val="1"/>
                <w:color w:val="auto"/>
              </w:rPr>
              <w:t>$ Increase</w:t>
            </w:r>
          </w:p>
        </w:tc>
        <w:tc>
          <w:tcPr>
            <w:tcW w:w="1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93"/>
              </w:rPr>
              <w:t>% Increase</w:t>
            </w:r>
          </w:p>
        </w:tc>
        <w:tc>
          <w:tcPr>
            <w:tcW w:w="0" w:type="dxa"/>
            <w:vAlign w:val="bottom"/>
          </w:tcPr>
          <w:p>
            <w:pPr>
              <w:spacing w:after="0"/>
              <w:rPr>
                <w:sz w:val="1"/>
                <w:szCs w:val="1"/>
                <w:color w:val="auto"/>
              </w:rPr>
            </w:pPr>
          </w:p>
        </w:tc>
      </w:tr>
      <w:tr>
        <w:trPr>
          <w:trHeight w:val="223"/>
        </w:trPr>
        <w:tc>
          <w:tcPr>
            <w:tcW w:w="34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Amount</w:t>
            </w:r>
          </w:p>
        </w:tc>
        <w:tc>
          <w:tcPr>
            <w:tcW w:w="1160" w:type="dxa"/>
            <w:vAlign w:val="bottom"/>
            <w:tcBorders>
              <w:top w:val="single" w:sz="8" w:color="auto"/>
              <w:bottom w:val="single" w:sz="8" w:color="auto"/>
            </w:tcBorders>
          </w:tcPr>
          <w:p>
            <w:pPr>
              <w:jc w:val="right"/>
              <w:ind w:right="40"/>
              <w:spacing w:after="0" w:line="223" w:lineRule="exact"/>
              <w:rPr>
                <w:sz w:val="20"/>
                <w:szCs w:val="20"/>
                <w:color w:val="auto"/>
              </w:rPr>
            </w:pPr>
            <w:r>
              <w:rPr>
                <w:rFonts w:ascii="Arial" w:cs="Arial" w:eastAsia="Arial" w:hAnsi="Arial"/>
                <w:sz w:val="15"/>
                <w:szCs w:val="15"/>
                <w:b w:val="1"/>
                <w:bCs w:val="1"/>
                <w:color w:val="auto"/>
              </w:rPr>
              <w:t>% of Total</w:t>
            </w:r>
            <w:r>
              <w:rPr>
                <w:rFonts w:ascii="Arial" w:cs="Arial" w:eastAsia="Arial" w:hAnsi="Arial"/>
                <w:sz w:val="25"/>
                <w:szCs w:val="25"/>
                <w:b w:val="1"/>
                <w:bCs w:val="1"/>
                <w:color w:val="auto"/>
                <w:vertAlign w:val="superscript"/>
              </w:rPr>
              <w:t>1</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Amount</w:t>
            </w:r>
          </w:p>
        </w:tc>
        <w:tc>
          <w:tcPr>
            <w:tcW w:w="1140" w:type="dxa"/>
            <w:vAlign w:val="bottom"/>
            <w:tcBorders>
              <w:top w:val="single" w:sz="8" w:color="auto"/>
              <w:bottom w:val="single" w:sz="8" w:color="auto"/>
            </w:tcBorders>
          </w:tcPr>
          <w:p>
            <w:pPr>
              <w:jc w:val="right"/>
              <w:ind w:right="40"/>
              <w:spacing w:after="0" w:line="223" w:lineRule="exact"/>
              <w:rPr>
                <w:sz w:val="20"/>
                <w:szCs w:val="20"/>
                <w:color w:val="auto"/>
              </w:rPr>
            </w:pPr>
            <w:r>
              <w:rPr>
                <w:rFonts w:ascii="Arial" w:cs="Arial" w:eastAsia="Arial" w:hAnsi="Arial"/>
                <w:sz w:val="15"/>
                <w:szCs w:val="15"/>
                <w:b w:val="1"/>
                <w:bCs w:val="1"/>
                <w:color w:val="auto"/>
              </w:rPr>
              <w:t>% of Total</w:t>
            </w:r>
            <w:r>
              <w:rPr>
                <w:rFonts w:ascii="Arial" w:cs="Arial" w:eastAsia="Arial" w:hAnsi="Arial"/>
                <w:sz w:val="25"/>
                <w:szCs w:val="25"/>
                <w:b w:val="1"/>
                <w:bCs w:val="1"/>
                <w:color w:val="auto"/>
                <w:vertAlign w:val="superscript"/>
              </w:rPr>
              <w:t>1</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(Decrease)</w:t>
            </w:r>
          </w:p>
        </w:tc>
        <w:tc>
          <w:tcPr>
            <w:tcW w:w="100" w:type="dxa"/>
            <w:vAlign w:val="bottom"/>
          </w:tcPr>
          <w:p>
            <w:pPr>
              <w:spacing w:after="0"/>
              <w:rPr>
                <w:sz w:val="19"/>
                <w:szCs w:val="19"/>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(Decrease)</w:t>
            </w:r>
          </w:p>
        </w:tc>
        <w:tc>
          <w:tcPr>
            <w:tcW w:w="0" w:type="dxa"/>
            <w:vAlign w:val="bottom"/>
          </w:tcPr>
          <w:p>
            <w:pPr>
              <w:spacing w:after="0"/>
              <w:rPr>
                <w:sz w:val="1"/>
                <w:szCs w:val="1"/>
                <w:color w:val="auto"/>
              </w:rPr>
            </w:pPr>
          </w:p>
        </w:tc>
      </w:tr>
      <w:tr>
        <w:trPr>
          <w:trHeight w:val="186"/>
        </w:trPr>
        <w:tc>
          <w:tcPr>
            <w:tcW w:w="3460" w:type="dxa"/>
            <w:vAlign w:val="bottom"/>
          </w:tcPr>
          <w:p>
            <w:pPr>
              <w:spacing w:after="0"/>
              <w:rPr>
                <w:sz w:val="20"/>
                <w:szCs w:val="20"/>
                <w:color w:val="auto"/>
              </w:rPr>
            </w:pPr>
            <w:r>
              <w:rPr>
                <w:rFonts w:ascii="Arial" w:cs="Arial" w:eastAsia="Arial" w:hAnsi="Arial"/>
                <w:sz w:val="16"/>
                <w:szCs w:val="16"/>
                <w:b w:val="1"/>
                <w:bCs w:val="1"/>
                <w:color w:val="auto"/>
              </w:rPr>
              <w:t>Net Revenues by Platform</w:t>
            </w: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460" w:type="dxa"/>
            <w:vAlign w:val="bottom"/>
          </w:tcPr>
          <w:p>
            <w:pPr>
              <w:ind w:left="180"/>
              <w:spacing w:after="0"/>
              <w:rPr>
                <w:sz w:val="20"/>
                <w:szCs w:val="20"/>
                <w:color w:val="auto"/>
              </w:rPr>
            </w:pPr>
            <w:r>
              <w:rPr>
                <w:rFonts w:ascii="Arial" w:cs="Arial" w:eastAsia="Arial" w:hAnsi="Arial"/>
                <w:sz w:val="16"/>
                <w:szCs w:val="16"/>
                <w:color w:val="auto"/>
              </w:rPr>
              <w:t>Console</w:t>
            </w:r>
          </w:p>
        </w:tc>
        <w:tc>
          <w:tcPr>
            <w:tcW w:w="1060" w:type="dxa"/>
            <w:vAlign w:val="bottom"/>
            <w:gridSpan w:val="2"/>
          </w:tcPr>
          <w:p>
            <w:pPr>
              <w:jc w:val="right"/>
              <w:ind w:right="24"/>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595</w:t>
            </w:r>
          </w:p>
        </w:tc>
        <w:tc>
          <w:tcPr>
            <w:tcW w:w="1160" w:type="dxa"/>
            <w:vAlign w:val="bottom"/>
          </w:tcPr>
          <w:p>
            <w:pPr>
              <w:jc w:val="right"/>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17"/>
                <w:szCs w:val="17"/>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808</w:t>
            </w:r>
          </w:p>
        </w:tc>
        <w:tc>
          <w:tcPr>
            <w:tcW w:w="1140" w:type="dxa"/>
            <w:vAlign w:val="bottom"/>
          </w:tcPr>
          <w:p>
            <w:pPr>
              <w:jc w:val="right"/>
              <w:spacing w:after="0"/>
              <w:rPr>
                <w:sz w:val="20"/>
                <w:szCs w:val="20"/>
                <w:color w:val="auto"/>
              </w:rPr>
            </w:pPr>
            <w:r>
              <w:rPr>
                <w:rFonts w:ascii="Arial" w:cs="Arial" w:eastAsia="Arial" w:hAnsi="Arial"/>
                <w:sz w:val="16"/>
                <w:szCs w:val="16"/>
                <w:color w:val="auto"/>
              </w:rPr>
              <w:t>34%</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(213)</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02"/>
        </w:trPr>
        <w:tc>
          <w:tcPr>
            <w:tcW w:w="3460" w:type="dxa"/>
            <w:vAlign w:val="bottom"/>
          </w:tcPr>
          <w:p>
            <w:pPr>
              <w:ind w:left="180"/>
              <w:spacing w:after="0"/>
              <w:rPr>
                <w:sz w:val="20"/>
                <w:szCs w:val="20"/>
                <w:color w:val="auto"/>
              </w:rPr>
            </w:pPr>
            <w:r>
              <w:rPr>
                <w:rFonts w:ascii="Arial" w:cs="Arial" w:eastAsia="Arial" w:hAnsi="Arial"/>
                <w:sz w:val="16"/>
                <w:szCs w:val="16"/>
                <w:color w:val="auto"/>
              </w:rPr>
              <w:t>PC</w:t>
            </w: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521</w:t>
            </w:r>
          </w:p>
        </w:tc>
        <w:tc>
          <w:tcPr>
            <w:tcW w:w="1160" w:type="dxa"/>
            <w:vAlign w:val="bottom"/>
          </w:tcPr>
          <w:p>
            <w:pPr>
              <w:jc w:val="right"/>
              <w:ind w:right="60"/>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727</w:t>
            </w: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31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(206)</w:t>
            </w:r>
          </w:p>
        </w:tc>
        <w:tc>
          <w:tcPr>
            <w:tcW w:w="1200" w:type="dxa"/>
            <w:vAlign w:val="bottom"/>
            <w:gridSpan w:val="2"/>
          </w:tcPr>
          <w:p>
            <w:pPr>
              <w:jc w:val="right"/>
              <w:ind w:right="59"/>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43"/>
        </w:trPr>
        <w:tc>
          <w:tcPr>
            <w:tcW w:w="3460" w:type="dxa"/>
            <w:vAlign w:val="bottom"/>
          </w:tcPr>
          <w:p>
            <w:pPr>
              <w:ind w:left="180"/>
              <w:spacing w:after="0" w:line="242" w:lineRule="exact"/>
              <w:rPr>
                <w:sz w:val="20"/>
                <w:szCs w:val="20"/>
                <w:color w:val="auto"/>
              </w:rPr>
            </w:pPr>
            <w:r>
              <w:rPr>
                <w:rFonts w:ascii="Arial" w:cs="Arial" w:eastAsia="Arial" w:hAnsi="Arial"/>
                <w:sz w:val="16"/>
                <w:szCs w:val="16"/>
                <w:color w:val="auto"/>
              </w:rPr>
              <w:t>Mobile and ancillary</w:t>
            </w:r>
            <w:r>
              <w:rPr>
                <w:rFonts w:ascii="Arial" w:cs="Arial" w:eastAsia="Arial" w:hAnsi="Arial"/>
                <w:sz w:val="27"/>
                <w:szCs w:val="27"/>
                <w:color w:val="auto"/>
                <w:vertAlign w:val="superscript"/>
              </w:rPr>
              <w:t>2</w:t>
            </w:r>
          </w:p>
        </w:tc>
        <w:tc>
          <w:tcPr>
            <w:tcW w:w="8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633</w:t>
            </w:r>
          </w:p>
        </w:tc>
        <w:tc>
          <w:tcPr>
            <w:tcW w:w="1160" w:type="dxa"/>
            <w:vAlign w:val="bottom"/>
          </w:tcPr>
          <w:p>
            <w:pPr>
              <w:jc w:val="right"/>
              <w:ind w:right="60"/>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596</w:t>
            </w: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37</w:t>
            </w:r>
          </w:p>
        </w:tc>
        <w:tc>
          <w:tcPr>
            <w:tcW w:w="1200" w:type="dxa"/>
            <w:vAlign w:val="bottom"/>
            <w:gridSpan w:val="2"/>
          </w:tcPr>
          <w:p>
            <w:pPr>
              <w:jc w:val="right"/>
              <w:ind w:right="99"/>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54"/>
        </w:trPr>
        <w:tc>
          <w:tcPr>
            <w:tcW w:w="3460" w:type="dxa"/>
            <w:vAlign w:val="bottom"/>
          </w:tcPr>
          <w:p>
            <w:pPr>
              <w:ind w:left="180"/>
              <w:spacing w:after="0" w:line="254" w:lineRule="exact"/>
              <w:rPr>
                <w:sz w:val="20"/>
                <w:szCs w:val="20"/>
                <w:color w:val="auto"/>
              </w:rPr>
            </w:pPr>
            <w:r>
              <w:rPr>
                <w:rFonts w:ascii="Arial" w:cs="Arial" w:eastAsia="Arial" w:hAnsi="Arial"/>
                <w:sz w:val="16"/>
                <w:szCs w:val="16"/>
                <w:color w:val="auto"/>
              </w:rPr>
              <w:t>Other</w:t>
            </w:r>
            <w:r>
              <w:rPr>
                <w:rFonts w:ascii="Arial" w:cs="Arial" w:eastAsia="Arial" w:hAnsi="Arial"/>
                <w:sz w:val="27"/>
                <w:szCs w:val="27"/>
                <w:color w:val="auto"/>
                <w:vertAlign w:val="superscript"/>
              </w:rPr>
              <w:t>3</w:t>
            </w:r>
          </w:p>
        </w:tc>
        <w:tc>
          <w:tcPr>
            <w:tcW w:w="8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237</w:t>
            </w:r>
          </w:p>
        </w:tc>
        <w:tc>
          <w:tcPr>
            <w:tcW w:w="11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250</w:t>
            </w:r>
          </w:p>
        </w:tc>
        <w:tc>
          <w:tcPr>
            <w:tcW w:w="11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1200" w:type="dxa"/>
            <w:vAlign w:val="bottom"/>
            <w:gridSpan w:val="2"/>
          </w:tcPr>
          <w:p>
            <w:pPr>
              <w:jc w:val="right"/>
              <w:ind w:right="59"/>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196"/>
        </w:trPr>
        <w:tc>
          <w:tcPr>
            <w:tcW w:w="3460" w:type="dxa"/>
            <w:vAlign w:val="bottom"/>
          </w:tcPr>
          <w:p>
            <w:pPr>
              <w:ind w:left="340"/>
              <w:spacing w:after="0"/>
              <w:rPr>
                <w:sz w:val="20"/>
                <w:szCs w:val="20"/>
                <w:color w:val="auto"/>
              </w:rPr>
            </w:pPr>
            <w:r>
              <w:rPr>
                <w:rFonts w:ascii="Arial" w:cs="Arial" w:eastAsia="Arial" w:hAnsi="Arial"/>
                <w:sz w:val="16"/>
                <w:szCs w:val="16"/>
                <w:color w:val="auto"/>
              </w:rPr>
              <w:t>Total consolidated net revenues</w:t>
            </w:r>
          </w:p>
        </w:tc>
        <w:tc>
          <w:tcPr>
            <w:tcW w:w="880" w:type="dxa"/>
            <w:vAlign w:val="bottom"/>
          </w:tcPr>
          <w:p>
            <w:pPr>
              <w:spacing w:after="0"/>
              <w:rPr>
                <w:sz w:val="17"/>
                <w:szCs w:val="17"/>
                <w:color w:val="auto"/>
              </w:rPr>
            </w:pPr>
          </w:p>
        </w:tc>
        <w:tc>
          <w:tcPr>
            <w:tcW w:w="1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1,986</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2,381</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12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(395)</w:t>
            </w:r>
          </w:p>
        </w:tc>
        <w:tc>
          <w:tcPr>
            <w:tcW w:w="1200" w:type="dxa"/>
            <w:vAlign w:val="bottom"/>
            <w:gridSpan w:val="2"/>
          </w:tcPr>
          <w:p>
            <w:pPr>
              <w:jc w:val="right"/>
              <w:ind w:right="59"/>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0"/>
        </w:trPr>
        <w:tc>
          <w:tcPr>
            <w:tcW w:w="3460" w:type="dxa"/>
            <w:vAlign w:val="bottom"/>
            <w:vMerge w:val="restart"/>
          </w:tcPr>
          <w:p>
            <w:pPr>
              <w:spacing w:after="0"/>
              <w:rPr>
                <w:sz w:val="20"/>
                <w:szCs w:val="20"/>
                <w:color w:val="auto"/>
              </w:rPr>
            </w:pPr>
            <w:r>
              <w:rPr>
                <w:rFonts w:ascii="Arial" w:cs="Arial" w:eastAsia="Arial" w:hAnsi="Arial"/>
                <w:sz w:val="16"/>
                <w:szCs w:val="16"/>
                <w:b w:val="1"/>
                <w:bCs w:val="1"/>
                <w:color w:val="auto"/>
              </w:rPr>
              <w:t>Change in deferred revenues</w:t>
            </w:r>
            <w:r>
              <w:rPr>
                <w:rFonts w:ascii="Arial" w:cs="Arial" w:eastAsia="Arial" w:hAnsi="Arial"/>
                <w:sz w:val="27"/>
                <w:szCs w:val="27"/>
                <w:b w:val="1"/>
                <w:bCs w:val="1"/>
                <w:color w:val="auto"/>
                <w:vertAlign w:val="superscript"/>
              </w:rPr>
              <w:t>4</w:t>
            </w:r>
          </w:p>
        </w:tc>
        <w:tc>
          <w:tcPr>
            <w:tcW w:w="8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6"/>
        </w:trPr>
        <w:tc>
          <w:tcPr>
            <w:tcW w:w="346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460" w:type="dxa"/>
            <w:vAlign w:val="bottom"/>
          </w:tcPr>
          <w:p>
            <w:pPr>
              <w:ind w:left="180"/>
              <w:spacing w:after="0"/>
              <w:rPr>
                <w:sz w:val="20"/>
                <w:szCs w:val="20"/>
                <w:color w:val="auto"/>
              </w:rPr>
            </w:pPr>
            <w:r>
              <w:rPr>
                <w:rFonts w:ascii="Arial" w:cs="Arial" w:eastAsia="Arial" w:hAnsi="Arial"/>
                <w:sz w:val="16"/>
                <w:szCs w:val="16"/>
                <w:color w:val="auto"/>
              </w:rPr>
              <w:t>Console</w:t>
            </w:r>
          </w:p>
        </w:tc>
        <w:tc>
          <w:tcPr>
            <w:tcW w:w="1060" w:type="dxa"/>
            <w:vAlign w:val="bottom"/>
            <w:gridSpan w:val="2"/>
          </w:tcPr>
          <w:p>
            <w:pPr>
              <w:jc w:val="right"/>
              <w:ind w:right="24"/>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536</w:t>
            </w: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455</w:t>
            </w: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460" w:type="dxa"/>
            <w:vAlign w:val="bottom"/>
          </w:tcPr>
          <w:p>
            <w:pPr>
              <w:ind w:left="180"/>
              <w:spacing w:after="0"/>
              <w:rPr>
                <w:sz w:val="20"/>
                <w:szCs w:val="20"/>
                <w:color w:val="auto"/>
              </w:rPr>
            </w:pPr>
            <w:r>
              <w:rPr>
                <w:rFonts w:ascii="Arial" w:cs="Arial" w:eastAsia="Arial" w:hAnsi="Arial"/>
                <w:sz w:val="16"/>
                <w:szCs w:val="16"/>
                <w:color w:val="auto"/>
              </w:rPr>
              <w:t>PC</w:t>
            </w: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165</w:t>
            </w: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w:t>
            </w: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3460" w:type="dxa"/>
            <w:vAlign w:val="bottom"/>
          </w:tcPr>
          <w:p>
            <w:pPr>
              <w:ind w:left="180"/>
              <w:spacing w:after="0" w:line="242" w:lineRule="exact"/>
              <w:rPr>
                <w:sz w:val="20"/>
                <w:szCs w:val="20"/>
                <w:color w:val="auto"/>
              </w:rPr>
            </w:pPr>
            <w:r>
              <w:rPr>
                <w:rFonts w:ascii="Arial" w:cs="Arial" w:eastAsia="Arial" w:hAnsi="Arial"/>
                <w:sz w:val="16"/>
                <w:szCs w:val="16"/>
                <w:color w:val="auto"/>
              </w:rPr>
              <w:t>Mobile and ancillary</w:t>
            </w:r>
            <w:r>
              <w:rPr>
                <w:rFonts w:ascii="Arial" w:cs="Arial" w:eastAsia="Arial" w:hAnsi="Arial"/>
                <w:sz w:val="27"/>
                <w:szCs w:val="27"/>
                <w:color w:val="auto"/>
                <w:vertAlign w:val="superscript"/>
              </w:rPr>
              <w:t>2</w:t>
            </w:r>
          </w:p>
        </w:tc>
        <w:tc>
          <w:tcPr>
            <w:tcW w:w="8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16</w:t>
            </w: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3</w:t>
            </w: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4"/>
        </w:trPr>
        <w:tc>
          <w:tcPr>
            <w:tcW w:w="3460" w:type="dxa"/>
            <w:vAlign w:val="bottom"/>
          </w:tcPr>
          <w:p>
            <w:pPr>
              <w:ind w:left="180"/>
              <w:spacing w:after="0" w:line="254" w:lineRule="exact"/>
              <w:rPr>
                <w:sz w:val="20"/>
                <w:szCs w:val="20"/>
                <w:color w:val="auto"/>
              </w:rPr>
            </w:pPr>
            <w:r>
              <w:rPr>
                <w:rFonts w:ascii="Arial" w:cs="Arial" w:eastAsia="Arial" w:hAnsi="Arial"/>
                <w:sz w:val="16"/>
                <w:szCs w:val="16"/>
                <w:color w:val="auto"/>
              </w:rPr>
              <w:t>Other</w:t>
            </w:r>
            <w:r>
              <w:rPr>
                <w:rFonts w:ascii="Arial" w:cs="Arial" w:eastAsia="Arial" w:hAnsi="Arial"/>
                <w:sz w:val="27"/>
                <w:szCs w:val="27"/>
                <w:color w:val="auto"/>
                <w:vertAlign w:val="superscript"/>
              </w:rPr>
              <w:t>3</w:t>
            </w:r>
          </w:p>
        </w:tc>
        <w:tc>
          <w:tcPr>
            <w:tcW w:w="8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w:t>
            </w: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w:t>
            </w: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3460" w:type="dxa"/>
            <w:vAlign w:val="bottom"/>
          </w:tcPr>
          <w:p>
            <w:pPr>
              <w:ind w:left="340"/>
              <w:spacing w:after="0"/>
              <w:rPr>
                <w:sz w:val="20"/>
                <w:szCs w:val="20"/>
                <w:color w:val="auto"/>
              </w:rPr>
            </w:pPr>
            <w:r>
              <w:rPr>
                <w:rFonts w:ascii="Arial" w:cs="Arial" w:eastAsia="Arial" w:hAnsi="Arial"/>
                <w:sz w:val="16"/>
                <w:szCs w:val="16"/>
                <w:color w:val="auto"/>
              </w:rPr>
              <w:t>Total changes in deferred revenues</w:t>
            </w:r>
          </w:p>
        </w:tc>
        <w:tc>
          <w:tcPr>
            <w:tcW w:w="880" w:type="dxa"/>
            <w:vAlign w:val="bottom"/>
          </w:tcPr>
          <w:p>
            <w:pPr>
              <w:spacing w:after="0"/>
              <w:rPr>
                <w:sz w:val="17"/>
                <w:szCs w:val="17"/>
                <w:color w:val="auto"/>
              </w:rPr>
            </w:pPr>
          </w:p>
        </w:tc>
        <w:tc>
          <w:tcPr>
            <w:tcW w:w="1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722</w:t>
            </w: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454</w:t>
            </w: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7"/>
        </w:trPr>
        <w:tc>
          <w:tcPr>
            <w:tcW w:w="3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2"/>
          </w:tcPr>
          <w:p>
            <w:pPr>
              <w:jc w:val="right"/>
              <w:ind w:right="580"/>
              <w:spacing w:after="0"/>
              <w:rPr>
                <w:sz w:val="20"/>
                <w:szCs w:val="20"/>
                <w:color w:val="auto"/>
              </w:rPr>
            </w:pPr>
            <w:r>
              <w:rPr>
                <w:rFonts w:ascii="Arial" w:cs="Arial" w:eastAsia="Arial" w:hAnsi="Arial"/>
                <w:sz w:val="16"/>
                <w:szCs w:val="16"/>
                <w:b w:val="1"/>
                <w:bCs w:val="1"/>
                <w:color w:val="auto"/>
              </w:rPr>
              <w:t>Years Ended</w:t>
            </w: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0" w:type="dxa"/>
            <w:vAlign w:val="bottom"/>
            <w:gridSpan w:val="3"/>
          </w:tcPr>
          <w:p>
            <w:pPr>
              <w:ind w:left="300"/>
              <w:spacing w:after="0"/>
              <w:rPr>
                <w:sz w:val="20"/>
                <w:szCs w:val="20"/>
                <w:color w:val="auto"/>
              </w:rPr>
            </w:pPr>
            <w:r>
              <w:rPr>
                <w:rFonts w:ascii="Arial" w:cs="Arial" w:eastAsia="Arial" w:hAnsi="Arial"/>
                <w:sz w:val="16"/>
                <w:szCs w:val="16"/>
                <w:b w:val="1"/>
                <w:bCs w:val="1"/>
                <w:color w:val="auto"/>
              </w:rPr>
              <w:t>December 31, 2019</w:t>
            </w:r>
          </w:p>
        </w:tc>
        <w:tc>
          <w:tcPr>
            <w:tcW w:w="180" w:type="dxa"/>
            <w:vAlign w:val="bottom"/>
          </w:tcPr>
          <w:p>
            <w:pPr>
              <w:spacing w:after="0"/>
              <w:rPr>
                <w:sz w:val="18"/>
                <w:szCs w:val="18"/>
                <w:color w:val="auto"/>
              </w:rPr>
            </w:pPr>
          </w:p>
        </w:tc>
        <w:tc>
          <w:tcPr>
            <w:tcW w:w="2080" w:type="dxa"/>
            <w:vAlign w:val="bottom"/>
            <w:gridSpan w:val="2"/>
          </w:tcPr>
          <w:p>
            <w:pPr>
              <w:jc w:val="right"/>
              <w:ind w:right="400"/>
              <w:spacing w:after="0"/>
              <w:rPr>
                <w:sz w:val="20"/>
                <w:szCs w:val="20"/>
                <w:color w:val="auto"/>
              </w:rPr>
            </w:pPr>
            <w:r>
              <w:rPr>
                <w:rFonts w:ascii="Arial" w:cs="Arial" w:eastAsia="Arial" w:hAnsi="Arial"/>
                <w:sz w:val="16"/>
                <w:szCs w:val="16"/>
                <w:b w:val="1"/>
                <w:bCs w:val="1"/>
                <w:color w:val="auto"/>
              </w:rPr>
              <w:t>December 31, 2018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ind w:left="60"/>
              <w:spacing w:after="0"/>
              <w:rPr>
                <w:sz w:val="20"/>
                <w:szCs w:val="20"/>
                <w:color w:val="auto"/>
              </w:rPr>
            </w:pPr>
            <w:r>
              <w:rPr>
                <w:rFonts w:ascii="Arial" w:cs="Arial" w:eastAsia="Arial" w:hAnsi="Arial"/>
                <w:sz w:val="16"/>
                <w:szCs w:val="16"/>
                <w:b w:val="1"/>
                <w:bCs w:val="1"/>
                <w:color w:val="auto"/>
              </w:rPr>
              <w:t>$ Increase</w:t>
            </w:r>
          </w:p>
        </w:tc>
        <w:tc>
          <w:tcPr>
            <w:tcW w:w="1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93"/>
              </w:rPr>
              <w:t>% Increase</w:t>
            </w:r>
          </w:p>
        </w:tc>
        <w:tc>
          <w:tcPr>
            <w:tcW w:w="0" w:type="dxa"/>
            <w:vAlign w:val="bottom"/>
          </w:tcPr>
          <w:p>
            <w:pPr>
              <w:spacing w:after="0"/>
              <w:rPr>
                <w:sz w:val="1"/>
                <w:szCs w:val="1"/>
                <w:color w:val="auto"/>
              </w:rPr>
            </w:pPr>
          </w:p>
        </w:tc>
      </w:tr>
      <w:tr>
        <w:trPr>
          <w:trHeight w:val="223"/>
        </w:trPr>
        <w:tc>
          <w:tcPr>
            <w:tcW w:w="34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Amount</w:t>
            </w:r>
          </w:p>
        </w:tc>
        <w:tc>
          <w:tcPr>
            <w:tcW w:w="1160" w:type="dxa"/>
            <w:vAlign w:val="bottom"/>
            <w:tcBorders>
              <w:top w:val="single" w:sz="8" w:color="auto"/>
              <w:bottom w:val="single" w:sz="8" w:color="auto"/>
            </w:tcBorders>
          </w:tcPr>
          <w:p>
            <w:pPr>
              <w:jc w:val="right"/>
              <w:ind w:right="40"/>
              <w:spacing w:after="0" w:line="223" w:lineRule="exact"/>
              <w:rPr>
                <w:sz w:val="20"/>
                <w:szCs w:val="20"/>
                <w:color w:val="auto"/>
              </w:rPr>
            </w:pPr>
            <w:r>
              <w:rPr>
                <w:rFonts w:ascii="Arial" w:cs="Arial" w:eastAsia="Arial" w:hAnsi="Arial"/>
                <w:sz w:val="15"/>
                <w:szCs w:val="15"/>
                <w:b w:val="1"/>
                <w:bCs w:val="1"/>
                <w:color w:val="auto"/>
              </w:rPr>
              <w:t>% of Total</w:t>
            </w:r>
            <w:r>
              <w:rPr>
                <w:rFonts w:ascii="Arial" w:cs="Arial" w:eastAsia="Arial" w:hAnsi="Arial"/>
                <w:sz w:val="25"/>
                <w:szCs w:val="25"/>
                <w:b w:val="1"/>
                <w:bCs w:val="1"/>
                <w:color w:val="auto"/>
                <w:vertAlign w:val="superscript"/>
              </w:rPr>
              <w:t>1</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Amount</w:t>
            </w:r>
          </w:p>
        </w:tc>
        <w:tc>
          <w:tcPr>
            <w:tcW w:w="1140" w:type="dxa"/>
            <w:vAlign w:val="bottom"/>
            <w:tcBorders>
              <w:top w:val="single" w:sz="8" w:color="auto"/>
              <w:bottom w:val="single" w:sz="8" w:color="auto"/>
            </w:tcBorders>
          </w:tcPr>
          <w:p>
            <w:pPr>
              <w:jc w:val="right"/>
              <w:ind w:right="40"/>
              <w:spacing w:after="0" w:line="223" w:lineRule="exact"/>
              <w:rPr>
                <w:sz w:val="20"/>
                <w:szCs w:val="20"/>
                <w:color w:val="auto"/>
              </w:rPr>
            </w:pPr>
            <w:r>
              <w:rPr>
                <w:rFonts w:ascii="Arial" w:cs="Arial" w:eastAsia="Arial" w:hAnsi="Arial"/>
                <w:sz w:val="15"/>
                <w:szCs w:val="15"/>
                <w:b w:val="1"/>
                <w:bCs w:val="1"/>
                <w:color w:val="auto"/>
              </w:rPr>
              <w:t>% of Total</w:t>
            </w:r>
            <w:r>
              <w:rPr>
                <w:rFonts w:ascii="Arial" w:cs="Arial" w:eastAsia="Arial" w:hAnsi="Arial"/>
                <w:sz w:val="25"/>
                <w:szCs w:val="25"/>
                <w:b w:val="1"/>
                <w:bCs w:val="1"/>
                <w:color w:val="auto"/>
                <w:vertAlign w:val="superscript"/>
              </w:rPr>
              <w:t>1</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(Decrease)</w:t>
            </w:r>
          </w:p>
        </w:tc>
        <w:tc>
          <w:tcPr>
            <w:tcW w:w="100" w:type="dxa"/>
            <w:vAlign w:val="bottom"/>
          </w:tcPr>
          <w:p>
            <w:pPr>
              <w:spacing w:after="0"/>
              <w:rPr>
                <w:sz w:val="19"/>
                <w:szCs w:val="19"/>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(Decrease)</w:t>
            </w:r>
          </w:p>
        </w:tc>
        <w:tc>
          <w:tcPr>
            <w:tcW w:w="0" w:type="dxa"/>
            <w:vAlign w:val="bottom"/>
          </w:tcPr>
          <w:p>
            <w:pPr>
              <w:spacing w:after="0"/>
              <w:rPr>
                <w:sz w:val="1"/>
                <w:szCs w:val="1"/>
                <w:color w:val="auto"/>
              </w:rPr>
            </w:pPr>
          </w:p>
        </w:tc>
      </w:tr>
      <w:tr>
        <w:trPr>
          <w:trHeight w:val="186"/>
        </w:trPr>
        <w:tc>
          <w:tcPr>
            <w:tcW w:w="3460" w:type="dxa"/>
            <w:vAlign w:val="bottom"/>
          </w:tcPr>
          <w:p>
            <w:pPr>
              <w:spacing w:after="0"/>
              <w:rPr>
                <w:sz w:val="20"/>
                <w:szCs w:val="20"/>
                <w:color w:val="auto"/>
              </w:rPr>
            </w:pPr>
            <w:r>
              <w:rPr>
                <w:rFonts w:ascii="Arial" w:cs="Arial" w:eastAsia="Arial" w:hAnsi="Arial"/>
                <w:sz w:val="16"/>
                <w:szCs w:val="16"/>
                <w:b w:val="1"/>
                <w:bCs w:val="1"/>
                <w:color w:val="auto"/>
              </w:rPr>
              <w:t>Net Revenues by Platform</w:t>
            </w: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460" w:type="dxa"/>
            <w:vAlign w:val="bottom"/>
          </w:tcPr>
          <w:p>
            <w:pPr>
              <w:ind w:left="180"/>
              <w:spacing w:after="0"/>
              <w:rPr>
                <w:sz w:val="20"/>
                <w:szCs w:val="20"/>
                <w:color w:val="auto"/>
              </w:rPr>
            </w:pPr>
            <w:r>
              <w:rPr>
                <w:rFonts w:ascii="Arial" w:cs="Arial" w:eastAsia="Arial" w:hAnsi="Arial"/>
                <w:sz w:val="16"/>
                <w:szCs w:val="16"/>
                <w:color w:val="auto"/>
              </w:rPr>
              <w:t>Console</w:t>
            </w:r>
          </w:p>
        </w:tc>
        <w:tc>
          <w:tcPr>
            <w:tcW w:w="1060" w:type="dxa"/>
            <w:vAlign w:val="bottom"/>
            <w:gridSpan w:val="2"/>
          </w:tcPr>
          <w:p>
            <w:pPr>
              <w:jc w:val="right"/>
              <w:ind w:right="24"/>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1,920</w:t>
            </w:r>
          </w:p>
        </w:tc>
        <w:tc>
          <w:tcPr>
            <w:tcW w:w="1160" w:type="dxa"/>
            <w:vAlign w:val="bottom"/>
          </w:tcPr>
          <w:p>
            <w:pPr>
              <w:jc w:val="right"/>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17"/>
                <w:szCs w:val="17"/>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2,538</w:t>
            </w:r>
          </w:p>
        </w:tc>
        <w:tc>
          <w:tcPr>
            <w:tcW w:w="1140" w:type="dxa"/>
            <w:vAlign w:val="bottom"/>
          </w:tcPr>
          <w:p>
            <w:pPr>
              <w:jc w:val="right"/>
              <w:spacing w:after="0"/>
              <w:rPr>
                <w:sz w:val="20"/>
                <w:szCs w:val="20"/>
                <w:color w:val="auto"/>
              </w:rPr>
            </w:pPr>
            <w:r>
              <w:rPr>
                <w:rFonts w:ascii="Arial" w:cs="Arial" w:eastAsia="Arial" w:hAnsi="Arial"/>
                <w:sz w:val="16"/>
                <w:szCs w:val="16"/>
                <w:color w:val="auto"/>
              </w:rPr>
              <w:t>34%</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(618)</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02"/>
        </w:trPr>
        <w:tc>
          <w:tcPr>
            <w:tcW w:w="3460" w:type="dxa"/>
            <w:vAlign w:val="bottom"/>
          </w:tcPr>
          <w:p>
            <w:pPr>
              <w:ind w:left="180"/>
              <w:spacing w:after="0"/>
              <w:rPr>
                <w:sz w:val="20"/>
                <w:szCs w:val="20"/>
                <w:color w:val="auto"/>
              </w:rPr>
            </w:pPr>
            <w:r>
              <w:rPr>
                <w:rFonts w:ascii="Arial" w:cs="Arial" w:eastAsia="Arial" w:hAnsi="Arial"/>
                <w:sz w:val="16"/>
                <w:szCs w:val="16"/>
                <w:color w:val="auto"/>
              </w:rPr>
              <w:t>PC</w:t>
            </w: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1,718</w:t>
            </w:r>
          </w:p>
        </w:tc>
        <w:tc>
          <w:tcPr>
            <w:tcW w:w="1160" w:type="dxa"/>
            <w:vAlign w:val="bottom"/>
          </w:tcPr>
          <w:p>
            <w:pPr>
              <w:jc w:val="right"/>
              <w:ind w:right="60"/>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2,180</w:t>
            </w: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29</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(462)</w:t>
            </w:r>
          </w:p>
        </w:tc>
        <w:tc>
          <w:tcPr>
            <w:tcW w:w="1200" w:type="dxa"/>
            <w:vAlign w:val="bottom"/>
            <w:gridSpan w:val="2"/>
          </w:tcPr>
          <w:p>
            <w:pPr>
              <w:jc w:val="right"/>
              <w:ind w:right="59"/>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43"/>
        </w:trPr>
        <w:tc>
          <w:tcPr>
            <w:tcW w:w="3460" w:type="dxa"/>
            <w:vAlign w:val="bottom"/>
          </w:tcPr>
          <w:p>
            <w:pPr>
              <w:ind w:left="180"/>
              <w:spacing w:after="0" w:line="242" w:lineRule="exact"/>
              <w:rPr>
                <w:sz w:val="20"/>
                <w:szCs w:val="20"/>
                <w:color w:val="auto"/>
              </w:rPr>
            </w:pPr>
            <w:r>
              <w:rPr>
                <w:rFonts w:ascii="Arial" w:cs="Arial" w:eastAsia="Arial" w:hAnsi="Arial"/>
                <w:sz w:val="16"/>
                <w:szCs w:val="16"/>
                <w:color w:val="auto"/>
              </w:rPr>
              <w:t>Mobile and ancillary</w:t>
            </w:r>
            <w:r>
              <w:rPr>
                <w:rFonts w:ascii="Arial" w:cs="Arial" w:eastAsia="Arial" w:hAnsi="Arial"/>
                <w:sz w:val="27"/>
                <w:szCs w:val="27"/>
                <w:color w:val="auto"/>
                <w:vertAlign w:val="superscript"/>
              </w:rPr>
              <w:t>2</w:t>
            </w:r>
          </w:p>
        </w:tc>
        <w:tc>
          <w:tcPr>
            <w:tcW w:w="8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2,203</w:t>
            </w:r>
          </w:p>
        </w:tc>
        <w:tc>
          <w:tcPr>
            <w:tcW w:w="1160" w:type="dxa"/>
            <w:vAlign w:val="bottom"/>
          </w:tcPr>
          <w:p>
            <w:pPr>
              <w:jc w:val="right"/>
              <w:ind w:right="60"/>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2,175</w:t>
            </w: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29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28</w:t>
            </w:r>
          </w:p>
        </w:tc>
        <w:tc>
          <w:tcPr>
            <w:tcW w:w="1200" w:type="dxa"/>
            <w:vAlign w:val="bottom"/>
            <w:gridSpan w:val="2"/>
          </w:tcPr>
          <w:p>
            <w:pPr>
              <w:jc w:val="right"/>
              <w:ind w:right="99"/>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54"/>
        </w:trPr>
        <w:tc>
          <w:tcPr>
            <w:tcW w:w="3460" w:type="dxa"/>
            <w:vAlign w:val="bottom"/>
          </w:tcPr>
          <w:p>
            <w:pPr>
              <w:ind w:left="180"/>
              <w:spacing w:after="0" w:line="254" w:lineRule="exact"/>
              <w:rPr>
                <w:sz w:val="20"/>
                <w:szCs w:val="20"/>
                <w:color w:val="auto"/>
              </w:rPr>
            </w:pPr>
            <w:r>
              <w:rPr>
                <w:rFonts w:ascii="Arial" w:cs="Arial" w:eastAsia="Arial" w:hAnsi="Arial"/>
                <w:sz w:val="16"/>
                <w:szCs w:val="16"/>
                <w:color w:val="auto"/>
              </w:rPr>
              <w:t>Other</w:t>
            </w:r>
            <w:r>
              <w:rPr>
                <w:rFonts w:ascii="Arial" w:cs="Arial" w:eastAsia="Arial" w:hAnsi="Arial"/>
                <w:sz w:val="27"/>
                <w:szCs w:val="27"/>
                <w:color w:val="auto"/>
                <w:vertAlign w:val="superscript"/>
              </w:rPr>
              <w:t>3</w:t>
            </w:r>
          </w:p>
        </w:tc>
        <w:tc>
          <w:tcPr>
            <w:tcW w:w="8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648</w:t>
            </w:r>
          </w:p>
        </w:tc>
        <w:tc>
          <w:tcPr>
            <w:tcW w:w="11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607</w:t>
            </w:r>
          </w:p>
        </w:tc>
        <w:tc>
          <w:tcPr>
            <w:tcW w:w="11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41</w:t>
            </w:r>
          </w:p>
        </w:tc>
        <w:tc>
          <w:tcPr>
            <w:tcW w:w="1200" w:type="dxa"/>
            <w:vAlign w:val="bottom"/>
            <w:gridSpan w:val="2"/>
          </w:tcPr>
          <w:p>
            <w:pPr>
              <w:jc w:val="right"/>
              <w:ind w:right="99"/>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196"/>
        </w:trPr>
        <w:tc>
          <w:tcPr>
            <w:tcW w:w="3460" w:type="dxa"/>
            <w:vAlign w:val="bottom"/>
          </w:tcPr>
          <w:p>
            <w:pPr>
              <w:ind w:left="340"/>
              <w:spacing w:after="0"/>
              <w:rPr>
                <w:sz w:val="20"/>
                <w:szCs w:val="20"/>
                <w:color w:val="auto"/>
              </w:rPr>
            </w:pPr>
            <w:r>
              <w:rPr>
                <w:rFonts w:ascii="Arial" w:cs="Arial" w:eastAsia="Arial" w:hAnsi="Arial"/>
                <w:sz w:val="16"/>
                <w:szCs w:val="16"/>
                <w:color w:val="auto"/>
              </w:rPr>
              <w:t>Total consolidated net revenues</w:t>
            </w:r>
          </w:p>
        </w:tc>
        <w:tc>
          <w:tcPr>
            <w:tcW w:w="880" w:type="dxa"/>
            <w:vAlign w:val="bottom"/>
          </w:tcPr>
          <w:p>
            <w:pPr>
              <w:spacing w:after="0"/>
              <w:rPr>
                <w:sz w:val="17"/>
                <w:szCs w:val="17"/>
                <w:color w:val="auto"/>
              </w:rPr>
            </w:pPr>
          </w:p>
        </w:tc>
        <w:tc>
          <w:tcPr>
            <w:tcW w:w="1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6,489</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7,500</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12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(1,011)</w:t>
            </w:r>
          </w:p>
        </w:tc>
        <w:tc>
          <w:tcPr>
            <w:tcW w:w="1200" w:type="dxa"/>
            <w:vAlign w:val="bottom"/>
            <w:gridSpan w:val="2"/>
          </w:tcPr>
          <w:p>
            <w:pPr>
              <w:jc w:val="right"/>
              <w:ind w:right="59"/>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0"/>
        </w:trPr>
        <w:tc>
          <w:tcPr>
            <w:tcW w:w="3460" w:type="dxa"/>
            <w:vAlign w:val="bottom"/>
            <w:vMerge w:val="restart"/>
          </w:tcPr>
          <w:p>
            <w:pPr>
              <w:spacing w:after="0"/>
              <w:rPr>
                <w:sz w:val="20"/>
                <w:szCs w:val="20"/>
                <w:color w:val="auto"/>
              </w:rPr>
            </w:pPr>
            <w:r>
              <w:rPr>
                <w:rFonts w:ascii="Arial" w:cs="Arial" w:eastAsia="Arial" w:hAnsi="Arial"/>
                <w:sz w:val="16"/>
                <w:szCs w:val="16"/>
                <w:b w:val="1"/>
                <w:bCs w:val="1"/>
                <w:color w:val="auto"/>
              </w:rPr>
              <w:t>Change in deferred revenues</w:t>
            </w:r>
            <w:r>
              <w:rPr>
                <w:rFonts w:ascii="Arial" w:cs="Arial" w:eastAsia="Arial" w:hAnsi="Arial"/>
                <w:sz w:val="27"/>
                <w:szCs w:val="27"/>
                <w:b w:val="1"/>
                <w:bCs w:val="1"/>
                <w:color w:val="auto"/>
                <w:vertAlign w:val="superscript"/>
              </w:rPr>
              <w:t>4</w:t>
            </w:r>
          </w:p>
        </w:tc>
        <w:tc>
          <w:tcPr>
            <w:tcW w:w="8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6"/>
        </w:trPr>
        <w:tc>
          <w:tcPr>
            <w:tcW w:w="346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460" w:type="dxa"/>
            <w:vAlign w:val="bottom"/>
          </w:tcPr>
          <w:p>
            <w:pPr>
              <w:ind w:left="180"/>
              <w:spacing w:after="0"/>
              <w:rPr>
                <w:sz w:val="20"/>
                <w:szCs w:val="20"/>
                <w:color w:val="auto"/>
              </w:rPr>
            </w:pPr>
            <w:r>
              <w:rPr>
                <w:rFonts w:ascii="Arial" w:cs="Arial" w:eastAsia="Arial" w:hAnsi="Arial"/>
                <w:sz w:val="16"/>
                <w:szCs w:val="16"/>
                <w:color w:val="auto"/>
              </w:rPr>
              <w:t>Console</w:t>
            </w:r>
          </w:p>
        </w:tc>
        <w:tc>
          <w:tcPr>
            <w:tcW w:w="1060" w:type="dxa"/>
            <w:vAlign w:val="bottom"/>
            <w:gridSpan w:val="2"/>
          </w:tcPr>
          <w:p>
            <w:pPr>
              <w:jc w:val="right"/>
              <w:ind w:right="24"/>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(54)</w:t>
            </w: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(265)</w:t>
            </w: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460" w:type="dxa"/>
            <w:vAlign w:val="bottom"/>
          </w:tcPr>
          <w:p>
            <w:pPr>
              <w:ind w:left="180"/>
              <w:spacing w:after="0"/>
              <w:rPr>
                <w:sz w:val="20"/>
                <w:szCs w:val="20"/>
                <w:color w:val="auto"/>
              </w:rPr>
            </w:pPr>
            <w:r>
              <w:rPr>
                <w:rFonts w:ascii="Arial" w:cs="Arial" w:eastAsia="Arial" w:hAnsi="Arial"/>
                <w:sz w:val="16"/>
                <w:szCs w:val="16"/>
                <w:color w:val="auto"/>
              </w:rPr>
              <w:t>PC</w:t>
            </w: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(53)</w:t>
            </w: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9</w:t>
            </w: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3460" w:type="dxa"/>
            <w:vAlign w:val="bottom"/>
          </w:tcPr>
          <w:p>
            <w:pPr>
              <w:ind w:left="180"/>
              <w:spacing w:after="0" w:line="242" w:lineRule="exact"/>
              <w:rPr>
                <w:sz w:val="20"/>
                <w:szCs w:val="20"/>
                <w:color w:val="auto"/>
              </w:rPr>
            </w:pPr>
            <w:r>
              <w:rPr>
                <w:rFonts w:ascii="Arial" w:cs="Arial" w:eastAsia="Arial" w:hAnsi="Arial"/>
                <w:sz w:val="16"/>
                <w:szCs w:val="16"/>
                <w:color w:val="auto"/>
              </w:rPr>
              <w:t>Mobile and ancillary</w:t>
            </w:r>
            <w:r>
              <w:rPr>
                <w:rFonts w:ascii="Arial" w:cs="Arial" w:eastAsia="Arial" w:hAnsi="Arial"/>
                <w:sz w:val="27"/>
                <w:szCs w:val="27"/>
                <w:color w:val="auto"/>
                <w:vertAlign w:val="superscript"/>
              </w:rPr>
              <w:t>2</w:t>
            </w:r>
          </w:p>
        </w:tc>
        <w:tc>
          <w:tcPr>
            <w:tcW w:w="8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8</w:t>
            </w: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w:t>
            </w: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4"/>
        </w:trPr>
        <w:tc>
          <w:tcPr>
            <w:tcW w:w="3460" w:type="dxa"/>
            <w:vAlign w:val="bottom"/>
          </w:tcPr>
          <w:p>
            <w:pPr>
              <w:ind w:left="180"/>
              <w:spacing w:after="0" w:line="254" w:lineRule="exact"/>
              <w:rPr>
                <w:sz w:val="20"/>
                <w:szCs w:val="20"/>
                <w:color w:val="auto"/>
              </w:rPr>
            </w:pPr>
            <w:r>
              <w:rPr>
                <w:rFonts w:ascii="Arial" w:cs="Arial" w:eastAsia="Arial" w:hAnsi="Arial"/>
                <w:sz w:val="16"/>
                <w:szCs w:val="16"/>
                <w:color w:val="auto"/>
              </w:rPr>
              <w:t>Other</w:t>
            </w:r>
            <w:r>
              <w:rPr>
                <w:rFonts w:ascii="Arial" w:cs="Arial" w:eastAsia="Arial" w:hAnsi="Arial"/>
                <w:sz w:val="27"/>
                <w:szCs w:val="27"/>
                <w:color w:val="auto"/>
                <w:vertAlign w:val="superscript"/>
              </w:rPr>
              <w:t>3</w:t>
            </w:r>
          </w:p>
        </w:tc>
        <w:tc>
          <w:tcPr>
            <w:tcW w:w="8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21</w:t>
            </w: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3460" w:type="dxa"/>
            <w:vAlign w:val="bottom"/>
          </w:tcPr>
          <w:p>
            <w:pPr>
              <w:ind w:left="340"/>
              <w:spacing w:after="0"/>
              <w:rPr>
                <w:sz w:val="20"/>
                <w:szCs w:val="20"/>
                <w:color w:val="auto"/>
              </w:rPr>
            </w:pPr>
            <w:r>
              <w:rPr>
                <w:rFonts w:ascii="Arial" w:cs="Arial" w:eastAsia="Arial" w:hAnsi="Arial"/>
                <w:sz w:val="16"/>
                <w:szCs w:val="16"/>
                <w:color w:val="auto"/>
              </w:rPr>
              <w:t>Total changes in deferred revenues</w:t>
            </w:r>
          </w:p>
        </w:tc>
        <w:tc>
          <w:tcPr>
            <w:tcW w:w="880" w:type="dxa"/>
            <w:vAlign w:val="bottom"/>
          </w:tcPr>
          <w:p>
            <w:pPr>
              <w:spacing w:after="0"/>
              <w:rPr>
                <w:sz w:val="17"/>
                <w:szCs w:val="17"/>
                <w:color w:val="auto"/>
              </w:rPr>
            </w:pPr>
          </w:p>
        </w:tc>
        <w:tc>
          <w:tcPr>
            <w:tcW w:w="1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w:t>
            </w: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(238)</w:t>
            </w: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2" w:lineRule="exact"/>
        <w:rPr>
          <w:sz w:val="20"/>
          <w:szCs w:val="20"/>
          <w:color w:val="auto"/>
        </w:rPr>
      </w:pPr>
    </w:p>
    <w:p>
      <w:pPr>
        <w:ind w:left="340" w:hanging="332"/>
        <w:spacing w:after="0"/>
        <w:tabs>
          <w:tab w:leader="none" w:pos="340" w:val="left"/>
        </w:tabs>
        <w:numPr>
          <w:ilvl w:val="0"/>
          <w:numId w:val="53"/>
        </w:numPr>
        <w:rPr>
          <w:rFonts w:ascii="Arial" w:cs="Arial" w:eastAsia="Arial" w:hAnsi="Arial"/>
          <w:sz w:val="27"/>
          <w:szCs w:val="27"/>
          <w:color w:val="auto"/>
          <w:vertAlign w:val="superscript"/>
        </w:rPr>
      </w:pPr>
      <w:r>
        <w:rPr>
          <w:rFonts w:ascii="Arial" w:cs="Arial" w:eastAsia="Arial" w:hAnsi="Arial"/>
          <w:sz w:val="16"/>
          <w:szCs w:val="16"/>
          <w:color w:val="auto"/>
        </w:rPr>
        <w:t>The percentages of total are presented as calculated. Therefore, the sum of these percentages, as presented, may differ due to the impact of rounding.</w:t>
      </w:r>
    </w:p>
    <w:p>
      <w:pPr>
        <w:ind w:left="340" w:hanging="332"/>
        <w:spacing w:after="0" w:line="183" w:lineRule="auto"/>
        <w:tabs>
          <w:tab w:leader="none" w:pos="340" w:val="left"/>
        </w:tabs>
        <w:numPr>
          <w:ilvl w:val="0"/>
          <w:numId w:val="54"/>
        </w:numPr>
        <w:rPr>
          <w:rFonts w:ascii="Arial" w:cs="Arial" w:eastAsia="Arial" w:hAnsi="Arial"/>
          <w:sz w:val="23"/>
          <w:szCs w:val="23"/>
          <w:color w:val="auto"/>
          <w:vertAlign w:val="superscript"/>
        </w:rPr>
      </w:pPr>
      <w:r>
        <w:rPr>
          <w:rFonts w:ascii="Arial" w:cs="Arial" w:eastAsia="Arial" w:hAnsi="Arial"/>
          <w:sz w:val="14"/>
          <w:szCs w:val="14"/>
          <w:color w:val="auto"/>
        </w:rPr>
        <w:t>Net revenues from Mobile and ancillary include revenues from mobile devices, as well as non-platform specific game related revenues, such as standalone sales of</w:t>
      </w:r>
    </w:p>
    <w:p>
      <w:pPr>
        <w:spacing w:after="0" w:line="1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physical merchandise and accessories.</w:t>
      </w:r>
    </w:p>
    <w:p>
      <w:pPr>
        <w:ind w:left="340" w:hanging="332"/>
        <w:spacing w:after="0" w:line="183" w:lineRule="auto"/>
        <w:tabs>
          <w:tab w:leader="none" w:pos="340" w:val="left"/>
        </w:tabs>
        <w:numPr>
          <w:ilvl w:val="0"/>
          <w:numId w:val="55"/>
        </w:numPr>
        <w:rPr>
          <w:rFonts w:ascii="Arial" w:cs="Arial" w:eastAsia="Arial" w:hAnsi="Arial"/>
          <w:sz w:val="24"/>
          <w:szCs w:val="24"/>
          <w:color w:val="auto"/>
          <w:vertAlign w:val="superscript"/>
        </w:rPr>
      </w:pPr>
      <w:r>
        <w:rPr>
          <w:rFonts w:ascii="Arial" w:cs="Arial" w:eastAsia="Arial" w:hAnsi="Arial"/>
          <w:sz w:val="15"/>
          <w:szCs w:val="15"/>
          <w:color w:val="auto"/>
        </w:rPr>
        <w:t>Net revenues from Other primarily includes revenues from our distribution business and the Overwatch League.</w:t>
      </w:r>
    </w:p>
    <w:p>
      <w:pPr>
        <w:ind w:left="340" w:hanging="332"/>
        <w:spacing w:after="0" w:line="184" w:lineRule="auto"/>
        <w:tabs>
          <w:tab w:leader="none" w:pos="340" w:val="left"/>
        </w:tabs>
        <w:numPr>
          <w:ilvl w:val="0"/>
          <w:numId w:val="56"/>
        </w:numPr>
        <w:rPr>
          <w:rFonts w:ascii="Arial" w:cs="Arial" w:eastAsia="Arial" w:hAnsi="Arial"/>
          <w:sz w:val="23"/>
          <w:szCs w:val="23"/>
          <w:color w:val="auto"/>
          <w:vertAlign w:val="superscript"/>
        </w:rPr>
      </w:pPr>
      <w:r>
        <w:rPr>
          <w:rFonts w:ascii="Arial" w:cs="Arial" w:eastAsia="Arial" w:hAnsi="Arial"/>
          <w:sz w:val="14"/>
          <w:szCs w:val="14"/>
          <w:color w:val="auto"/>
        </w:rPr>
        <w:t>Reflects the net effect from deferral of revenues and (recognition) of deferred revenues on certain of our online enabled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433070</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21" w:name="page22"/>
    <w:bookmarkEnd w:id="21"/>
    <w:p>
      <w:pPr>
        <w:jc w:val="right"/>
        <w:spacing w:after="0"/>
        <w:rPr>
          <w:sz w:val="20"/>
          <w:szCs w:val="20"/>
          <w:color w:val="auto"/>
        </w:rPr>
      </w:pPr>
      <w:r>
        <w:rPr>
          <w:rFonts w:ascii="Arial" w:cs="Arial" w:eastAsia="Arial" w:hAnsi="Arial"/>
          <w:sz w:val="18"/>
          <w:szCs w:val="18"/>
          <w:b w:val="1"/>
          <w:bCs w:val="1"/>
          <w:color w:val="auto"/>
        </w:rPr>
        <w:t>13</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ACTIVISION BLIZZARD,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REVENUES BY GEOGRAPHIC REGION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Months and Years Ended December 31, 2019 and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in millions)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6"/>
                <w:szCs w:val="16"/>
                <w:b w:val="1"/>
                <w:bCs w:val="1"/>
                <w:color w:val="auto"/>
              </w:rPr>
              <w:t>Three Months Ended</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0" w:type="dxa"/>
            <w:vAlign w:val="bottom"/>
            <w:gridSpan w:val="3"/>
          </w:tcPr>
          <w:p>
            <w:pPr>
              <w:ind w:left="300"/>
              <w:spacing w:after="0"/>
              <w:rPr>
                <w:sz w:val="20"/>
                <w:szCs w:val="20"/>
                <w:color w:val="auto"/>
              </w:rPr>
            </w:pPr>
            <w:r>
              <w:rPr>
                <w:rFonts w:ascii="Arial" w:cs="Arial" w:eastAsia="Arial" w:hAnsi="Arial"/>
                <w:sz w:val="16"/>
                <w:szCs w:val="16"/>
                <w:b w:val="1"/>
                <w:bCs w:val="1"/>
                <w:color w:val="auto"/>
              </w:rPr>
              <w:t>December 31, 2019</w:t>
            </w:r>
          </w:p>
        </w:tc>
        <w:tc>
          <w:tcPr>
            <w:tcW w:w="180" w:type="dxa"/>
            <w:vAlign w:val="bottom"/>
          </w:tcPr>
          <w:p>
            <w:pPr>
              <w:spacing w:after="0"/>
              <w:rPr>
                <w:sz w:val="18"/>
                <w:szCs w:val="18"/>
                <w:color w:val="auto"/>
              </w:rPr>
            </w:pPr>
          </w:p>
        </w:tc>
        <w:tc>
          <w:tcPr>
            <w:tcW w:w="2080" w:type="dxa"/>
            <w:vAlign w:val="bottom"/>
            <w:gridSpan w:val="2"/>
          </w:tcPr>
          <w:p>
            <w:pPr>
              <w:jc w:val="right"/>
              <w:ind w:right="400"/>
              <w:spacing w:after="0"/>
              <w:rPr>
                <w:sz w:val="20"/>
                <w:szCs w:val="20"/>
                <w:color w:val="auto"/>
              </w:rPr>
            </w:pPr>
            <w:r>
              <w:rPr>
                <w:rFonts w:ascii="Arial" w:cs="Arial" w:eastAsia="Arial" w:hAnsi="Arial"/>
                <w:sz w:val="16"/>
                <w:szCs w:val="16"/>
                <w:b w:val="1"/>
                <w:bCs w:val="1"/>
                <w:color w:val="auto"/>
              </w:rPr>
              <w:t>December 31, 2018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ind w:left="60"/>
              <w:spacing w:after="0"/>
              <w:rPr>
                <w:sz w:val="20"/>
                <w:szCs w:val="20"/>
                <w:color w:val="auto"/>
              </w:rPr>
            </w:pPr>
            <w:r>
              <w:rPr>
                <w:rFonts w:ascii="Arial" w:cs="Arial" w:eastAsia="Arial" w:hAnsi="Arial"/>
                <w:sz w:val="16"/>
                <w:szCs w:val="16"/>
                <w:b w:val="1"/>
                <w:bCs w:val="1"/>
                <w:color w:val="auto"/>
              </w:rPr>
              <w:t>$ Increase</w:t>
            </w:r>
          </w:p>
        </w:tc>
        <w:tc>
          <w:tcPr>
            <w:tcW w:w="1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93"/>
              </w:rPr>
              <w:t>% Increase</w:t>
            </w:r>
          </w:p>
        </w:tc>
        <w:tc>
          <w:tcPr>
            <w:tcW w:w="0" w:type="dxa"/>
            <w:vAlign w:val="bottom"/>
          </w:tcPr>
          <w:p>
            <w:pPr>
              <w:spacing w:after="0"/>
              <w:rPr>
                <w:sz w:val="1"/>
                <w:szCs w:val="1"/>
                <w:color w:val="auto"/>
              </w:rPr>
            </w:pPr>
          </w:p>
        </w:tc>
      </w:tr>
      <w:tr>
        <w:trPr>
          <w:trHeight w:val="223"/>
        </w:trPr>
        <w:tc>
          <w:tcPr>
            <w:tcW w:w="34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Amount</w:t>
            </w:r>
          </w:p>
        </w:tc>
        <w:tc>
          <w:tcPr>
            <w:tcW w:w="1160" w:type="dxa"/>
            <w:vAlign w:val="bottom"/>
            <w:tcBorders>
              <w:top w:val="single" w:sz="8" w:color="auto"/>
              <w:bottom w:val="single" w:sz="8" w:color="auto"/>
            </w:tcBorders>
          </w:tcPr>
          <w:p>
            <w:pPr>
              <w:jc w:val="right"/>
              <w:ind w:right="40"/>
              <w:spacing w:after="0" w:line="223" w:lineRule="exact"/>
              <w:rPr>
                <w:sz w:val="20"/>
                <w:szCs w:val="20"/>
                <w:color w:val="auto"/>
              </w:rPr>
            </w:pPr>
            <w:r>
              <w:rPr>
                <w:rFonts w:ascii="Arial" w:cs="Arial" w:eastAsia="Arial" w:hAnsi="Arial"/>
                <w:sz w:val="15"/>
                <w:szCs w:val="15"/>
                <w:b w:val="1"/>
                <w:bCs w:val="1"/>
                <w:color w:val="auto"/>
              </w:rPr>
              <w:t>% of Total</w:t>
            </w:r>
            <w:r>
              <w:rPr>
                <w:rFonts w:ascii="Arial" w:cs="Arial" w:eastAsia="Arial" w:hAnsi="Arial"/>
                <w:sz w:val="25"/>
                <w:szCs w:val="25"/>
                <w:b w:val="1"/>
                <w:bCs w:val="1"/>
                <w:color w:val="auto"/>
                <w:vertAlign w:val="superscript"/>
              </w:rPr>
              <w:t>1</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Amount</w:t>
            </w:r>
          </w:p>
        </w:tc>
        <w:tc>
          <w:tcPr>
            <w:tcW w:w="1140" w:type="dxa"/>
            <w:vAlign w:val="bottom"/>
            <w:tcBorders>
              <w:top w:val="single" w:sz="8" w:color="auto"/>
              <w:bottom w:val="single" w:sz="8" w:color="auto"/>
            </w:tcBorders>
          </w:tcPr>
          <w:p>
            <w:pPr>
              <w:jc w:val="right"/>
              <w:ind w:right="40"/>
              <w:spacing w:after="0" w:line="223" w:lineRule="exact"/>
              <w:rPr>
                <w:sz w:val="20"/>
                <w:szCs w:val="20"/>
                <w:color w:val="auto"/>
              </w:rPr>
            </w:pPr>
            <w:r>
              <w:rPr>
                <w:rFonts w:ascii="Arial" w:cs="Arial" w:eastAsia="Arial" w:hAnsi="Arial"/>
                <w:sz w:val="15"/>
                <w:szCs w:val="15"/>
                <w:b w:val="1"/>
                <w:bCs w:val="1"/>
                <w:color w:val="auto"/>
              </w:rPr>
              <w:t>% of Total</w:t>
            </w:r>
            <w:r>
              <w:rPr>
                <w:rFonts w:ascii="Arial" w:cs="Arial" w:eastAsia="Arial" w:hAnsi="Arial"/>
                <w:sz w:val="25"/>
                <w:szCs w:val="25"/>
                <w:b w:val="1"/>
                <w:bCs w:val="1"/>
                <w:color w:val="auto"/>
                <w:vertAlign w:val="superscript"/>
              </w:rPr>
              <w:t>1</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(Decrease)</w:t>
            </w:r>
          </w:p>
        </w:tc>
        <w:tc>
          <w:tcPr>
            <w:tcW w:w="100" w:type="dxa"/>
            <w:vAlign w:val="bottom"/>
          </w:tcPr>
          <w:p>
            <w:pPr>
              <w:spacing w:after="0"/>
              <w:rPr>
                <w:sz w:val="19"/>
                <w:szCs w:val="19"/>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(Decrease)</w:t>
            </w:r>
          </w:p>
        </w:tc>
        <w:tc>
          <w:tcPr>
            <w:tcW w:w="0" w:type="dxa"/>
            <w:vAlign w:val="bottom"/>
          </w:tcPr>
          <w:p>
            <w:pPr>
              <w:spacing w:after="0"/>
              <w:rPr>
                <w:sz w:val="1"/>
                <w:szCs w:val="1"/>
                <w:color w:val="auto"/>
              </w:rPr>
            </w:pPr>
          </w:p>
        </w:tc>
      </w:tr>
      <w:tr>
        <w:trPr>
          <w:trHeight w:val="186"/>
        </w:trPr>
        <w:tc>
          <w:tcPr>
            <w:tcW w:w="3460" w:type="dxa"/>
            <w:vAlign w:val="bottom"/>
          </w:tcPr>
          <w:p>
            <w:pPr>
              <w:spacing w:after="0"/>
              <w:rPr>
                <w:sz w:val="20"/>
                <w:szCs w:val="20"/>
                <w:color w:val="auto"/>
              </w:rPr>
            </w:pPr>
            <w:r>
              <w:rPr>
                <w:rFonts w:ascii="Arial" w:cs="Arial" w:eastAsia="Arial" w:hAnsi="Arial"/>
                <w:sz w:val="16"/>
                <w:szCs w:val="16"/>
                <w:b w:val="1"/>
                <w:bCs w:val="1"/>
                <w:color w:val="auto"/>
              </w:rPr>
              <w:t>Net Revenues by Geographic Region</w:t>
            </w: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3460" w:type="dxa"/>
            <w:vAlign w:val="bottom"/>
          </w:tcPr>
          <w:p>
            <w:pPr>
              <w:ind w:left="180"/>
              <w:spacing w:after="0"/>
              <w:rPr>
                <w:sz w:val="20"/>
                <w:szCs w:val="20"/>
                <w:color w:val="auto"/>
              </w:rPr>
            </w:pPr>
            <w:r>
              <w:rPr>
                <w:rFonts w:ascii="Arial" w:cs="Arial" w:eastAsia="Arial" w:hAnsi="Arial"/>
                <w:sz w:val="16"/>
                <w:szCs w:val="16"/>
                <w:color w:val="auto"/>
              </w:rPr>
              <w:t>Americas</w:t>
            </w:r>
          </w:p>
        </w:tc>
        <w:tc>
          <w:tcPr>
            <w:tcW w:w="1060" w:type="dxa"/>
            <w:vAlign w:val="bottom"/>
            <w:gridSpan w:val="2"/>
          </w:tcPr>
          <w:p>
            <w:pPr>
              <w:jc w:val="right"/>
              <w:ind w:right="24"/>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935</w:t>
            </w:r>
          </w:p>
        </w:tc>
        <w:tc>
          <w:tcPr>
            <w:tcW w:w="1160" w:type="dxa"/>
            <w:vAlign w:val="bottom"/>
          </w:tcPr>
          <w:p>
            <w:pPr>
              <w:jc w:val="right"/>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17"/>
                <w:szCs w:val="17"/>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1,140</w:t>
            </w:r>
          </w:p>
        </w:tc>
        <w:tc>
          <w:tcPr>
            <w:tcW w:w="1140" w:type="dxa"/>
            <w:vAlign w:val="bottom"/>
          </w:tcPr>
          <w:p>
            <w:pPr>
              <w:jc w:val="right"/>
              <w:spacing w:after="0"/>
              <w:rPr>
                <w:sz w:val="20"/>
                <w:szCs w:val="20"/>
                <w:color w:val="auto"/>
              </w:rPr>
            </w:pPr>
            <w:r>
              <w:rPr>
                <w:rFonts w:ascii="Arial" w:cs="Arial" w:eastAsia="Arial" w:hAnsi="Arial"/>
                <w:sz w:val="16"/>
                <w:szCs w:val="16"/>
                <w:color w:val="auto"/>
              </w:rPr>
              <w:t>48%</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(205)</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44"/>
        </w:trPr>
        <w:tc>
          <w:tcPr>
            <w:tcW w:w="3460" w:type="dxa"/>
            <w:vAlign w:val="bottom"/>
          </w:tcPr>
          <w:p>
            <w:pPr>
              <w:ind w:left="180"/>
              <w:spacing w:after="0" w:line="244" w:lineRule="exact"/>
              <w:rPr>
                <w:sz w:val="20"/>
                <w:szCs w:val="20"/>
                <w:color w:val="auto"/>
              </w:rPr>
            </w:pPr>
            <w:r>
              <w:rPr>
                <w:rFonts w:ascii="Arial" w:cs="Arial" w:eastAsia="Arial" w:hAnsi="Arial"/>
                <w:sz w:val="16"/>
                <w:szCs w:val="16"/>
                <w:color w:val="auto"/>
              </w:rPr>
              <w:t>EMEA</w:t>
            </w:r>
            <w:r>
              <w:rPr>
                <w:rFonts w:ascii="Arial" w:cs="Arial" w:eastAsia="Arial" w:hAnsi="Arial"/>
                <w:sz w:val="27"/>
                <w:szCs w:val="27"/>
                <w:color w:val="auto"/>
                <w:vertAlign w:val="superscript"/>
              </w:rPr>
              <w:t>2</w:t>
            </w:r>
          </w:p>
        </w:tc>
        <w:tc>
          <w:tcPr>
            <w:tcW w:w="8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713</w:t>
            </w:r>
          </w:p>
        </w:tc>
        <w:tc>
          <w:tcPr>
            <w:tcW w:w="1160" w:type="dxa"/>
            <w:vAlign w:val="bottom"/>
          </w:tcPr>
          <w:p>
            <w:pPr>
              <w:jc w:val="right"/>
              <w:ind w:right="60"/>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844</w:t>
            </w: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35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(131)</w:t>
            </w:r>
          </w:p>
        </w:tc>
        <w:tc>
          <w:tcPr>
            <w:tcW w:w="1200" w:type="dxa"/>
            <w:vAlign w:val="bottom"/>
            <w:gridSpan w:val="2"/>
          </w:tcPr>
          <w:p>
            <w:pPr>
              <w:jc w:val="right"/>
              <w:ind w:right="59"/>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06"/>
        </w:trPr>
        <w:tc>
          <w:tcPr>
            <w:tcW w:w="3460" w:type="dxa"/>
            <w:vAlign w:val="bottom"/>
          </w:tcPr>
          <w:p>
            <w:pPr>
              <w:ind w:left="180"/>
              <w:spacing w:after="0"/>
              <w:rPr>
                <w:sz w:val="20"/>
                <w:szCs w:val="20"/>
                <w:color w:val="auto"/>
              </w:rPr>
            </w:pPr>
            <w:r>
              <w:rPr>
                <w:rFonts w:ascii="Arial" w:cs="Arial" w:eastAsia="Arial" w:hAnsi="Arial"/>
                <w:sz w:val="16"/>
                <w:szCs w:val="16"/>
                <w:color w:val="auto"/>
              </w:rPr>
              <w:t>Asia Pacific</w:t>
            </w:r>
          </w:p>
        </w:tc>
        <w:tc>
          <w:tcPr>
            <w:tcW w:w="8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338</w:t>
            </w:r>
          </w:p>
        </w:tc>
        <w:tc>
          <w:tcPr>
            <w:tcW w:w="11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397</w:t>
            </w:r>
          </w:p>
        </w:tc>
        <w:tc>
          <w:tcPr>
            <w:tcW w:w="11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w:t>
            </w:r>
          </w:p>
        </w:tc>
        <w:tc>
          <w:tcPr>
            <w:tcW w:w="1200" w:type="dxa"/>
            <w:vAlign w:val="bottom"/>
            <w:gridSpan w:val="2"/>
          </w:tcPr>
          <w:p>
            <w:pPr>
              <w:jc w:val="right"/>
              <w:ind w:right="59"/>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02"/>
        </w:trPr>
        <w:tc>
          <w:tcPr>
            <w:tcW w:w="3460" w:type="dxa"/>
            <w:vAlign w:val="bottom"/>
          </w:tcPr>
          <w:p>
            <w:pPr>
              <w:ind w:left="340"/>
              <w:spacing w:after="0"/>
              <w:rPr>
                <w:sz w:val="20"/>
                <w:szCs w:val="20"/>
                <w:color w:val="auto"/>
              </w:rPr>
            </w:pPr>
            <w:r>
              <w:rPr>
                <w:rFonts w:ascii="Arial" w:cs="Arial" w:eastAsia="Arial" w:hAnsi="Arial"/>
                <w:sz w:val="16"/>
                <w:szCs w:val="16"/>
                <w:color w:val="auto"/>
              </w:rPr>
              <w:t>Total consolidated net revenues</w:t>
            </w:r>
          </w:p>
        </w:tc>
        <w:tc>
          <w:tcPr>
            <w:tcW w:w="880" w:type="dxa"/>
            <w:vAlign w:val="bottom"/>
          </w:tcPr>
          <w:p>
            <w:pPr>
              <w:spacing w:after="0"/>
              <w:rPr>
                <w:sz w:val="17"/>
                <w:szCs w:val="17"/>
                <w:color w:val="auto"/>
              </w:rPr>
            </w:pPr>
          </w:p>
        </w:tc>
        <w:tc>
          <w:tcPr>
            <w:tcW w:w="1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1,986</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2,381</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12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(395)</w:t>
            </w:r>
          </w:p>
        </w:tc>
        <w:tc>
          <w:tcPr>
            <w:tcW w:w="1200" w:type="dxa"/>
            <w:vAlign w:val="bottom"/>
            <w:gridSpan w:val="2"/>
          </w:tcPr>
          <w:p>
            <w:pPr>
              <w:jc w:val="right"/>
              <w:ind w:right="59"/>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0"/>
        </w:trPr>
        <w:tc>
          <w:tcPr>
            <w:tcW w:w="3460" w:type="dxa"/>
            <w:vAlign w:val="bottom"/>
            <w:vMerge w:val="restart"/>
          </w:tcPr>
          <w:p>
            <w:pPr>
              <w:spacing w:after="0"/>
              <w:rPr>
                <w:sz w:val="20"/>
                <w:szCs w:val="20"/>
                <w:color w:val="auto"/>
              </w:rPr>
            </w:pPr>
            <w:r>
              <w:rPr>
                <w:rFonts w:ascii="Arial" w:cs="Arial" w:eastAsia="Arial" w:hAnsi="Arial"/>
                <w:sz w:val="16"/>
                <w:szCs w:val="16"/>
                <w:b w:val="1"/>
                <w:bCs w:val="1"/>
                <w:color w:val="auto"/>
              </w:rPr>
              <w:t>Change in deferred revenues</w:t>
            </w:r>
            <w:r>
              <w:rPr>
                <w:rFonts w:ascii="Arial" w:cs="Arial" w:eastAsia="Arial" w:hAnsi="Arial"/>
                <w:sz w:val="27"/>
                <w:szCs w:val="27"/>
                <w:b w:val="1"/>
                <w:bCs w:val="1"/>
                <w:color w:val="auto"/>
                <w:vertAlign w:val="superscript"/>
              </w:rPr>
              <w:t>3</w:t>
            </w:r>
          </w:p>
        </w:tc>
        <w:tc>
          <w:tcPr>
            <w:tcW w:w="8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6"/>
        </w:trPr>
        <w:tc>
          <w:tcPr>
            <w:tcW w:w="346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3460" w:type="dxa"/>
            <w:vAlign w:val="bottom"/>
          </w:tcPr>
          <w:p>
            <w:pPr>
              <w:ind w:left="180"/>
              <w:spacing w:after="0"/>
              <w:rPr>
                <w:sz w:val="20"/>
                <w:szCs w:val="20"/>
                <w:color w:val="auto"/>
              </w:rPr>
            </w:pPr>
            <w:r>
              <w:rPr>
                <w:rFonts w:ascii="Arial" w:cs="Arial" w:eastAsia="Arial" w:hAnsi="Arial"/>
                <w:sz w:val="16"/>
                <w:szCs w:val="16"/>
                <w:color w:val="auto"/>
              </w:rPr>
              <w:t>Americas</w:t>
            </w:r>
          </w:p>
        </w:tc>
        <w:tc>
          <w:tcPr>
            <w:tcW w:w="1060" w:type="dxa"/>
            <w:vAlign w:val="bottom"/>
            <w:gridSpan w:val="2"/>
          </w:tcPr>
          <w:p>
            <w:pPr>
              <w:jc w:val="right"/>
              <w:ind w:right="24"/>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425</w:t>
            </w: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248</w:t>
            </w: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3460" w:type="dxa"/>
            <w:vAlign w:val="bottom"/>
          </w:tcPr>
          <w:p>
            <w:pPr>
              <w:ind w:left="180"/>
              <w:spacing w:after="0" w:line="244" w:lineRule="exact"/>
              <w:rPr>
                <w:sz w:val="20"/>
                <w:szCs w:val="20"/>
                <w:color w:val="auto"/>
              </w:rPr>
            </w:pPr>
            <w:r>
              <w:rPr>
                <w:rFonts w:ascii="Arial" w:cs="Arial" w:eastAsia="Arial" w:hAnsi="Arial"/>
                <w:sz w:val="16"/>
                <w:szCs w:val="16"/>
                <w:color w:val="auto"/>
              </w:rPr>
              <w:t>EMEA</w:t>
            </w:r>
            <w:r>
              <w:rPr>
                <w:rFonts w:ascii="Arial" w:cs="Arial" w:eastAsia="Arial" w:hAnsi="Arial"/>
                <w:sz w:val="27"/>
                <w:szCs w:val="27"/>
                <w:color w:val="auto"/>
                <w:vertAlign w:val="superscript"/>
              </w:rPr>
              <w:t>2</w:t>
            </w:r>
          </w:p>
        </w:tc>
        <w:tc>
          <w:tcPr>
            <w:tcW w:w="8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238</w:t>
            </w: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151</w:t>
            </w: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3460" w:type="dxa"/>
            <w:vAlign w:val="bottom"/>
          </w:tcPr>
          <w:p>
            <w:pPr>
              <w:ind w:left="180"/>
              <w:spacing w:after="0"/>
              <w:rPr>
                <w:sz w:val="20"/>
                <w:szCs w:val="20"/>
                <w:color w:val="auto"/>
              </w:rPr>
            </w:pPr>
            <w:r>
              <w:rPr>
                <w:rFonts w:ascii="Arial" w:cs="Arial" w:eastAsia="Arial" w:hAnsi="Arial"/>
                <w:sz w:val="16"/>
                <w:szCs w:val="16"/>
                <w:color w:val="auto"/>
              </w:rPr>
              <w:t>Asia Pacific</w:t>
            </w:r>
          </w:p>
        </w:tc>
        <w:tc>
          <w:tcPr>
            <w:tcW w:w="8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59</w:t>
            </w: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55</w:t>
            </w: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460" w:type="dxa"/>
            <w:vAlign w:val="bottom"/>
          </w:tcPr>
          <w:p>
            <w:pPr>
              <w:ind w:left="340"/>
              <w:spacing w:after="0"/>
              <w:rPr>
                <w:sz w:val="20"/>
                <w:szCs w:val="20"/>
                <w:color w:val="auto"/>
              </w:rPr>
            </w:pPr>
            <w:r>
              <w:rPr>
                <w:rFonts w:ascii="Arial" w:cs="Arial" w:eastAsia="Arial" w:hAnsi="Arial"/>
                <w:sz w:val="16"/>
                <w:szCs w:val="16"/>
                <w:color w:val="auto"/>
              </w:rPr>
              <w:t>Total changes in deferred revenues</w:t>
            </w:r>
          </w:p>
        </w:tc>
        <w:tc>
          <w:tcPr>
            <w:tcW w:w="880" w:type="dxa"/>
            <w:vAlign w:val="bottom"/>
          </w:tcPr>
          <w:p>
            <w:pPr>
              <w:spacing w:after="0"/>
              <w:rPr>
                <w:sz w:val="17"/>
                <w:szCs w:val="17"/>
                <w:color w:val="auto"/>
              </w:rPr>
            </w:pPr>
          </w:p>
        </w:tc>
        <w:tc>
          <w:tcPr>
            <w:tcW w:w="1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722</w:t>
            </w: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454</w:t>
            </w: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3"/>
        </w:trPr>
        <w:tc>
          <w:tcPr>
            <w:tcW w:w="3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2"/>
          </w:tcPr>
          <w:p>
            <w:pPr>
              <w:jc w:val="right"/>
              <w:ind w:right="580"/>
              <w:spacing w:after="0"/>
              <w:rPr>
                <w:sz w:val="20"/>
                <w:szCs w:val="20"/>
                <w:color w:val="auto"/>
              </w:rPr>
            </w:pPr>
            <w:r>
              <w:rPr>
                <w:rFonts w:ascii="Arial" w:cs="Arial" w:eastAsia="Arial" w:hAnsi="Arial"/>
                <w:sz w:val="16"/>
                <w:szCs w:val="16"/>
                <w:b w:val="1"/>
                <w:bCs w:val="1"/>
                <w:color w:val="auto"/>
              </w:rPr>
              <w:t>Years Ended</w:t>
            </w: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0" w:type="dxa"/>
            <w:vAlign w:val="bottom"/>
            <w:gridSpan w:val="3"/>
          </w:tcPr>
          <w:p>
            <w:pPr>
              <w:ind w:left="300"/>
              <w:spacing w:after="0"/>
              <w:rPr>
                <w:sz w:val="20"/>
                <w:szCs w:val="20"/>
                <w:color w:val="auto"/>
              </w:rPr>
            </w:pPr>
            <w:r>
              <w:rPr>
                <w:rFonts w:ascii="Arial" w:cs="Arial" w:eastAsia="Arial" w:hAnsi="Arial"/>
                <w:sz w:val="16"/>
                <w:szCs w:val="16"/>
                <w:b w:val="1"/>
                <w:bCs w:val="1"/>
                <w:color w:val="auto"/>
              </w:rPr>
              <w:t>December 31, 2019</w:t>
            </w:r>
          </w:p>
        </w:tc>
        <w:tc>
          <w:tcPr>
            <w:tcW w:w="180" w:type="dxa"/>
            <w:vAlign w:val="bottom"/>
          </w:tcPr>
          <w:p>
            <w:pPr>
              <w:spacing w:after="0"/>
              <w:rPr>
                <w:sz w:val="18"/>
                <w:szCs w:val="18"/>
                <w:color w:val="auto"/>
              </w:rPr>
            </w:pPr>
          </w:p>
        </w:tc>
        <w:tc>
          <w:tcPr>
            <w:tcW w:w="2080" w:type="dxa"/>
            <w:vAlign w:val="bottom"/>
            <w:gridSpan w:val="2"/>
          </w:tcPr>
          <w:p>
            <w:pPr>
              <w:jc w:val="right"/>
              <w:ind w:right="400"/>
              <w:spacing w:after="0"/>
              <w:rPr>
                <w:sz w:val="20"/>
                <w:szCs w:val="20"/>
                <w:color w:val="auto"/>
              </w:rPr>
            </w:pPr>
            <w:r>
              <w:rPr>
                <w:rFonts w:ascii="Arial" w:cs="Arial" w:eastAsia="Arial" w:hAnsi="Arial"/>
                <w:sz w:val="16"/>
                <w:szCs w:val="16"/>
                <w:b w:val="1"/>
                <w:bCs w:val="1"/>
                <w:color w:val="auto"/>
              </w:rPr>
              <w:t>December 31, 2018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ind w:left="60"/>
              <w:spacing w:after="0"/>
              <w:rPr>
                <w:sz w:val="20"/>
                <w:szCs w:val="20"/>
                <w:color w:val="auto"/>
              </w:rPr>
            </w:pPr>
            <w:r>
              <w:rPr>
                <w:rFonts w:ascii="Arial" w:cs="Arial" w:eastAsia="Arial" w:hAnsi="Arial"/>
                <w:sz w:val="16"/>
                <w:szCs w:val="16"/>
                <w:b w:val="1"/>
                <w:bCs w:val="1"/>
                <w:color w:val="auto"/>
              </w:rPr>
              <w:t>$ Increase</w:t>
            </w:r>
          </w:p>
        </w:tc>
        <w:tc>
          <w:tcPr>
            <w:tcW w:w="1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93"/>
              </w:rPr>
              <w:t>% Increase</w:t>
            </w:r>
          </w:p>
        </w:tc>
        <w:tc>
          <w:tcPr>
            <w:tcW w:w="0" w:type="dxa"/>
            <w:vAlign w:val="bottom"/>
          </w:tcPr>
          <w:p>
            <w:pPr>
              <w:spacing w:after="0"/>
              <w:rPr>
                <w:sz w:val="1"/>
                <w:szCs w:val="1"/>
                <w:color w:val="auto"/>
              </w:rPr>
            </w:pPr>
          </w:p>
        </w:tc>
      </w:tr>
      <w:tr>
        <w:trPr>
          <w:trHeight w:val="223"/>
        </w:trPr>
        <w:tc>
          <w:tcPr>
            <w:tcW w:w="34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Amount</w:t>
            </w:r>
          </w:p>
        </w:tc>
        <w:tc>
          <w:tcPr>
            <w:tcW w:w="1160" w:type="dxa"/>
            <w:vAlign w:val="bottom"/>
            <w:tcBorders>
              <w:top w:val="single" w:sz="8" w:color="auto"/>
              <w:bottom w:val="single" w:sz="8" w:color="auto"/>
            </w:tcBorders>
          </w:tcPr>
          <w:p>
            <w:pPr>
              <w:jc w:val="right"/>
              <w:ind w:right="40"/>
              <w:spacing w:after="0" w:line="223" w:lineRule="exact"/>
              <w:rPr>
                <w:sz w:val="20"/>
                <w:szCs w:val="20"/>
                <w:color w:val="auto"/>
              </w:rPr>
            </w:pPr>
            <w:r>
              <w:rPr>
                <w:rFonts w:ascii="Arial" w:cs="Arial" w:eastAsia="Arial" w:hAnsi="Arial"/>
                <w:sz w:val="15"/>
                <w:szCs w:val="15"/>
                <w:b w:val="1"/>
                <w:bCs w:val="1"/>
                <w:color w:val="auto"/>
              </w:rPr>
              <w:t>% of Total</w:t>
            </w:r>
            <w:r>
              <w:rPr>
                <w:rFonts w:ascii="Arial" w:cs="Arial" w:eastAsia="Arial" w:hAnsi="Arial"/>
                <w:sz w:val="25"/>
                <w:szCs w:val="25"/>
                <w:b w:val="1"/>
                <w:bCs w:val="1"/>
                <w:color w:val="auto"/>
                <w:vertAlign w:val="superscript"/>
              </w:rPr>
              <w:t>1</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Amount</w:t>
            </w:r>
          </w:p>
        </w:tc>
        <w:tc>
          <w:tcPr>
            <w:tcW w:w="1140" w:type="dxa"/>
            <w:vAlign w:val="bottom"/>
            <w:tcBorders>
              <w:top w:val="single" w:sz="8" w:color="auto"/>
              <w:bottom w:val="single" w:sz="8" w:color="auto"/>
            </w:tcBorders>
          </w:tcPr>
          <w:p>
            <w:pPr>
              <w:jc w:val="right"/>
              <w:ind w:right="40"/>
              <w:spacing w:after="0" w:line="223" w:lineRule="exact"/>
              <w:rPr>
                <w:sz w:val="20"/>
                <w:szCs w:val="20"/>
                <w:color w:val="auto"/>
              </w:rPr>
            </w:pPr>
            <w:r>
              <w:rPr>
                <w:rFonts w:ascii="Arial" w:cs="Arial" w:eastAsia="Arial" w:hAnsi="Arial"/>
                <w:sz w:val="15"/>
                <w:szCs w:val="15"/>
                <w:b w:val="1"/>
                <w:bCs w:val="1"/>
                <w:color w:val="auto"/>
              </w:rPr>
              <w:t>% of Total</w:t>
            </w:r>
            <w:r>
              <w:rPr>
                <w:rFonts w:ascii="Arial" w:cs="Arial" w:eastAsia="Arial" w:hAnsi="Arial"/>
                <w:sz w:val="25"/>
                <w:szCs w:val="25"/>
                <w:b w:val="1"/>
                <w:bCs w:val="1"/>
                <w:color w:val="auto"/>
                <w:vertAlign w:val="superscript"/>
              </w:rPr>
              <w:t>1</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(Decrease)</w:t>
            </w:r>
          </w:p>
        </w:tc>
        <w:tc>
          <w:tcPr>
            <w:tcW w:w="100" w:type="dxa"/>
            <w:vAlign w:val="bottom"/>
          </w:tcPr>
          <w:p>
            <w:pPr>
              <w:spacing w:after="0"/>
              <w:rPr>
                <w:sz w:val="19"/>
                <w:szCs w:val="19"/>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(Decrease)</w:t>
            </w:r>
          </w:p>
        </w:tc>
        <w:tc>
          <w:tcPr>
            <w:tcW w:w="0" w:type="dxa"/>
            <w:vAlign w:val="bottom"/>
          </w:tcPr>
          <w:p>
            <w:pPr>
              <w:spacing w:after="0"/>
              <w:rPr>
                <w:sz w:val="1"/>
                <w:szCs w:val="1"/>
                <w:color w:val="auto"/>
              </w:rPr>
            </w:pPr>
          </w:p>
        </w:tc>
      </w:tr>
      <w:tr>
        <w:trPr>
          <w:trHeight w:val="186"/>
        </w:trPr>
        <w:tc>
          <w:tcPr>
            <w:tcW w:w="3460" w:type="dxa"/>
            <w:vAlign w:val="bottom"/>
          </w:tcPr>
          <w:p>
            <w:pPr>
              <w:spacing w:after="0"/>
              <w:rPr>
                <w:sz w:val="20"/>
                <w:szCs w:val="20"/>
                <w:color w:val="auto"/>
              </w:rPr>
            </w:pPr>
            <w:r>
              <w:rPr>
                <w:rFonts w:ascii="Arial" w:cs="Arial" w:eastAsia="Arial" w:hAnsi="Arial"/>
                <w:sz w:val="16"/>
                <w:szCs w:val="16"/>
                <w:b w:val="1"/>
                <w:bCs w:val="1"/>
                <w:color w:val="auto"/>
              </w:rPr>
              <w:t>Net Revenues by Geographic Region</w:t>
            </w: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3460" w:type="dxa"/>
            <w:vAlign w:val="bottom"/>
          </w:tcPr>
          <w:p>
            <w:pPr>
              <w:ind w:left="180"/>
              <w:spacing w:after="0"/>
              <w:rPr>
                <w:sz w:val="20"/>
                <w:szCs w:val="20"/>
                <w:color w:val="auto"/>
              </w:rPr>
            </w:pPr>
            <w:r>
              <w:rPr>
                <w:rFonts w:ascii="Arial" w:cs="Arial" w:eastAsia="Arial" w:hAnsi="Arial"/>
                <w:sz w:val="16"/>
                <w:szCs w:val="16"/>
                <w:color w:val="auto"/>
              </w:rPr>
              <w:t>Americas</w:t>
            </w:r>
          </w:p>
        </w:tc>
        <w:tc>
          <w:tcPr>
            <w:tcW w:w="1060" w:type="dxa"/>
            <w:vAlign w:val="bottom"/>
            <w:gridSpan w:val="2"/>
          </w:tcPr>
          <w:p>
            <w:pPr>
              <w:jc w:val="right"/>
              <w:ind w:right="24"/>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3,341</w:t>
            </w:r>
          </w:p>
        </w:tc>
        <w:tc>
          <w:tcPr>
            <w:tcW w:w="1160" w:type="dxa"/>
            <w:vAlign w:val="bottom"/>
          </w:tcPr>
          <w:p>
            <w:pPr>
              <w:jc w:val="right"/>
              <w:spacing w:after="0"/>
              <w:rPr>
                <w:sz w:val="20"/>
                <w:szCs w:val="20"/>
                <w:color w:val="auto"/>
              </w:rPr>
            </w:pPr>
            <w:r>
              <w:rPr>
                <w:rFonts w:ascii="Arial" w:cs="Arial" w:eastAsia="Arial" w:hAnsi="Arial"/>
                <w:sz w:val="16"/>
                <w:szCs w:val="16"/>
                <w:color w:val="auto"/>
              </w:rPr>
              <w:t>51%</w:t>
            </w:r>
          </w:p>
        </w:tc>
        <w:tc>
          <w:tcPr>
            <w:tcW w:w="100" w:type="dxa"/>
            <w:vAlign w:val="bottom"/>
          </w:tcPr>
          <w:p>
            <w:pPr>
              <w:spacing w:after="0"/>
              <w:rPr>
                <w:sz w:val="17"/>
                <w:szCs w:val="17"/>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3,880</w:t>
            </w:r>
          </w:p>
        </w:tc>
        <w:tc>
          <w:tcPr>
            <w:tcW w:w="1140" w:type="dxa"/>
            <w:vAlign w:val="bottom"/>
          </w:tcPr>
          <w:p>
            <w:pPr>
              <w:jc w:val="right"/>
              <w:spacing w:after="0"/>
              <w:rPr>
                <w:sz w:val="20"/>
                <w:szCs w:val="20"/>
                <w:color w:val="auto"/>
              </w:rPr>
            </w:pPr>
            <w:r>
              <w:rPr>
                <w:rFonts w:ascii="Arial" w:cs="Arial" w:eastAsia="Arial" w:hAnsi="Arial"/>
                <w:sz w:val="16"/>
                <w:szCs w:val="16"/>
                <w:color w:val="auto"/>
              </w:rPr>
              <w:t>52%</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(539)</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44"/>
        </w:trPr>
        <w:tc>
          <w:tcPr>
            <w:tcW w:w="3460" w:type="dxa"/>
            <w:vAlign w:val="bottom"/>
          </w:tcPr>
          <w:p>
            <w:pPr>
              <w:ind w:left="180"/>
              <w:spacing w:after="0" w:line="244" w:lineRule="exact"/>
              <w:rPr>
                <w:sz w:val="20"/>
                <w:szCs w:val="20"/>
                <w:color w:val="auto"/>
              </w:rPr>
            </w:pPr>
            <w:r>
              <w:rPr>
                <w:rFonts w:ascii="Arial" w:cs="Arial" w:eastAsia="Arial" w:hAnsi="Arial"/>
                <w:sz w:val="16"/>
                <w:szCs w:val="16"/>
                <w:color w:val="auto"/>
              </w:rPr>
              <w:t>EMEA</w:t>
            </w:r>
            <w:r>
              <w:rPr>
                <w:rFonts w:ascii="Arial" w:cs="Arial" w:eastAsia="Arial" w:hAnsi="Arial"/>
                <w:sz w:val="27"/>
                <w:szCs w:val="27"/>
                <w:color w:val="auto"/>
                <w:vertAlign w:val="superscript"/>
              </w:rPr>
              <w:t>2</w:t>
            </w:r>
          </w:p>
        </w:tc>
        <w:tc>
          <w:tcPr>
            <w:tcW w:w="8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2,239</w:t>
            </w:r>
          </w:p>
        </w:tc>
        <w:tc>
          <w:tcPr>
            <w:tcW w:w="1160" w:type="dxa"/>
            <w:vAlign w:val="bottom"/>
          </w:tcPr>
          <w:p>
            <w:pPr>
              <w:jc w:val="right"/>
              <w:ind w:right="60"/>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2,618</w:t>
            </w: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35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(379)</w:t>
            </w:r>
          </w:p>
        </w:tc>
        <w:tc>
          <w:tcPr>
            <w:tcW w:w="1200" w:type="dxa"/>
            <w:vAlign w:val="bottom"/>
            <w:gridSpan w:val="2"/>
          </w:tcPr>
          <w:p>
            <w:pPr>
              <w:jc w:val="right"/>
              <w:ind w:right="59"/>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06"/>
        </w:trPr>
        <w:tc>
          <w:tcPr>
            <w:tcW w:w="3460" w:type="dxa"/>
            <w:vAlign w:val="bottom"/>
          </w:tcPr>
          <w:p>
            <w:pPr>
              <w:ind w:left="180"/>
              <w:spacing w:after="0"/>
              <w:rPr>
                <w:sz w:val="20"/>
                <w:szCs w:val="20"/>
                <w:color w:val="auto"/>
              </w:rPr>
            </w:pPr>
            <w:r>
              <w:rPr>
                <w:rFonts w:ascii="Arial" w:cs="Arial" w:eastAsia="Arial" w:hAnsi="Arial"/>
                <w:sz w:val="16"/>
                <w:szCs w:val="16"/>
                <w:color w:val="auto"/>
              </w:rPr>
              <w:t>Asia Pacific</w:t>
            </w:r>
          </w:p>
        </w:tc>
        <w:tc>
          <w:tcPr>
            <w:tcW w:w="8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909</w:t>
            </w:r>
          </w:p>
        </w:tc>
        <w:tc>
          <w:tcPr>
            <w:tcW w:w="11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1,002</w:t>
            </w:r>
          </w:p>
        </w:tc>
        <w:tc>
          <w:tcPr>
            <w:tcW w:w="11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w:t>
            </w:r>
          </w:p>
        </w:tc>
        <w:tc>
          <w:tcPr>
            <w:tcW w:w="1200" w:type="dxa"/>
            <w:vAlign w:val="bottom"/>
            <w:gridSpan w:val="2"/>
          </w:tcPr>
          <w:p>
            <w:pPr>
              <w:jc w:val="right"/>
              <w:ind w:right="59"/>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02"/>
        </w:trPr>
        <w:tc>
          <w:tcPr>
            <w:tcW w:w="3460" w:type="dxa"/>
            <w:vAlign w:val="bottom"/>
          </w:tcPr>
          <w:p>
            <w:pPr>
              <w:ind w:left="340"/>
              <w:spacing w:after="0"/>
              <w:rPr>
                <w:sz w:val="20"/>
                <w:szCs w:val="20"/>
                <w:color w:val="auto"/>
              </w:rPr>
            </w:pPr>
            <w:r>
              <w:rPr>
                <w:rFonts w:ascii="Arial" w:cs="Arial" w:eastAsia="Arial" w:hAnsi="Arial"/>
                <w:sz w:val="16"/>
                <w:szCs w:val="16"/>
                <w:color w:val="auto"/>
              </w:rPr>
              <w:t>Total consolidated net revenues</w:t>
            </w:r>
          </w:p>
        </w:tc>
        <w:tc>
          <w:tcPr>
            <w:tcW w:w="880" w:type="dxa"/>
            <w:vAlign w:val="bottom"/>
          </w:tcPr>
          <w:p>
            <w:pPr>
              <w:spacing w:after="0"/>
              <w:rPr>
                <w:sz w:val="17"/>
                <w:szCs w:val="17"/>
                <w:color w:val="auto"/>
              </w:rPr>
            </w:pPr>
          </w:p>
        </w:tc>
        <w:tc>
          <w:tcPr>
            <w:tcW w:w="1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6,489</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7,500</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12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(1,011)</w:t>
            </w:r>
          </w:p>
        </w:tc>
        <w:tc>
          <w:tcPr>
            <w:tcW w:w="1200" w:type="dxa"/>
            <w:vAlign w:val="bottom"/>
            <w:gridSpan w:val="2"/>
          </w:tcPr>
          <w:p>
            <w:pPr>
              <w:jc w:val="right"/>
              <w:ind w:right="59"/>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0"/>
        </w:trPr>
        <w:tc>
          <w:tcPr>
            <w:tcW w:w="3460" w:type="dxa"/>
            <w:vAlign w:val="bottom"/>
            <w:vMerge w:val="restart"/>
          </w:tcPr>
          <w:p>
            <w:pPr>
              <w:spacing w:after="0"/>
              <w:rPr>
                <w:sz w:val="20"/>
                <w:szCs w:val="20"/>
                <w:color w:val="auto"/>
              </w:rPr>
            </w:pPr>
            <w:r>
              <w:rPr>
                <w:rFonts w:ascii="Arial" w:cs="Arial" w:eastAsia="Arial" w:hAnsi="Arial"/>
                <w:sz w:val="16"/>
                <w:szCs w:val="16"/>
                <w:b w:val="1"/>
                <w:bCs w:val="1"/>
                <w:color w:val="auto"/>
              </w:rPr>
              <w:t>Change in deferred revenues</w:t>
            </w:r>
            <w:r>
              <w:rPr>
                <w:rFonts w:ascii="Arial" w:cs="Arial" w:eastAsia="Arial" w:hAnsi="Arial"/>
                <w:sz w:val="27"/>
                <w:szCs w:val="27"/>
                <w:b w:val="1"/>
                <w:bCs w:val="1"/>
                <w:color w:val="auto"/>
                <w:vertAlign w:val="superscript"/>
              </w:rPr>
              <w:t>3</w:t>
            </w:r>
          </w:p>
        </w:tc>
        <w:tc>
          <w:tcPr>
            <w:tcW w:w="8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6"/>
        </w:trPr>
        <w:tc>
          <w:tcPr>
            <w:tcW w:w="346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3460" w:type="dxa"/>
            <w:vAlign w:val="bottom"/>
          </w:tcPr>
          <w:p>
            <w:pPr>
              <w:ind w:left="180"/>
              <w:spacing w:after="0"/>
              <w:rPr>
                <w:sz w:val="20"/>
                <w:szCs w:val="20"/>
                <w:color w:val="auto"/>
              </w:rPr>
            </w:pPr>
            <w:r>
              <w:rPr>
                <w:rFonts w:ascii="Arial" w:cs="Arial" w:eastAsia="Arial" w:hAnsi="Arial"/>
                <w:sz w:val="16"/>
                <w:szCs w:val="16"/>
                <w:color w:val="auto"/>
              </w:rPr>
              <w:t>Americas</w:t>
            </w:r>
          </w:p>
        </w:tc>
        <w:tc>
          <w:tcPr>
            <w:tcW w:w="1060" w:type="dxa"/>
            <w:vAlign w:val="bottom"/>
            <w:gridSpan w:val="2"/>
          </w:tcPr>
          <w:p>
            <w:pPr>
              <w:jc w:val="right"/>
              <w:ind w:right="24"/>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(44)</w:t>
            </w: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(151)</w:t>
            </w: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3460" w:type="dxa"/>
            <w:vAlign w:val="bottom"/>
          </w:tcPr>
          <w:p>
            <w:pPr>
              <w:ind w:left="180"/>
              <w:spacing w:after="0" w:line="244" w:lineRule="exact"/>
              <w:rPr>
                <w:sz w:val="20"/>
                <w:szCs w:val="20"/>
                <w:color w:val="auto"/>
              </w:rPr>
            </w:pPr>
            <w:r>
              <w:rPr>
                <w:rFonts w:ascii="Arial" w:cs="Arial" w:eastAsia="Arial" w:hAnsi="Arial"/>
                <w:sz w:val="16"/>
                <w:szCs w:val="16"/>
                <w:color w:val="auto"/>
              </w:rPr>
              <w:t>EMEA</w:t>
            </w:r>
            <w:r>
              <w:rPr>
                <w:rFonts w:ascii="Arial" w:cs="Arial" w:eastAsia="Arial" w:hAnsi="Arial"/>
                <w:sz w:val="27"/>
                <w:szCs w:val="27"/>
                <w:color w:val="auto"/>
                <w:vertAlign w:val="superscript"/>
              </w:rPr>
              <w:t>2</w:t>
            </w:r>
          </w:p>
        </w:tc>
        <w:tc>
          <w:tcPr>
            <w:tcW w:w="8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(47)</w:t>
            </w: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(91)</w:t>
            </w: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3460" w:type="dxa"/>
            <w:vAlign w:val="bottom"/>
          </w:tcPr>
          <w:p>
            <w:pPr>
              <w:ind w:left="180"/>
              <w:spacing w:after="0"/>
              <w:rPr>
                <w:sz w:val="20"/>
                <w:szCs w:val="20"/>
                <w:color w:val="auto"/>
              </w:rPr>
            </w:pPr>
            <w:r>
              <w:rPr>
                <w:rFonts w:ascii="Arial" w:cs="Arial" w:eastAsia="Arial" w:hAnsi="Arial"/>
                <w:sz w:val="16"/>
                <w:szCs w:val="16"/>
                <w:color w:val="auto"/>
              </w:rPr>
              <w:t>Asia Pacific</w:t>
            </w:r>
          </w:p>
        </w:tc>
        <w:tc>
          <w:tcPr>
            <w:tcW w:w="8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w:t>
            </w: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460" w:type="dxa"/>
            <w:vAlign w:val="bottom"/>
          </w:tcPr>
          <w:p>
            <w:pPr>
              <w:ind w:left="340"/>
              <w:spacing w:after="0"/>
              <w:rPr>
                <w:sz w:val="20"/>
                <w:szCs w:val="20"/>
                <w:color w:val="auto"/>
              </w:rPr>
            </w:pPr>
            <w:r>
              <w:rPr>
                <w:rFonts w:ascii="Arial" w:cs="Arial" w:eastAsia="Arial" w:hAnsi="Arial"/>
                <w:sz w:val="16"/>
                <w:szCs w:val="16"/>
                <w:color w:val="auto"/>
              </w:rPr>
              <w:t>Total changes in deferred revenues</w:t>
            </w:r>
          </w:p>
        </w:tc>
        <w:tc>
          <w:tcPr>
            <w:tcW w:w="880" w:type="dxa"/>
            <w:vAlign w:val="bottom"/>
          </w:tcPr>
          <w:p>
            <w:pPr>
              <w:spacing w:after="0"/>
              <w:rPr>
                <w:sz w:val="17"/>
                <w:szCs w:val="17"/>
                <w:color w:val="auto"/>
              </w:rPr>
            </w:pPr>
          </w:p>
        </w:tc>
        <w:tc>
          <w:tcPr>
            <w:tcW w:w="1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w:t>
            </w: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(238)</w:t>
            </w: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2" w:lineRule="exact"/>
        <w:rPr>
          <w:sz w:val="20"/>
          <w:szCs w:val="20"/>
          <w:color w:val="auto"/>
        </w:rPr>
      </w:pPr>
    </w:p>
    <w:p>
      <w:pPr>
        <w:ind w:left="340" w:hanging="332"/>
        <w:spacing w:after="0"/>
        <w:tabs>
          <w:tab w:leader="none" w:pos="340" w:val="left"/>
        </w:tabs>
        <w:numPr>
          <w:ilvl w:val="0"/>
          <w:numId w:val="57"/>
        </w:numPr>
        <w:rPr>
          <w:rFonts w:ascii="Arial" w:cs="Arial" w:eastAsia="Arial" w:hAnsi="Arial"/>
          <w:sz w:val="27"/>
          <w:szCs w:val="27"/>
          <w:color w:val="auto"/>
          <w:vertAlign w:val="superscript"/>
        </w:rPr>
      </w:pPr>
      <w:r>
        <w:rPr>
          <w:rFonts w:ascii="Arial" w:cs="Arial" w:eastAsia="Arial" w:hAnsi="Arial"/>
          <w:sz w:val="16"/>
          <w:szCs w:val="16"/>
          <w:color w:val="auto"/>
        </w:rPr>
        <w:t>The percentages of total are presented as calculated. Therefore, the sum of these percentages, as presented, may differ due to the impact of rounding.</w:t>
      </w:r>
    </w:p>
    <w:p>
      <w:pPr>
        <w:ind w:left="340" w:hanging="332"/>
        <w:spacing w:after="0" w:line="183" w:lineRule="auto"/>
        <w:tabs>
          <w:tab w:leader="none" w:pos="340" w:val="left"/>
        </w:tabs>
        <w:numPr>
          <w:ilvl w:val="0"/>
          <w:numId w:val="58"/>
        </w:numPr>
        <w:rPr>
          <w:rFonts w:ascii="Arial" w:cs="Arial" w:eastAsia="Arial" w:hAnsi="Arial"/>
          <w:sz w:val="23"/>
          <w:szCs w:val="23"/>
          <w:color w:val="auto"/>
          <w:vertAlign w:val="superscript"/>
        </w:rPr>
      </w:pPr>
      <w:r>
        <w:rPr>
          <w:rFonts w:ascii="Arial" w:cs="Arial" w:eastAsia="Arial" w:hAnsi="Arial"/>
          <w:sz w:val="14"/>
          <w:szCs w:val="14"/>
          <w:color w:val="auto"/>
        </w:rPr>
        <w:t>Net revenues from EMEA consist of the Europe, Middle East, and Africa geographic regions.</w:t>
      </w:r>
    </w:p>
    <w:p>
      <w:pPr>
        <w:ind w:left="340" w:hanging="332"/>
        <w:spacing w:after="0" w:line="184" w:lineRule="auto"/>
        <w:tabs>
          <w:tab w:leader="none" w:pos="340" w:val="left"/>
        </w:tabs>
        <w:numPr>
          <w:ilvl w:val="0"/>
          <w:numId w:val="59"/>
        </w:numPr>
        <w:rPr>
          <w:rFonts w:ascii="Arial" w:cs="Arial" w:eastAsia="Arial" w:hAnsi="Arial"/>
          <w:sz w:val="23"/>
          <w:szCs w:val="23"/>
          <w:color w:val="auto"/>
          <w:vertAlign w:val="superscript"/>
        </w:rPr>
      </w:pPr>
      <w:r>
        <w:rPr>
          <w:rFonts w:ascii="Arial" w:cs="Arial" w:eastAsia="Arial" w:hAnsi="Arial"/>
          <w:sz w:val="14"/>
          <w:szCs w:val="14"/>
          <w:color w:val="auto"/>
        </w:rPr>
        <w:t>Reflects the net effect from deferral of revenues and (recognition) of deferred revenues on certain of our online enabled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433070</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22" w:name="page23"/>
    <w:bookmarkEnd w:id="22"/>
    <w:p>
      <w:pPr>
        <w:jc w:val="right"/>
        <w:spacing w:after="0"/>
        <w:rPr>
          <w:sz w:val="20"/>
          <w:szCs w:val="20"/>
          <w:color w:val="auto"/>
        </w:rPr>
      </w:pPr>
      <w:r>
        <w:rPr>
          <w:rFonts w:ascii="Arial" w:cs="Arial" w:eastAsia="Arial" w:hAnsi="Arial"/>
          <w:sz w:val="18"/>
          <w:szCs w:val="18"/>
          <w:b w:val="1"/>
          <w:bCs w:val="1"/>
          <w:color w:val="auto"/>
        </w:rPr>
        <w:t>14</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ACTIVISION BLIZZARD,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EBITDA AND ADJUSTED EBITDA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Trailing Twelve Months Ended December 31,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in millions)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jc w:val="center"/>
              <w:ind w:right="119"/>
              <w:spacing w:after="0"/>
              <w:rPr>
                <w:sz w:val="20"/>
                <w:szCs w:val="20"/>
                <w:color w:val="auto"/>
              </w:rPr>
            </w:pPr>
            <w:r>
              <w:rPr>
                <w:rFonts w:ascii="Arial" w:cs="Arial" w:eastAsia="Arial" w:hAnsi="Arial"/>
                <w:sz w:val="16"/>
                <w:szCs w:val="16"/>
                <w:b w:val="1"/>
                <w:bCs w:val="1"/>
                <w:color w:val="auto"/>
                <w:w w:val="93"/>
              </w:rPr>
              <w:t>Trailing Twelve</w:t>
            </w:r>
          </w:p>
        </w:tc>
        <w:tc>
          <w:tcPr>
            <w:tcW w:w="0" w:type="dxa"/>
            <w:vAlign w:val="bottom"/>
          </w:tcPr>
          <w:p>
            <w:pPr>
              <w:spacing w:after="0"/>
              <w:rPr>
                <w:sz w:val="1"/>
                <w:szCs w:val="1"/>
                <w:color w:val="auto"/>
              </w:rPr>
            </w:pPr>
          </w:p>
        </w:tc>
      </w:tr>
      <w:tr>
        <w:trPr>
          <w:trHeight w:val="203"/>
        </w:trPr>
        <w:tc>
          <w:tcPr>
            <w:tcW w:w="3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jc w:val="center"/>
              <w:ind w:right="139"/>
              <w:spacing w:after="0"/>
              <w:rPr>
                <w:sz w:val="20"/>
                <w:szCs w:val="20"/>
                <w:color w:val="auto"/>
              </w:rPr>
            </w:pPr>
            <w:r>
              <w:rPr>
                <w:rFonts w:ascii="Arial" w:cs="Arial" w:eastAsia="Arial" w:hAnsi="Arial"/>
                <w:sz w:val="16"/>
                <w:szCs w:val="16"/>
                <w:b w:val="1"/>
                <w:bCs w:val="1"/>
                <w:color w:val="auto"/>
                <w:w w:val="92"/>
              </w:rPr>
              <w:t>Months Ended</w:t>
            </w:r>
          </w:p>
        </w:tc>
        <w:tc>
          <w:tcPr>
            <w:tcW w:w="0" w:type="dxa"/>
            <w:vAlign w:val="bottom"/>
          </w:tcPr>
          <w:p>
            <w:pPr>
              <w:spacing w:after="0"/>
              <w:rPr>
                <w:sz w:val="1"/>
                <w:szCs w:val="1"/>
                <w:color w:val="auto"/>
              </w:rPr>
            </w:pPr>
          </w:p>
        </w:tc>
      </w:tr>
      <w:tr>
        <w:trPr>
          <w:trHeight w:val="203"/>
        </w:trPr>
        <w:tc>
          <w:tcPr>
            <w:tcW w:w="3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March 31,</w:t>
            </w: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jc w:val="right"/>
              <w:ind w:right="439"/>
              <w:spacing w:after="0"/>
              <w:rPr>
                <w:sz w:val="20"/>
                <w:szCs w:val="20"/>
                <w:color w:val="auto"/>
              </w:rPr>
            </w:pPr>
            <w:r>
              <w:rPr>
                <w:rFonts w:ascii="Arial" w:cs="Arial" w:eastAsia="Arial" w:hAnsi="Arial"/>
                <w:sz w:val="16"/>
                <w:szCs w:val="16"/>
                <w:b w:val="1"/>
                <w:bCs w:val="1"/>
                <w:color w:val="auto"/>
              </w:rPr>
              <w:t>June 30,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ind w:left="60"/>
              <w:spacing w:after="0"/>
              <w:rPr>
                <w:sz w:val="20"/>
                <w:szCs w:val="20"/>
                <w:color w:val="auto"/>
              </w:rPr>
            </w:pPr>
            <w:r>
              <w:rPr>
                <w:rFonts w:ascii="Arial" w:cs="Arial" w:eastAsia="Arial" w:hAnsi="Arial"/>
                <w:sz w:val="16"/>
                <w:szCs w:val="16"/>
                <w:b w:val="1"/>
                <w:bCs w:val="1"/>
                <w:color w:val="auto"/>
              </w:rPr>
              <w:t>September 30,</w:t>
            </w:r>
          </w:p>
        </w:tc>
        <w:tc>
          <w:tcPr>
            <w:tcW w:w="140" w:type="dxa"/>
            <w:vAlign w:val="bottom"/>
          </w:tcPr>
          <w:p>
            <w:pPr>
              <w:spacing w:after="0"/>
              <w:rPr>
                <w:sz w:val="17"/>
                <w:szCs w:val="17"/>
                <w:color w:val="auto"/>
              </w:rPr>
            </w:pPr>
          </w:p>
        </w:tc>
        <w:tc>
          <w:tcPr>
            <w:tcW w:w="1420" w:type="dxa"/>
            <w:vAlign w:val="bottom"/>
            <w:gridSpan w:val="2"/>
          </w:tcPr>
          <w:p>
            <w:pPr>
              <w:ind w:left="60"/>
              <w:spacing w:after="0"/>
              <w:rPr>
                <w:sz w:val="20"/>
                <w:szCs w:val="20"/>
                <w:color w:val="auto"/>
              </w:rPr>
            </w:pPr>
            <w:r>
              <w:rPr>
                <w:rFonts w:ascii="Arial" w:cs="Arial" w:eastAsia="Arial" w:hAnsi="Arial"/>
                <w:sz w:val="16"/>
                <w:szCs w:val="16"/>
                <w:b w:val="1"/>
                <w:bCs w:val="1"/>
                <w:color w:val="auto"/>
              </w:rPr>
              <w:t>December 31,</w:t>
            </w:r>
          </w:p>
        </w:tc>
        <w:tc>
          <w:tcPr>
            <w:tcW w:w="100" w:type="dxa"/>
            <w:vAlign w:val="bottom"/>
          </w:tcPr>
          <w:p>
            <w:pPr>
              <w:spacing w:after="0"/>
              <w:rPr>
                <w:sz w:val="17"/>
                <w:szCs w:val="17"/>
                <w:color w:val="auto"/>
              </w:rPr>
            </w:pPr>
          </w:p>
        </w:tc>
        <w:tc>
          <w:tcPr>
            <w:tcW w:w="1360" w:type="dxa"/>
            <w:vAlign w:val="bottom"/>
          </w:tcPr>
          <w:p>
            <w:pPr>
              <w:jc w:val="center"/>
              <w:ind w:right="139"/>
              <w:spacing w:after="0"/>
              <w:rPr>
                <w:sz w:val="20"/>
                <w:szCs w:val="20"/>
                <w:color w:val="auto"/>
              </w:rPr>
            </w:pPr>
            <w:r>
              <w:rPr>
                <w:rFonts w:ascii="Arial" w:cs="Arial" w:eastAsia="Arial" w:hAnsi="Arial"/>
                <w:sz w:val="16"/>
                <w:szCs w:val="16"/>
                <w:b w:val="1"/>
                <w:bCs w:val="1"/>
                <w:color w:val="auto"/>
                <w:w w:val="90"/>
              </w:rPr>
              <w:t>December 31,</w:t>
            </w:r>
          </w:p>
        </w:tc>
        <w:tc>
          <w:tcPr>
            <w:tcW w:w="0" w:type="dxa"/>
            <w:vAlign w:val="bottom"/>
          </w:tcPr>
          <w:p>
            <w:pPr>
              <w:spacing w:after="0"/>
              <w:rPr>
                <w:sz w:val="1"/>
                <w:szCs w:val="1"/>
                <w:color w:val="auto"/>
              </w:rPr>
            </w:pPr>
          </w:p>
        </w:tc>
      </w:tr>
      <w:tr>
        <w:trPr>
          <w:trHeight w:val="210"/>
        </w:trPr>
        <w:tc>
          <w:tcPr>
            <w:tcW w:w="3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b w:val="1"/>
                <w:bCs w:val="1"/>
                <w:color w:val="auto"/>
              </w:rPr>
              <w:t>2019</w:t>
            </w:r>
          </w:p>
        </w:tc>
        <w:tc>
          <w:tcPr>
            <w:tcW w:w="4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89"/>
              </w:rPr>
              <w:t>2019</w:t>
            </w:r>
          </w:p>
        </w:tc>
        <w:tc>
          <w:tcPr>
            <w:tcW w:w="0" w:type="dxa"/>
            <w:vAlign w:val="bottom"/>
          </w:tcPr>
          <w:p>
            <w:pPr>
              <w:spacing w:after="0"/>
              <w:rPr>
                <w:sz w:val="1"/>
                <w:szCs w:val="1"/>
                <w:color w:val="auto"/>
              </w:rPr>
            </w:pPr>
          </w:p>
        </w:tc>
      </w:tr>
      <w:tr>
        <w:trPr>
          <w:trHeight w:val="395"/>
        </w:trPr>
        <w:tc>
          <w:tcPr>
            <w:tcW w:w="3440" w:type="dxa"/>
            <w:vAlign w:val="bottom"/>
          </w:tcPr>
          <w:p>
            <w:pPr>
              <w:spacing w:after="0"/>
              <w:rPr>
                <w:sz w:val="20"/>
                <w:szCs w:val="20"/>
                <w:color w:val="auto"/>
              </w:rPr>
            </w:pPr>
            <w:r>
              <w:rPr>
                <w:rFonts w:ascii="Arial" w:cs="Arial" w:eastAsia="Arial" w:hAnsi="Arial"/>
                <w:sz w:val="16"/>
                <w:szCs w:val="16"/>
                <w:b w:val="1"/>
                <w:bCs w:val="1"/>
                <w:color w:val="auto"/>
              </w:rPr>
              <w:t>GAAP Net Income</w:t>
            </w:r>
          </w:p>
        </w:tc>
        <w:tc>
          <w:tcPr>
            <w:tcW w:w="1160" w:type="dxa"/>
            <w:vAlign w:val="bottom"/>
            <w:gridSpan w:val="2"/>
          </w:tcPr>
          <w:p>
            <w:pPr>
              <w:jc w:val="right"/>
              <w:ind w:right="901"/>
              <w:spacing w:after="0"/>
              <w:rPr>
                <w:sz w:val="20"/>
                <w:szCs w:val="20"/>
                <w:color w:val="auto"/>
              </w:rPr>
            </w:pPr>
            <w:r>
              <w:rPr>
                <w:rFonts w:ascii="Arial" w:cs="Arial" w:eastAsia="Arial" w:hAnsi="Arial"/>
                <w:sz w:val="16"/>
                <w:szCs w:val="16"/>
                <w:color w:val="auto"/>
              </w:rPr>
              <w:t>$</w:t>
            </w:r>
          </w:p>
        </w:tc>
        <w:tc>
          <w:tcPr>
            <w:tcW w:w="440" w:type="dxa"/>
            <w:vAlign w:val="bottom"/>
          </w:tcPr>
          <w:p>
            <w:pPr>
              <w:jc w:val="right"/>
              <w:ind w:right="39"/>
              <w:spacing w:after="0"/>
              <w:rPr>
                <w:sz w:val="20"/>
                <w:szCs w:val="20"/>
                <w:color w:val="auto"/>
              </w:rPr>
            </w:pPr>
            <w:r>
              <w:rPr>
                <w:rFonts w:ascii="Arial" w:cs="Arial" w:eastAsia="Arial" w:hAnsi="Arial"/>
                <w:sz w:val="16"/>
                <w:szCs w:val="16"/>
                <w:color w:val="auto"/>
              </w:rPr>
              <w:t>447</w:t>
            </w:r>
          </w:p>
        </w:tc>
        <w:tc>
          <w:tcPr>
            <w:tcW w:w="360" w:type="dxa"/>
            <w:vAlign w:val="bottom"/>
            <w:gridSpan w:val="2"/>
          </w:tcPr>
          <w:p>
            <w:pPr>
              <w:jc w:val="right"/>
              <w:ind w:right="84"/>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328</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204</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525</w:t>
            </w: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1,503</w:t>
            </w:r>
          </w:p>
        </w:tc>
        <w:tc>
          <w:tcPr>
            <w:tcW w:w="0" w:type="dxa"/>
            <w:vAlign w:val="bottom"/>
          </w:tcPr>
          <w:p>
            <w:pPr>
              <w:spacing w:after="0"/>
              <w:rPr>
                <w:sz w:val="1"/>
                <w:szCs w:val="1"/>
                <w:color w:val="auto"/>
              </w:rPr>
            </w:pPr>
          </w:p>
        </w:tc>
      </w:tr>
      <w:tr>
        <w:trPr>
          <w:trHeight w:val="202"/>
        </w:trPr>
        <w:tc>
          <w:tcPr>
            <w:tcW w:w="3440" w:type="dxa"/>
            <w:vAlign w:val="bottom"/>
          </w:tcPr>
          <w:p>
            <w:pPr>
              <w:ind w:left="180"/>
              <w:spacing w:after="0"/>
              <w:rPr>
                <w:sz w:val="20"/>
                <w:szCs w:val="20"/>
                <w:color w:val="auto"/>
              </w:rPr>
            </w:pPr>
            <w:r>
              <w:rPr>
                <w:rFonts w:ascii="Arial" w:cs="Arial" w:eastAsia="Arial" w:hAnsi="Arial"/>
                <w:sz w:val="16"/>
                <w:szCs w:val="16"/>
                <w:color w:val="auto"/>
              </w:rPr>
              <w:t>Interest and other expense (income), net</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40" w:type="dxa"/>
            <w:vAlign w:val="bottom"/>
          </w:tcPr>
          <w:p>
            <w:pPr>
              <w:jc w:val="right"/>
              <w:ind w:right="39"/>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(34)</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44"/>
        </w:trPr>
        <w:tc>
          <w:tcPr>
            <w:tcW w:w="3440" w:type="dxa"/>
            <w:vAlign w:val="bottom"/>
          </w:tcPr>
          <w:p>
            <w:pPr>
              <w:ind w:left="180"/>
              <w:spacing w:after="0" w:line="244" w:lineRule="exact"/>
              <w:rPr>
                <w:sz w:val="20"/>
                <w:szCs w:val="20"/>
                <w:color w:val="auto"/>
              </w:rPr>
            </w:pPr>
            <w:r>
              <w:rPr>
                <w:rFonts w:ascii="Arial" w:cs="Arial" w:eastAsia="Arial" w:hAnsi="Arial"/>
                <w:sz w:val="16"/>
                <w:szCs w:val="16"/>
                <w:color w:val="auto"/>
              </w:rPr>
              <w:t>Provision for income taxes</w:t>
            </w:r>
            <w:r>
              <w:rPr>
                <w:rFonts w:ascii="Arial" w:cs="Arial" w:eastAsia="Arial" w:hAnsi="Arial"/>
                <w:sz w:val="27"/>
                <w:szCs w:val="27"/>
                <w:color w:val="auto"/>
                <w:vertAlign w:val="superscript"/>
              </w:rPr>
              <w:t>1</w:t>
            </w: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40" w:type="dxa"/>
            <w:vAlign w:val="bottom"/>
          </w:tcPr>
          <w:p>
            <w:pPr>
              <w:jc w:val="right"/>
              <w:ind w:right="39"/>
              <w:spacing w:after="0"/>
              <w:rPr>
                <w:sz w:val="20"/>
                <w:szCs w:val="20"/>
                <w:color w:val="auto"/>
              </w:rPr>
            </w:pPr>
            <w:r>
              <w:rPr>
                <w:rFonts w:ascii="Arial" w:cs="Arial" w:eastAsia="Arial" w:hAnsi="Arial"/>
                <w:sz w:val="16"/>
                <w:szCs w:val="16"/>
                <w:color w:val="auto"/>
              </w:rPr>
              <w:t>120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42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45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(78)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130</w:t>
            </w:r>
          </w:p>
        </w:tc>
        <w:tc>
          <w:tcPr>
            <w:tcW w:w="0" w:type="dxa"/>
            <w:vAlign w:val="bottom"/>
          </w:tcPr>
          <w:p>
            <w:pPr>
              <w:spacing w:after="0"/>
              <w:rPr>
                <w:sz w:val="1"/>
                <w:szCs w:val="1"/>
                <w:color w:val="auto"/>
              </w:rPr>
            </w:pPr>
          </w:p>
        </w:tc>
      </w:tr>
      <w:tr>
        <w:trPr>
          <w:trHeight w:val="206"/>
        </w:trPr>
        <w:tc>
          <w:tcPr>
            <w:tcW w:w="3440" w:type="dxa"/>
            <w:vAlign w:val="bottom"/>
          </w:tcPr>
          <w:p>
            <w:pPr>
              <w:ind w:left="180"/>
              <w:spacing w:after="0"/>
              <w:rPr>
                <w:sz w:val="20"/>
                <w:szCs w:val="20"/>
                <w:color w:val="auto"/>
              </w:rPr>
            </w:pPr>
            <w:r>
              <w:rPr>
                <w:rFonts w:ascii="Arial" w:cs="Arial" w:eastAsia="Arial" w:hAnsi="Arial"/>
                <w:sz w:val="16"/>
                <w:szCs w:val="16"/>
                <w:color w:val="auto"/>
              </w:rPr>
              <w:t>Depreciation and amortization</w:t>
            </w:r>
          </w:p>
        </w:tc>
        <w:tc>
          <w:tcPr>
            <w:tcW w:w="100" w:type="dxa"/>
            <w:vAlign w:val="bottom"/>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87</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79</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80</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81</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328</w:t>
            </w:r>
          </w:p>
        </w:tc>
        <w:tc>
          <w:tcPr>
            <w:tcW w:w="0" w:type="dxa"/>
            <w:vAlign w:val="bottom"/>
          </w:tcPr>
          <w:p>
            <w:pPr>
              <w:spacing w:after="0"/>
              <w:rPr>
                <w:sz w:val="1"/>
                <w:szCs w:val="1"/>
                <w:color w:val="auto"/>
              </w:rPr>
            </w:pPr>
          </w:p>
        </w:tc>
      </w:tr>
      <w:tr>
        <w:trPr>
          <w:trHeight w:val="210"/>
        </w:trPr>
        <w:tc>
          <w:tcPr>
            <w:tcW w:w="3440" w:type="dxa"/>
            <w:vAlign w:val="bottom"/>
          </w:tcPr>
          <w:p>
            <w:pPr>
              <w:spacing w:after="0"/>
              <w:rPr>
                <w:sz w:val="20"/>
                <w:szCs w:val="20"/>
                <w:color w:val="auto"/>
              </w:rPr>
            </w:pPr>
            <w:r>
              <w:rPr>
                <w:rFonts w:ascii="Arial" w:cs="Arial" w:eastAsia="Arial" w:hAnsi="Arial"/>
                <w:sz w:val="16"/>
                <w:szCs w:val="16"/>
                <w:b w:val="1"/>
                <w:bCs w:val="1"/>
                <w:color w:val="auto"/>
              </w:rPr>
              <w:t>EBITDA</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40" w:type="dxa"/>
            <w:vAlign w:val="bottom"/>
          </w:tcPr>
          <w:p>
            <w:pPr>
              <w:jc w:val="right"/>
              <w:ind w:right="39"/>
              <w:spacing w:after="0"/>
              <w:rPr>
                <w:sz w:val="20"/>
                <w:szCs w:val="20"/>
                <w:color w:val="auto"/>
              </w:rPr>
            </w:pPr>
            <w:r>
              <w:rPr>
                <w:rFonts w:ascii="Arial" w:cs="Arial" w:eastAsia="Arial" w:hAnsi="Arial"/>
                <w:sz w:val="16"/>
                <w:szCs w:val="16"/>
                <w:b w:val="1"/>
                <w:bCs w:val="1"/>
                <w:color w:val="auto"/>
              </w:rPr>
              <w:t>657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b w:val="1"/>
                <w:bCs w:val="1"/>
                <w:color w:val="auto"/>
              </w:rPr>
              <w:t>415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b w:val="1"/>
                <w:bCs w:val="1"/>
                <w:color w:val="auto"/>
              </w:rPr>
              <w:t>327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b w:val="1"/>
                <w:bCs w:val="1"/>
                <w:color w:val="auto"/>
              </w:rPr>
              <w:t>535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b w:val="1"/>
                <w:bCs w:val="1"/>
                <w:color w:val="auto"/>
              </w:rPr>
              <w:t>1,935</w:t>
            </w:r>
          </w:p>
        </w:tc>
        <w:tc>
          <w:tcPr>
            <w:tcW w:w="0" w:type="dxa"/>
            <w:vAlign w:val="bottom"/>
          </w:tcPr>
          <w:p>
            <w:pPr>
              <w:spacing w:after="0"/>
              <w:rPr>
                <w:sz w:val="1"/>
                <w:szCs w:val="1"/>
                <w:color w:val="auto"/>
              </w:rPr>
            </w:pPr>
          </w:p>
        </w:tc>
      </w:tr>
      <w:tr>
        <w:trPr>
          <w:trHeight w:val="427"/>
        </w:trPr>
        <w:tc>
          <w:tcPr>
            <w:tcW w:w="3440" w:type="dxa"/>
            <w:vAlign w:val="bottom"/>
          </w:tcPr>
          <w:p>
            <w:pPr>
              <w:ind w:left="180"/>
              <w:spacing w:after="0"/>
              <w:rPr>
                <w:sz w:val="20"/>
                <w:szCs w:val="20"/>
                <w:color w:val="auto"/>
              </w:rPr>
            </w:pPr>
            <w:r>
              <w:rPr>
                <w:rFonts w:ascii="Arial" w:cs="Arial" w:eastAsia="Arial" w:hAnsi="Arial"/>
                <w:sz w:val="16"/>
                <w:szCs w:val="16"/>
                <w:color w:val="auto"/>
              </w:rPr>
              <w:t>Share-based compensation expense</w:t>
            </w:r>
            <w:r>
              <w:rPr>
                <w:rFonts w:ascii="Arial" w:cs="Arial" w:eastAsia="Arial" w:hAnsi="Arial"/>
                <w:sz w:val="27"/>
                <w:szCs w:val="27"/>
                <w:color w:val="auto"/>
                <w:vertAlign w:val="superscript"/>
              </w:rPr>
              <w:t>2</w:t>
            </w: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jc w:val="right"/>
              <w:ind w:right="39"/>
              <w:spacing w:after="0"/>
              <w:rPr>
                <w:sz w:val="20"/>
                <w:szCs w:val="20"/>
                <w:color w:val="auto"/>
              </w:rPr>
            </w:pPr>
            <w:r>
              <w:rPr>
                <w:rFonts w:ascii="Arial" w:cs="Arial" w:eastAsia="Arial" w:hAnsi="Arial"/>
                <w:sz w:val="16"/>
                <w:szCs w:val="16"/>
                <w:color w:val="auto"/>
              </w:rPr>
              <w:t>63</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38</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27</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166</w:t>
            </w:r>
          </w:p>
        </w:tc>
        <w:tc>
          <w:tcPr>
            <w:tcW w:w="0" w:type="dxa"/>
            <w:vAlign w:val="bottom"/>
          </w:tcPr>
          <w:p>
            <w:pPr>
              <w:spacing w:after="0"/>
              <w:rPr>
                <w:sz w:val="1"/>
                <w:szCs w:val="1"/>
                <w:color w:val="auto"/>
              </w:rPr>
            </w:pPr>
          </w:p>
        </w:tc>
      </w:tr>
      <w:tr>
        <w:trPr>
          <w:trHeight w:val="243"/>
        </w:trPr>
        <w:tc>
          <w:tcPr>
            <w:tcW w:w="3440" w:type="dxa"/>
            <w:vAlign w:val="bottom"/>
          </w:tcPr>
          <w:p>
            <w:pPr>
              <w:ind w:left="180"/>
              <w:spacing w:after="0" w:line="242" w:lineRule="exact"/>
              <w:rPr>
                <w:sz w:val="20"/>
                <w:szCs w:val="20"/>
                <w:color w:val="auto"/>
              </w:rPr>
            </w:pPr>
            <w:r>
              <w:rPr>
                <w:rFonts w:ascii="Arial" w:cs="Arial" w:eastAsia="Arial" w:hAnsi="Arial"/>
                <w:sz w:val="16"/>
                <w:szCs w:val="16"/>
                <w:color w:val="auto"/>
              </w:rPr>
              <w:t>Restructuring and related costs</w:t>
            </w:r>
            <w:r>
              <w:rPr>
                <w:rFonts w:ascii="Arial" w:cs="Arial" w:eastAsia="Arial" w:hAnsi="Arial"/>
                <w:sz w:val="27"/>
                <w:szCs w:val="27"/>
                <w:color w:val="auto"/>
                <w:vertAlign w:val="superscript"/>
              </w:rPr>
              <w:t>3</w:t>
            </w: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40" w:type="dxa"/>
            <w:vAlign w:val="bottom"/>
          </w:tcPr>
          <w:p>
            <w:pPr>
              <w:jc w:val="right"/>
              <w:ind w:right="39"/>
              <w:spacing w:after="0"/>
              <w:rPr>
                <w:sz w:val="20"/>
                <w:szCs w:val="20"/>
                <w:color w:val="auto"/>
              </w:rPr>
            </w:pPr>
            <w:r>
              <w:rPr>
                <w:rFonts w:ascii="Arial" w:cs="Arial" w:eastAsia="Arial" w:hAnsi="Arial"/>
                <w:sz w:val="16"/>
                <w:szCs w:val="16"/>
                <w:color w:val="auto"/>
              </w:rPr>
              <w:t>57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28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137</w:t>
            </w:r>
          </w:p>
        </w:tc>
        <w:tc>
          <w:tcPr>
            <w:tcW w:w="0" w:type="dxa"/>
            <w:vAlign w:val="bottom"/>
          </w:tcPr>
          <w:p>
            <w:pPr>
              <w:spacing w:after="0"/>
              <w:rPr>
                <w:sz w:val="1"/>
                <w:szCs w:val="1"/>
                <w:color w:val="auto"/>
              </w:rPr>
            </w:pPr>
          </w:p>
        </w:tc>
      </w:tr>
      <w:tr>
        <w:trPr>
          <w:trHeight w:val="254"/>
        </w:trPr>
        <w:tc>
          <w:tcPr>
            <w:tcW w:w="3440" w:type="dxa"/>
            <w:vAlign w:val="bottom"/>
          </w:tcPr>
          <w:p>
            <w:pPr>
              <w:ind w:left="180"/>
              <w:spacing w:after="0" w:line="254" w:lineRule="exact"/>
              <w:rPr>
                <w:sz w:val="20"/>
                <w:szCs w:val="20"/>
                <w:color w:val="auto"/>
              </w:rPr>
            </w:pPr>
            <w:r>
              <w:rPr>
                <w:rFonts w:ascii="Arial" w:cs="Arial" w:eastAsia="Arial" w:hAnsi="Arial"/>
                <w:sz w:val="16"/>
                <w:szCs w:val="16"/>
                <w:color w:val="auto"/>
              </w:rPr>
              <w:t>Discrete tax-related items</w:t>
            </w:r>
            <w:r>
              <w:rPr>
                <w:rFonts w:ascii="Arial" w:cs="Arial" w:eastAsia="Arial" w:hAnsi="Arial"/>
                <w:sz w:val="27"/>
                <w:szCs w:val="27"/>
                <w:color w:val="auto"/>
                <w:vertAlign w:val="superscript"/>
              </w:rPr>
              <w:t>5</w:t>
            </w: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4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196"/>
        </w:trPr>
        <w:tc>
          <w:tcPr>
            <w:tcW w:w="3440" w:type="dxa"/>
            <w:vAlign w:val="bottom"/>
          </w:tcPr>
          <w:p>
            <w:pPr>
              <w:spacing w:after="0"/>
              <w:rPr>
                <w:sz w:val="20"/>
                <w:szCs w:val="20"/>
                <w:color w:val="auto"/>
              </w:rPr>
            </w:pPr>
            <w:r>
              <w:rPr>
                <w:rFonts w:ascii="Arial" w:cs="Arial" w:eastAsia="Arial" w:hAnsi="Arial"/>
                <w:sz w:val="16"/>
                <w:szCs w:val="16"/>
                <w:b w:val="1"/>
                <w:bCs w:val="1"/>
                <w:color w:val="auto"/>
              </w:rPr>
              <w:t>Adjusted EBITDA</w:t>
            </w:r>
          </w:p>
        </w:tc>
        <w:tc>
          <w:tcPr>
            <w:tcW w:w="100" w:type="dxa"/>
            <w:vAlign w:val="bottom"/>
          </w:tcPr>
          <w:p>
            <w:pPr>
              <w:spacing w:after="0"/>
              <w:rPr>
                <w:sz w:val="17"/>
                <w:szCs w:val="17"/>
                <w:color w:val="auto"/>
              </w:rPr>
            </w:pPr>
          </w:p>
        </w:tc>
        <w:tc>
          <w:tcPr>
            <w:tcW w:w="1060" w:type="dxa"/>
            <w:vAlign w:val="bottom"/>
            <w:tcBorders>
              <w:top w:val="single" w:sz="8" w:color="auto"/>
              <w:bottom w:val="single" w:sz="8" w:color="auto"/>
            </w:tcBorders>
          </w:tcPr>
          <w:p>
            <w:pPr>
              <w:jc w:val="right"/>
              <w:ind w:right="901"/>
              <w:spacing w:after="0"/>
              <w:rPr>
                <w:sz w:val="20"/>
                <w:szCs w:val="20"/>
                <w:color w:val="auto"/>
              </w:rPr>
            </w:pPr>
            <w:r>
              <w:rPr>
                <w:rFonts w:ascii="Arial" w:cs="Arial" w:eastAsia="Arial" w:hAnsi="Arial"/>
                <w:sz w:val="15"/>
                <w:szCs w:val="15"/>
                <w:b w:val="1"/>
                <w:bCs w:val="1"/>
                <w:color w:val="auto"/>
                <w:w w:val="71"/>
              </w:rPr>
              <w:t>$</w:t>
            </w:r>
          </w:p>
        </w:tc>
        <w:tc>
          <w:tcPr>
            <w:tcW w:w="4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777</w:t>
            </w:r>
          </w:p>
        </w:tc>
        <w:tc>
          <w:tcPr>
            <w:tcW w:w="12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84"/>
              <w:spacing w:after="0"/>
              <w:rPr>
                <w:sz w:val="20"/>
                <w:szCs w:val="20"/>
                <w:color w:val="auto"/>
              </w:rPr>
            </w:pPr>
            <w:r>
              <w:rPr>
                <w:rFonts w:ascii="Arial" w:cs="Arial" w:eastAsia="Arial" w:hAnsi="Arial"/>
                <w:sz w:val="15"/>
                <w:szCs w:val="15"/>
                <w:b w:val="1"/>
                <w:bCs w:val="1"/>
                <w:color w:val="auto"/>
                <w:w w:val="71"/>
              </w:rPr>
              <w:t>$</w:t>
            </w:r>
          </w:p>
        </w:tc>
        <w:tc>
          <w:tcPr>
            <w:tcW w:w="12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475</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3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382</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3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621</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3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2,255</w:t>
            </w:r>
          </w:p>
        </w:tc>
        <w:tc>
          <w:tcPr>
            <w:tcW w:w="0" w:type="dxa"/>
            <w:vAlign w:val="bottom"/>
          </w:tcPr>
          <w:p>
            <w:pPr>
              <w:spacing w:after="0"/>
              <w:rPr>
                <w:sz w:val="1"/>
                <w:szCs w:val="1"/>
                <w:color w:val="auto"/>
              </w:rPr>
            </w:pPr>
          </w:p>
        </w:tc>
      </w:tr>
      <w:tr>
        <w:trPr>
          <w:trHeight w:val="20"/>
        </w:trPr>
        <w:tc>
          <w:tcPr>
            <w:tcW w:w="3440" w:type="dxa"/>
            <w:vAlign w:val="bottom"/>
            <w:vMerge w:val="restart"/>
          </w:tcPr>
          <w:p>
            <w:pPr>
              <w:spacing w:after="0"/>
              <w:rPr>
                <w:sz w:val="20"/>
                <w:szCs w:val="20"/>
                <w:color w:val="auto"/>
              </w:rPr>
            </w:pPr>
            <w:r>
              <w:rPr>
                <w:rFonts w:ascii="Arial" w:cs="Arial" w:eastAsia="Arial" w:hAnsi="Arial"/>
                <w:sz w:val="16"/>
                <w:szCs w:val="16"/>
                <w:color w:val="auto"/>
                <w:w w:val="92"/>
              </w:rPr>
              <w:t>Change in deferred net revenues and related cost of</w:t>
            </w: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5"/>
        </w:trPr>
        <w:tc>
          <w:tcPr>
            <w:tcW w:w="34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3440" w:type="dxa"/>
            <w:vAlign w:val="bottom"/>
          </w:tcPr>
          <w:p>
            <w:pPr>
              <w:spacing w:after="0"/>
              <w:rPr>
                <w:sz w:val="20"/>
                <w:szCs w:val="20"/>
                <w:color w:val="auto"/>
              </w:rPr>
            </w:pPr>
            <w:r>
              <w:rPr>
                <w:rFonts w:ascii="Arial" w:cs="Arial" w:eastAsia="Arial" w:hAnsi="Arial"/>
                <w:sz w:val="16"/>
                <w:szCs w:val="16"/>
                <w:color w:val="auto"/>
              </w:rPr>
              <w:t>revenues</w:t>
            </w:r>
            <w:r>
              <w:rPr>
                <w:rFonts w:ascii="Arial" w:cs="Arial" w:eastAsia="Arial" w:hAnsi="Arial"/>
                <w:sz w:val="27"/>
                <w:szCs w:val="27"/>
                <w:color w:val="auto"/>
                <w:vertAlign w:val="superscript"/>
              </w:rPr>
              <w:t>4</w:t>
            </w:r>
          </w:p>
        </w:tc>
        <w:tc>
          <w:tcPr>
            <w:tcW w:w="1160" w:type="dxa"/>
            <w:vAlign w:val="bottom"/>
            <w:gridSpan w:val="2"/>
          </w:tcPr>
          <w:p>
            <w:pPr>
              <w:jc w:val="right"/>
              <w:ind w:right="901"/>
              <w:spacing w:after="0"/>
              <w:rPr>
                <w:sz w:val="20"/>
                <w:szCs w:val="20"/>
                <w:color w:val="auto"/>
              </w:rPr>
            </w:pPr>
            <w:r>
              <w:rPr>
                <w:rFonts w:ascii="Arial" w:cs="Arial" w:eastAsia="Arial" w:hAnsi="Arial"/>
                <w:sz w:val="16"/>
                <w:szCs w:val="16"/>
                <w:color w:val="auto"/>
              </w:rPr>
              <w:t>$</w:t>
            </w:r>
          </w:p>
        </w:tc>
        <w:tc>
          <w:tcPr>
            <w:tcW w:w="440" w:type="dxa"/>
            <w:vAlign w:val="bottom"/>
          </w:tcPr>
          <w:p>
            <w:pPr>
              <w:jc w:val="right"/>
              <w:spacing w:after="0"/>
              <w:rPr>
                <w:sz w:val="20"/>
                <w:szCs w:val="20"/>
                <w:color w:val="auto"/>
              </w:rPr>
            </w:pPr>
            <w:r>
              <w:rPr>
                <w:rFonts w:ascii="Arial" w:cs="Arial" w:eastAsia="Arial" w:hAnsi="Arial"/>
                <w:sz w:val="16"/>
                <w:szCs w:val="16"/>
                <w:color w:val="auto"/>
                <w:w w:val="96"/>
              </w:rPr>
              <w:t>(441)</w:t>
            </w:r>
          </w:p>
        </w:tc>
        <w:tc>
          <w:tcPr>
            <w:tcW w:w="360" w:type="dxa"/>
            <w:vAlign w:val="bottom"/>
            <w:gridSpan w:val="2"/>
          </w:tcPr>
          <w:p>
            <w:pPr>
              <w:jc w:val="right"/>
              <w:ind w:right="84"/>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(135)</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(53)</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577</w:t>
            </w: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340" w:right="80" w:hanging="332"/>
        <w:spacing w:after="0" w:line="230" w:lineRule="auto"/>
        <w:tabs>
          <w:tab w:leader="none" w:pos="340" w:val="left"/>
        </w:tabs>
        <w:numPr>
          <w:ilvl w:val="0"/>
          <w:numId w:val="60"/>
        </w:numPr>
        <w:rPr>
          <w:rFonts w:ascii="Arial" w:cs="Arial" w:eastAsia="Arial" w:hAnsi="Arial"/>
          <w:sz w:val="23"/>
          <w:szCs w:val="23"/>
          <w:color w:val="auto"/>
          <w:vertAlign w:val="superscript"/>
        </w:rPr>
      </w:pPr>
      <w:r>
        <w:rPr>
          <w:rFonts w:ascii="Arial" w:cs="Arial" w:eastAsia="Arial" w:hAnsi="Arial"/>
          <w:sz w:val="14"/>
          <w:szCs w:val="14"/>
          <w:color w:val="auto"/>
        </w:rPr>
        <w:t>Provision for income taxes for the three months ended June 30, 2019 and December 31, 2019 also include impacts from significant discrete tax-related items, including amounts related to changes in tax laws, amounts related to the potential or final resolution of tax positions, and/or other unusual or unique tax-related items and activities.</w:t>
      </w:r>
    </w:p>
    <w:p>
      <w:pPr>
        <w:ind w:left="340" w:hanging="332"/>
        <w:spacing w:after="0" w:line="184" w:lineRule="auto"/>
        <w:tabs>
          <w:tab w:leader="none" w:pos="340" w:val="left"/>
        </w:tabs>
        <w:numPr>
          <w:ilvl w:val="0"/>
          <w:numId w:val="61"/>
        </w:numPr>
        <w:rPr>
          <w:rFonts w:ascii="Arial" w:cs="Arial" w:eastAsia="Arial" w:hAnsi="Arial"/>
          <w:sz w:val="23"/>
          <w:szCs w:val="23"/>
          <w:color w:val="auto"/>
          <w:vertAlign w:val="superscript"/>
        </w:rPr>
      </w:pPr>
      <w:r>
        <w:rPr>
          <w:rFonts w:ascii="Arial" w:cs="Arial" w:eastAsia="Arial" w:hAnsi="Arial"/>
          <w:sz w:val="14"/>
          <w:szCs w:val="14"/>
          <w:color w:val="auto"/>
        </w:rPr>
        <w:t>Includes expenses related to share-based compensation.</w:t>
      </w:r>
    </w:p>
    <w:p>
      <w:pPr>
        <w:ind w:left="340" w:hanging="332"/>
        <w:spacing w:after="0" w:line="184" w:lineRule="auto"/>
        <w:tabs>
          <w:tab w:leader="none" w:pos="340" w:val="left"/>
        </w:tabs>
        <w:numPr>
          <w:ilvl w:val="0"/>
          <w:numId w:val="62"/>
        </w:numPr>
        <w:rPr>
          <w:rFonts w:ascii="Arial" w:cs="Arial" w:eastAsia="Arial" w:hAnsi="Arial"/>
          <w:sz w:val="23"/>
          <w:szCs w:val="23"/>
          <w:color w:val="auto"/>
          <w:vertAlign w:val="superscript"/>
        </w:rPr>
      </w:pPr>
      <w:r>
        <w:rPr>
          <w:rFonts w:ascii="Arial" w:cs="Arial" w:eastAsia="Arial" w:hAnsi="Arial"/>
          <w:sz w:val="14"/>
          <w:szCs w:val="14"/>
          <w:color w:val="auto"/>
        </w:rPr>
        <w:t>Reflects restructuring initiatives, primarily severance and other restructuring-related costs.</w:t>
      </w:r>
    </w:p>
    <w:p>
      <w:pPr>
        <w:ind w:left="340" w:hanging="332"/>
        <w:spacing w:after="0" w:line="184" w:lineRule="auto"/>
        <w:tabs>
          <w:tab w:leader="none" w:pos="340" w:val="left"/>
        </w:tabs>
        <w:numPr>
          <w:ilvl w:val="0"/>
          <w:numId w:val="63"/>
        </w:numPr>
        <w:rPr>
          <w:rFonts w:ascii="Arial" w:cs="Arial" w:eastAsia="Arial" w:hAnsi="Arial"/>
          <w:sz w:val="23"/>
          <w:szCs w:val="23"/>
          <w:color w:val="auto"/>
          <w:vertAlign w:val="superscript"/>
        </w:rPr>
      </w:pPr>
      <w:r>
        <w:rPr>
          <w:rFonts w:ascii="Arial" w:cs="Arial" w:eastAsia="Arial" w:hAnsi="Arial"/>
          <w:sz w:val="14"/>
          <w:szCs w:val="14"/>
          <w:color w:val="auto"/>
        </w:rPr>
        <w:t>Reflects the net effect from deferral of revenues and (recognition) of deferred revenues, along with related cost of revenues, on certain of our online enabled products.</w:t>
      </w:r>
    </w:p>
    <w:p>
      <w:pPr>
        <w:ind w:left="340" w:hanging="332"/>
        <w:spacing w:after="0" w:line="184" w:lineRule="auto"/>
        <w:tabs>
          <w:tab w:leader="none" w:pos="340" w:val="left"/>
        </w:tabs>
        <w:numPr>
          <w:ilvl w:val="0"/>
          <w:numId w:val="64"/>
        </w:numPr>
        <w:rPr>
          <w:rFonts w:ascii="Arial" w:cs="Arial" w:eastAsia="Arial" w:hAnsi="Arial"/>
          <w:sz w:val="23"/>
          <w:szCs w:val="23"/>
          <w:color w:val="auto"/>
          <w:vertAlign w:val="superscript"/>
        </w:rPr>
      </w:pPr>
      <w:r>
        <w:rPr>
          <w:rFonts w:ascii="Arial" w:cs="Arial" w:eastAsia="Arial" w:hAnsi="Arial"/>
          <w:sz w:val="14"/>
          <w:szCs w:val="14"/>
          <w:color w:val="auto"/>
        </w:rPr>
        <w:t>Reflects the impact of other unusual or unique tax-related items and activities.</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color w:val="auto"/>
        </w:rPr>
        <w:t>Trailing twelve months amounts are presented as calculated. Therefore, the sum of the four quarters, as presented, may differ due to the impact of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447040</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23" w:name="page24"/>
    <w:bookmarkEnd w:id="23"/>
    <w:p>
      <w:pPr>
        <w:jc w:val="right"/>
        <w:spacing w:after="0"/>
        <w:rPr>
          <w:sz w:val="20"/>
          <w:szCs w:val="20"/>
          <w:color w:val="auto"/>
        </w:rPr>
      </w:pPr>
      <w:r>
        <w:rPr>
          <w:rFonts w:ascii="Arial" w:cs="Arial" w:eastAsia="Arial" w:hAnsi="Arial"/>
          <w:sz w:val="18"/>
          <w:szCs w:val="18"/>
          <w:b w:val="1"/>
          <w:bCs w:val="1"/>
          <w:color w:val="auto"/>
        </w:rPr>
        <w:t>15</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ACTIVISION BLIZZARD,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 for the Three Months Ending March 31, 2020 and Year Ending December 31, 2020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GAAP to Non-GAAP Reconciliation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in millions, except per share data)</w:t>
      </w:r>
    </w:p>
    <w:p>
      <w:pPr>
        <w:spacing w:after="0" w:line="211" w:lineRule="exact"/>
        <w:rPr>
          <w:sz w:val="20"/>
          <w:szCs w:val="20"/>
          <w:color w:val="auto"/>
        </w:rPr>
      </w:pPr>
    </w:p>
    <w:tbl>
      <w:tblPr>
        <w:tblLayout w:type="fixed"/>
        <w:tblInd w:w="580" w:type="dxa"/>
        <w:tblCellMar>
          <w:top w:w="0" w:type="dxa"/>
          <w:left w:w="0" w:type="dxa"/>
          <w:bottom w:w="0" w:type="dxa"/>
          <w:right w:w="0" w:type="dxa"/>
        </w:tblCellMar>
      </w:tblPr>
      <w:tr>
        <w:trPr>
          <w:trHeight w:val="203"/>
        </w:trPr>
        <w:tc>
          <w:tcPr>
            <w:tcW w:w="6280" w:type="dxa"/>
            <w:vAlign w:val="bottom"/>
          </w:tcPr>
          <w:p>
            <w:pPr>
              <w:spacing w:after="0"/>
              <w:rPr>
                <w:sz w:val="17"/>
                <w:szCs w:val="17"/>
                <w:color w:val="auto"/>
              </w:rPr>
            </w:pPr>
          </w:p>
        </w:tc>
        <w:tc>
          <w:tcPr>
            <w:tcW w:w="20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2"/>
              </w:rPr>
              <w:t>Outlook for the</w:t>
            </w:r>
          </w:p>
        </w:tc>
        <w:tc>
          <w:tcPr>
            <w:tcW w:w="1940" w:type="dxa"/>
            <w:vAlign w:val="bottom"/>
          </w:tcPr>
          <w:p>
            <w:pPr>
              <w:jc w:val="center"/>
              <w:ind w:right="39"/>
              <w:spacing w:after="0"/>
              <w:rPr>
                <w:sz w:val="20"/>
                <w:szCs w:val="20"/>
                <w:color w:val="auto"/>
              </w:rPr>
            </w:pPr>
            <w:r>
              <w:rPr>
                <w:rFonts w:ascii="Arial" w:cs="Arial" w:eastAsia="Arial" w:hAnsi="Arial"/>
                <w:sz w:val="16"/>
                <w:szCs w:val="16"/>
                <w:b w:val="1"/>
                <w:bCs w:val="1"/>
                <w:color w:val="auto"/>
                <w:w w:val="92"/>
              </w:rPr>
              <w:t>Outlook for the</w:t>
            </w:r>
          </w:p>
        </w:tc>
        <w:tc>
          <w:tcPr>
            <w:tcW w:w="0" w:type="dxa"/>
            <w:vAlign w:val="bottom"/>
          </w:tcPr>
          <w:p>
            <w:pPr>
              <w:spacing w:after="0"/>
              <w:rPr>
                <w:sz w:val="1"/>
                <w:szCs w:val="1"/>
                <w:color w:val="auto"/>
              </w:rPr>
            </w:pPr>
          </w:p>
        </w:tc>
      </w:tr>
      <w:tr>
        <w:trPr>
          <w:trHeight w:val="203"/>
        </w:trPr>
        <w:tc>
          <w:tcPr>
            <w:tcW w:w="6280" w:type="dxa"/>
            <w:vAlign w:val="bottom"/>
          </w:tcPr>
          <w:p>
            <w:pPr>
              <w:spacing w:after="0"/>
              <w:rPr>
                <w:sz w:val="17"/>
                <w:szCs w:val="17"/>
                <w:color w:val="auto"/>
              </w:rPr>
            </w:pPr>
          </w:p>
        </w:tc>
        <w:tc>
          <w:tcPr>
            <w:tcW w:w="206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2"/>
              </w:rPr>
              <w:t>Three Months Ending</w:t>
            </w:r>
          </w:p>
        </w:tc>
        <w:tc>
          <w:tcPr>
            <w:tcW w:w="1940" w:type="dxa"/>
            <w:vAlign w:val="bottom"/>
          </w:tcPr>
          <w:p>
            <w:pPr>
              <w:jc w:val="center"/>
              <w:ind w:right="39"/>
              <w:spacing w:after="0"/>
              <w:rPr>
                <w:sz w:val="20"/>
                <w:szCs w:val="20"/>
                <w:color w:val="auto"/>
              </w:rPr>
            </w:pPr>
            <w:r>
              <w:rPr>
                <w:rFonts w:ascii="Arial" w:cs="Arial" w:eastAsia="Arial" w:hAnsi="Arial"/>
                <w:sz w:val="16"/>
                <w:szCs w:val="16"/>
                <w:b w:val="1"/>
                <w:bCs w:val="1"/>
                <w:color w:val="auto"/>
                <w:w w:val="92"/>
              </w:rPr>
              <w:t>Year Ending</w:t>
            </w:r>
          </w:p>
        </w:tc>
        <w:tc>
          <w:tcPr>
            <w:tcW w:w="0" w:type="dxa"/>
            <w:vAlign w:val="bottom"/>
          </w:tcPr>
          <w:p>
            <w:pPr>
              <w:spacing w:after="0"/>
              <w:rPr>
                <w:sz w:val="1"/>
                <w:szCs w:val="1"/>
                <w:color w:val="auto"/>
              </w:rPr>
            </w:pPr>
          </w:p>
        </w:tc>
      </w:tr>
      <w:tr>
        <w:trPr>
          <w:trHeight w:val="210"/>
        </w:trPr>
        <w:tc>
          <w:tcPr>
            <w:tcW w:w="6280" w:type="dxa"/>
            <w:vAlign w:val="bottom"/>
          </w:tcPr>
          <w:p>
            <w:pPr>
              <w:spacing w:after="0"/>
              <w:rPr>
                <w:sz w:val="18"/>
                <w:szCs w:val="18"/>
                <w:color w:val="auto"/>
              </w:rPr>
            </w:pPr>
          </w:p>
        </w:tc>
        <w:tc>
          <w:tcPr>
            <w:tcW w:w="206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4"/>
              </w:rPr>
              <w:t>March 31, 2020</w:t>
            </w:r>
          </w:p>
        </w:tc>
        <w:tc>
          <w:tcPr>
            <w:tcW w:w="1940" w:type="dxa"/>
            <w:vAlign w:val="bottom"/>
          </w:tcPr>
          <w:p>
            <w:pPr>
              <w:jc w:val="center"/>
              <w:ind w:right="39"/>
              <w:spacing w:after="0"/>
              <w:rPr>
                <w:sz w:val="20"/>
                <w:szCs w:val="20"/>
                <w:color w:val="auto"/>
              </w:rPr>
            </w:pPr>
            <w:r>
              <w:rPr>
                <w:rFonts w:ascii="Arial" w:cs="Arial" w:eastAsia="Arial" w:hAnsi="Arial"/>
                <w:sz w:val="16"/>
                <w:szCs w:val="16"/>
                <w:b w:val="1"/>
                <w:bCs w:val="1"/>
                <w:color w:val="auto"/>
                <w:w w:val="90"/>
              </w:rPr>
              <w:t>December 31, 2020</w:t>
            </w:r>
          </w:p>
        </w:tc>
        <w:tc>
          <w:tcPr>
            <w:tcW w:w="0" w:type="dxa"/>
            <w:vAlign w:val="bottom"/>
          </w:tcPr>
          <w:p>
            <w:pPr>
              <w:spacing w:after="0"/>
              <w:rPr>
                <w:sz w:val="1"/>
                <w:szCs w:val="1"/>
                <w:color w:val="auto"/>
              </w:rPr>
            </w:pPr>
          </w:p>
        </w:tc>
      </w:tr>
      <w:tr>
        <w:trPr>
          <w:trHeight w:val="432"/>
        </w:trPr>
        <w:tc>
          <w:tcPr>
            <w:tcW w:w="6280" w:type="dxa"/>
            <w:vAlign w:val="bottom"/>
          </w:tcPr>
          <w:p>
            <w:pPr>
              <w:spacing w:after="0"/>
              <w:rPr>
                <w:sz w:val="20"/>
                <w:szCs w:val="20"/>
                <w:color w:val="auto"/>
              </w:rPr>
            </w:pPr>
            <w:r>
              <w:rPr>
                <w:rFonts w:ascii="Arial" w:cs="Arial" w:eastAsia="Arial" w:hAnsi="Arial"/>
                <w:sz w:val="16"/>
                <w:szCs w:val="16"/>
                <w:b w:val="1"/>
                <w:bCs w:val="1"/>
                <w:color w:val="auto"/>
              </w:rPr>
              <w:t>Net Revenues</w:t>
            </w:r>
            <w:r>
              <w:rPr>
                <w:rFonts w:ascii="Arial" w:cs="Arial" w:eastAsia="Arial" w:hAnsi="Arial"/>
                <w:sz w:val="27"/>
                <w:szCs w:val="27"/>
                <w:b w:val="1"/>
                <w:bCs w:val="1"/>
                <w:color w:val="auto"/>
                <w:vertAlign w:val="superscript"/>
              </w:rPr>
              <w:t>1</w:t>
            </w:r>
          </w:p>
        </w:tc>
        <w:tc>
          <w:tcPr>
            <w:tcW w:w="1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1,640</w:t>
            </w:r>
          </w:p>
        </w:tc>
        <w:tc>
          <w:tcPr>
            <w:tcW w:w="100" w:type="dxa"/>
            <w:vAlign w:val="bottom"/>
          </w:tcPr>
          <w:p>
            <w:pPr>
              <w:spacing w:after="0"/>
              <w:rPr>
                <w:sz w:val="24"/>
                <w:szCs w:val="24"/>
                <w:color w:val="auto"/>
              </w:rPr>
            </w:pPr>
          </w:p>
        </w:tc>
        <w:tc>
          <w:tcPr>
            <w:tcW w:w="1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6,450</w:t>
            </w:r>
          </w:p>
        </w:tc>
        <w:tc>
          <w:tcPr>
            <w:tcW w:w="0" w:type="dxa"/>
            <w:vAlign w:val="bottom"/>
          </w:tcPr>
          <w:p>
            <w:pPr>
              <w:spacing w:after="0"/>
              <w:rPr>
                <w:sz w:val="1"/>
                <w:szCs w:val="1"/>
                <w:color w:val="auto"/>
              </w:rPr>
            </w:pPr>
          </w:p>
        </w:tc>
      </w:tr>
      <w:tr>
        <w:trPr>
          <w:trHeight w:val="355"/>
        </w:trPr>
        <w:tc>
          <w:tcPr>
            <w:tcW w:w="6280" w:type="dxa"/>
            <w:vAlign w:val="bottom"/>
          </w:tcPr>
          <w:p>
            <w:pPr>
              <w:spacing w:after="0"/>
              <w:rPr>
                <w:sz w:val="20"/>
                <w:szCs w:val="20"/>
                <w:color w:val="auto"/>
              </w:rPr>
            </w:pPr>
            <w:r>
              <w:rPr>
                <w:rFonts w:ascii="Arial" w:cs="Arial" w:eastAsia="Arial" w:hAnsi="Arial"/>
                <w:sz w:val="16"/>
                <w:szCs w:val="16"/>
                <w:b w:val="1"/>
                <w:bCs w:val="1"/>
                <w:color w:val="auto"/>
              </w:rPr>
              <w:t>Change in deferred revenues</w:t>
            </w:r>
            <w:r>
              <w:rPr>
                <w:rFonts w:ascii="Arial" w:cs="Arial" w:eastAsia="Arial" w:hAnsi="Arial"/>
                <w:sz w:val="27"/>
                <w:szCs w:val="27"/>
                <w:b w:val="1"/>
                <w:bCs w:val="1"/>
                <w:color w:val="auto"/>
                <w:vertAlign w:val="superscript"/>
              </w:rPr>
              <w:t>2</w:t>
            </w:r>
          </w:p>
        </w:tc>
        <w:tc>
          <w:tcPr>
            <w:tcW w:w="1960" w:type="dxa"/>
            <w:vAlign w:val="bottom"/>
          </w:tcPr>
          <w:p>
            <w:pPr>
              <w:jc w:val="right"/>
              <w:spacing w:after="0"/>
              <w:rPr>
                <w:sz w:val="20"/>
                <w:szCs w:val="20"/>
                <w:color w:val="auto"/>
              </w:rPr>
            </w:pPr>
            <w:r>
              <w:rPr>
                <w:rFonts w:ascii="Arial" w:cs="Arial" w:eastAsia="Arial" w:hAnsi="Arial"/>
                <w:sz w:val="16"/>
                <w:szCs w:val="16"/>
                <w:b w:val="1"/>
                <w:bCs w:val="1"/>
                <w:color w:val="auto"/>
              </w:rPr>
              <w:t>(365)</w:t>
            </w:r>
          </w:p>
        </w:tc>
        <w:tc>
          <w:tcPr>
            <w:tcW w:w="100" w:type="dxa"/>
            <w:vAlign w:val="bottom"/>
          </w:tcPr>
          <w:p>
            <w:pPr>
              <w:spacing w:after="0"/>
              <w:rPr>
                <w:sz w:val="24"/>
                <w:szCs w:val="24"/>
                <w:color w:val="auto"/>
              </w:rPr>
            </w:pPr>
          </w:p>
        </w:tc>
        <w:tc>
          <w:tcPr>
            <w:tcW w:w="1940" w:type="dxa"/>
            <w:vAlign w:val="bottom"/>
          </w:tcPr>
          <w:p>
            <w:pPr>
              <w:jc w:val="right"/>
              <w:ind w:right="19"/>
              <w:spacing w:after="0"/>
              <w:rPr>
                <w:sz w:val="20"/>
                <w:szCs w:val="20"/>
                <w:color w:val="auto"/>
              </w:rPr>
            </w:pPr>
            <w:r>
              <w:rPr>
                <w:rFonts w:ascii="Arial" w:cs="Arial" w:eastAsia="Arial" w:hAnsi="Arial"/>
                <w:sz w:val="16"/>
                <w:szCs w:val="16"/>
                <w:b w:val="1"/>
                <w:bCs w:val="1"/>
                <w:color w:val="auto"/>
              </w:rPr>
              <w:t>275</w:t>
            </w:r>
          </w:p>
        </w:tc>
        <w:tc>
          <w:tcPr>
            <w:tcW w:w="0" w:type="dxa"/>
            <w:vAlign w:val="bottom"/>
          </w:tcPr>
          <w:p>
            <w:pPr>
              <w:spacing w:after="0"/>
              <w:rPr>
                <w:sz w:val="1"/>
                <w:szCs w:val="1"/>
                <w:color w:val="auto"/>
              </w:rPr>
            </w:pPr>
          </w:p>
        </w:tc>
      </w:tr>
      <w:tr>
        <w:trPr>
          <w:trHeight w:val="499"/>
        </w:trPr>
        <w:tc>
          <w:tcPr>
            <w:tcW w:w="6280" w:type="dxa"/>
            <w:vAlign w:val="bottom"/>
          </w:tcPr>
          <w:p>
            <w:pPr>
              <w:spacing w:after="0"/>
              <w:rPr>
                <w:sz w:val="20"/>
                <w:szCs w:val="20"/>
                <w:color w:val="auto"/>
              </w:rPr>
            </w:pPr>
            <w:r>
              <w:rPr>
                <w:rFonts w:ascii="Arial" w:cs="Arial" w:eastAsia="Arial" w:hAnsi="Arial"/>
                <w:sz w:val="16"/>
                <w:szCs w:val="16"/>
                <w:b w:val="1"/>
                <w:bCs w:val="1"/>
                <w:color w:val="auto"/>
              </w:rPr>
              <w:t>Earnings Per Diluted Share (GAAP)</w:t>
            </w:r>
          </w:p>
        </w:tc>
        <w:tc>
          <w:tcPr>
            <w:tcW w:w="1960" w:type="dxa"/>
            <w:vAlign w:val="bottom"/>
          </w:tcPr>
          <w:p>
            <w:pPr>
              <w:jc w:val="right"/>
              <w:ind w:right="19"/>
              <w:spacing w:after="0"/>
              <w:rPr>
                <w:sz w:val="20"/>
                <w:szCs w:val="20"/>
                <w:color w:val="auto"/>
              </w:rPr>
            </w:pPr>
            <w:r>
              <w:rPr>
                <w:rFonts w:ascii="Arial" w:cs="Arial" w:eastAsia="Arial" w:hAnsi="Arial"/>
                <w:sz w:val="16"/>
                <w:szCs w:val="16"/>
                <w:b w:val="1"/>
                <w:bCs w:val="1"/>
                <w:color w:val="auto"/>
              </w:rPr>
              <w:t>0.55</w:t>
            </w:r>
          </w:p>
        </w:tc>
        <w:tc>
          <w:tcPr>
            <w:tcW w:w="100" w:type="dxa"/>
            <w:vAlign w:val="bottom"/>
          </w:tcPr>
          <w:p>
            <w:pPr>
              <w:spacing w:after="0"/>
              <w:rPr>
                <w:sz w:val="24"/>
                <w:szCs w:val="24"/>
                <w:color w:val="auto"/>
              </w:rPr>
            </w:pPr>
          </w:p>
        </w:tc>
        <w:tc>
          <w:tcPr>
            <w:tcW w:w="1940" w:type="dxa"/>
            <w:vAlign w:val="bottom"/>
          </w:tcPr>
          <w:p>
            <w:pPr>
              <w:jc w:val="right"/>
              <w:ind w:right="19"/>
              <w:spacing w:after="0"/>
              <w:rPr>
                <w:sz w:val="20"/>
                <w:szCs w:val="20"/>
                <w:color w:val="auto"/>
              </w:rPr>
            </w:pPr>
            <w:r>
              <w:rPr>
                <w:rFonts w:ascii="Arial" w:cs="Arial" w:eastAsia="Arial" w:hAnsi="Arial"/>
                <w:sz w:val="16"/>
                <w:szCs w:val="16"/>
                <w:b w:val="1"/>
                <w:bCs w:val="1"/>
                <w:color w:val="auto"/>
              </w:rPr>
              <w:t>1.85</w:t>
            </w:r>
          </w:p>
        </w:tc>
        <w:tc>
          <w:tcPr>
            <w:tcW w:w="0" w:type="dxa"/>
            <w:vAlign w:val="bottom"/>
          </w:tcPr>
          <w:p>
            <w:pPr>
              <w:spacing w:after="0"/>
              <w:rPr>
                <w:sz w:val="1"/>
                <w:szCs w:val="1"/>
                <w:color w:val="auto"/>
              </w:rPr>
            </w:pPr>
          </w:p>
        </w:tc>
      </w:tr>
      <w:tr>
        <w:trPr>
          <w:trHeight w:val="202"/>
        </w:trPr>
        <w:tc>
          <w:tcPr>
            <w:tcW w:w="6280" w:type="dxa"/>
            <w:vAlign w:val="bottom"/>
          </w:tcPr>
          <w:p>
            <w:pPr>
              <w:spacing w:after="0"/>
              <w:rPr>
                <w:sz w:val="20"/>
                <w:szCs w:val="20"/>
                <w:color w:val="auto"/>
              </w:rPr>
            </w:pPr>
            <w:r>
              <w:rPr>
                <w:rFonts w:ascii="Arial" w:cs="Arial" w:eastAsia="Arial" w:hAnsi="Arial"/>
                <w:sz w:val="16"/>
                <w:szCs w:val="16"/>
                <w:color w:val="auto"/>
              </w:rPr>
              <w:t>Excluding the impact of:</w:t>
            </w:r>
          </w:p>
        </w:tc>
        <w:tc>
          <w:tcPr>
            <w:tcW w:w="1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6280" w:type="dxa"/>
            <w:vAlign w:val="bottom"/>
          </w:tcPr>
          <w:p>
            <w:pPr>
              <w:ind w:left="160"/>
              <w:spacing w:after="0" w:line="242" w:lineRule="exact"/>
              <w:rPr>
                <w:sz w:val="20"/>
                <w:szCs w:val="20"/>
                <w:color w:val="auto"/>
              </w:rPr>
            </w:pPr>
            <w:r>
              <w:rPr>
                <w:rFonts w:ascii="Arial" w:cs="Arial" w:eastAsia="Arial" w:hAnsi="Arial"/>
                <w:sz w:val="16"/>
                <w:szCs w:val="16"/>
                <w:color w:val="auto"/>
              </w:rPr>
              <w:t>Share-based compensation</w:t>
            </w:r>
            <w:r>
              <w:rPr>
                <w:rFonts w:ascii="Arial" w:cs="Arial" w:eastAsia="Arial" w:hAnsi="Arial"/>
                <w:sz w:val="27"/>
                <w:szCs w:val="27"/>
                <w:color w:val="auto"/>
                <w:vertAlign w:val="superscript"/>
              </w:rPr>
              <w:t>3</w:t>
            </w:r>
          </w:p>
        </w:tc>
        <w:tc>
          <w:tcPr>
            <w:tcW w:w="1960" w:type="dxa"/>
            <w:vAlign w:val="bottom"/>
          </w:tcPr>
          <w:p>
            <w:pPr>
              <w:jc w:val="right"/>
              <w:ind w:right="19"/>
              <w:spacing w:after="0"/>
              <w:rPr>
                <w:sz w:val="20"/>
                <w:szCs w:val="20"/>
                <w:color w:val="auto"/>
              </w:rPr>
            </w:pPr>
            <w:r>
              <w:rPr>
                <w:rFonts w:ascii="Arial" w:cs="Arial" w:eastAsia="Arial" w:hAnsi="Arial"/>
                <w:sz w:val="16"/>
                <w:szCs w:val="16"/>
                <w:color w:val="auto"/>
              </w:rPr>
              <w:t>0.06</w:t>
            </w:r>
          </w:p>
        </w:tc>
        <w:tc>
          <w:tcPr>
            <w:tcW w:w="100" w:type="dxa"/>
            <w:vAlign w:val="bottom"/>
          </w:tcPr>
          <w:p>
            <w:pPr>
              <w:spacing w:after="0"/>
              <w:rPr>
                <w:sz w:val="21"/>
                <w:szCs w:val="21"/>
                <w:color w:val="auto"/>
              </w:rPr>
            </w:pPr>
          </w:p>
        </w:tc>
        <w:tc>
          <w:tcPr>
            <w:tcW w:w="1940" w:type="dxa"/>
            <w:vAlign w:val="bottom"/>
          </w:tcPr>
          <w:p>
            <w:pPr>
              <w:jc w:val="right"/>
              <w:ind w:right="19"/>
              <w:spacing w:after="0"/>
              <w:rPr>
                <w:sz w:val="20"/>
                <w:szCs w:val="20"/>
                <w:color w:val="auto"/>
              </w:rPr>
            </w:pPr>
            <w:r>
              <w:rPr>
                <w:rFonts w:ascii="Arial" w:cs="Arial" w:eastAsia="Arial" w:hAnsi="Arial"/>
                <w:sz w:val="16"/>
                <w:szCs w:val="16"/>
                <w:color w:val="auto"/>
              </w:rPr>
              <w:t>0.30</w:t>
            </w:r>
          </w:p>
        </w:tc>
        <w:tc>
          <w:tcPr>
            <w:tcW w:w="0" w:type="dxa"/>
            <w:vAlign w:val="bottom"/>
          </w:tcPr>
          <w:p>
            <w:pPr>
              <w:spacing w:after="0"/>
              <w:rPr>
                <w:sz w:val="1"/>
                <w:szCs w:val="1"/>
                <w:color w:val="auto"/>
              </w:rPr>
            </w:pPr>
          </w:p>
        </w:tc>
      </w:tr>
      <w:tr>
        <w:trPr>
          <w:trHeight w:val="243"/>
        </w:trPr>
        <w:tc>
          <w:tcPr>
            <w:tcW w:w="6280" w:type="dxa"/>
            <w:vAlign w:val="bottom"/>
          </w:tcPr>
          <w:p>
            <w:pPr>
              <w:ind w:left="160"/>
              <w:spacing w:after="0" w:line="242" w:lineRule="exact"/>
              <w:rPr>
                <w:sz w:val="20"/>
                <w:szCs w:val="20"/>
                <w:color w:val="auto"/>
              </w:rPr>
            </w:pPr>
            <w:r>
              <w:rPr>
                <w:rFonts w:ascii="Arial" w:cs="Arial" w:eastAsia="Arial" w:hAnsi="Arial"/>
                <w:sz w:val="16"/>
                <w:szCs w:val="16"/>
                <w:color w:val="auto"/>
              </w:rPr>
              <w:t>Amortization of intangible assets</w:t>
            </w:r>
            <w:r>
              <w:rPr>
                <w:rFonts w:ascii="Arial" w:cs="Arial" w:eastAsia="Arial" w:hAnsi="Arial"/>
                <w:sz w:val="27"/>
                <w:szCs w:val="27"/>
                <w:color w:val="auto"/>
                <w:vertAlign w:val="superscript"/>
              </w:rPr>
              <w:t>4</w:t>
            </w:r>
          </w:p>
        </w:tc>
        <w:tc>
          <w:tcPr>
            <w:tcW w:w="1960" w:type="dxa"/>
            <w:vAlign w:val="bottom"/>
          </w:tcPr>
          <w:p>
            <w:pPr>
              <w:jc w:val="right"/>
              <w:ind w:right="19"/>
              <w:spacing w:after="0"/>
              <w:rPr>
                <w:sz w:val="20"/>
                <w:szCs w:val="20"/>
                <w:color w:val="auto"/>
              </w:rPr>
            </w:pPr>
            <w:r>
              <w:rPr>
                <w:rFonts w:ascii="Arial" w:cs="Arial" w:eastAsia="Arial" w:hAnsi="Arial"/>
                <w:sz w:val="16"/>
                <w:szCs w:val="16"/>
                <w:color w:val="auto"/>
              </w:rPr>
              <w:t>0.04</w:t>
            </w:r>
          </w:p>
        </w:tc>
        <w:tc>
          <w:tcPr>
            <w:tcW w:w="100" w:type="dxa"/>
            <w:vAlign w:val="bottom"/>
          </w:tcPr>
          <w:p>
            <w:pPr>
              <w:spacing w:after="0"/>
              <w:rPr>
                <w:sz w:val="21"/>
                <w:szCs w:val="21"/>
                <w:color w:val="auto"/>
              </w:rPr>
            </w:pPr>
          </w:p>
        </w:tc>
        <w:tc>
          <w:tcPr>
            <w:tcW w:w="1940" w:type="dxa"/>
            <w:vAlign w:val="bottom"/>
          </w:tcPr>
          <w:p>
            <w:pPr>
              <w:jc w:val="right"/>
              <w:ind w:right="19"/>
              <w:spacing w:after="0"/>
              <w:rPr>
                <w:sz w:val="20"/>
                <w:szCs w:val="20"/>
                <w:color w:val="auto"/>
              </w:rPr>
            </w:pPr>
            <w:r>
              <w:rPr>
                <w:rFonts w:ascii="Arial" w:cs="Arial" w:eastAsia="Arial" w:hAnsi="Arial"/>
                <w:sz w:val="16"/>
                <w:szCs w:val="16"/>
                <w:color w:val="auto"/>
              </w:rPr>
              <w:t>0.10</w:t>
            </w:r>
          </w:p>
        </w:tc>
        <w:tc>
          <w:tcPr>
            <w:tcW w:w="0" w:type="dxa"/>
            <w:vAlign w:val="bottom"/>
          </w:tcPr>
          <w:p>
            <w:pPr>
              <w:spacing w:after="0"/>
              <w:rPr>
                <w:sz w:val="1"/>
                <w:szCs w:val="1"/>
                <w:color w:val="auto"/>
              </w:rPr>
            </w:pPr>
          </w:p>
        </w:tc>
      </w:tr>
      <w:tr>
        <w:trPr>
          <w:trHeight w:val="243"/>
        </w:trPr>
        <w:tc>
          <w:tcPr>
            <w:tcW w:w="6280" w:type="dxa"/>
            <w:vAlign w:val="bottom"/>
          </w:tcPr>
          <w:p>
            <w:pPr>
              <w:ind w:left="160"/>
              <w:spacing w:after="0" w:line="242" w:lineRule="exact"/>
              <w:rPr>
                <w:sz w:val="20"/>
                <w:szCs w:val="20"/>
                <w:color w:val="auto"/>
              </w:rPr>
            </w:pPr>
            <w:r>
              <w:rPr>
                <w:rFonts w:ascii="Arial" w:cs="Arial" w:eastAsia="Arial" w:hAnsi="Arial"/>
                <w:sz w:val="16"/>
                <w:szCs w:val="16"/>
                <w:color w:val="auto"/>
              </w:rPr>
              <w:t>Restructuring and related costs</w:t>
            </w:r>
            <w:r>
              <w:rPr>
                <w:rFonts w:ascii="Arial" w:cs="Arial" w:eastAsia="Arial" w:hAnsi="Arial"/>
                <w:sz w:val="27"/>
                <w:szCs w:val="27"/>
                <w:color w:val="auto"/>
                <w:vertAlign w:val="superscript"/>
              </w:rPr>
              <w:t>5</w:t>
            </w:r>
          </w:p>
        </w:tc>
        <w:tc>
          <w:tcPr>
            <w:tcW w:w="1960" w:type="dxa"/>
            <w:vAlign w:val="bottom"/>
          </w:tcPr>
          <w:p>
            <w:pPr>
              <w:jc w:val="right"/>
              <w:ind w:right="19"/>
              <w:spacing w:after="0"/>
              <w:rPr>
                <w:sz w:val="20"/>
                <w:szCs w:val="20"/>
                <w:color w:val="auto"/>
              </w:rPr>
            </w:pPr>
            <w:r>
              <w:rPr>
                <w:rFonts w:ascii="Arial" w:cs="Arial" w:eastAsia="Arial" w:hAnsi="Arial"/>
                <w:sz w:val="16"/>
                <w:szCs w:val="16"/>
                <w:color w:val="auto"/>
              </w:rPr>
              <w:t>0.04</w:t>
            </w:r>
          </w:p>
        </w:tc>
        <w:tc>
          <w:tcPr>
            <w:tcW w:w="100" w:type="dxa"/>
            <w:vAlign w:val="bottom"/>
          </w:tcPr>
          <w:p>
            <w:pPr>
              <w:spacing w:after="0"/>
              <w:rPr>
                <w:sz w:val="21"/>
                <w:szCs w:val="21"/>
                <w:color w:val="auto"/>
              </w:rPr>
            </w:pPr>
          </w:p>
        </w:tc>
        <w:tc>
          <w:tcPr>
            <w:tcW w:w="1940" w:type="dxa"/>
            <w:vAlign w:val="bottom"/>
          </w:tcPr>
          <w:p>
            <w:pPr>
              <w:jc w:val="right"/>
              <w:ind w:right="19"/>
              <w:spacing w:after="0"/>
              <w:rPr>
                <w:sz w:val="20"/>
                <w:szCs w:val="20"/>
                <w:color w:val="auto"/>
              </w:rPr>
            </w:pPr>
            <w:r>
              <w:rPr>
                <w:rFonts w:ascii="Arial" w:cs="Arial" w:eastAsia="Arial" w:hAnsi="Arial"/>
                <w:sz w:val="16"/>
                <w:szCs w:val="16"/>
                <w:color w:val="auto"/>
              </w:rPr>
              <w:t>0.07</w:t>
            </w:r>
          </w:p>
        </w:tc>
        <w:tc>
          <w:tcPr>
            <w:tcW w:w="0" w:type="dxa"/>
            <w:vAlign w:val="bottom"/>
          </w:tcPr>
          <w:p>
            <w:pPr>
              <w:spacing w:after="0"/>
              <w:rPr>
                <w:sz w:val="1"/>
                <w:szCs w:val="1"/>
                <w:color w:val="auto"/>
              </w:rPr>
            </w:pPr>
          </w:p>
        </w:tc>
      </w:tr>
      <w:tr>
        <w:trPr>
          <w:trHeight w:val="254"/>
        </w:trPr>
        <w:tc>
          <w:tcPr>
            <w:tcW w:w="6280" w:type="dxa"/>
            <w:vAlign w:val="bottom"/>
          </w:tcPr>
          <w:p>
            <w:pPr>
              <w:ind w:left="160"/>
              <w:spacing w:after="0" w:line="254" w:lineRule="exact"/>
              <w:rPr>
                <w:sz w:val="20"/>
                <w:szCs w:val="20"/>
                <w:color w:val="auto"/>
              </w:rPr>
            </w:pPr>
            <w:r>
              <w:rPr>
                <w:rFonts w:ascii="Arial" w:cs="Arial" w:eastAsia="Arial" w:hAnsi="Arial"/>
                <w:sz w:val="16"/>
                <w:szCs w:val="16"/>
                <w:color w:val="auto"/>
              </w:rPr>
              <w:t>Income tax impacts from items above</w:t>
            </w:r>
            <w:r>
              <w:rPr>
                <w:rFonts w:ascii="Arial" w:cs="Arial" w:eastAsia="Arial" w:hAnsi="Arial"/>
                <w:sz w:val="27"/>
                <w:szCs w:val="27"/>
                <w:color w:val="auto"/>
                <w:vertAlign w:val="superscript"/>
              </w:rPr>
              <w:t>6</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(0.03)</w:t>
            </w:r>
          </w:p>
        </w:tc>
        <w:tc>
          <w:tcPr>
            <w:tcW w:w="100" w:type="dxa"/>
            <w:vAlign w:val="bottom"/>
          </w:tcPr>
          <w:p>
            <w:pPr>
              <w:spacing w:after="0"/>
              <w:rPr>
                <w:sz w:val="22"/>
                <w:szCs w:val="22"/>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(0.09)</w:t>
            </w:r>
          </w:p>
        </w:tc>
        <w:tc>
          <w:tcPr>
            <w:tcW w:w="0" w:type="dxa"/>
            <w:vAlign w:val="bottom"/>
          </w:tcPr>
          <w:p>
            <w:pPr>
              <w:spacing w:after="0"/>
              <w:rPr>
                <w:sz w:val="1"/>
                <w:szCs w:val="1"/>
                <w:color w:val="auto"/>
              </w:rPr>
            </w:pPr>
          </w:p>
        </w:tc>
      </w:tr>
      <w:tr>
        <w:trPr>
          <w:trHeight w:val="196"/>
        </w:trPr>
        <w:tc>
          <w:tcPr>
            <w:tcW w:w="6280" w:type="dxa"/>
            <w:vAlign w:val="bottom"/>
          </w:tcPr>
          <w:p>
            <w:pPr>
              <w:spacing w:after="0"/>
              <w:rPr>
                <w:sz w:val="20"/>
                <w:szCs w:val="20"/>
                <w:color w:val="auto"/>
              </w:rPr>
            </w:pPr>
            <w:r>
              <w:rPr>
                <w:rFonts w:ascii="Arial" w:cs="Arial" w:eastAsia="Arial" w:hAnsi="Arial"/>
                <w:sz w:val="16"/>
                <w:szCs w:val="16"/>
                <w:b w:val="1"/>
                <w:bCs w:val="1"/>
                <w:color w:val="auto"/>
              </w:rPr>
              <w:t>Earnings Per Diluted Share (Non-GAAP)</w:t>
            </w:r>
          </w:p>
        </w:tc>
        <w:tc>
          <w:tcPr>
            <w:tcW w:w="1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0.66</w:t>
            </w:r>
          </w:p>
        </w:tc>
        <w:tc>
          <w:tcPr>
            <w:tcW w:w="100" w:type="dxa"/>
            <w:vAlign w:val="bottom"/>
          </w:tcPr>
          <w:p>
            <w:pPr>
              <w:spacing w:after="0"/>
              <w:rPr>
                <w:sz w:val="17"/>
                <w:szCs w:val="17"/>
                <w:color w:val="auto"/>
              </w:rPr>
            </w:pPr>
          </w:p>
        </w:tc>
        <w:tc>
          <w:tcPr>
            <w:tcW w:w="1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2.22</w:t>
            </w:r>
          </w:p>
        </w:tc>
        <w:tc>
          <w:tcPr>
            <w:tcW w:w="0" w:type="dxa"/>
            <w:vAlign w:val="bottom"/>
          </w:tcPr>
          <w:p>
            <w:pPr>
              <w:spacing w:after="0"/>
              <w:rPr>
                <w:sz w:val="1"/>
                <w:szCs w:val="1"/>
                <w:color w:val="auto"/>
              </w:rPr>
            </w:pPr>
          </w:p>
        </w:tc>
      </w:tr>
      <w:tr>
        <w:trPr>
          <w:trHeight w:val="20"/>
        </w:trPr>
        <w:tc>
          <w:tcPr>
            <w:tcW w:w="6280" w:type="dxa"/>
            <w:vAlign w:val="bottom"/>
            <w:vMerge w:val="restart"/>
          </w:tcPr>
          <w:p>
            <w:pPr>
              <w:spacing w:after="0"/>
              <w:rPr>
                <w:sz w:val="20"/>
                <w:szCs w:val="20"/>
                <w:color w:val="auto"/>
              </w:rPr>
            </w:pPr>
            <w:r>
              <w:rPr>
                <w:rFonts w:ascii="Arial" w:cs="Arial" w:eastAsia="Arial" w:hAnsi="Arial"/>
                <w:sz w:val="16"/>
                <w:szCs w:val="16"/>
                <w:b w:val="1"/>
                <w:bCs w:val="1"/>
                <w:color w:val="auto"/>
                <w:w w:val="93"/>
              </w:rPr>
              <w:t>Net effect of deferred net revenues and related cost of revenues on Earnings Per Diluted</w:t>
            </w: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6280" w:type="dxa"/>
            <w:vAlign w:val="bottom"/>
            <w:vMerge w:val="continue"/>
          </w:tcPr>
          <w:p>
            <w:pPr>
              <w:spacing w:after="0"/>
              <w:rPr>
                <w:sz w:val="24"/>
                <w:szCs w:val="24"/>
                <w:color w:val="auto"/>
              </w:rPr>
            </w:pPr>
          </w:p>
        </w:tc>
        <w:tc>
          <w:tcPr>
            <w:tcW w:w="1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6280" w:type="dxa"/>
            <w:vAlign w:val="bottom"/>
          </w:tcPr>
          <w:p>
            <w:pPr>
              <w:spacing w:after="0"/>
              <w:rPr>
                <w:sz w:val="20"/>
                <w:szCs w:val="20"/>
                <w:color w:val="auto"/>
              </w:rPr>
            </w:pPr>
            <w:r>
              <w:rPr>
                <w:rFonts w:ascii="Arial" w:cs="Arial" w:eastAsia="Arial" w:hAnsi="Arial"/>
                <w:sz w:val="16"/>
                <w:szCs w:val="16"/>
                <w:b w:val="1"/>
                <w:bCs w:val="1"/>
                <w:color w:val="auto"/>
              </w:rPr>
              <w:t>Share</w:t>
            </w:r>
            <w:r>
              <w:rPr>
                <w:rFonts w:ascii="Arial" w:cs="Arial" w:eastAsia="Arial" w:hAnsi="Arial"/>
                <w:sz w:val="27"/>
                <w:szCs w:val="27"/>
                <w:b w:val="1"/>
                <w:bCs w:val="1"/>
                <w:color w:val="auto"/>
                <w:vertAlign w:val="superscript"/>
              </w:rPr>
              <w:t>7</w:t>
            </w:r>
          </w:p>
        </w:tc>
        <w:tc>
          <w:tcPr>
            <w:tcW w:w="1960" w:type="dxa"/>
            <w:vAlign w:val="bottom"/>
          </w:tcPr>
          <w:p>
            <w:pPr>
              <w:jc w:val="right"/>
              <w:spacing w:after="0"/>
              <w:rPr>
                <w:sz w:val="20"/>
                <w:szCs w:val="20"/>
                <w:color w:val="auto"/>
              </w:rPr>
            </w:pPr>
            <w:r>
              <w:rPr>
                <w:rFonts w:ascii="Arial" w:cs="Arial" w:eastAsia="Arial" w:hAnsi="Arial"/>
                <w:sz w:val="16"/>
                <w:szCs w:val="16"/>
                <w:b w:val="1"/>
                <w:bCs w:val="1"/>
                <w:color w:val="auto"/>
              </w:rPr>
              <w:t>(0.31)</w:t>
            </w:r>
          </w:p>
        </w:tc>
        <w:tc>
          <w:tcPr>
            <w:tcW w:w="100" w:type="dxa"/>
            <w:vAlign w:val="bottom"/>
          </w:tcPr>
          <w:p>
            <w:pPr>
              <w:spacing w:after="0"/>
              <w:rPr>
                <w:sz w:val="24"/>
                <w:szCs w:val="24"/>
                <w:color w:val="auto"/>
              </w:rPr>
            </w:pPr>
          </w:p>
        </w:tc>
        <w:tc>
          <w:tcPr>
            <w:tcW w:w="1940" w:type="dxa"/>
            <w:vAlign w:val="bottom"/>
          </w:tcPr>
          <w:p>
            <w:pPr>
              <w:jc w:val="right"/>
              <w:ind w:right="19"/>
              <w:spacing w:after="0"/>
              <w:rPr>
                <w:sz w:val="20"/>
                <w:szCs w:val="20"/>
                <w:color w:val="auto"/>
              </w:rPr>
            </w:pPr>
            <w:r>
              <w:rPr>
                <w:rFonts w:ascii="Arial" w:cs="Arial" w:eastAsia="Arial" w:hAnsi="Arial"/>
                <w:sz w:val="16"/>
                <w:szCs w:val="16"/>
                <w:b w:val="1"/>
                <w:bCs w:val="1"/>
                <w:color w:val="auto"/>
              </w:rPr>
              <w:t>0.13</w:t>
            </w:r>
          </w:p>
        </w:tc>
        <w:tc>
          <w:tcPr>
            <w:tcW w:w="0" w:type="dxa"/>
            <w:vAlign w:val="bottom"/>
          </w:tcPr>
          <w:p>
            <w:pPr>
              <w:spacing w:after="0"/>
              <w:rPr>
                <w:sz w:val="1"/>
                <w:szCs w:val="1"/>
                <w:color w:val="auto"/>
              </w:rPr>
            </w:pPr>
          </w:p>
        </w:tc>
      </w:tr>
    </w:tbl>
    <w:p>
      <w:pPr>
        <w:spacing w:after="0" w:line="3" w:lineRule="exact"/>
        <w:rPr>
          <w:sz w:val="20"/>
          <w:szCs w:val="20"/>
          <w:color w:val="auto"/>
        </w:rPr>
      </w:pPr>
    </w:p>
    <w:p>
      <w:pPr>
        <w:ind w:left="340" w:hanging="332"/>
        <w:spacing w:after="0"/>
        <w:tabs>
          <w:tab w:leader="none" w:pos="340" w:val="left"/>
        </w:tabs>
        <w:numPr>
          <w:ilvl w:val="0"/>
          <w:numId w:val="65"/>
        </w:numPr>
        <w:rPr>
          <w:rFonts w:ascii="Arial" w:cs="Arial" w:eastAsia="Arial" w:hAnsi="Arial"/>
          <w:sz w:val="27"/>
          <w:szCs w:val="27"/>
          <w:color w:val="auto"/>
          <w:vertAlign w:val="superscript"/>
        </w:rPr>
      </w:pPr>
      <w:r>
        <w:rPr>
          <w:rFonts w:ascii="Arial" w:cs="Arial" w:eastAsia="Arial" w:hAnsi="Arial"/>
          <w:sz w:val="16"/>
          <w:szCs w:val="16"/>
          <w:color w:val="auto"/>
        </w:rPr>
        <w:t>Net Revenues represents the revenue outlook for both GAAP and Non-GAAP as they are measured the same.</w:t>
      </w:r>
    </w:p>
    <w:p>
      <w:pPr>
        <w:ind w:left="340" w:hanging="332"/>
        <w:spacing w:after="0" w:line="183" w:lineRule="auto"/>
        <w:tabs>
          <w:tab w:leader="none" w:pos="340" w:val="left"/>
        </w:tabs>
        <w:numPr>
          <w:ilvl w:val="0"/>
          <w:numId w:val="66"/>
        </w:numPr>
        <w:rPr>
          <w:rFonts w:ascii="Arial" w:cs="Arial" w:eastAsia="Arial" w:hAnsi="Arial"/>
          <w:sz w:val="23"/>
          <w:szCs w:val="23"/>
          <w:color w:val="auto"/>
          <w:vertAlign w:val="superscript"/>
        </w:rPr>
      </w:pPr>
      <w:r>
        <w:rPr>
          <w:rFonts w:ascii="Arial" w:cs="Arial" w:eastAsia="Arial" w:hAnsi="Arial"/>
          <w:sz w:val="14"/>
          <w:szCs w:val="14"/>
          <w:color w:val="auto"/>
        </w:rPr>
        <w:t>Reflects the net effect from deferral of revenues and (recognition) of deferred revenues on certain of our online enabled products.</w:t>
      </w:r>
    </w:p>
    <w:p>
      <w:pPr>
        <w:ind w:left="340" w:hanging="332"/>
        <w:spacing w:after="0" w:line="184" w:lineRule="auto"/>
        <w:tabs>
          <w:tab w:leader="none" w:pos="340" w:val="left"/>
        </w:tabs>
        <w:numPr>
          <w:ilvl w:val="0"/>
          <w:numId w:val="67"/>
        </w:numPr>
        <w:rPr>
          <w:rFonts w:ascii="Arial" w:cs="Arial" w:eastAsia="Arial" w:hAnsi="Arial"/>
          <w:sz w:val="23"/>
          <w:szCs w:val="23"/>
          <w:color w:val="auto"/>
          <w:vertAlign w:val="superscript"/>
        </w:rPr>
      </w:pPr>
      <w:r>
        <w:rPr>
          <w:rFonts w:ascii="Arial" w:cs="Arial" w:eastAsia="Arial" w:hAnsi="Arial"/>
          <w:sz w:val="14"/>
          <w:szCs w:val="14"/>
          <w:color w:val="auto"/>
        </w:rPr>
        <w:t>Reflects expenses related to share-based compensation.</w:t>
      </w:r>
    </w:p>
    <w:p>
      <w:pPr>
        <w:ind w:left="340" w:hanging="332"/>
        <w:spacing w:after="0" w:line="184" w:lineRule="auto"/>
        <w:tabs>
          <w:tab w:leader="none" w:pos="340" w:val="left"/>
        </w:tabs>
        <w:numPr>
          <w:ilvl w:val="0"/>
          <w:numId w:val="68"/>
        </w:numPr>
        <w:rPr>
          <w:rFonts w:ascii="Arial" w:cs="Arial" w:eastAsia="Arial" w:hAnsi="Arial"/>
          <w:sz w:val="23"/>
          <w:szCs w:val="23"/>
          <w:color w:val="auto"/>
          <w:vertAlign w:val="superscript"/>
        </w:rPr>
      </w:pPr>
      <w:r>
        <w:rPr>
          <w:rFonts w:ascii="Arial" w:cs="Arial" w:eastAsia="Arial" w:hAnsi="Arial"/>
          <w:sz w:val="14"/>
          <w:szCs w:val="14"/>
          <w:color w:val="auto"/>
        </w:rPr>
        <w:t>Reflects amortization of intangible assets from purchase price accounting, including intangible assets from the acquisition of King.</w:t>
      </w:r>
    </w:p>
    <w:p>
      <w:pPr>
        <w:spacing w:after="0" w:line="8" w:lineRule="exact"/>
        <w:rPr>
          <w:sz w:val="20"/>
          <w:szCs w:val="20"/>
          <w:color w:val="auto"/>
        </w:rPr>
      </w:pPr>
    </w:p>
    <w:p>
      <w:pPr>
        <w:ind w:left="340" w:right="640" w:hanging="332"/>
        <w:spacing w:after="0" w:line="193" w:lineRule="auto"/>
        <w:tabs>
          <w:tab w:leader="none" w:pos="340" w:val="left"/>
        </w:tabs>
        <w:numPr>
          <w:ilvl w:val="0"/>
          <w:numId w:val="69"/>
        </w:numPr>
        <w:rPr>
          <w:rFonts w:ascii="Arial" w:cs="Arial" w:eastAsia="Arial" w:hAnsi="Arial"/>
          <w:sz w:val="27"/>
          <w:szCs w:val="27"/>
          <w:color w:val="auto"/>
          <w:vertAlign w:val="superscript"/>
        </w:rPr>
      </w:pPr>
      <w:r>
        <w:rPr>
          <w:rFonts w:ascii="Arial" w:cs="Arial" w:eastAsia="Arial" w:hAnsi="Arial"/>
          <w:sz w:val="16"/>
          <w:szCs w:val="16"/>
          <w:color w:val="auto"/>
        </w:rPr>
        <w:t>Reflects our restructuring initiatives, primarily severance, facilities, and other restructuring-related costs we expect to incur as we continue to execute against our previously disclosed restructuring plan.</w:t>
      </w:r>
    </w:p>
    <w:p>
      <w:pPr>
        <w:ind w:left="340" w:hanging="332"/>
        <w:spacing w:after="0" w:line="184" w:lineRule="auto"/>
        <w:tabs>
          <w:tab w:leader="none" w:pos="340" w:val="left"/>
        </w:tabs>
        <w:numPr>
          <w:ilvl w:val="0"/>
          <w:numId w:val="70"/>
        </w:numPr>
        <w:rPr>
          <w:rFonts w:ascii="Arial" w:cs="Arial" w:eastAsia="Arial" w:hAnsi="Arial"/>
          <w:sz w:val="23"/>
          <w:szCs w:val="23"/>
          <w:color w:val="auto"/>
          <w:vertAlign w:val="superscript"/>
        </w:rPr>
      </w:pPr>
      <w:r>
        <w:rPr>
          <w:rFonts w:ascii="Arial" w:cs="Arial" w:eastAsia="Arial" w:hAnsi="Arial"/>
          <w:sz w:val="14"/>
          <w:szCs w:val="14"/>
          <w:color w:val="auto"/>
        </w:rPr>
        <w:t>Reflects the income tax impacts associated with the above items. Due to the inherent uncertainties in share price and option exercise behavior, we do not generally</w:t>
      </w:r>
    </w:p>
    <w:p>
      <w:pPr>
        <w:spacing w:after="0" w:line="1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forecast excess tax benefits or tax shortfalls.</w:t>
      </w:r>
    </w:p>
    <w:p>
      <w:pPr>
        <w:spacing w:after="0" w:line="8" w:lineRule="exact"/>
        <w:rPr>
          <w:sz w:val="20"/>
          <w:szCs w:val="20"/>
          <w:color w:val="auto"/>
        </w:rPr>
      </w:pPr>
    </w:p>
    <w:p>
      <w:pPr>
        <w:ind w:left="340" w:right="320" w:hanging="332"/>
        <w:spacing w:after="0" w:line="196" w:lineRule="auto"/>
        <w:tabs>
          <w:tab w:leader="none" w:pos="340" w:val="left"/>
        </w:tabs>
        <w:numPr>
          <w:ilvl w:val="0"/>
          <w:numId w:val="71"/>
        </w:numPr>
        <w:rPr>
          <w:rFonts w:ascii="Arial" w:cs="Arial" w:eastAsia="Arial" w:hAnsi="Arial"/>
          <w:sz w:val="27"/>
          <w:szCs w:val="27"/>
          <w:color w:val="auto"/>
          <w:vertAlign w:val="superscript"/>
        </w:rPr>
      </w:pPr>
      <w:r>
        <w:rPr>
          <w:rFonts w:ascii="Arial" w:cs="Arial" w:eastAsia="Arial" w:hAnsi="Arial"/>
          <w:sz w:val="16"/>
          <w:szCs w:val="16"/>
          <w:color w:val="auto"/>
        </w:rPr>
        <w:t>Reflects the net effect from deferral of revenues and (recognition) of deferred revenues, along with related cost of revenues, on certain of our online enabled products, including the effect of taxes.</w:t>
      </w:r>
    </w:p>
    <w:p>
      <w:pPr>
        <w:spacing w:after="0" w:line="209" w:lineRule="exact"/>
        <w:rPr>
          <w:rFonts w:ascii="Arial" w:cs="Arial" w:eastAsia="Arial" w:hAnsi="Arial"/>
          <w:sz w:val="27"/>
          <w:szCs w:val="27"/>
          <w:color w:val="auto"/>
          <w:vertAlign w:val="superscript"/>
        </w:rPr>
      </w:pPr>
    </w:p>
    <w:p>
      <w:pPr>
        <w:ind w:left="340" w:right="600"/>
        <w:spacing w:after="0" w:line="277" w:lineRule="auto"/>
        <w:rPr>
          <w:rFonts w:ascii="Arial" w:cs="Arial" w:eastAsia="Arial" w:hAnsi="Arial"/>
          <w:sz w:val="27"/>
          <w:szCs w:val="27"/>
          <w:color w:val="auto"/>
          <w:vertAlign w:val="superscript"/>
        </w:rPr>
      </w:pPr>
      <w:r>
        <w:rPr>
          <w:rFonts w:ascii="Arial" w:cs="Arial" w:eastAsia="Arial" w:hAnsi="Arial"/>
          <w:sz w:val="18"/>
          <w:szCs w:val="18"/>
          <w:color w:val="auto"/>
        </w:rPr>
        <w:t>The per share adjustments and the GAAP and Non-GAAP earnings per share information are presented as calculated. Therefore, the sum of these measures, as presented, may differ due to the impact of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b w:val="1"/>
          <w:bCs w:val="1"/>
          <w:color w:val="auto"/>
        </w:rPr>
        <w:t>16</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ACTIVISION BLIZZARD,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METRICS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in millions)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Bookings</w:t>
      </w:r>
      <w:r>
        <w:rPr>
          <w:rFonts w:ascii="Arial" w:cs="Arial" w:eastAsia="Arial" w:hAnsi="Arial"/>
          <w:sz w:val="30"/>
          <w:szCs w:val="30"/>
          <w:b w:val="1"/>
          <w:bCs w:val="1"/>
          <w:color w:val="auto"/>
          <w:vertAlign w:val="superscript"/>
        </w:rPr>
        <w:t>1</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100" w:type="dxa"/>
            <w:vAlign w:val="bottom"/>
            <w:gridSpan w:val="8"/>
          </w:tcPr>
          <w:p>
            <w:pPr>
              <w:jc w:val="right"/>
              <w:ind w:right="1120"/>
              <w:spacing w:after="0"/>
              <w:rPr>
                <w:sz w:val="20"/>
                <w:szCs w:val="20"/>
                <w:color w:val="auto"/>
              </w:rPr>
            </w:pPr>
            <w:r>
              <w:rPr>
                <w:rFonts w:ascii="Arial" w:cs="Arial" w:eastAsia="Arial" w:hAnsi="Arial"/>
                <w:sz w:val="16"/>
                <w:szCs w:val="16"/>
                <w:b w:val="1"/>
                <w:bCs w:val="1"/>
                <w:color w:val="auto"/>
              </w:rPr>
              <w:t>Three Months Ended December 31,</w:t>
            </w:r>
          </w:p>
        </w:tc>
        <w:tc>
          <w:tcPr>
            <w:tcW w:w="740" w:type="dxa"/>
            <w:vAlign w:val="bottom"/>
          </w:tcPr>
          <w:p>
            <w:pPr>
              <w:spacing w:after="0"/>
              <w:rPr>
                <w:sz w:val="18"/>
                <w:szCs w:val="18"/>
                <w:color w:val="auto"/>
              </w:rPr>
            </w:pPr>
          </w:p>
        </w:tc>
        <w:tc>
          <w:tcPr>
            <w:tcW w:w="2020" w:type="dxa"/>
            <w:vAlign w:val="bottom"/>
            <w:gridSpan w:val="4"/>
          </w:tcPr>
          <w:p>
            <w:pPr>
              <w:ind w:left="100"/>
              <w:spacing w:after="0"/>
              <w:rPr>
                <w:sz w:val="20"/>
                <w:szCs w:val="20"/>
                <w:color w:val="auto"/>
              </w:rPr>
            </w:pPr>
            <w:r>
              <w:rPr>
                <w:rFonts w:ascii="Arial" w:cs="Arial" w:eastAsia="Arial" w:hAnsi="Arial"/>
                <w:sz w:val="16"/>
                <w:szCs w:val="16"/>
                <w:b w:val="1"/>
                <w:bCs w:val="1"/>
                <w:color w:val="auto"/>
                <w:w w:val="96"/>
              </w:rPr>
              <w:t>Year Ended December 31,</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334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gridSpan w:val="2"/>
          </w:tcPr>
          <w:p>
            <w:pPr>
              <w:jc w:val="right"/>
              <w:ind w:right="79"/>
              <w:spacing w:after="0"/>
              <w:rPr>
                <w:sz w:val="20"/>
                <w:szCs w:val="20"/>
                <w:color w:val="auto"/>
              </w:rPr>
            </w:pPr>
            <w:r>
              <w:rPr>
                <w:rFonts w:ascii="Arial" w:cs="Arial" w:eastAsia="Arial" w:hAnsi="Arial"/>
                <w:sz w:val="16"/>
                <w:szCs w:val="16"/>
                <w:b w:val="1"/>
                <w:bCs w:val="1"/>
                <w:color w:val="auto"/>
              </w:rPr>
              <w:t>$ Increase</w:t>
            </w:r>
          </w:p>
        </w:tc>
        <w:tc>
          <w:tcPr>
            <w:tcW w:w="106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 Increase</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gridSpan w:val="2"/>
          </w:tcPr>
          <w:p>
            <w:pPr>
              <w:jc w:val="right"/>
              <w:ind w:right="79"/>
              <w:spacing w:after="0"/>
              <w:rPr>
                <w:sz w:val="20"/>
                <w:szCs w:val="20"/>
                <w:color w:val="auto"/>
              </w:rPr>
            </w:pPr>
            <w:r>
              <w:rPr>
                <w:rFonts w:ascii="Arial" w:cs="Arial" w:eastAsia="Arial" w:hAnsi="Arial"/>
                <w:sz w:val="16"/>
                <w:szCs w:val="16"/>
                <w:b w:val="1"/>
                <w:bCs w:val="1"/>
                <w:color w:val="auto"/>
              </w:rPr>
              <w:t>$ Increase</w:t>
            </w:r>
          </w:p>
        </w:tc>
        <w:tc>
          <w:tcPr>
            <w:tcW w:w="1060" w:type="dxa"/>
            <w:vAlign w:val="bottom"/>
            <w:tcBorders>
              <w:top w:val="single" w:sz="8" w:color="auto"/>
            </w:tcBorders>
          </w:tcPr>
          <w:p>
            <w:pPr>
              <w:jc w:val="center"/>
              <w:ind w:right="19"/>
              <w:spacing w:after="0"/>
              <w:rPr>
                <w:sz w:val="20"/>
                <w:szCs w:val="20"/>
                <w:color w:val="auto"/>
              </w:rPr>
            </w:pPr>
            <w:r>
              <w:rPr>
                <w:rFonts w:ascii="Arial" w:cs="Arial" w:eastAsia="Arial" w:hAnsi="Arial"/>
                <w:sz w:val="16"/>
                <w:szCs w:val="16"/>
                <w:b w:val="1"/>
                <w:bCs w:val="1"/>
                <w:color w:val="auto"/>
                <w:w w:val="95"/>
              </w:rPr>
              <w:t>% Increase</w:t>
            </w:r>
          </w:p>
        </w:tc>
        <w:tc>
          <w:tcPr>
            <w:tcW w:w="0" w:type="dxa"/>
            <w:vAlign w:val="bottom"/>
          </w:tcPr>
          <w:p>
            <w:pPr>
              <w:spacing w:after="0"/>
              <w:rPr>
                <w:sz w:val="1"/>
                <w:szCs w:val="1"/>
                <w:color w:val="auto"/>
              </w:rPr>
            </w:pPr>
          </w:p>
        </w:tc>
      </w:tr>
      <w:tr>
        <w:trPr>
          <w:trHeight w:val="213"/>
        </w:trPr>
        <w:tc>
          <w:tcPr>
            <w:tcW w:w="3340" w:type="dxa"/>
            <w:vAlign w:val="bottom"/>
            <w:vMerge w:val="restart"/>
          </w:tcPr>
          <w:p>
            <w:pPr>
              <w:spacing w:after="0"/>
              <w:rPr>
                <w:sz w:val="20"/>
                <w:szCs w:val="20"/>
                <w:color w:val="auto"/>
              </w:rPr>
            </w:pPr>
            <w:r>
              <w:rPr>
                <w:rFonts w:ascii="Arial" w:cs="Arial" w:eastAsia="Arial" w:hAnsi="Arial"/>
                <w:sz w:val="16"/>
                <w:szCs w:val="16"/>
                <w:color w:val="auto"/>
              </w:rPr>
              <w:t>Net bookings</w:t>
            </w:r>
            <w:r>
              <w:rPr>
                <w:rFonts w:ascii="Arial" w:cs="Arial" w:eastAsia="Arial" w:hAnsi="Arial"/>
                <w:sz w:val="27"/>
                <w:szCs w:val="27"/>
                <w:color w:val="auto"/>
                <w:vertAlign w:val="superscript"/>
              </w:rPr>
              <w:t>1</w:t>
            </w: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2019</w:t>
            </w:r>
          </w:p>
        </w:tc>
        <w:tc>
          <w:tcPr>
            <w:tcW w:w="2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2018</w:t>
            </w:r>
          </w:p>
        </w:tc>
        <w:tc>
          <w:tcPr>
            <w:tcW w:w="1020" w:type="dxa"/>
            <w:vAlign w:val="bottom"/>
            <w:tcBorders>
              <w:bottom w:val="single" w:sz="8" w:color="auto"/>
            </w:tcBorders>
            <w:gridSpan w:val="2"/>
          </w:tcPr>
          <w:p>
            <w:pPr>
              <w:jc w:val="right"/>
              <w:ind w:right="79"/>
              <w:spacing w:after="0"/>
              <w:rPr>
                <w:sz w:val="20"/>
                <w:szCs w:val="20"/>
                <w:color w:val="auto"/>
              </w:rPr>
            </w:pPr>
            <w:r>
              <w:rPr>
                <w:rFonts w:ascii="Arial" w:cs="Arial" w:eastAsia="Arial" w:hAnsi="Arial"/>
                <w:sz w:val="16"/>
                <w:szCs w:val="16"/>
                <w:b w:val="1"/>
                <w:bCs w:val="1"/>
                <w:color w:val="auto"/>
              </w:rPr>
              <w:t>(Decrease)</w:t>
            </w:r>
          </w:p>
        </w:tc>
        <w:tc>
          <w:tcPr>
            <w:tcW w:w="10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(Decrease)</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2019</w:t>
            </w:r>
          </w:p>
        </w:tc>
        <w:tc>
          <w:tcPr>
            <w:tcW w:w="2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2018</w:t>
            </w:r>
          </w:p>
        </w:tc>
        <w:tc>
          <w:tcPr>
            <w:tcW w:w="1020" w:type="dxa"/>
            <w:vAlign w:val="bottom"/>
            <w:tcBorders>
              <w:bottom w:val="single" w:sz="8" w:color="auto"/>
            </w:tcBorders>
            <w:gridSpan w:val="2"/>
          </w:tcPr>
          <w:p>
            <w:pPr>
              <w:jc w:val="right"/>
              <w:ind w:right="79"/>
              <w:spacing w:after="0"/>
              <w:rPr>
                <w:sz w:val="20"/>
                <w:szCs w:val="20"/>
                <w:color w:val="auto"/>
              </w:rPr>
            </w:pPr>
            <w:r>
              <w:rPr>
                <w:rFonts w:ascii="Arial" w:cs="Arial" w:eastAsia="Arial" w:hAnsi="Arial"/>
                <w:sz w:val="16"/>
                <w:szCs w:val="16"/>
                <w:b w:val="1"/>
                <w:bCs w:val="1"/>
                <w:color w:val="auto"/>
              </w:rPr>
              <w:t>(Decrease)</w:t>
            </w:r>
          </w:p>
        </w:tc>
        <w:tc>
          <w:tcPr>
            <w:tcW w:w="106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b w:val="1"/>
                <w:bCs w:val="1"/>
                <w:color w:val="auto"/>
                <w:w w:val="87"/>
              </w:rPr>
              <w:t>(Decrease)</w:t>
            </w:r>
          </w:p>
        </w:tc>
        <w:tc>
          <w:tcPr>
            <w:tcW w:w="0" w:type="dxa"/>
            <w:vAlign w:val="bottom"/>
          </w:tcPr>
          <w:p>
            <w:pPr>
              <w:spacing w:after="0"/>
              <w:rPr>
                <w:sz w:val="1"/>
                <w:szCs w:val="1"/>
                <w:color w:val="auto"/>
              </w:rPr>
            </w:pPr>
          </w:p>
        </w:tc>
      </w:tr>
      <w:tr>
        <w:trPr>
          <w:trHeight w:val="215"/>
        </w:trPr>
        <w:tc>
          <w:tcPr>
            <w:tcW w:w="3340" w:type="dxa"/>
            <w:vAlign w:val="bottom"/>
            <w:vMerge w:val="continue"/>
          </w:tcPr>
          <w:p>
            <w:pPr>
              <w:spacing w:after="0"/>
              <w:rPr>
                <w:sz w:val="18"/>
                <w:szCs w:val="18"/>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2,708</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2,835</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(127)</w:t>
            </w:r>
          </w:p>
        </w:tc>
        <w:tc>
          <w:tcPr>
            <w:tcW w:w="1320" w:type="dxa"/>
            <w:vAlign w:val="bottom"/>
            <w:gridSpan w:val="3"/>
          </w:tcPr>
          <w:p>
            <w:pPr>
              <w:jc w:val="right"/>
              <w:ind w:right="60"/>
              <w:spacing w:after="0"/>
              <w:rPr>
                <w:sz w:val="20"/>
                <w:szCs w:val="20"/>
                <w:color w:val="auto"/>
              </w:rPr>
            </w:pPr>
            <w:r>
              <w:rPr>
                <w:rFonts w:ascii="Arial" w:cs="Arial" w:eastAsia="Arial" w:hAnsi="Arial"/>
                <w:sz w:val="16"/>
                <w:szCs w:val="16"/>
                <w:color w:val="auto"/>
              </w:rPr>
              <w:t>(4)%  $</w:t>
            </w: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6,388</w:t>
            </w:r>
          </w:p>
        </w:tc>
        <w:tc>
          <w:tcPr>
            <w:tcW w:w="260" w:type="dxa"/>
            <w:vAlign w:val="bottom"/>
          </w:tcPr>
          <w:p>
            <w:pPr>
              <w:ind w:left="10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7,262</w:t>
            </w:r>
          </w:p>
        </w:tc>
        <w:tc>
          <w:tcPr>
            <w:tcW w:w="4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(874)</w:t>
            </w:r>
          </w:p>
        </w:tc>
        <w:tc>
          <w:tcPr>
            <w:tcW w:w="1060" w:type="dxa"/>
            <w:vAlign w:val="bottom"/>
          </w:tcPr>
          <w:p>
            <w:pPr>
              <w:ind w:left="660"/>
              <w:spacing w:after="0"/>
              <w:rPr>
                <w:sz w:val="20"/>
                <w:szCs w:val="20"/>
                <w:color w:val="auto"/>
              </w:rPr>
            </w:pPr>
            <w:r>
              <w:rPr>
                <w:rFonts w:ascii="Arial" w:cs="Arial" w:eastAsia="Arial" w:hAnsi="Arial"/>
                <w:sz w:val="16"/>
                <w:szCs w:val="16"/>
                <w:color w:val="auto"/>
                <w:w w:val="88"/>
              </w:rPr>
              <w:t>(12)%</w:t>
            </w:r>
          </w:p>
        </w:tc>
        <w:tc>
          <w:tcPr>
            <w:tcW w:w="0" w:type="dxa"/>
            <w:vAlign w:val="bottom"/>
          </w:tcPr>
          <w:p>
            <w:pPr>
              <w:spacing w:after="0"/>
              <w:rPr>
                <w:sz w:val="1"/>
                <w:szCs w:val="1"/>
                <w:color w:val="auto"/>
              </w:rPr>
            </w:pPr>
          </w:p>
        </w:tc>
      </w:tr>
      <w:tr>
        <w:trPr>
          <w:trHeight w:val="353"/>
        </w:trPr>
        <w:tc>
          <w:tcPr>
            <w:tcW w:w="3340" w:type="dxa"/>
            <w:vAlign w:val="bottom"/>
          </w:tcPr>
          <w:p>
            <w:pPr>
              <w:spacing w:after="0"/>
              <w:rPr>
                <w:sz w:val="20"/>
                <w:szCs w:val="20"/>
                <w:color w:val="auto"/>
              </w:rPr>
            </w:pPr>
            <w:r>
              <w:rPr>
                <w:rFonts w:ascii="Arial" w:cs="Arial" w:eastAsia="Arial" w:hAnsi="Arial"/>
                <w:sz w:val="16"/>
                <w:szCs w:val="16"/>
                <w:color w:val="auto"/>
              </w:rPr>
              <w:t>In-game net bookings</w:t>
            </w:r>
            <w:r>
              <w:rPr>
                <w:rFonts w:ascii="Arial" w:cs="Arial" w:eastAsia="Arial" w:hAnsi="Arial"/>
                <w:sz w:val="27"/>
                <w:szCs w:val="27"/>
                <w:color w:val="auto"/>
                <w:vertAlign w:val="superscript"/>
              </w:rPr>
              <w:t>2</w:t>
            </w:r>
          </w:p>
        </w:tc>
        <w:tc>
          <w:tcPr>
            <w:tcW w:w="160" w:type="dxa"/>
            <w:vAlign w:val="bottom"/>
          </w:tcPr>
          <w:p>
            <w:pPr>
              <w:spacing w:after="0"/>
              <w:rPr>
                <w:sz w:val="24"/>
                <w:szCs w:val="24"/>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1,085</w:t>
            </w:r>
          </w:p>
        </w:tc>
        <w:tc>
          <w:tcPr>
            <w:tcW w:w="260" w:type="dxa"/>
            <w:vAlign w:val="bottom"/>
          </w:tcPr>
          <w:p>
            <w:pPr>
              <w:spacing w:after="0"/>
              <w:rPr>
                <w:sz w:val="24"/>
                <w:szCs w:val="24"/>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1,204</w:t>
            </w:r>
          </w:p>
        </w:tc>
        <w:tc>
          <w:tcPr>
            <w:tcW w:w="4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(119)</w:t>
            </w: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3,366</w:t>
            </w:r>
          </w:p>
        </w:tc>
        <w:tc>
          <w:tcPr>
            <w:tcW w:w="260" w:type="dxa"/>
            <w:vAlign w:val="bottom"/>
          </w:tcPr>
          <w:p>
            <w:pPr>
              <w:spacing w:after="0"/>
              <w:rPr>
                <w:sz w:val="24"/>
                <w:szCs w:val="24"/>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4,203</w:t>
            </w:r>
          </w:p>
        </w:tc>
        <w:tc>
          <w:tcPr>
            <w:tcW w:w="4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(837)</w:t>
            </w:r>
          </w:p>
        </w:tc>
        <w:tc>
          <w:tcPr>
            <w:tcW w:w="1060" w:type="dxa"/>
            <w:vAlign w:val="bottom"/>
          </w:tcPr>
          <w:p>
            <w:pPr>
              <w:ind w:left="660"/>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bl>
    <w:p>
      <w:pPr>
        <w:spacing w:after="0" w:line="350" w:lineRule="exact"/>
        <w:rPr>
          <w:sz w:val="20"/>
          <w:szCs w:val="20"/>
          <w:color w:val="auto"/>
        </w:rPr>
      </w:pPr>
    </w:p>
    <w:p>
      <w:pPr>
        <w:ind w:right="100" w:firstLine="8"/>
        <w:spacing w:after="0" w:line="229" w:lineRule="auto"/>
        <w:tabs>
          <w:tab w:leader="none" w:pos="108" w:val="left"/>
        </w:tabs>
        <w:numPr>
          <w:ilvl w:val="0"/>
          <w:numId w:val="72"/>
        </w:numPr>
        <w:rPr>
          <w:rFonts w:ascii="Arial" w:cs="Arial" w:eastAsia="Arial" w:hAnsi="Arial"/>
          <w:sz w:val="26"/>
          <w:szCs w:val="26"/>
          <w:color w:val="auto"/>
          <w:vertAlign w:val="superscript"/>
        </w:rPr>
      </w:pPr>
      <w:r>
        <w:rPr>
          <w:rFonts w:ascii="Arial" w:cs="Arial" w:eastAsia="Arial" w:hAnsi="Arial"/>
          <w:sz w:val="16"/>
          <w:szCs w:val="16"/>
          <w:color w:val="auto"/>
        </w:rPr>
        <w:t>We monitor net bookings as a key operating metric in evaluating the performance of our business as it enables an analysis of performance based on the timing of actual transactions with our customers, along with providing a more timely indication of trends in our operating results. Net bookings is the net amount of products and services sold digitally or sold-in physically in the period, and includes license fees, merchandise, and publisher incentives, among others, and is equal to net revenues excluding the impact from deferrals.</w:t>
      </w:r>
    </w:p>
    <w:p>
      <w:pPr>
        <w:spacing w:after="0" w:line="228" w:lineRule="exact"/>
        <w:rPr>
          <w:sz w:val="20"/>
          <w:szCs w:val="20"/>
          <w:color w:val="auto"/>
        </w:rPr>
      </w:pPr>
    </w:p>
    <w:p>
      <w:pPr>
        <w:ind w:right="640" w:firstLine="8"/>
        <w:spacing w:after="0" w:line="203" w:lineRule="auto"/>
        <w:tabs>
          <w:tab w:leader="none" w:pos="108" w:val="left"/>
        </w:tabs>
        <w:numPr>
          <w:ilvl w:val="0"/>
          <w:numId w:val="73"/>
        </w:numPr>
        <w:rPr>
          <w:rFonts w:ascii="Arial" w:cs="Arial" w:eastAsia="Arial" w:hAnsi="Arial"/>
          <w:sz w:val="26"/>
          <w:szCs w:val="26"/>
          <w:color w:val="auto"/>
          <w:vertAlign w:val="superscript"/>
        </w:rPr>
      </w:pPr>
      <w:r>
        <w:rPr>
          <w:rFonts w:ascii="Arial" w:cs="Arial" w:eastAsia="Arial" w:hAnsi="Arial"/>
          <w:sz w:val="16"/>
          <w:szCs w:val="16"/>
          <w:color w:val="auto"/>
        </w:rPr>
        <w:t>In-game net bookings primarily includes the net amount of downloadable content and microtransactions sold during the period, and is equal to in-game net revenues excluding the impact from deferrals.</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Monthly Active Users</w:t>
      </w:r>
      <w:r>
        <w:rPr>
          <w:rFonts w:ascii="Arial" w:cs="Arial" w:eastAsia="Arial" w:hAnsi="Arial"/>
          <w:sz w:val="30"/>
          <w:szCs w:val="30"/>
          <w:b w:val="1"/>
          <w:bCs w:val="1"/>
          <w:color w:val="auto"/>
          <w:vertAlign w:val="superscript"/>
        </w:rPr>
        <w:t>3</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340" w:type="dxa"/>
            <w:vAlign w:val="bottom"/>
          </w:tcPr>
          <w:p>
            <w:pPr>
              <w:spacing w:after="0"/>
              <w:rPr>
                <w:sz w:val="18"/>
                <w:szCs w:val="18"/>
                <w:color w:val="auto"/>
              </w:rPr>
            </w:pPr>
          </w:p>
        </w:tc>
        <w:tc>
          <w:tcPr>
            <w:tcW w:w="16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94"/>
              </w:rPr>
              <w:t>December 31, 2018</w:t>
            </w:r>
          </w:p>
        </w:tc>
        <w:tc>
          <w:tcPr>
            <w:tcW w:w="14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March 31, 2019</w:t>
            </w:r>
          </w:p>
        </w:tc>
        <w:tc>
          <w:tcPr>
            <w:tcW w:w="14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June 30, 2019</w:t>
            </w:r>
          </w:p>
        </w:tc>
        <w:tc>
          <w:tcPr>
            <w:tcW w:w="18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September 30, 2019</w:t>
            </w:r>
          </w:p>
        </w:tc>
        <w:tc>
          <w:tcPr>
            <w:tcW w:w="17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December 31, 2019</w:t>
            </w:r>
          </w:p>
        </w:tc>
      </w:tr>
      <w:tr>
        <w:trPr>
          <w:trHeight w:val="192"/>
        </w:trPr>
        <w:tc>
          <w:tcPr>
            <w:tcW w:w="3340" w:type="dxa"/>
            <w:vAlign w:val="bottom"/>
          </w:tcPr>
          <w:p>
            <w:pPr>
              <w:spacing w:after="0"/>
              <w:rPr>
                <w:sz w:val="20"/>
                <w:szCs w:val="20"/>
                <w:color w:val="auto"/>
              </w:rPr>
            </w:pPr>
            <w:r>
              <w:rPr>
                <w:rFonts w:ascii="Arial" w:cs="Arial" w:eastAsia="Arial" w:hAnsi="Arial"/>
                <w:sz w:val="16"/>
                <w:szCs w:val="16"/>
                <w:color w:val="auto"/>
              </w:rPr>
              <w:t>Activision</w:t>
            </w:r>
          </w:p>
        </w:tc>
        <w:tc>
          <w:tcPr>
            <w:tcW w:w="1620" w:type="dxa"/>
            <w:vAlign w:val="bottom"/>
          </w:tcPr>
          <w:p>
            <w:pPr>
              <w:jc w:val="right"/>
              <w:ind w:right="79"/>
              <w:spacing w:after="0"/>
              <w:rPr>
                <w:sz w:val="20"/>
                <w:szCs w:val="20"/>
                <w:color w:val="auto"/>
              </w:rPr>
            </w:pPr>
            <w:r>
              <w:rPr>
                <w:rFonts w:ascii="Arial" w:cs="Arial" w:eastAsia="Arial" w:hAnsi="Arial"/>
                <w:sz w:val="16"/>
                <w:szCs w:val="16"/>
                <w:color w:val="auto"/>
              </w:rPr>
              <w:t>53</w:t>
            </w:r>
          </w:p>
        </w:tc>
        <w:tc>
          <w:tcPr>
            <w:tcW w:w="1480" w:type="dxa"/>
            <w:vAlign w:val="bottom"/>
          </w:tcPr>
          <w:p>
            <w:pPr>
              <w:jc w:val="right"/>
              <w:ind w:right="99"/>
              <w:spacing w:after="0"/>
              <w:rPr>
                <w:sz w:val="20"/>
                <w:szCs w:val="20"/>
                <w:color w:val="auto"/>
              </w:rPr>
            </w:pPr>
            <w:r>
              <w:rPr>
                <w:rFonts w:ascii="Arial" w:cs="Arial" w:eastAsia="Arial" w:hAnsi="Arial"/>
                <w:sz w:val="16"/>
                <w:szCs w:val="16"/>
                <w:color w:val="auto"/>
              </w:rPr>
              <w:t>41</w:t>
            </w:r>
          </w:p>
        </w:tc>
        <w:tc>
          <w:tcPr>
            <w:tcW w:w="1440" w:type="dxa"/>
            <w:vAlign w:val="bottom"/>
          </w:tcPr>
          <w:p>
            <w:pPr>
              <w:jc w:val="right"/>
              <w:ind w:right="79"/>
              <w:spacing w:after="0"/>
              <w:rPr>
                <w:sz w:val="20"/>
                <w:szCs w:val="20"/>
                <w:color w:val="auto"/>
              </w:rPr>
            </w:pPr>
            <w:r>
              <w:rPr>
                <w:rFonts w:ascii="Arial" w:cs="Arial" w:eastAsia="Arial" w:hAnsi="Arial"/>
                <w:sz w:val="16"/>
                <w:szCs w:val="16"/>
                <w:color w:val="auto"/>
              </w:rPr>
              <w:t>37</w:t>
            </w:r>
          </w:p>
        </w:tc>
        <w:tc>
          <w:tcPr>
            <w:tcW w:w="1820" w:type="dxa"/>
            <w:vAlign w:val="bottom"/>
          </w:tcPr>
          <w:p>
            <w:pPr>
              <w:jc w:val="right"/>
              <w:ind w:right="99"/>
              <w:spacing w:after="0"/>
              <w:rPr>
                <w:sz w:val="20"/>
                <w:szCs w:val="20"/>
                <w:color w:val="auto"/>
              </w:rPr>
            </w:pPr>
            <w:r>
              <w:rPr>
                <w:rFonts w:ascii="Arial" w:cs="Arial" w:eastAsia="Arial" w:hAnsi="Arial"/>
                <w:sz w:val="16"/>
                <w:szCs w:val="16"/>
                <w:color w:val="auto"/>
              </w:rPr>
              <w:t>36</w:t>
            </w:r>
          </w:p>
        </w:tc>
        <w:tc>
          <w:tcPr>
            <w:tcW w:w="1720" w:type="dxa"/>
            <w:vAlign w:val="bottom"/>
          </w:tcPr>
          <w:p>
            <w:pPr>
              <w:jc w:val="right"/>
              <w:ind w:right="19"/>
              <w:spacing w:after="0"/>
              <w:rPr>
                <w:sz w:val="20"/>
                <w:szCs w:val="20"/>
                <w:color w:val="auto"/>
              </w:rPr>
            </w:pPr>
            <w:r>
              <w:rPr>
                <w:rFonts w:ascii="Arial" w:cs="Arial" w:eastAsia="Arial" w:hAnsi="Arial"/>
                <w:sz w:val="16"/>
                <w:szCs w:val="16"/>
                <w:color w:val="auto"/>
              </w:rPr>
              <w:t>128</w:t>
            </w:r>
          </w:p>
        </w:tc>
      </w:tr>
      <w:tr>
        <w:trPr>
          <w:trHeight w:val="203"/>
        </w:trPr>
        <w:tc>
          <w:tcPr>
            <w:tcW w:w="3340" w:type="dxa"/>
            <w:vAlign w:val="bottom"/>
          </w:tcPr>
          <w:p>
            <w:pPr>
              <w:spacing w:after="0"/>
              <w:rPr>
                <w:sz w:val="20"/>
                <w:szCs w:val="20"/>
                <w:color w:val="auto"/>
              </w:rPr>
            </w:pPr>
            <w:r>
              <w:rPr>
                <w:rFonts w:ascii="Arial" w:cs="Arial" w:eastAsia="Arial" w:hAnsi="Arial"/>
                <w:sz w:val="16"/>
                <w:szCs w:val="16"/>
                <w:color w:val="auto"/>
              </w:rPr>
              <w:t>Blizzard</w:t>
            </w:r>
          </w:p>
        </w:tc>
        <w:tc>
          <w:tcPr>
            <w:tcW w:w="1620" w:type="dxa"/>
            <w:vAlign w:val="bottom"/>
          </w:tcPr>
          <w:p>
            <w:pPr>
              <w:jc w:val="right"/>
              <w:ind w:right="79"/>
              <w:spacing w:after="0"/>
              <w:rPr>
                <w:sz w:val="20"/>
                <w:szCs w:val="20"/>
                <w:color w:val="auto"/>
              </w:rPr>
            </w:pPr>
            <w:r>
              <w:rPr>
                <w:rFonts w:ascii="Arial" w:cs="Arial" w:eastAsia="Arial" w:hAnsi="Arial"/>
                <w:sz w:val="16"/>
                <w:szCs w:val="16"/>
                <w:color w:val="auto"/>
              </w:rPr>
              <w:t>35</w:t>
            </w:r>
          </w:p>
        </w:tc>
        <w:tc>
          <w:tcPr>
            <w:tcW w:w="1480" w:type="dxa"/>
            <w:vAlign w:val="bottom"/>
          </w:tcPr>
          <w:p>
            <w:pPr>
              <w:jc w:val="right"/>
              <w:ind w:right="99"/>
              <w:spacing w:after="0"/>
              <w:rPr>
                <w:sz w:val="20"/>
                <w:szCs w:val="20"/>
                <w:color w:val="auto"/>
              </w:rPr>
            </w:pPr>
            <w:r>
              <w:rPr>
                <w:rFonts w:ascii="Arial" w:cs="Arial" w:eastAsia="Arial" w:hAnsi="Arial"/>
                <w:sz w:val="16"/>
                <w:szCs w:val="16"/>
                <w:color w:val="auto"/>
              </w:rPr>
              <w:t>32</w:t>
            </w:r>
          </w:p>
        </w:tc>
        <w:tc>
          <w:tcPr>
            <w:tcW w:w="1440" w:type="dxa"/>
            <w:vAlign w:val="bottom"/>
          </w:tcPr>
          <w:p>
            <w:pPr>
              <w:jc w:val="right"/>
              <w:ind w:right="79"/>
              <w:spacing w:after="0"/>
              <w:rPr>
                <w:sz w:val="20"/>
                <w:szCs w:val="20"/>
                <w:color w:val="auto"/>
              </w:rPr>
            </w:pPr>
            <w:r>
              <w:rPr>
                <w:rFonts w:ascii="Arial" w:cs="Arial" w:eastAsia="Arial" w:hAnsi="Arial"/>
                <w:sz w:val="16"/>
                <w:szCs w:val="16"/>
                <w:color w:val="auto"/>
              </w:rPr>
              <w:t>32</w:t>
            </w:r>
          </w:p>
        </w:tc>
        <w:tc>
          <w:tcPr>
            <w:tcW w:w="1820" w:type="dxa"/>
            <w:vAlign w:val="bottom"/>
          </w:tcPr>
          <w:p>
            <w:pPr>
              <w:jc w:val="right"/>
              <w:ind w:right="99"/>
              <w:spacing w:after="0"/>
              <w:rPr>
                <w:sz w:val="20"/>
                <w:szCs w:val="20"/>
                <w:color w:val="auto"/>
              </w:rPr>
            </w:pPr>
            <w:r>
              <w:rPr>
                <w:rFonts w:ascii="Arial" w:cs="Arial" w:eastAsia="Arial" w:hAnsi="Arial"/>
                <w:sz w:val="16"/>
                <w:szCs w:val="16"/>
                <w:color w:val="auto"/>
              </w:rPr>
              <w:t>33</w:t>
            </w:r>
          </w:p>
        </w:tc>
        <w:tc>
          <w:tcPr>
            <w:tcW w:w="1720" w:type="dxa"/>
            <w:vAlign w:val="bottom"/>
          </w:tcPr>
          <w:p>
            <w:pPr>
              <w:jc w:val="right"/>
              <w:ind w:right="19"/>
              <w:spacing w:after="0"/>
              <w:rPr>
                <w:sz w:val="20"/>
                <w:szCs w:val="20"/>
                <w:color w:val="auto"/>
              </w:rPr>
            </w:pPr>
            <w:r>
              <w:rPr>
                <w:rFonts w:ascii="Arial" w:cs="Arial" w:eastAsia="Arial" w:hAnsi="Arial"/>
                <w:sz w:val="16"/>
                <w:szCs w:val="16"/>
                <w:color w:val="auto"/>
              </w:rPr>
              <w:t>32</w:t>
            </w:r>
          </w:p>
        </w:tc>
      </w:tr>
      <w:tr>
        <w:trPr>
          <w:trHeight w:val="206"/>
        </w:trPr>
        <w:tc>
          <w:tcPr>
            <w:tcW w:w="3340" w:type="dxa"/>
            <w:vAlign w:val="bottom"/>
          </w:tcPr>
          <w:p>
            <w:pPr>
              <w:spacing w:after="0"/>
              <w:rPr>
                <w:sz w:val="20"/>
                <w:szCs w:val="20"/>
                <w:color w:val="auto"/>
              </w:rPr>
            </w:pPr>
            <w:r>
              <w:rPr>
                <w:rFonts w:ascii="Arial" w:cs="Arial" w:eastAsia="Arial" w:hAnsi="Arial"/>
                <w:sz w:val="16"/>
                <w:szCs w:val="16"/>
                <w:color w:val="auto"/>
              </w:rPr>
              <w:t>King</w:t>
            </w:r>
          </w:p>
        </w:tc>
        <w:tc>
          <w:tcPr>
            <w:tcW w:w="16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268</w:t>
            </w:r>
          </w:p>
        </w:tc>
        <w:tc>
          <w:tcPr>
            <w:tcW w:w="14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272</w:t>
            </w:r>
          </w:p>
        </w:tc>
        <w:tc>
          <w:tcPr>
            <w:tcW w:w="14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258</w:t>
            </w:r>
          </w:p>
        </w:tc>
        <w:tc>
          <w:tcPr>
            <w:tcW w:w="18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247</w:t>
            </w:r>
          </w:p>
        </w:tc>
        <w:tc>
          <w:tcPr>
            <w:tcW w:w="17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249</w:t>
            </w:r>
          </w:p>
        </w:tc>
      </w:tr>
      <w:tr>
        <w:trPr>
          <w:trHeight w:val="213"/>
        </w:trPr>
        <w:tc>
          <w:tcPr>
            <w:tcW w:w="3340" w:type="dxa"/>
            <w:vAlign w:val="bottom"/>
          </w:tcPr>
          <w:p>
            <w:pPr>
              <w:spacing w:after="0"/>
              <w:rPr>
                <w:sz w:val="20"/>
                <w:szCs w:val="20"/>
                <w:color w:val="auto"/>
              </w:rPr>
            </w:pPr>
            <w:r>
              <w:rPr>
                <w:rFonts w:ascii="Arial" w:cs="Arial" w:eastAsia="Arial" w:hAnsi="Arial"/>
                <w:sz w:val="16"/>
                <w:szCs w:val="16"/>
                <w:color w:val="auto"/>
              </w:rPr>
              <w:t>Total MAUs</w:t>
            </w:r>
          </w:p>
        </w:tc>
        <w:tc>
          <w:tcPr>
            <w:tcW w:w="16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356</w:t>
            </w:r>
          </w:p>
        </w:tc>
        <w:tc>
          <w:tcPr>
            <w:tcW w:w="14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345</w:t>
            </w:r>
          </w:p>
        </w:tc>
        <w:tc>
          <w:tcPr>
            <w:tcW w:w="14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327</w:t>
            </w:r>
          </w:p>
        </w:tc>
        <w:tc>
          <w:tcPr>
            <w:tcW w:w="18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316</w:t>
            </w:r>
          </w:p>
        </w:tc>
        <w:tc>
          <w:tcPr>
            <w:tcW w:w="17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409</w:t>
            </w:r>
          </w:p>
        </w:tc>
      </w:tr>
      <w:tr>
        <w:trPr>
          <w:trHeight w:val="20"/>
        </w:trPr>
        <w:tc>
          <w:tcPr>
            <w:tcW w:w="334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6" w:lineRule="exact"/>
        <w:rPr>
          <w:sz w:val="20"/>
          <w:szCs w:val="20"/>
          <w:color w:val="auto"/>
        </w:rPr>
      </w:pPr>
    </w:p>
    <w:p>
      <w:pPr>
        <w:ind w:right="40" w:firstLine="8"/>
        <w:spacing w:after="0" w:line="243" w:lineRule="auto"/>
        <w:tabs>
          <w:tab w:leader="none" w:pos="108" w:val="left"/>
        </w:tabs>
        <w:numPr>
          <w:ilvl w:val="0"/>
          <w:numId w:val="74"/>
        </w:numPr>
        <w:rPr>
          <w:rFonts w:ascii="Arial" w:cs="Arial" w:eastAsia="Arial" w:hAnsi="Arial"/>
          <w:sz w:val="26"/>
          <w:szCs w:val="26"/>
          <w:color w:val="auto"/>
          <w:vertAlign w:val="superscript"/>
        </w:rPr>
      </w:pPr>
      <w:r>
        <w:rPr>
          <w:rFonts w:ascii="Arial" w:cs="Arial" w:eastAsia="Arial" w:hAnsi="Arial"/>
          <w:sz w:val="16"/>
          <w:szCs w:val="16"/>
          <w:color w:val="auto"/>
        </w:rPr>
        <w:t>We monitor our average monthly active users (“MAUs”) as a key measure of the overall size of our user base. MAUs are the number of individuals who accessed a particular game in a given month. We calculate average MAUs in a period by adding the total number of MAUs in each of the months in a given period and dividing that total by the number of months in the period. An individual who accesses two of our games would be counted as two users. In addition, due to technical limitations, for Activision and King, an individual who accesses the same game on two platforms or devices in the relevant period would be counted as two users. For Blizzard, an individual who accesses the same game on two platforms or devices in the relevant period would generally be counted as a single user. In certain instances, we rely on third parties to publish our games. In these instances, MAU data is based on information provided to us by those third parties, or, if final data is not available, reasonable estimates of MAUs for these third-party published games.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22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724C67E"/>
    <w:multiLevelType w:val="hybridMultilevel"/>
    <w:lvl w:ilvl="0">
      <w:lvlJc w:val="left"/>
      <w:lvlText w:val="☐"/>
      <w:numFmt w:val="bullet"/>
      <w:start w:val="1"/>
    </w:lvl>
  </w:abstractNum>
  <w:abstractNum w:abstractNumId="1">
    <w:nsid w:val="5C482A97"/>
    <w:multiLevelType w:val="hybridMultilevel"/>
    <w:lvl w:ilvl="0">
      <w:lvlJc w:val="left"/>
      <w:lvlText w:val="·"/>
      <w:numFmt w:val="bullet"/>
      <w:start w:val="1"/>
    </w:lvl>
  </w:abstractNum>
  <w:abstractNum w:abstractNumId="2">
    <w:nsid w:val="2463B9EA"/>
    <w:multiLevelType w:val="hybridMultilevel"/>
    <w:lvl w:ilvl="0">
      <w:lvlJc w:val="left"/>
      <w:lvlText w:val="·"/>
      <w:numFmt w:val="bullet"/>
      <w:start w:val="1"/>
    </w:lvl>
  </w:abstractNum>
  <w:abstractNum w:abstractNumId="3">
    <w:nsid w:val="5E884ADC"/>
    <w:multiLevelType w:val="hybridMultilevel"/>
    <w:lvl w:ilvl="0">
      <w:lvlJc w:val="left"/>
      <w:lvlText w:val="·"/>
      <w:numFmt w:val="bullet"/>
      <w:start w:val="1"/>
    </w:lvl>
  </w:abstractNum>
  <w:abstractNum w:abstractNumId="4">
    <w:nsid w:val="51EAD36B"/>
    <w:multiLevelType w:val="hybridMultilevel"/>
    <w:lvl w:ilvl="0">
      <w:lvlJc w:val="left"/>
      <w:lvlText w:val="1"/>
      <w:numFmt w:val="bullet"/>
      <w:start w:val="1"/>
    </w:lvl>
  </w:abstractNum>
  <w:abstractNum w:abstractNumId="5">
    <w:nsid w:val="2D517796"/>
    <w:multiLevelType w:val="hybridMultilevel"/>
    <w:lvl w:ilvl="0">
      <w:lvlJc w:val="left"/>
      <w:lvlText w:val="A"/>
      <w:numFmt w:val="bullet"/>
      <w:start w:val="1"/>
    </w:lvl>
  </w:abstractNum>
  <w:abstractNum w:abstractNumId="6">
    <w:nsid w:val="580BD78F"/>
    <w:multiLevelType w:val="hybridMultilevel"/>
    <w:lvl w:ilvl="0">
      <w:lvlJc w:val="left"/>
      <w:lvlText w:val="B"/>
      <w:numFmt w:val="bullet"/>
      <w:start w:val="1"/>
    </w:lvl>
  </w:abstractNum>
  <w:abstractNum w:abstractNumId="7">
    <w:nsid w:val="153EA438"/>
    <w:multiLevelType w:val="hybridMultilevel"/>
    <w:lvl w:ilvl="0">
      <w:lvlJc w:val="left"/>
      <w:lvlText w:val="C"/>
      <w:numFmt w:val="bullet"/>
      <w:start w:val="1"/>
    </w:lvl>
  </w:abstractNum>
  <w:abstractNum w:abstractNumId="8">
    <w:nsid w:val="3855585C"/>
    <w:multiLevelType w:val="hybridMultilevel"/>
    <w:lvl w:ilvl="0">
      <w:lvlJc w:val="left"/>
      <w:lvlText w:val="D"/>
      <w:numFmt w:val="bullet"/>
      <w:start w:val="1"/>
    </w:lvl>
  </w:abstractNum>
  <w:abstractNum w:abstractNumId="9">
    <w:nsid w:val="70A64E2A"/>
    <w:multiLevelType w:val="hybridMultilevel"/>
    <w:lvl w:ilvl="0">
      <w:lvlJc w:val="left"/>
      <w:lvlText w:val="·"/>
      <w:numFmt w:val="bullet"/>
      <w:start w:val="1"/>
    </w:lvl>
  </w:abstractNum>
  <w:abstractNum w:abstractNumId="10">
    <w:nsid w:val="6A2342EC"/>
    <w:multiLevelType w:val="hybridMultilevel"/>
    <w:lvl w:ilvl="0">
      <w:lvlJc w:val="left"/>
      <w:lvlText w:val="1"/>
      <w:numFmt w:val="bullet"/>
      <w:start w:val="1"/>
    </w:lvl>
  </w:abstractNum>
  <w:abstractNum w:abstractNumId="11">
    <w:nsid w:val="2A487CB0"/>
    <w:multiLevelType w:val="hybridMultilevel"/>
    <w:lvl w:ilvl="0">
      <w:lvlJc w:val="left"/>
      <w:lvlText w:val="2"/>
      <w:numFmt w:val="bullet"/>
      <w:start w:val="1"/>
    </w:lvl>
  </w:abstractNum>
  <w:abstractNum w:abstractNumId="12">
    <w:nsid w:val="1D4ED43B"/>
    <w:multiLevelType w:val="hybridMultilevel"/>
    <w:lvl w:ilvl="0">
      <w:lvlJc w:val="left"/>
      <w:lvlText w:val="1"/>
      <w:numFmt w:val="bullet"/>
      <w:start w:val="1"/>
    </w:lvl>
  </w:abstractNum>
  <w:abstractNum w:abstractNumId="13">
    <w:nsid w:val="725A06FB"/>
    <w:multiLevelType w:val="hybridMultilevel"/>
    <w:lvl w:ilvl="0">
      <w:lvlJc w:val="left"/>
      <w:lvlText w:val="2"/>
      <w:numFmt w:val="bullet"/>
      <w:start w:val="1"/>
    </w:lvl>
  </w:abstractNum>
  <w:abstractNum w:abstractNumId="14">
    <w:nsid w:val="2CD89A32"/>
    <w:multiLevelType w:val="hybridMultilevel"/>
    <w:lvl w:ilvl="0">
      <w:lvlJc w:val="left"/>
      <w:lvlText w:val="1"/>
      <w:numFmt w:val="bullet"/>
      <w:start w:val="1"/>
    </w:lvl>
  </w:abstractNum>
  <w:abstractNum w:abstractNumId="15">
    <w:nsid w:val="57E4CCAF"/>
    <w:multiLevelType w:val="hybridMultilevel"/>
    <w:lvl w:ilvl="0">
      <w:lvlJc w:val="left"/>
      <w:lvlText w:val="2"/>
      <w:numFmt w:val="bullet"/>
      <w:start w:val="1"/>
    </w:lvl>
  </w:abstractNum>
  <w:abstractNum w:abstractNumId="16">
    <w:nsid w:val="7A6D8D3C"/>
    <w:multiLevelType w:val="hybridMultilevel"/>
    <w:lvl w:ilvl="0">
      <w:lvlJc w:val="left"/>
      <w:lvlText w:val="3"/>
      <w:numFmt w:val="bullet"/>
      <w:start w:val="1"/>
    </w:lvl>
  </w:abstractNum>
  <w:abstractNum w:abstractNumId="17">
    <w:nsid w:val="4B588F54"/>
    <w:multiLevelType w:val="hybridMultilevel"/>
    <w:lvl w:ilvl="0">
      <w:lvlJc w:val="left"/>
      <w:lvlText w:val="1"/>
      <w:numFmt w:val="bullet"/>
      <w:start w:val="1"/>
    </w:lvl>
  </w:abstractNum>
  <w:abstractNum w:abstractNumId="18">
    <w:nsid w:val="542289EC"/>
    <w:multiLevelType w:val="hybridMultilevel"/>
    <w:lvl w:ilvl="0">
      <w:lvlJc w:val="left"/>
      <w:lvlText w:val="2"/>
      <w:numFmt w:val="bullet"/>
      <w:start w:val="1"/>
    </w:lvl>
  </w:abstractNum>
  <w:abstractNum w:abstractNumId="19">
    <w:nsid w:val="6DE91B18"/>
    <w:multiLevelType w:val="hybridMultilevel"/>
    <w:lvl w:ilvl="0">
      <w:lvlJc w:val="left"/>
      <w:lvlText w:val="1"/>
      <w:numFmt w:val="bullet"/>
      <w:start w:val="1"/>
    </w:lvl>
  </w:abstractNum>
  <w:abstractNum w:abstractNumId="20">
    <w:nsid w:val="38437FDB"/>
    <w:multiLevelType w:val="hybridMultilevel"/>
    <w:lvl w:ilvl="0">
      <w:lvlJc w:val="left"/>
      <w:lvlText w:val="2"/>
      <w:numFmt w:val="bullet"/>
      <w:start w:val="1"/>
    </w:lvl>
  </w:abstractNum>
  <w:abstractNum w:abstractNumId="21">
    <w:nsid w:val="7644A45C"/>
    <w:multiLevelType w:val="hybridMultilevel"/>
    <w:lvl w:ilvl="0">
      <w:lvlJc w:val="left"/>
      <w:lvlText w:val="3"/>
      <w:numFmt w:val="bullet"/>
      <w:start w:val="1"/>
    </w:lvl>
  </w:abstractNum>
  <w:abstractNum w:abstractNumId="22">
    <w:nsid w:val="32FFF902"/>
    <w:multiLevelType w:val="hybridMultilevel"/>
    <w:lvl w:ilvl="0">
      <w:lvlJc w:val="left"/>
      <w:lvlText w:val="4"/>
      <w:numFmt w:val="bullet"/>
      <w:start w:val="1"/>
    </w:lvl>
  </w:abstractNum>
  <w:abstractNum w:abstractNumId="23">
    <w:nsid w:val="684A481A"/>
    <w:multiLevelType w:val="hybridMultilevel"/>
    <w:lvl w:ilvl="0">
      <w:lvlJc w:val="left"/>
      <w:lvlText w:val="5"/>
      <w:numFmt w:val="bullet"/>
      <w:start w:val="1"/>
    </w:lvl>
  </w:abstractNum>
  <w:abstractNum w:abstractNumId="24">
    <w:nsid w:val="579478FE"/>
    <w:multiLevelType w:val="hybridMultilevel"/>
    <w:lvl w:ilvl="0">
      <w:lvlJc w:val="left"/>
      <w:lvlText w:val="6"/>
      <w:numFmt w:val="bullet"/>
      <w:start w:val="1"/>
    </w:lvl>
  </w:abstractNum>
  <w:abstractNum w:abstractNumId="25">
    <w:nsid w:val="749ABB43"/>
    <w:multiLevelType w:val="hybridMultilevel"/>
    <w:lvl w:ilvl="0">
      <w:lvlJc w:val="left"/>
      <w:lvlText w:val="1"/>
      <w:numFmt w:val="bullet"/>
      <w:start w:val="1"/>
    </w:lvl>
  </w:abstractNum>
  <w:abstractNum w:abstractNumId="26">
    <w:nsid w:val="3DC240FB"/>
    <w:multiLevelType w:val="hybridMultilevel"/>
    <w:lvl w:ilvl="0">
      <w:lvlJc w:val="left"/>
      <w:lvlText w:val="2"/>
      <w:numFmt w:val="bullet"/>
      <w:start w:val="1"/>
    </w:lvl>
  </w:abstractNum>
  <w:abstractNum w:abstractNumId="27">
    <w:nsid w:val="1BA026FA"/>
    <w:multiLevelType w:val="hybridMultilevel"/>
    <w:lvl w:ilvl="0">
      <w:lvlJc w:val="left"/>
      <w:lvlText w:val="3"/>
      <w:numFmt w:val="bullet"/>
      <w:start w:val="1"/>
    </w:lvl>
  </w:abstractNum>
  <w:abstractNum w:abstractNumId="28">
    <w:nsid w:val="79A1DEAA"/>
    <w:multiLevelType w:val="hybridMultilevel"/>
    <w:lvl w:ilvl="0">
      <w:lvlJc w:val="left"/>
      <w:lvlText w:val="4"/>
      <w:numFmt w:val="bullet"/>
      <w:start w:val="1"/>
    </w:lvl>
  </w:abstractNum>
  <w:abstractNum w:abstractNumId="29">
    <w:nsid w:val="75C6C33A"/>
    <w:multiLevelType w:val="hybridMultilevel"/>
    <w:lvl w:ilvl="0">
      <w:lvlJc w:val="left"/>
      <w:lvlText w:val="5"/>
      <w:numFmt w:val="bullet"/>
      <w:start w:val="1"/>
    </w:lvl>
  </w:abstractNum>
  <w:abstractNum w:abstractNumId="30">
    <w:nsid w:val="12E685FB"/>
    <w:multiLevelType w:val="hybridMultilevel"/>
    <w:lvl w:ilvl="0">
      <w:lvlJc w:val="left"/>
      <w:lvlText w:val="6"/>
      <w:numFmt w:val="bullet"/>
      <w:start w:val="1"/>
    </w:lvl>
  </w:abstractNum>
  <w:abstractNum w:abstractNumId="31">
    <w:nsid w:val="70C6A529"/>
    <w:multiLevelType w:val="hybridMultilevel"/>
    <w:lvl w:ilvl="0">
      <w:lvlJc w:val="left"/>
      <w:lvlText w:val="1"/>
      <w:numFmt w:val="bullet"/>
      <w:start w:val="1"/>
    </w:lvl>
  </w:abstractNum>
  <w:abstractNum w:abstractNumId="32">
    <w:nsid w:val="520EEDD1"/>
    <w:multiLevelType w:val="hybridMultilevel"/>
    <w:lvl w:ilvl="0">
      <w:lvlJc w:val="left"/>
      <w:lvlText w:val="2"/>
      <w:numFmt w:val="bullet"/>
      <w:start w:val="1"/>
    </w:lvl>
  </w:abstractNum>
  <w:abstractNum w:abstractNumId="33">
    <w:nsid w:val="374A3FE6"/>
    <w:multiLevelType w:val="hybridMultilevel"/>
    <w:lvl w:ilvl="0">
      <w:lvlJc w:val="left"/>
      <w:lvlText w:val="3"/>
      <w:numFmt w:val="bullet"/>
      <w:start w:val="1"/>
    </w:lvl>
  </w:abstractNum>
  <w:abstractNum w:abstractNumId="34">
    <w:nsid w:val="4F4EF005"/>
    <w:multiLevelType w:val="hybridMultilevel"/>
    <w:lvl w:ilvl="0">
      <w:lvlJc w:val="left"/>
      <w:lvlText w:val="4"/>
      <w:numFmt w:val="bullet"/>
      <w:start w:val="1"/>
    </w:lvl>
  </w:abstractNum>
  <w:abstractNum w:abstractNumId="35">
    <w:nsid w:val="23F9C13C"/>
    <w:multiLevelType w:val="hybridMultilevel"/>
    <w:lvl w:ilvl="0">
      <w:lvlJc w:val="left"/>
      <w:lvlText w:val="5"/>
      <w:numFmt w:val="bullet"/>
      <w:start w:val="1"/>
    </w:lvl>
  </w:abstractNum>
  <w:abstractNum w:abstractNumId="36">
    <w:nsid w:val="649BB77C"/>
    <w:multiLevelType w:val="hybridMultilevel"/>
    <w:lvl w:ilvl="0">
      <w:lvlJc w:val="left"/>
      <w:lvlText w:val="6"/>
      <w:numFmt w:val="bullet"/>
      <w:start w:val="1"/>
    </w:lvl>
  </w:abstractNum>
  <w:abstractNum w:abstractNumId="37">
    <w:nsid w:val="275AC794"/>
    <w:multiLevelType w:val="hybridMultilevel"/>
    <w:lvl w:ilvl="0">
      <w:lvlJc w:val="left"/>
      <w:lvlText w:val="7"/>
      <w:numFmt w:val="bullet"/>
      <w:start w:val="1"/>
    </w:lvl>
  </w:abstractNum>
  <w:abstractNum w:abstractNumId="38">
    <w:nsid w:val="39386575"/>
    <w:multiLevelType w:val="hybridMultilevel"/>
    <w:lvl w:ilvl="0">
      <w:lvlJc w:val="left"/>
      <w:lvlText w:val="1"/>
      <w:numFmt w:val="bullet"/>
      <w:start w:val="1"/>
    </w:lvl>
  </w:abstractNum>
  <w:abstractNum w:abstractNumId="39">
    <w:nsid w:val="1CF10FD8"/>
    <w:multiLevelType w:val="hybridMultilevel"/>
    <w:lvl w:ilvl="0">
      <w:lvlJc w:val="left"/>
      <w:lvlText w:val="2"/>
      <w:numFmt w:val="bullet"/>
      <w:start w:val="1"/>
    </w:lvl>
  </w:abstractNum>
  <w:abstractNum w:abstractNumId="40">
    <w:nsid w:val="180115BE"/>
    <w:multiLevelType w:val="hybridMultilevel"/>
    <w:lvl w:ilvl="0">
      <w:lvlJc w:val="left"/>
      <w:lvlText w:val="3"/>
      <w:numFmt w:val="bullet"/>
      <w:start w:val="1"/>
    </w:lvl>
  </w:abstractNum>
  <w:abstractNum w:abstractNumId="41">
    <w:nsid w:val="235BA861"/>
    <w:multiLevelType w:val="hybridMultilevel"/>
    <w:lvl w:ilvl="0">
      <w:lvlJc w:val="left"/>
      <w:lvlText w:val="4"/>
      <w:numFmt w:val="bullet"/>
      <w:start w:val="1"/>
    </w:lvl>
  </w:abstractNum>
  <w:abstractNum w:abstractNumId="42">
    <w:nsid w:val="47398C89"/>
    <w:multiLevelType w:val="hybridMultilevel"/>
    <w:lvl w:ilvl="0">
      <w:lvlJc w:val="left"/>
      <w:lvlText w:val="1"/>
      <w:numFmt w:val="bullet"/>
      <w:start w:val="1"/>
    </w:lvl>
  </w:abstractNum>
  <w:abstractNum w:abstractNumId="43">
    <w:nsid w:val="354FE9F9"/>
    <w:multiLevelType w:val="hybridMultilevel"/>
    <w:lvl w:ilvl="0">
      <w:lvlJc w:val="left"/>
      <w:lvlText w:val="1"/>
      <w:numFmt w:val="bullet"/>
      <w:start w:val="1"/>
    </w:lvl>
  </w:abstractNum>
  <w:abstractNum w:abstractNumId="44">
    <w:nsid w:val="15B5AF5C"/>
    <w:multiLevelType w:val="hybridMultilevel"/>
    <w:lvl w:ilvl="0">
      <w:lvlJc w:val="left"/>
      <w:lvlText w:val="2"/>
      <w:numFmt w:val="bullet"/>
      <w:start w:val="1"/>
    </w:lvl>
  </w:abstractNum>
  <w:abstractNum w:abstractNumId="45">
    <w:nsid w:val="741226BB"/>
    <w:multiLevelType w:val="hybridMultilevel"/>
    <w:lvl w:ilvl="0">
      <w:lvlJc w:val="left"/>
      <w:lvlText w:val="3"/>
      <w:numFmt w:val="bullet"/>
      <w:start w:val="1"/>
    </w:lvl>
  </w:abstractNum>
  <w:abstractNum w:abstractNumId="46">
    <w:nsid w:val="D34B6A8"/>
    <w:multiLevelType w:val="hybridMultilevel"/>
    <w:lvl w:ilvl="0">
      <w:lvlJc w:val="left"/>
      <w:lvlText w:val="4"/>
      <w:numFmt w:val="bullet"/>
      <w:start w:val="1"/>
    </w:lvl>
  </w:abstractNum>
  <w:abstractNum w:abstractNumId="47">
    <w:nsid w:val="10233C99"/>
    <w:multiLevelType w:val="hybridMultilevel"/>
    <w:lvl w:ilvl="0">
      <w:lvlJc w:val="left"/>
      <w:lvlText w:val="5"/>
      <w:numFmt w:val="bullet"/>
      <w:start w:val="1"/>
    </w:lvl>
  </w:abstractNum>
  <w:abstractNum w:abstractNumId="48">
    <w:nsid w:val="3F6AB60F"/>
    <w:multiLevelType w:val="hybridMultilevel"/>
    <w:lvl w:ilvl="0">
      <w:lvlJc w:val="left"/>
      <w:lvlText w:val="1"/>
      <w:numFmt w:val="bullet"/>
      <w:start w:val="1"/>
    </w:lvl>
  </w:abstractNum>
  <w:abstractNum w:abstractNumId="49">
    <w:nsid w:val="61574095"/>
    <w:multiLevelType w:val="hybridMultilevel"/>
    <w:lvl w:ilvl="0">
      <w:lvlJc w:val="left"/>
      <w:lvlText w:val="2"/>
      <w:numFmt w:val="bullet"/>
      <w:start w:val="1"/>
    </w:lvl>
  </w:abstractNum>
  <w:abstractNum w:abstractNumId="50">
    <w:nsid w:val="7E0C57B1"/>
    <w:multiLevelType w:val="hybridMultilevel"/>
    <w:lvl w:ilvl="0">
      <w:lvlJc w:val="left"/>
      <w:lvlText w:val="3"/>
      <w:numFmt w:val="bullet"/>
      <w:start w:val="1"/>
    </w:lvl>
  </w:abstractNum>
  <w:abstractNum w:abstractNumId="51">
    <w:nsid w:val="77AE35EB"/>
    <w:multiLevelType w:val="hybridMultilevel"/>
    <w:lvl w:ilvl="0">
      <w:lvlJc w:val="left"/>
      <w:lvlText w:val="4"/>
      <w:numFmt w:val="bullet"/>
      <w:start w:val="1"/>
    </w:lvl>
  </w:abstractNum>
  <w:abstractNum w:abstractNumId="52">
    <w:nsid w:val="579BE4F1"/>
    <w:multiLevelType w:val="hybridMultilevel"/>
    <w:lvl w:ilvl="0">
      <w:lvlJc w:val="left"/>
      <w:lvlText w:val="1"/>
      <w:numFmt w:val="bullet"/>
      <w:start w:val="1"/>
    </w:lvl>
  </w:abstractNum>
  <w:abstractNum w:abstractNumId="53">
    <w:nsid w:val="310C50B3"/>
    <w:multiLevelType w:val="hybridMultilevel"/>
    <w:lvl w:ilvl="0">
      <w:lvlJc w:val="left"/>
      <w:lvlText w:val="2"/>
      <w:numFmt w:val="bullet"/>
      <w:start w:val="1"/>
    </w:lvl>
  </w:abstractNum>
  <w:abstractNum w:abstractNumId="54">
    <w:nsid w:val="5FF87E05"/>
    <w:multiLevelType w:val="hybridMultilevel"/>
    <w:lvl w:ilvl="0">
      <w:lvlJc w:val="left"/>
      <w:lvlText w:val="3"/>
      <w:numFmt w:val="bullet"/>
      <w:start w:val="1"/>
    </w:lvl>
  </w:abstractNum>
  <w:abstractNum w:abstractNumId="55">
    <w:nsid w:val="2F305DEF"/>
    <w:multiLevelType w:val="hybridMultilevel"/>
    <w:lvl w:ilvl="0">
      <w:lvlJc w:val="left"/>
      <w:lvlText w:val="4"/>
      <w:numFmt w:val="bullet"/>
      <w:start w:val="1"/>
    </w:lvl>
  </w:abstractNum>
  <w:abstractNum w:abstractNumId="56">
    <w:nsid w:val="25A70BF7"/>
    <w:multiLevelType w:val="hybridMultilevel"/>
    <w:lvl w:ilvl="0">
      <w:lvlJc w:val="left"/>
      <w:lvlText w:val="1"/>
      <w:numFmt w:val="bullet"/>
      <w:start w:val="1"/>
    </w:lvl>
  </w:abstractNum>
  <w:abstractNum w:abstractNumId="57">
    <w:nsid w:val="1DBABF00"/>
    <w:multiLevelType w:val="hybridMultilevel"/>
    <w:lvl w:ilvl="0">
      <w:lvlJc w:val="left"/>
      <w:lvlText w:val="2"/>
      <w:numFmt w:val="bullet"/>
      <w:start w:val="1"/>
    </w:lvl>
  </w:abstractNum>
  <w:abstractNum w:abstractNumId="58">
    <w:nsid w:val="4AD084E9"/>
    <w:multiLevelType w:val="hybridMultilevel"/>
    <w:lvl w:ilvl="0">
      <w:lvlJc w:val="left"/>
      <w:lvlText w:val="3"/>
      <w:numFmt w:val="bullet"/>
      <w:start w:val="1"/>
    </w:lvl>
  </w:abstractNum>
  <w:abstractNum w:abstractNumId="59">
    <w:nsid w:val="1F48EAA1"/>
    <w:multiLevelType w:val="hybridMultilevel"/>
    <w:lvl w:ilvl="0">
      <w:lvlJc w:val="left"/>
      <w:lvlText w:val="1"/>
      <w:numFmt w:val="bullet"/>
      <w:start w:val="1"/>
    </w:lvl>
  </w:abstractNum>
  <w:abstractNum w:abstractNumId="60">
    <w:nsid w:val="1381823A"/>
    <w:multiLevelType w:val="hybridMultilevel"/>
    <w:lvl w:ilvl="0">
      <w:lvlJc w:val="left"/>
      <w:lvlText w:val="2"/>
      <w:numFmt w:val="bullet"/>
      <w:start w:val="1"/>
    </w:lvl>
  </w:abstractNum>
  <w:abstractNum w:abstractNumId="61">
    <w:nsid w:val="5DB70AE5"/>
    <w:multiLevelType w:val="hybridMultilevel"/>
    <w:lvl w:ilvl="0">
      <w:lvlJc w:val="left"/>
      <w:lvlText w:val="3"/>
      <w:numFmt w:val="bullet"/>
      <w:start w:val="1"/>
    </w:lvl>
  </w:abstractNum>
  <w:abstractNum w:abstractNumId="62">
    <w:nsid w:val="100F8FCA"/>
    <w:multiLevelType w:val="hybridMultilevel"/>
    <w:lvl w:ilvl="0">
      <w:lvlJc w:val="left"/>
      <w:lvlText w:val="4"/>
      <w:numFmt w:val="bullet"/>
      <w:start w:val="1"/>
    </w:lvl>
  </w:abstractNum>
  <w:abstractNum w:abstractNumId="63">
    <w:nsid w:val="6590700B"/>
    <w:multiLevelType w:val="hybridMultilevel"/>
    <w:lvl w:ilvl="0">
      <w:lvlJc w:val="left"/>
      <w:lvlText w:val="5"/>
      <w:numFmt w:val="bullet"/>
      <w:start w:val="1"/>
    </w:lvl>
  </w:abstractNum>
  <w:abstractNum w:abstractNumId="64">
    <w:nsid w:val="15014ACB"/>
    <w:multiLevelType w:val="hybridMultilevel"/>
    <w:lvl w:ilvl="0">
      <w:lvlJc w:val="left"/>
      <w:lvlText w:val="1"/>
      <w:numFmt w:val="bullet"/>
      <w:start w:val="1"/>
    </w:lvl>
  </w:abstractNum>
  <w:abstractNum w:abstractNumId="65">
    <w:nsid w:val="5F5E7FD0"/>
    <w:multiLevelType w:val="hybridMultilevel"/>
    <w:lvl w:ilvl="0">
      <w:lvlJc w:val="left"/>
      <w:lvlText w:val="2"/>
      <w:numFmt w:val="bullet"/>
      <w:start w:val="1"/>
    </w:lvl>
  </w:abstractNum>
  <w:abstractNum w:abstractNumId="66">
    <w:nsid w:val="98A3148"/>
    <w:multiLevelType w:val="hybridMultilevel"/>
    <w:lvl w:ilvl="0">
      <w:lvlJc w:val="left"/>
      <w:lvlText w:val="3"/>
      <w:numFmt w:val="bullet"/>
      <w:start w:val="1"/>
    </w:lvl>
  </w:abstractNum>
  <w:abstractNum w:abstractNumId="67">
    <w:nsid w:val="799D0247"/>
    <w:multiLevelType w:val="hybridMultilevel"/>
    <w:lvl w:ilvl="0">
      <w:lvlJc w:val="left"/>
      <w:lvlText w:val="4"/>
      <w:numFmt w:val="bullet"/>
      <w:start w:val="1"/>
    </w:lvl>
  </w:abstractNum>
  <w:abstractNum w:abstractNumId="68">
    <w:nsid w:val="6B94764"/>
    <w:multiLevelType w:val="hybridMultilevel"/>
    <w:lvl w:ilvl="0">
      <w:lvlJc w:val="left"/>
      <w:lvlText w:val="5"/>
      <w:numFmt w:val="bullet"/>
      <w:start w:val="1"/>
    </w:lvl>
  </w:abstractNum>
  <w:abstractNum w:abstractNumId="69">
    <w:nsid w:val="42C296BD"/>
    <w:multiLevelType w:val="hybridMultilevel"/>
    <w:lvl w:ilvl="0">
      <w:lvlJc w:val="left"/>
      <w:lvlText w:val="6"/>
      <w:numFmt w:val="bullet"/>
      <w:start w:val="1"/>
    </w:lvl>
  </w:abstractNum>
  <w:abstractNum w:abstractNumId="70">
    <w:nsid w:val="168E121F"/>
    <w:multiLevelType w:val="hybridMultilevel"/>
    <w:lvl w:ilvl="0">
      <w:lvlJc w:val="left"/>
      <w:lvlText w:val="7"/>
      <w:numFmt w:val="bullet"/>
      <w:start w:val="1"/>
    </w:lvl>
  </w:abstractNum>
  <w:abstractNum w:abstractNumId="71">
    <w:nsid w:val="1EBA5D23"/>
    <w:multiLevelType w:val="hybridMultilevel"/>
    <w:lvl w:ilvl="0">
      <w:lvlJc w:val="left"/>
      <w:lvlText w:val="1"/>
      <w:numFmt w:val="bullet"/>
      <w:start w:val="1"/>
    </w:lvl>
  </w:abstractNum>
  <w:abstractNum w:abstractNumId="72">
    <w:nsid w:val="661E3F1E"/>
    <w:multiLevelType w:val="hybridMultilevel"/>
    <w:lvl w:ilvl="0">
      <w:lvlJc w:val="left"/>
      <w:lvlText w:val="2"/>
      <w:numFmt w:val="bullet"/>
      <w:start w:val="1"/>
    </w:lvl>
  </w:abstractNum>
  <w:abstractNum w:abstractNumId="73">
    <w:nsid w:val="5DC79EA8"/>
    <w:multiLevelType w:val="hybridMultilevel"/>
    <w:lvl w:ilvl="0">
      <w:lvlJc w:val="left"/>
      <w:lvlText w:val="3"/>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2020-02-06T15:18:27Z</dcterms:created>
  <dcterms:modified xsi:type="dcterms:W3CDTF">2020-02-06T15:18:27Z</dcterms:modified>
</cp:coreProperties>
</file>