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3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16, 2022 (December 13, 2022)</w:t>
      </w:r>
    </w:p>
    <w:p>
      <w:pPr>
        <w:spacing w:after="0" w:line="2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Activision Blizzard, Inc.</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56" w:lineRule="exact"/>
        <w:rPr>
          <w:sz w:val="24"/>
          <w:szCs w:val="24"/>
          <w:color w:val="auto"/>
        </w:rPr>
      </w:pPr>
    </w:p>
    <w:tbl>
      <w:tblPr>
        <w:tblLayout w:type="fixed"/>
        <w:tblInd w:w="500" w:type="dxa"/>
        <w:tblCellMar>
          <w:top w:w="0" w:type="dxa"/>
          <w:left w:w="0" w:type="dxa"/>
          <w:bottom w:w="0" w:type="dxa"/>
          <w:right w:w="0" w:type="dxa"/>
        </w:tblCellMar>
      </w:tblPr>
      <w:tr>
        <w:trPr>
          <w:trHeight w:val="238"/>
        </w:trPr>
        <w:tc>
          <w:tcPr>
            <w:tcW w:w="358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001-15839</w:t>
            </w:r>
          </w:p>
        </w:tc>
        <w:tc>
          <w:tcPr>
            <w:tcW w:w="3540" w:type="dxa"/>
            <w:vAlign w:val="bottom"/>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95-4803544</w:t>
            </w:r>
          </w:p>
        </w:tc>
      </w:tr>
      <w:tr>
        <w:trPr>
          <w:trHeight w:val="265"/>
        </w:trPr>
        <w:tc>
          <w:tcPr>
            <w:tcW w:w="358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5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234"/>
        </w:trPr>
        <w:tc>
          <w:tcPr>
            <w:tcW w:w="35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incorporation)</w:t>
            </w:r>
          </w:p>
        </w:tc>
        <w:tc>
          <w:tcPr>
            <w:tcW w:w="322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270"/>
        </w:trPr>
        <w:tc>
          <w:tcPr>
            <w:tcW w:w="358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2701 Olympic Boulevard, Building B</w:t>
            </w:r>
          </w:p>
        </w:tc>
        <w:tc>
          <w:tcPr>
            <w:tcW w:w="3220" w:type="dxa"/>
            <w:vAlign w:val="bottom"/>
          </w:tcPr>
          <w:p>
            <w:pPr>
              <w:spacing w:after="0"/>
              <w:rPr>
                <w:sz w:val="23"/>
                <w:szCs w:val="23"/>
                <w:color w:val="auto"/>
              </w:rPr>
            </w:pPr>
          </w:p>
        </w:tc>
        <w:tc>
          <w:tcPr>
            <w:tcW w:w="3540" w:type="dxa"/>
            <w:vAlign w:val="bottom"/>
          </w:tcPr>
          <w:p>
            <w:pPr>
              <w:spacing w:after="0"/>
              <w:rPr>
                <w:sz w:val="23"/>
                <w:szCs w:val="23"/>
                <w:color w:val="auto"/>
              </w:rPr>
            </w:pPr>
          </w:p>
        </w:tc>
      </w:tr>
      <w:tr>
        <w:trPr>
          <w:trHeight w:val="270"/>
        </w:trPr>
        <w:tc>
          <w:tcPr>
            <w:tcW w:w="35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Santa Monica,  CA</w:t>
            </w:r>
          </w:p>
        </w:tc>
        <w:tc>
          <w:tcPr>
            <w:tcW w:w="3220" w:type="dxa"/>
            <w:vAlign w:val="bottom"/>
          </w:tcPr>
          <w:p>
            <w:pPr>
              <w:spacing w:after="0"/>
              <w:rPr>
                <w:sz w:val="23"/>
                <w:szCs w:val="23"/>
                <w:color w:val="auto"/>
              </w:rPr>
            </w:pPr>
          </w:p>
        </w:tc>
        <w:tc>
          <w:tcPr>
            <w:tcW w:w="3540" w:type="dxa"/>
            <w:vAlign w:val="bottom"/>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90404</w:t>
            </w:r>
          </w:p>
        </w:tc>
      </w:tr>
      <w:tr>
        <w:trPr>
          <w:trHeight w:val="284"/>
        </w:trPr>
        <w:tc>
          <w:tcPr>
            <w:tcW w:w="35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220" w:type="dxa"/>
            <w:vAlign w:val="bottom"/>
          </w:tcPr>
          <w:p>
            <w:pPr>
              <w:spacing w:after="0"/>
              <w:rPr>
                <w:sz w:val="24"/>
                <w:szCs w:val="24"/>
                <w:color w:val="auto"/>
              </w:rPr>
            </w:pPr>
          </w:p>
        </w:tc>
        <w:tc>
          <w:tcPr>
            <w:tcW w:w="354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(310) 255-2000</w:t>
      </w:r>
    </w:p>
    <w:p>
      <w:pPr>
        <w:spacing w:after="0" w:line="1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ind w:right="680"/>
        <w:spacing w:after="0" w:line="235" w:lineRule="exact"/>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 </w:t>
      </w:r>
      <w:r>
        <w:rPr>
          <w:rFonts w:ascii="MS PGothic" w:cs="MS PGothic" w:eastAsia="MS PGothic" w:hAnsi="MS PGothic"/>
          <w:sz w:val="18"/>
          <w:szCs w:val="18"/>
          <w:color w:val="auto"/>
        </w:rPr>
        <w:t>☐</w:t>
      </w:r>
    </w:p>
    <w:p>
      <w:pPr>
        <w:spacing w:after="0" w:line="273" w:lineRule="exact"/>
        <w:rPr>
          <w:sz w:val="24"/>
          <w:szCs w:val="24"/>
          <w:color w:val="auto"/>
        </w:rPr>
      </w:pPr>
    </w:p>
    <w:p>
      <w:pPr>
        <w:ind w:left="480" w:hanging="337"/>
        <w:spacing w:after="0"/>
        <w:tabs>
          <w:tab w:leader="none" w:pos="4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86" w:lineRule="exact"/>
        <w:rPr>
          <w:rFonts w:ascii="MS PGothic" w:cs="MS PGothic" w:eastAsia="MS PGothic" w:hAnsi="MS PGothic"/>
          <w:sz w:val="20"/>
          <w:szCs w:val="20"/>
          <w:color w:val="auto"/>
        </w:rPr>
      </w:pPr>
    </w:p>
    <w:p>
      <w:pPr>
        <w:ind w:left="480" w:hanging="337"/>
        <w:spacing w:after="0"/>
        <w:tabs>
          <w:tab w:leader="none" w:pos="4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86" w:lineRule="exact"/>
        <w:rPr>
          <w:rFonts w:ascii="MS PGothic" w:cs="MS PGothic" w:eastAsia="MS PGothic" w:hAnsi="MS PGothic"/>
          <w:sz w:val="20"/>
          <w:szCs w:val="20"/>
          <w:color w:val="auto"/>
        </w:rPr>
      </w:pPr>
    </w:p>
    <w:p>
      <w:pPr>
        <w:ind w:left="480" w:hanging="337"/>
        <w:spacing w:after="0"/>
        <w:tabs>
          <w:tab w:leader="none" w:pos="4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86" w:lineRule="exact"/>
        <w:rPr>
          <w:rFonts w:ascii="MS PGothic" w:cs="MS PGothic" w:eastAsia="MS PGothic" w:hAnsi="MS PGothic"/>
          <w:sz w:val="20"/>
          <w:szCs w:val="20"/>
          <w:color w:val="auto"/>
        </w:rPr>
      </w:pPr>
    </w:p>
    <w:p>
      <w:pPr>
        <w:ind w:left="480" w:hanging="337"/>
        <w:spacing w:after="0"/>
        <w:tabs>
          <w:tab w:leader="none" w:pos="4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5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343"/>
        </w:trPr>
        <w:tc>
          <w:tcPr>
            <w:tcW w:w="1640" w:type="dxa"/>
            <w:vAlign w:val="bottom"/>
          </w:tcPr>
          <w:p>
            <w:pPr>
              <w:spacing w:after="0"/>
              <w:rPr>
                <w:sz w:val="24"/>
                <w:szCs w:val="24"/>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1900" w:type="dxa"/>
            <w:vAlign w:val="bottom"/>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304"/>
        </w:trPr>
        <w:tc>
          <w:tcPr>
            <w:tcW w:w="50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Common Stock, par value $.000001 per share</w:t>
            </w:r>
          </w:p>
        </w:tc>
        <w:tc>
          <w:tcPr>
            <w:tcW w:w="16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ATVI</w:t>
            </w:r>
          </w:p>
        </w:tc>
        <w:tc>
          <w:tcPr>
            <w:tcW w:w="44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03" w:lineRule="exact"/>
        <w:rPr>
          <w:sz w:val="24"/>
          <w:szCs w:val="24"/>
          <w:color w:val="auto"/>
        </w:rPr>
      </w:pPr>
    </w:p>
    <w:p>
      <w:pPr>
        <w:ind w:right="520"/>
        <w:spacing w:after="0" w:line="29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32"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841375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sectPr>
      </w:pPr>
    </w:p>
    <w:bookmarkStart w:id="1" w:name="page2"/>
    <w:bookmarkEnd w:id="1"/>
    <w:p>
      <w:pPr>
        <w:ind w:right="39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200" w:lineRule="exact"/>
        <w:rPr>
          <w:sz w:val="20"/>
          <w:szCs w:val="20"/>
          <w:color w:val="auto"/>
        </w:rPr>
      </w:pPr>
    </w:p>
    <w:p>
      <w:pPr>
        <w:spacing w:after="0" w:line="202" w:lineRule="exact"/>
        <w:rPr>
          <w:sz w:val="20"/>
          <w:szCs w:val="20"/>
          <w:color w:val="auto"/>
        </w:rPr>
      </w:pPr>
    </w:p>
    <w:p>
      <w:pPr>
        <w:ind w:firstLine="413"/>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13, 2022, Daniel Alegre, President and Chief Operating Officer of Activision Blizzard,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notified the Company that he plans to leave for another opportunity upon completion of the current term of his employment under his employment agreement with the Company, which term expires on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668655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52" w:right="459" w:bottom="1440" w:gutter="0" w:footer="0" w:header="0"/>
        </w:sectPr>
      </w:pPr>
    </w:p>
    <w:bookmarkStart w:id="2" w:name="page3"/>
    <w:bookmarkEnd w:id="2"/>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16, 2022</w:t>
      </w:r>
    </w:p>
    <w:p>
      <w:pPr>
        <w:spacing w:after="0" w:line="325"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20"/>
          <w:szCs w:val="20"/>
          <w:b w:val="1"/>
          <w:bCs w:val="1"/>
          <w:color w:val="auto"/>
        </w:rPr>
        <w:t>ACTIVISION BLIZZARD, INC.</w:t>
      </w:r>
    </w:p>
    <w:p>
      <w:pPr>
        <w:spacing w:after="0" w:line="332"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By: /s/ Luci Altman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5145405</wp:posOffset>
            </wp:positionH>
            <wp:positionV relativeFrom="paragraph">
              <wp:posOffset>43180</wp:posOffset>
            </wp:positionV>
            <wp:extent cx="18770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Name: Luci Altman</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Senior Vice President, Corporate</w:t>
      </w:r>
    </w:p>
    <w:p>
      <w:pPr>
        <w:spacing w:after="0" w:line="27"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Governance and</w:t>
      </w:r>
    </w:p>
    <w:p>
      <w:pPr>
        <w:spacing w:after="0" w:line="58"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Corporate Secretary</w:t>
      </w:r>
    </w:p>
    <w:sectPr>
      <w:pgSz w:w="11900" w:h="16838" w:orient="portrait"/>
      <w:cols w:equalWidth="0" w:num="1">
        <w:col w:w="10500"/>
      </w:cols>
      <w:pgMar w:left="500" w:top="765"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2022-12-16T16:18:32Z</dcterms:created>
  <dcterms:modified xsi:type="dcterms:W3CDTF">2022-12-16T16:18:32Z</dcterms:modified>
</cp:coreProperties>
</file>