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321945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10-K</w:t>
      </w:r>
    </w:p>
    <w:p>
      <w:pPr>
        <w:spacing w:after="0" w:line="92" w:lineRule="exact"/>
        <w:rPr>
          <w:sz w:val="24"/>
          <w:szCs w:val="24"/>
          <w:color w:val="auto"/>
        </w:rPr>
      </w:pPr>
    </w:p>
    <w:p>
      <w:pPr>
        <w:ind w:left="1760" w:hanging="344"/>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19" w:lineRule="exact"/>
        <w:rPr>
          <w:sz w:val="24"/>
          <w:szCs w:val="24"/>
          <w:color w:val="auto"/>
        </w:rPr>
      </w:pPr>
    </w:p>
    <w:p>
      <w:pPr>
        <w:jc w:val="center"/>
        <w:ind w:right="80"/>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67" w:lineRule="exact"/>
        <w:rPr>
          <w:sz w:val="24"/>
          <w:szCs w:val="24"/>
          <w:color w:val="auto"/>
        </w:rPr>
      </w:pPr>
    </w:p>
    <w:p>
      <w:pPr>
        <w:ind w:left="1580" w:hanging="344"/>
        <w:spacing w:after="0"/>
        <w:tabs>
          <w:tab w:leader="none" w:pos="15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7" w:lineRule="exact"/>
        <w:rPr>
          <w:sz w:val="24"/>
          <w:szCs w:val="24"/>
          <w:color w:val="auto"/>
        </w:rPr>
      </w:pPr>
    </w:p>
    <w:p>
      <w:pPr>
        <w:ind w:left="3880"/>
        <w:spacing w:after="0"/>
        <w:tabs>
          <w:tab w:leader="none" w:pos="70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53975</wp:posOffset>
            </wp:positionV>
            <wp:extent cx="1307465" cy="408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408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ACTIVISION BLIZZARD,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Borders>
              <w:bottom w:val="single" w:sz="8" w:color="auto"/>
            </w:tcBorders>
          </w:tcPr>
          <w:p>
            <w:pPr>
              <w:jc w:val="center"/>
              <w:ind w:left="1993"/>
              <w:spacing w:after="0"/>
              <w:rPr>
                <w:sz w:val="20"/>
                <w:szCs w:val="20"/>
                <w:color w:val="auto"/>
              </w:rPr>
            </w:pPr>
            <w:r>
              <w:rPr>
                <w:rFonts w:ascii="Arial" w:cs="Arial" w:eastAsia="Arial" w:hAnsi="Arial"/>
                <w:sz w:val="17"/>
                <w:szCs w:val="17"/>
                <w:b w:val="1"/>
                <w:bCs w:val="1"/>
                <w:color w:val="auto"/>
                <w:w w:val="93"/>
              </w:rPr>
              <w:t>Delaware</w:t>
            </w:r>
          </w:p>
        </w:tc>
        <w:tc>
          <w:tcPr>
            <w:tcW w:w="1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20" w:type="dxa"/>
            <w:vAlign w:val="bottom"/>
            <w:tcBorders>
              <w:bottom w:val="single" w:sz="8" w:color="auto"/>
            </w:tcBorders>
          </w:tcPr>
          <w:p>
            <w:pPr>
              <w:jc w:val="right"/>
              <w:ind w:right="2193"/>
              <w:spacing w:after="0"/>
              <w:rPr>
                <w:sz w:val="20"/>
                <w:szCs w:val="20"/>
                <w:color w:val="auto"/>
              </w:rPr>
            </w:pPr>
            <w:r>
              <w:rPr>
                <w:rFonts w:ascii="Arial" w:cs="Arial" w:eastAsia="Arial" w:hAnsi="Arial"/>
                <w:sz w:val="17"/>
                <w:szCs w:val="17"/>
                <w:b w:val="1"/>
                <w:bCs w:val="1"/>
                <w:color w:val="auto"/>
              </w:rPr>
              <w:t>95-4803544</w:t>
            </w:r>
          </w:p>
        </w:tc>
      </w:tr>
      <w:tr>
        <w:trPr>
          <w:trHeight w:val="211"/>
        </w:trPr>
        <w:tc>
          <w:tcPr>
            <w:tcW w:w="5000" w:type="dxa"/>
            <w:vAlign w:val="bottom"/>
            <w:gridSpan w:val="2"/>
          </w:tcPr>
          <w:p>
            <w:pPr>
              <w:jc w:val="center"/>
              <w:ind w:left="413"/>
              <w:spacing w:after="0"/>
              <w:rPr>
                <w:sz w:val="20"/>
                <w:szCs w:val="20"/>
                <w:color w:val="auto"/>
              </w:rPr>
            </w:pPr>
            <w:r>
              <w:rPr>
                <w:rFonts w:ascii="Arial" w:cs="Arial" w:eastAsia="Arial" w:hAnsi="Arial"/>
                <w:sz w:val="17"/>
                <w:szCs w:val="17"/>
                <w:color w:val="auto"/>
                <w:w w:val="95"/>
              </w:rPr>
              <w:t>(State or other jurisdiction of incorporation or organization)</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7"/>
                <w:szCs w:val="17"/>
                <w:color w:val="auto"/>
                <w:w w:val="97"/>
              </w:rPr>
              <w:t>(I.R.S. Employer Identification No.)</w:t>
            </w:r>
          </w:p>
        </w:tc>
      </w:tr>
      <w:tr>
        <w:trPr>
          <w:trHeight w:val="228"/>
        </w:trPr>
        <w:tc>
          <w:tcPr>
            <w:tcW w:w="3420" w:type="dxa"/>
            <w:vAlign w:val="bottom"/>
          </w:tcPr>
          <w:p>
            <w:pPr>
              <w:ind w:left="380"/>
              <w:spacing w:after="0"/>
              <w:rPr>
                <w:sz w:val="20"/>
                <w:szCs w:val="20"/>
                <w:color w:val="auto"/>
              </w:rPr>
            </w:pPr>
            <w:r>
              <w:rPr>
                <w:rFonts w:ascii="Arial" w:cs="Arial" w:eastAsia="Arial" w:hAnsi="Arial"/>
                <w:sz w:val="17"/>
                <w:szCs w:val="17"/>
                <w:b w:val="1"/>
                <w:bCs w:val="1"/>
                <w:color w:val="auto"/>
              </w:rPr>
              <w:t>2701 Olympic Boulevard Building B</w:t>
            </w:r>
          </w:p>
        </w:tc>
        <w:tc>
          <w:tcPr>
            <w:tcW w:w="1580" w:type="dxa"/>
            <w:vAlign w:val="bottom"/>
          </w:tcPr>
          <w:p>
            <w:pPr>
              <w:ind w:left="320"/>
              <w:spacing w:after="0"/>
              <w:rPr>
                <w:sz w:val="20"/>
                <w:szCs w:val="20"/>
                <w:color w:val="auto"/>
              </w:rPr>
            </w:pPr>
            <w:r>
              <w:rPr>
                <w:rFonts w:ascii="Arial" w:cs="Arial" w:eastAsia="Arial" w:hAnsi="Arial"/>
                <w:sz w:val="17"/>
                <w:szCs w:val="17"/>
                <w:b w:val="1"/>
                <w:bCs w:val="1"/>
                <w:color w:val="auto"/>
              </w:rPr>
              <w:t>Santa Monica,</w:t>
            </w:r>
          </w:p>
        </w:tc>
        <w:tc>
          <w:tcPr>
            <w:tcW w:w="820" w:type="dxa"/>
            <w:vAlign w:val="bottom"/>
            <w:gridSpan w:val="2"/>
          </w:tcPr>
          <w:p>
            <w:pPr>
              <w:ind w:left="160"/>
              <w:spacing w:after="0"/>
              <w:rPr>
                <w:sz w:val="20"/>
                <w:szCs w:val="20"/>
                <w:color w:val="auto"/>
              </w:rPr>
            </w:pPr>
            <w:r>
              <w:rPr>
                <w:rFonts w:ascii="Arial" w:cs="Arial" w:eastAsia="Arial" w:hAnsi="Arial"/>
                <w:sz w:val="17"/>
                <w:szCs w:val="17"/>
                <w:b w:val="1"/>
                <w:bCs w:val="1"/>
                <w:color w:val="auto"/>
              </w:rPr>
              <w:t>CA</w:t>
            </w:r>
          </w:p>
        </w:tc>
        <w:tc>
          <w:tcPr>
            <w:tcW w:w="5420" w:type="dxa"/>
            <w:vAlign w:val="bottom"/>
          </w:tcPr>
          <w:p>
            <w:pPr>
              <w:jc w:val="right"/>
              <w:ind w:right="2413"/>
              <w:spacing w:after="0"/>
              <w:rPr>
                <w:sz w:val="20"/>
                <w:szCs w:val="20"/>
                <w:color w:val="auto"/>
              </w:rPr>
            </w:pPr>
            <w:r>
              <w:rPr>
                <w:rFonts w:ascii="Arial" w:cs="Arial" w:eastAsia="Arial" w:hAnsi="Arial"/>
                <w:sz w:val="17"/>
                <w:szCs w:val="17"/>
                <w:b w:val="1"/>
                <w:bCs w:val="1"/>
                <w:color w:val="auto"/>
              </w:rPr>
              <w:t>90404</w:t>
            </w:r>
          </w:p>
        </w:tc>
      </w:tr>
      <w:tr>
        <w:trPr>
          <w:trHeight w:val="216"/>
        </w:trPr>
        <w:tc>
          <w:tcPr>
            <w:tcW w:w="5000" w:type="dxa"/>
            <w:vAlign w:val="bottom"/>
            <w:tcBorders>
              <w:top w:val="single" w:sz="8" w:color="auto"/>
            </w:tcBorders>
            <w:gridSpan w:val="2"/>
          </w:tcPr>
          <w:p>
            <w:pPr>
              <w:jc w:val="center"/>
              <w:ind w:left="413"/>
              <w:spacing w:after="0"/>
              <w:rPr>
                <w:sz w:val="20"/>
                <w:szCs w:val="20"/>
                <w:color w:val="auto"/>
              </w:rPr>
            </w:pPr>
            <w:r>
              <w:rPr>
                <w:rFonts w:ascii="Arial" w:cs="Arial" w:eastAsia="Arial" w:hAnsi="Arial"/>
                <w:sz w:val="17"/>
                <w:szCs w:val="17"/>
                <w:color w:val="auto"/>
                <w:w w:val="95"/>
              </w:rPr>
              <w:t>(Address of principal executive offices)</w:t>
            </w:r>
          </w:p>
        </w:tc>
        <w:tc>
          <w:tcPr>
            <w:tcW w:w="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(Zip Code)</w:t>
            </w:r>
          </w:p>
        </w:tc>
      </w:tr>
    </w:tbl>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(310) 255-2000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4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Trading Symbol(s)</w:t>
            </w:r>
          </w:p>
        </w:tc>
        <w:tc>
          <w:tcPr>
            <w:tcW w:w="120" w:type="dxa"/>
            <w:vAlign w:val="bottom"/>
          </w:tcPr>
          <w:p>
            <w:pPr>
              <w:spacing w:after="0"/>
              <w:rPr>
                <w:sz w:val="19"/>
                <w:szCs w:val="19"/>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16"/>
        </w:trPr>
        <w:tc>
          <w:tcPr>
            <w:tcW w:w="482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Common Stock, par value $0.000001 per share</w:t>
            </w:r>
          </w:p>
        </w:tc>
        <w:tc>
          <w:tcPr>
            <w:tcW w:w="2040" w:type="dxa"/>
            <w:vAlign w:val="bottom"/>
            <w:gridSpan w:val="2"/>
          </w:tcPr>
          <w:p>
            <w:pPr>
              <w:jc w:val="center"/>
              <w:ind w:right="120"/>
              <w:spacing w:after="0"/>
              <w:rPr>
                <w:sz w:val="20"/>
                <w:szCs w:val="20"/>
                <w:color w:val="auto"/>
              </w:rPr>
            </w:pPr>
            <w:r>
              <w:rPr>
                <w:rFonts w:ascii="Arial" w:cs="Arial" w:eastAsia="Arial" w:hAnsi="Arial"/>
                <w:sz w:val="17"/>
                <w:szCs w:val="17"/>
                <w:color w:val="auto"/>
              </w:rPr>
              <w:t>ATVI</w:t>
            </w:r>
          </w:p>
        </w:tc>
        <w:tc>
          <w:tcPr>
            <w:tcW w:w="4380" w:type="dxa"/>
            <w:vAlign w:val="bottom"/>
          </w:tcPr>
          <w:p>
            <w:pPr>
              <w:jc w:val="center"/>
              <w:spacing w:after="0"/>
              <w:rPr>
                <w:sz w:val="20"/>
                <w:szCs w:val="20"/>
                <w:color w:val="auto"/>
              </w:rPr>
            </w:pPr>
            <w:r>
              <w:rPr>
                <w:rFonts w:ascii="Arial" w:cs="Arial" w:eastAsia="Arial" w:hAnsi="Arial"/>
                <w:sz w:val="17"/>
                <w:szCs w:val="17"/>
                <w:color w:val="auto"/>
                <w:w w:val="93"/>
              </w:rPr>
              <w:t>The Nasdaq Global Select Market</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48"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None</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 (d)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40"/>
        <w:spacing w:after="0" w:line="20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120"/>
        <w:spacing w:after="0" w:line="3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00"/>
        <w:spacing w:after="0" w:line="184" w:lineRule="exact"/>
        <w:tabs>
          <w:tab w:leader="none" w:pos="1880" w:val="left"/>
          <w:tab w:leader="none" w:pos="2360" w:val="left"/>
          <w:tab w:leader="none" w:pos="3680" w:val="left"/>
          <w:tab w:leader="none" w:pos="4200" w:val="left"/>
          <w:tab w:leader="none" w:pos="5860" w:val="left"/>
          <w:tab w:leader="none" w:pos="6340" w:val="left"/>
          <w:tab w:leader="none" w:pos="8360" w:val="left"/>
          <w:tab w:leader="none" w:pos="8940" w:val="left"/>
          <w:tab w:leader="none" w:pos="109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3"/>
          <w:szCs w:val="13"/>
          <w:color w:val="auto"/>
        </w:rPr>
        <w:t>☐</w:t>
      </w:r>
    </w:p>
    <w:p>
      <w:pPr>
        <w:spacing w:after="0" w:line="119"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540"/>
        <w:spacing w:after="0" w:line="20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800"/>
        <w:spacing w:after="0" w:line="260" w:lineRule="auto"/>
        <w:rPr>
          <w:sz w:val="20"/>
          <w:szCs w:val="20"/>
          <w:color w:val="auto"/>
        </w:rPr>
      </w:pPr>
      <w:r>
        <w:rPr>
          <w:rFonts w:ascii="Arial" w:cs="Arial" w:eastAsia="Arial" w:hAnsi="Arial"/>
          <w:sz w:val="16"/>
          <w:szCs w:val="16"/>
          <w:color w:val="auto"/>
        </w:rPr>
        <w:t>The aggregate market value of the registrant’s Common Stock held by non-affiliates on June 30, 2021 (based on the closing sale price as reported on the Nasdaq) was $73,721,746,854.</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at February 18, 2022 was 779,234,888.</w:t>
      </w:r>
    </w:p>
    <w:p>
      <w:pPr>
        <w:spacing w:after="0" w:line="101"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8" w:lineRule="exact"/>
        <w:rPr>
          <w:sz w:val="24"/>
          <w:szCs w:val="24"/>
          <w:color w:val="auto"/>
        </w:rPr>
      </w:pPr>
    </w:p>
    <w:p>
      <w:pPr>
        <w:ind w:right="80"/>
        <w:spacing w:after="0" w:line="353" w:lineRule="auto"/>
        <w:rPr>
          <w:sz w:val="20"/>
          <w:szCs w:val="20"/>
          <w:color w:val="auto"/>
        </w:rPr>
      </w:pPr>
      <w:r>
        <w:rPr>
          <w:rFonts w:ascii="Arial" w:cs="Arial" w:eastAsia="Arial" w:hAnsi="Arial"/>
          <w:sz w:val="13"/>
          <w:szCs w:val="13"/>
          <w:color w:val="auto"/>
        </w:rPr>
        <w:t>Portions of the registrant’s Proxy Statement for the 2022 Annual Meeting of Stockholders are incorporated herein by reference into Part III of this Form 10-K to the extent stated herein. The 2022 Proxy Statement will be filed with the U.S.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221615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11"/>
          </w:tcPr>
          <w:p>
            <w:pPr>
              <w:jc w:val="center"/>
              <w:ind w:right="2620"/>
              <w:spacing w:after="0"/>
              <w:rPr>
                <w:sz w:val="20"/>
                <w:szCs w:val="20"/>
                <w:color w:val="auto"/>
              </w:rPr>
            </w:pPr>
            <w:r>
              <w:rPr>
                <w:rFonts w:ascii="Arial" w:cs="Arial" w:eastAsia="Arial" w:hAnsi="Arial"/>
                <w:sz w:val="17"/>
                <w:szCs w:val="17"/>
                <w:b w:val="1"/>
                <w:bCs w:val="1"/>
                <w:color w:val="auto"/>
              </w:rPr>
              <w:t>ACTIVISION BLIZZARD, INC. AND SUBSIDIARIES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20" w:type="dxa"/>
            <w:vAlign w:val="bottom"/>
            <w:gridSpan w:val="9"/>
          </w:tcPr>
          <w:p>
            <w:pPr>
              <w:jc w:val="center"/>
              <w:ind w:right="3860"/>
              <w:spacing w:after="0"/>
              <w:rPr>
                <w:sz w:val="20"/>
                <w:szCs w:val="20"/>
                <w:color w:val="auto"/>
              </w:rPr>
            </w:pPr>
            <w:r>
              <w:rPr>
                <w:rFonts w:ascii="Arial" w:cs="Arial" w:eastAsia="Arial" w:hAnsi="Arial"/>
                <w:sz w:val="17"/>
                <w:szCs w:val="17"/>
                <w:b w:val="1"/>
                <w:bCs w:val="1"/>
                <w:color w:val="auto"/>
                <w:w w:val="91"/>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6"/>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70"/>
        </w:trPr>
        <w:tc>
          <w:tcPr>
            <w:tcW w:w="20" w:type="dxa"/>
            <w:vAlign w:val="bottom"/>
          </w:tcPr>
          <w:p>
            <w:pPr>
              <w:spacing w:after="0"/>
              <w:rPr>
                <w:sz w:val="14"/>
                <w:szCs w:val="14"/>
                <w:color w:val="auto"/>
              </w:rPr>
            </w:pPr>
          </w:p>
        </w:tc>
        <w:tc>
          <w:tcPr>
            <w:tcW w:w="1500" w:type="dxa"/>
            <w:vAlign w:val="bottom"/>
            <w:gridSpan w:val="12"/>
          </w:tcPr>
          <w:p>
            <w:pPr>
              <w:spacing w:after="0" w:line="150" w:lineRule="exact"/>
              <w:rPr>
                <w:rFonts w:ascii="Arial" w:cs="Arial" w:eastAsia="Arial" w:hAnsi="Arial"/>
                <w:sz w:val="17"/>
                <w:szCs w:val="17"/>
                <w:color w:val="0000FF"/>
              </w:rPr>
            </w:pPr>
            <w:hyperlink w:anchor="page2">
              <w:r>
                <w:rPr>
                  <w:rFonts w:ascii="Arial" w:cs="Arial" w:eastAsia="Arial" w:hAnsi="Arial"/>
                  <w:sz w:val="17"/>
                  <w:szCs w:val="17"/>
                  <w:color w:val="0000FF"/>
                </w:rPr>
                <w:t>PART I.</w:t>
              </w:r>
            </w:hyperlink>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top w:val="single" w:sz="8" w:color="auto"/>
            </w:tcBorders>
            <w:gridSpan w:val="5"/>
          </w:tcPr>
          <w:p>
            <w:pPr>
              <w:jc w:val="right"/>
              <w:ind w:right="20"/>
              <w:spacing w:after="0" w:line="150" w:lineRule="exact"/>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20" w:type="dxa"/>
            <w:vAlign w:val="bottom"/>
          </w:tcPr>
          <w:p>
            <w:pPr>
              <w:spacing w:after="0"/>
              <w:rPr>
                <w:sz w:val="14"/>
                <w:szCs w:val="14"/>
                <w:color w:val="auto"/>
              </w:rPr>
            </w:pPr>
          </w:p>
        </w:tc>
      </w:tr>
      <w:tr>
        <w:trPr>
          <w:trHeight w:val="26"/>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7"/>
          </w:tcPr>
          <w:p>
            <w:pPr>
              <w:spacing w:after="0"/>
              <w:rPr>
                <w:rFonts w:ascii="Arial" w:cs="Arial" w:eastAsia="Arial" w:hAnsi="Arial"/>
                <w:sz w:val="17"/>
                <w:szCs w:val="17"/>
                <w:color w:val="0000FF"/>
                <w:w w:val="88"/>
              </w:rPr>
            </w:pPr>
            <w:hyperlink w:anchor="page3">
              <w:r>
                <w:rPr>
                  <w:rFonts w:ascii="Arial" w:cs="Arial" w:eastAsia="Arial" w:hAnsi="Arial"/>
                  <w:sz w:val="17"/>
                  <w:szCs w:val="17"/>
                  <w:color w:val="0000FF"/>
                  <w:w w:val="88"/>
                </w:rPr>
                <w:t>Cautionary Statement</w:t>
              </w:r>
            </w:hyperlink>
          </w:p>
        </w:tc>
        <w:tc>
          <w:tcPr>
            <w:tcW w:w="7340" w:type="dxa"/>
            <w:vAlign w:val="bottom"/>
            <w:gridSpan w:val="13"/>
          </w:tcPr>
          <w:p>
            <w:pPr>
              <w:spacing w:after="0"/>
              <w:rPr>
                <w:sz w:val="18"/>
                <w:szCs w:val="18"/>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Item 1.</w:t>
              </w:r>
            </w:hyperlink>
          </w:p>
        </w:tc>
        <w:tc>
          <w:tcPr>
            <w:tcW w:w="880" w:type="dxa"/>
            <w:vAlign w:val="bottom"/>
            <w:gridSpan w:val="9"/>
          </w:tcPr>
          <w:p>
            <w:pPr>
              <w:spacing w:after="0"/>
              <w:rPr>
                <w:sz w:val="17"/>
                <w:szCs w:val="17"/>
                <w:color w:val="auto"/>
              </w:rPr>
            </w:pPr>
          </w:p>
        </w:tc>
        <w:tc>
          <w:tcPr>
            <w:tcW w:w="620" w:type="dxa"/>
            <w:vAlign w:val="bottom"/>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Business</w:t>
              </w:r>
            </w:hyperlink>
          </w:p>
        </w:tc>
        <w:tc>
          <w:tcPr>
            <w:tcW w:w="880" w:type="dxa"/>
            <w:vAlign w:val="bottom"/>
            <w:gridSpan w:val="6"/>
          </w:tcPr>
          <w:p>
            <w:pPr>
              <w:spacing w:after="0"/>
              <w:rPr>
                <w:sz w:val="17"/>
                <w:szCs w:val="17"/>
                <w:color w:val="auto"/>
              </w:rPr>
            </w:pPr>
          </w:p>
        </w:tc>
        <w:tc>
          <w:tcPr>
            <w:tcW w:w="7340" w:type="dxa"/>
            <w:vAlign w:val="bottom"/>
            <w:gridSpan w:val="13"/>
          </w:tcPr>
          <w:p>
            <w:pPr>
              <w:spacing w:after="0"/>
              <w:rPr>
                <w:sz w:val="17"/>
                <w:szCs w:val="17"/>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FF"/>
            </w:tcBorders>
            <w:gridSpan w:val="8"/>
          </w:tcPr>
          <w:p>
            <w:pPr>
              <w:spacing w:after="0"/>
              <w:rPr>
                <w:rFonts w:ascii="Arial" w:cs="Arial" w:eastAsia="Arial" w:hAnsi="Arial"/>
                <w:sz w:val="17"/>
                <w:szCs w:val="17"/>
                <w:color w:val="0000FF"/>
              </w:rPr>
            </w:pPr>
            <w:hyperlink w:anchor="page14">
              <w:r>
                <w:rPr>
                  <w:rFonts w:ascii="Arial" w:cs="Arial" w:eastAsia="Arial" w:hAnsi="Arial"/>
                  <w:sz w:val="17"/>
                  <w:szCs w:val="17"/>
                  <w:color w:val="0000FF"/>
                </w:rPr>
                <w:t>Item 1A.</w:t>
              </w:r>
            </w:hyperlink>
          </w:p>
        </w:tc>
        <w:tc>
          <w:tcPr>
            <w:tcW w:w="700" w:type="dxa"/>
            <w:vAlign w:val="bottom"/>
            <w:gridSpan w:val="3"/>
          </w:tcPr>
          <w:p>
            <w:pPr>
              <w:spacing w:after="0"/>
              <w:rPr>
                <w:sz w:val="17"/>
                <w:szCs w:val="17"/>
                <w:color w:val="auto"/>
              </w:rPr>
            </w:pPr>
          </w:p>
        </w:tc>
        <w:tc>
          <w:tcPr>
            <w:tcW w:w="880" w:type="dxa"/>
            <w:vAlign w:val="bottom"/>
            <w:tcBorders>
              <w:bottom w:val="single" w:sz="8" w:color="0000FF"/>
            </w:tcBorders>
            <w:gridSpan w:val="4"/>
          </w:tcPr>
          <w:p>
            <w:pPr>
              <w:spacing w:after="0"/>
              <w:rPr>
                <w:rFonts w:ascii="Arial" w:cs="Arial" w:eastAsia="Arial" w:hAnsi="Arial"/>
                <w:sz w:val="17"/>
                <w:szCs w:val="17"/>
                <w:color w:val="0000FF"/>
                <w:w w:val="90"/>
              </w:rPr>
            </w:pPr>
            <w:hyperlink w:anchor="page14">
              <w:r>
                <w:rPr>
                  <w:rFonts w:ascii="Arial" w:cs="Arial" w:eastAsia="Arial" w:hAnsi="Arial"/>
                  <w:sz w:val="17"/>
                  <w:szCs w:val="17"/>
                  <w:color w:val="0000FF"/>
                  <w:w w:val="90"/>
                </w:rPr>
                <w:t>Risk Factors</w:t>
              </w:r>
            </w:hyperlink>
          </w:p>
        </w:tc>
        <w:tc>
          <w:tcPr>
            <w:tcW w:w="7960" w:type="dxa"/>
            <w:vAlign w:val="bottom"/>
            <w:gridSpan w:val="1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14">
              <w:r>
                <w:rPr>
                  <w:rFonts w:ascii="Arial" w:cs="Arial" w:eastAsia="Arial" w:hAnsi="Arial"/>
                  <w:sz w:val="17"/>
                  <w:szCs w:val="17"/>
                  <w:color w:val="0000FF"/>
                  <w:w w:val="84"/>
                </w:rPr>
                <w:t>14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6"/>
          </w:tcPr>
          <w:p>
            <w:pPr>
              <w:spacing w:after="0"/>
              <w:rPr>
                <w:rFonts w:ascii="Arial" w:cs="Arial" w:eastAsia="Arial" w:hAnsi="Arial"/>
                <w:sz w:val="17"/>
                <w:szCs w:val="17"/>
                <w:color w:val="0000FF"/>
                <w:w w:val="97"/>
              </w:rPr>
            </w:pPr>
            <w:hyperlink w:anchor="page33">
              <w:r>
                <w:rPr>
                  <w:rFonts w:ascii="Arial" w:cs="Arial" w:eastAsia="Arial" w:hAnsi="Arial"/>
                  <w:sz w:val="17"/>
                  <w:szCs w:val="17"/>
                  <w:color w:val="0000FF"/>
                  <w:w w:val="97"/>
                </w:rPr>
                <w:t>Item 1B.</w:t>
              </w:r>
            </w:hyperlink>
          </w:p>
        </w:tc>
        <w:tc>
          <w:tcPr>
            <w:tcW w:w="740" w:type="dxa"/>
            <w:vAlign w:val="bottom"/>
            <w:gridSpan w:val="5"/>
          </w:tcPr>
          <w:p>
            <w:pPr>
              <w:spacing w:after="0"/>
              <w:rPr>
                <w:sz w:val="17"/>
                <w:szCs w:val="17"/>
                <w:color w:val="auto"/>
              </w:rPr>
            </w:pPr>
          </w:p>
        </w:tc>
        <w:tc>
          <w:tcPr>
            <w:tcW w:w="8840" w:type="dxa"/>
            <w:vAlign w:val="bottom"/>
            <w:gridSpan w:val="20"/>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Unresolved Staff Comments</w:t>
              </w:r>
            </w:hyperlink>
          </w:p>
        </w:tc>
        <w:tc>
          <w:tcPr>
            <w:tcW w:w="840" w:type="dxa"/>
            <w:vAlign w:val="bottom"/>
            <w:gridSpan w:val="4"/>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0000FF"/>
            </w:tcBorders>
            <w:gridSpan w:val="2"/>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2.</w:t>
              </w:r>
            </w:hyperlink>
          </w:p>
        </w:tc>
        <w:tc>
          <w:tcPr>
            <w:tcW w:w="140" w:type="dxa"/>
            <w:vAlign w:val="bottom"/>
            <w:tcBorders>
              <w:top w:val="single" w:sz="8" w:color="0000FF"/>
            </w:tcBorders>
            <w:gridSpan w:val="4"/>
          </w:tcPr>
          <w:p>
            <w:pPr>
              <w:spacing w:after="0"/>
              <w:rPr>
                <w:sz w:val="17"/>
                <w:szCs w:val="17"/>
                <w:color w:val="auto"/>
              </w:rPr>
            </w:pPr>
          </w:p>
        </w:tc>
        <w:tc>
          <w:tcPr>
            <w:tcW w:w="740" w:type="dxa"/>
            <w:vAlign w:val="bottom"/>
            <w:gridSpan w:val="5"/>
          </w:tcPr>
          <w:p>
            <w:pPr>
              <w:spacing w:after="0"/>
              <w:rPr>
                <w:sz w:val="17"/>
                <w:szCs w:val="17"/>
                <w:color w:val="auto"/>
              </w:rPr>
            </w:pPr>
          </w:p>
        </w:tc>
        <w:tc>
          <w:tcPr>
            <w:tcW w:w="1980" w:type="dxa"/>
            <w:vAlign w:val="bottom"/>
            <w:tcBorders>
              <w:top w:val="single" w:sz="8" w:color="0000FF"/>
            </w:tcBorders>
            <w:gridSpan w:val="9"/>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Properties</w:t>
              </w:r>
            </w:hyperlink>
          </w:p>
        </w:tc>
        <w:tc>
          <w:tcPr>
            <w:tcW w:w="686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33">
              <w:r>
                <w:rPr>
                  <w:rFonts w:ascii="Arial" w:cs="Arial" w:eastAsia="Arial" w:hAnsi="Arial"/>
                  <w:sz w:val="17"/>
                  <w:szCs w:val="17"/>
                  <w:color w:val="0000FF"/>
                  <w:w w:val="84"/>
                </w:rPr>
                <w:t>33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3.</w:t>
              </w:r>
            </w:hyperlink>
          </w:p>
        </w:tc>
        <w:tc>
          <w:tcPr>
            <w:tcW w:w="880" w:type="dxa"/>
            <w:vAlign w:val="bottom"/>
            <w:gridSpan w:val="9"/>
          </w:tcPr>
          <w:p>
            <w:pPr>
              <w:spacing w:after="0"/>
              <w:rPr>
                <w:sz w:val="17"/>
                <w:szCs w:val="17"/>
                <w:color w:val="auto"/>
              </w:rPr>
            </w:pPr>
          </w:p>
        </w:tc>
        <w:tc>
          <w:tcPr>
            <w:tcW w:w="130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33">
              <w:r>
                <w:rPr>
                  <w:rFonts w:ascii="Arial" w:cs="Arial" w:eastAsia="Arial" w:hAnsi="Arial"/>
                  <w:sz w:val="17"/>
                  <w:szCs w:val="17"/>
                  <w:color w:val="0000FF"/>
                  <w:w w:val="90"/>
                </w:rPr>
                <w:t>Legal Proceedings</w:t>
              </w:r>
            </w:hyperlink>
          </w:p>
        </w:tc>
        <w:tc>
          <w:tcPr>
            <w:tcW w:w="7540" w:type="dxa"/>
            <w:vAlign w:val="bottom"/>
            <w:gridSpan w:val="14"/>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33">
              <w:r>
                <w:rPr>
                  <w:rFonts w:ascii="Arial" w:cs="Arial" w:eastAsia="Arial" w:hAnsi="Arial"/>
                  <w:sz w:val="17"/>
                  <w:szCs w:val="17"/>
                  <w:color w:val="0000FF"/>
                  <w:w w:val="84"/>
                </w:rPr>
                <w:t>33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4.</w:t>
              </w:r>
            </w:hyperlink>
          </w:p>
        </w:tc>
        <w:tc>
          <w:tcPr>
            <w:tcW w:w="880" w:type="dxa"/>
            <w:vAlign w:val="bottom"/>
            <w:gridSpan w:val="9"/>
          </w:tcPr>
          <w:p>
            <w:pPr>
              <w:spacing w:after="0"/>
              <w:rPr>
                <w:sz w:val="19"/>
                <w:szCs w:val="19"/>
                <w:color w:val="auto"/>
              </w:rPr>
            </w:pPr>
          </w:p>
        </w:tc>
        <w:tc>
          <w:tcPr>
            <w:tcW w:w="1740" w:type="dxa"/>
            <w:vAlign w:val="bottom"/>
            <w:tcBorders>
              <w:bottom w:val="single" w:sz="8" w:color="0000FF"/>
            </w:tcBorders>
            <w:gridSpan w:val="8"/>
          </w:tcPr>
          <w:p>
            <w:pPr>
              <w:spacing w:after="0"/>
              <w:rPr>
                <w:rFonts w:ascii="Arial" w:cs="Arial" w:eastAsia="Arial" w:hAnsi="Arial"/>
                <w:sz w:val="17"/>
                <w:szCs w:val="17"/>
                <w:color w:val="0000FF"/>
                <w:w w:val="93"/>
              </w:rPr>
            </w:pPr>
            <w:hyperlink w:anchor="page33">
              <w:r>
                <w:rPr>
                  <w:rFonts w:ascii="Arial" w:cs="Arial" w:eastAsia="Arial" w:hAnsi="Arial"/>
                  <w:sz w:val="17"/>
                  <w:szCs w:val="17"/>
                  <w:color w:val="0000FF"/>
                  <w:w w:val="93"/>
                </w:rPr>
                <w:t>Mine Safety Disclosures</w:t>
              </w:r>
            </w:hyperlink>
          </w:p>
        </w:tc>
        <w:tc>
          <w:tcPr>
            <w:tcW w:w="7100" w:type="dxa"/>
            <w:vAlign w:val="bottom"/>
            <w:gridSpan w:val="12"/>
          </w:tcPr>
          <w:p>
            <w:pPr>
              <w:spacing w:after="0"/>
              <w:rPr>
                <w:sz w:val="19"/>
                <w:szCs w:val="19"/>
                <w:color w:val="auto"/>
              </w:rPr>
            </w:pPr>
          </w:p>
        </w:tc>
        <w:tc>
          <w:tcPr>
            <w:tcW w:w="6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33">
              <w:r>
                <w:rPr>
                  <w:rFonts w:ascii="Arial" w:cs="Arial" w:eastAsia="Arial" w:hAnsi="Arial"/>
                  <w:sz w:val="17"/>
                  <w:szCs w:val="17"/>
                  <w:color w:val="0000FF"/>
                  <w:w w:val="84"/>
                </w:rPr>
                <w:t>33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FF"/>
            </w:tcBorders>
            <w:gridSpan w:val="4"/>
          </w:tcPr>
          <w:p>
            <w:pPr>
              <w:spacing w:after="0" w:line="183" w:lineRule="exact"/>
              <w:rPr>
                <w:rFonts w:ascii="Arial" w:cs="Arial" w:eastAsia="Arial" w:hAnsi="Arial"/>
                <w:sz w:val="17"/>
                <w:szCs w:val="17"/>
                <w:color w:val="0000FF"/>
              </w:rPr>
            </w:pPr>
            <w:hyperlink w:anchor="page33">
              <w:r>
                <w:rPr>
                  <w:rFonts w:ascii="Arial" w:cs="Arial" w:eastAsia="Arial" w:hAnsi="Arial"/>
                  <w:sz w:val="17"/>
                  <w:szCs w:val="17"/>
                  <w:color w:val="0000FF"/>
                </w:rPr>
                <w:t>PART II.</w:t>
              </w:r>
            </w:hyperlink>
          </w:p>
        </w:tc>
        <w:tc>
          <w:tcPr>
            <w:tcW w:w="800" w:type="dxa"/>
            <w:vAlign w:val="bottom"/>
            <w:gridSpan w:val="8"/>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83" w:lineRule="exact"/>
              <w:rPr>
                <w:rFonts w:ascii="Arial" w:cs="Arial" w:eastAsia="Arial" w:hAnsi="Arial"/>
                <w:sz w:val="17"/>
                <w:szCs w:val="17"/>
                <w:color w:val="0000FF"/>
                <w:w w:val="84"/>
              </w:rPr>
            </w:pPr>
            <w:hyperlink w:anchor="page33">
              <w:r>
                <w:rPr>
                  <w:rFonts w:ascii="Arial" w:cs="Arial" w:eastAsia="Arial" w:hAnsi="Arial"/>
                  <w:sz w:val="17"/>
                  <w:szCs w:val="17"/>
                  <w:color w:val="0000FF"/>
                  <w:w w:val="84"/>
                </w:rPr>
                <w:t>34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34">
              <w:r>
                <w:rPr>
                  <w:rFonts w:ascii="Arial" w:cs="Arial" w:eastAsia="Arial" w:hAnsi="Arial"/>
                  <w:sz w:val="17"/>
                  <w:szCs w:val="17"/>
                  <w:color w:val="0000FF"/>
                  <w:w w:val="92"/>
                </w:rPr>
                <w:t>Item 5.</w:t>
              </w:r>
            </w:hyperlink>
          </w:p>
        </w:tc>
        <w:tc>
          <w:tcPr>
            <w:tcW w:w="880" w:type="dxa"/>
            <w:vAlign w:val="bottom"/>
            <w:gridSpan w:val="9"/>
          </w:tcPr>
          <w:p>
            <w:pPr>
              <w:spacing w:after="0"/>
              <w:rPr>
                <w:sz w:val="17"/>
                <w:szCs w:val="17"/>
                <w:color w:val="auto"/>
              </w:rPr>
            </w:pPr>
          </w:p>
        </w:tc>
        <w:tc>
          <w:tcPr>
            <w:tcW w:w="8840" w:type="dxa"/>
            <w:vAlign w:val="bottom"/>
            <w:gridSpan w:val="20"/>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Market for Registrant's Common Equity, Related Stockholder Matters, and Issuer Purchases of Equity Securities</w:t>
              </w:r>
            </w:hyperlink>
          </w:p>
        </w:tc>
        <w:tc>
          <w:tcPr>
            <w:tcW w:w="840" w:type="dxa"/>
            <w:vAlign w:val="bottom"/>
            <w:gridSpan w:val="4"/>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0000FF"/>
            </w:tcBorders>
            <w:gridSpan w:val="2"/>
          </w:tcPr>
          <w:p>
            <w:pPr>
              <w:spacing w:after="0"/>
              <w:rPr>
                <w:rFonts w:ascii="Arial" w:cs="Arial" w:eastAsia="Arial" w:hAnsi="Arial"/>
                <w:sz w:val="17"/>
                <w:szCs w:val="17"/>
                <w:color w:val="0000FF"/>
                <w:w w:val="92"/>
              </w:rPr>
            </w:pPr>
            <w:hyperlink w:anchor="page35">
              <w:r>
                <w:rPr>
                  <w:rFonts w:ascii="Arial" w:cs="Arial" w:eastAsia="Arial" w:hAnsi="Arial"/>
                  <w:sz w:val="17"/>
                  <w:szCs w:val="17"/>
                  <w:color w:val="0000FF"/>
                  <w:w w:val="92"/>
                </w:rPr>
                <w:t>Item 6.</w:t>
              </w:r>
            </w:hyperlink>
          </w:p>
        </w:tc>
        <w:tc>
          <w:tcPr>
            <w:tcW w:w="880" w:type="dxa"/>
            <w:vAlign w:val="bottom"/>
            <w:gridSpan w:val="9"/>
          </w:tcPr>
          <w:p>
            <w:pPr>
              <w:spacing w:after="0"/>
              <w:rPr>
                <w:sz w:val="17"/>
                <w:szCs w:val="17"/>
                <w:color w:val="auto"/>
              </w:rPr>
            </w:pPr>
          </w:p>
        </w:tc>
        <w:tc>
          <w:tcPr>
            <w:tcW w:w="7860" w:type="dxa"/>
            <w:vAlign w:val="bottom"/>
            <w:tcBorders>
              <w:top w:val="single" w:sz="8" w:color="0000FF"/>
            </w:tcBorders>
            <w:gridSpan w:val="19"/>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[Reserved]</w:t>
              </w:r>
            </w:hyperlink>
          </w:p>
        </w:tc>
        <w:tc>
          <w:tcPr>
            <w:tcW w:w="9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35">
              <w:r>
                <w:rPr>
                  <w:rFonts w:ascii="Arial" w:cs="Arial" w:eastAsia="Arial" w:hAnsi="Arial"/>
                  <w:sz w:val="17"/>
                  <w:szCs w:val="17"/>
                  <w:color w:val="0000FF"/>
                  <w:w w:val="84"/>
                </w:rPr>
                <w:t>35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5">
              <w:r>
                <w:rPr>
                  <w:rFonts w:ascii="Arial" w:cs="Arial" w:eastAsia="Arial" w:hAnsi="Arial"/>
                  <w:sz w:val="17"/>
                  <w:szCs w:val="17"/>
                  <w:color w:val="0000FF"/>
                  <w:w w:val="92"/>
                </w:rPr>
                <w:t>Item 7.</w:t>
              </w:r>
            </w:hyperlink>
          </w:p>
        </w:tc>
        <w:tc>
          <w:tcPr>
            <w:tcW w:w="80" w:type="dxa"/>
            <w:vAlign w:val="bottom"/>
            <w:tcBorders>
              <w:bottom w:val="single" w:sz="8" w:color="0000FF"/>
            </w:tcBorders>
          </w:tcPr>
          <w:p>
            <w:pPr>
              <w:spacing w:after="0"/>
              <w:rPr>
                <w:sz w:val="17"/>
                <w:szCs w:val="17"/>
                <w:color w:val="auto"/>
              </w:rPr>
            </w:pPr>
          </w:p>
        </w:tc>
        <w:tc>
          <w:tcPr>
            <w:tcW w:w="800" w:type="dxa"/>
            <w:vAlign w:val="bottom"/>
            <w:gridSpan w:val="8"/>
          </w:tcPr>
          <w:p>
            <w:pPr>
              <w:spacing w:after="0"/>
              <w:rPr>
                <w:sz w:val="17"/>
                <w:szCs w:val="17"/>
                <w:color w:val="auto"/>
              </w:rPr>
            </w:pPr>
          </w:p>
        </w:tc>
        <w:tc>
          <w:tcPr>
            <w:tcW w:w="6260" w:type="dxa"/>
            <w:vAlign w:val="bottom"/>
            <w:tcBorders>
              <w:bottom w:val="single" w:sz="8" w:color="0000FF"/>
            </w:tcBorders>
            <w:gridSpan w:val="16"/>
          </w:tcPr>
          <w:p>
            <w:pPr>
              <w:spacing w:after="0"/>
              <w:rPr>
                <w:rFonts w:ascii="Arial" w:cs="Arial" w:eastAsia="Arial" w:hAnsi="Arial"/>
                <w:sz w:val="17"/>
                <w:szCs w:val="17"/>
                <w:color w:val="0000FF"/>
                <w:w w:val="93"/>
              </w:rPr>
            </w:pPr>
            <w:hyperlink w:anchor="page35">
              <w:r>
                <w:rPr>
                  <w:rFonts w:ascii="Arial" w:cs="Arial" w:eastAsia="Arial" w:hAnsi="Arial"/>
                  <w:sz w:val="17"/>
                  <w:szCs w:val="17"/>
                  <w:color w:val="0000FF"/>
                  <w:w w:val="93"/>
                </w:rPr>
                <w:t>Management's Discussion and Analysis of Financial Condition and Results of Operations</w:t>
              </w:r>
            </w:hyperlink>
          </w:p>
        </w:tc>
        <w:tc>
          <w:tcPr>
            <w:tcW w:w="2580" w:type="dxa"/>
            <w:vAlign w:val="bottom"/>
            <w:gridSpan w:val="4"/>
          </w:tcPr>
          <w:p>
            <w:pPr>
              <w:spacing w:after="0"/>
              <w:rPr>
                <w:sz w:val="17"/>
                <w:szCs w:val="17"/>
                <w:color w:val="auto"/>
              </w:rPr>
            </w:pPr>
          </w:p>
        </w:tc>
        <w:tc>
          <w:tcPr>
            <w:tcW w:w="840" w:type="dxa"/>
            <w:vAlign w:val="bottom"/>
            <w:gridSpan w:val="4"/>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8"/>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Item 7A.</w:t>
              </w:r>
            </w:hyperlink>
          </w:p>
        </w:tc>
        <w:tc>
          <w:tcPr>
            <w:tcW w:w="700" w:type="dxa"/>
            <w:vAlign w:val="bottom"/>
            <w:gridSpan w:val="3"/>
          </w:tcPr>
          <w:p>
            <w:pPr>
              <w:spacing w:after="0"/>
              <w:rPr>
                <w:sz w:val="17"/>
                <w:szCs w:val="17"/>
                <w:color w:val="auto"/>
              </w:rPr>
            </w:pPr>
          </w:p>
        </w:tc>
        <w:tc>
          <w:tcPr>
            <w:tcW w:w="8840" w:type="dxa"/>
            <w:vAlign w:val="bottom"/>
            <w:gridSpan w:val="20"/>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Quantitative and Qualitative Disclosures about Market Risk</w:t>
              </w:r>
            </w:hyperlink>
          </w:p>
        </w:tc>
        <w:tc>
          <w:tcPr>
            <w:tcW w:w="840" w:type="dxa"/>
            <w:vAlign w:val="bottom"/>
            <w:gridSpan w:val="4"/>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0000FF"/>
            </w:tcBorders>
            <w:gridSpan w:val="2"/>
          </w:tcPr>
          <w:p>
            <w:pPr>
              <w:spacing w:after="0"/>
              <w:rPr>
                <w:rFonts w:ascii="Arial" w:cs="Arial" w:eastAsia="Arial" w:hAnsi="Arial"/>
                <w:sz w:val="17"/>
                <w:szCs w:val="17"/>
                <w:color w:val="0000FF"/>
                <w:w w:val="92"/>
              </w:rPr>
            </w:pPr>
            <w:hyperlink w:anchor="page64">
              <w:r>
                <w:rPr>
                  <w:rFonts w:ascii="Arial" w:cs="Arial" w:eastAsia="Arial" w:hAnsi="Arial"/>
                  <w:sz w:val="17"/>
                  <w:szCs w:val="17"/>
                  <w:color w:val="0000FF"/>
                  <w:w w:val="92"/>
                </w:rPr>
                <w:t>Item 8.</w:t>
              </w:r>
            </w:hyperlink>
          </w:p>
        </w:tc>
        <w:tc>
          <w:tcPr>
            <w:tcW w:w="180" w:type="dxa"/>
            <w:vAlign w:val="bottom"/>
            <w:tcBorders>
              <w:top w:val="single" w:sz="8" w:color="0000FF"/>
            </w:tcBorders>
            <w:gridSpan w:val="6"/>
          </w:tcPr>
          <w:p>
            <w:pPr>
              <w:spacing w:after="0"/>
              <w:rPr>
                <w:sz w:val="17"/>
                <w:szCs w:val="17"/>
                <w:color w:val="auto"/>
              </w:rPr>
            </w:pPr>
          </w:p>
        </w:tc>
        <w:tc>
          <w:tcPr>
            <w:tcW w:w="700" w:type="dxa"/>
            <w:vAlign w:val="bottom"/>
            <w:gridSpan w:val="3"/>
          </w:tcPr>
          <w:p>
            <w:pPr>
              <w:spacing w:after="0"/>
              <w:rPr>
                <w:sz w:val="17"/>
                <w:szCs w:val="17"/>
                <w:color w:val="auto"/>
              </w:rPr>
            </w:pPr>
          </w:p>
        </w:tc>
        <w:tc>
          <w:tcPr>
            <w:tcW w:w="4180" w:type="dxa"/>
            <w:vAlign w:val="bottom"/>
            <w:tcBorders>
              <w:top w:val="single" w:sz="8" w:color="0000FF"/>
            </w:tcBorders>
            <w:gridSpan w:val="13"/>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Financial Statements and Supplementary Data</w:t>
              </w:r>
            </w:hyperlink>
          </w:p>
        </w:tc>
        <w:tc>
          <w:tcPr>
            <w:tcW w:w="466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64">
              <w:r>
                <w:rPr>
                  <w:rFonts w:ascii="Arial" w:cs="Arial" w:eastAsia="Arial" w:hAnsi="Arial"/>
                  <w:sz w:val="17"/>
                  <w:szCs w:val="17"/>
                  <w:color w:val="0000FF"/>
                  <w:w w:val="84"/>
                </w:rPr>
                <w:t>65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65">
              <w:r>
                <w:rPr>
                  <w:rFonts w:ascii="Arial" w:cs="Arial" w:eastAsia="Arial" w:hAnsi="Arial"/>
                  <w:sz w:val="17"/>
                  <w:szCs w:val="17"/>
                  <w:color w:val="0000FF"/>
                  <w:w w:val="92"/>
                </w:rPr>
                <w:t>Item 9.</w:t>
              </w:r>
            </w:hyperlink>
          </w:p>
        </w:tc>
        <w:tc>
          <w:tcPr>
            <w:tcW w:w="880" w:type="dxa"/>
            <w:vAlign w:val="bottom"/>
            <w:gridSpan w:val="9"/>
          </w:tcPr>
          <w:p>
            <w:pPr>
              <w:spacing w:after="0"/>
              <w:rPr>
                <w:sz w:val="17"/>
                <w:szCs w:val="17"/>
                <w:color w:val="auto"/>
              </w:rPr>
            </w:pPr>
          </w:p>
        </w:tc>
        <w:tc>
          <w:tcPr>
            <w:tcW w:w="8840" w:type="dxa"/>
            <w:vAlign w:val="bottom"/>
            <w:gridSpan w:val="20"/>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Changes in and Disagreements with Accountants on Accounting and Financial Disclosure</w:t>
              </w:r>
            </w:hyperlink>
          </w:p>
        </w:tc>
        <w:tc>
          <w:tcPr>
            <w:tcW w:w="840" w:type="dxa"/>
            <w:vAlign w:val="bottom"/>
            <w:gridSpan w:val="4"/>
          </w:tcPr>
          <w:p>
            <w:pPr>
              <w:jc w:val="right"/>
              <w:spacing w:after="0"/>
              <w:rPr>
                <w:rFonts w:ascii="Arial" w:cs="Arial" w:eastAsia="Arial" w:hAnsi="Arial"/>
                <w:sz w:val="17"/>
                <w:szCs w:val="17"/>
                <w:color w:val="0000FF"/>
              </w:rPr>
            </w:pPr>
            <w:hyperlink w:anchor="page65">
              <w:r>
                <w:rPr>
                  <w:rFonts w:ascii="Arial" w:cs="Arial" w:eastAsia="Arial" w:hAnsi="Arial"/>
                  <w:sz w:val="17"/>
                  <w:szCs w:val="17"/>
                  <w:color w:val="0000FF"/>
                </w:rPr>
                <w:t>65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FF"/>
            </w:tcBorders>
            <w:gridSpan w:val="8"/>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Item 9A.</w:t>
              </w:r>
            </w:hyperlink>
          </w:p>
        </w:tc>
        <w:tc>
          <w:tcPr>
            <w:tcW w:w="700" w:type="dxa"/>
            <w:vAlign w:val="bottom"/>
            <w:gridSpan w:val="3"/>
          </w:tcPr>
          <w:p>
            <w:pPr>
              <w:spacing w:after="0"/>
              <w:rPr>
                <w:sz w:val="17"/>
                <w:szCs w:val="17"/>
                <w:color w:val="auto"/>
              </w:rPr>
            </w:pPr>
          </w:p>
        </w:tc>
        <w:tc>
          <w:tcPr>
            <w:tcW w:w="1740" w:type="dxa"/>
            <w:vAlign w:val="bottom"/>
            <w:tcBorders>
              <w:bottom w:val="single" w:sz="8" w:color="0000FF"/>
            </w:tcBorders>
            <w:gridSpan w:val="8"/>
          </w:tcPr>
          <w:p>
            <w:pPr>
              <w:spacing w:after="0"/>
              <w:rPr>
                <w:rFonts w:ascii="Arial" w:cs="Arial" w:eastAsia="Arial" w:hAnsi="Arial"/>
                <w:sz w:val="17"/>
                <w:szCs w:val="17"/>
                <w:color w:val="0000FF"/>
                <w:w w:val="90"/>
              </w:rPr>
            </w:pPr>
            <w:hyperlink w:anchor="page65">
              <w:r>
                <w:rPr>
                  <w:rFonts w:ascii="Arial" w:cs="Arial" w:eastAsia="Arial" w:hAnsi="Arial"/>
                  <w:sz w:val="17"/>
                  <w:szCs w:val="17"/>
                  <w:color w:val="0000FF"/>
                  <w:w w:val="90"/>
                </w:rPr>
                <w:t>Controls and Procedures</w:t>
              </w:r>
            </w:hyperlink>
          </w:p>
        </w:tc>
        <w:tc>
          <w:tcPr>
            <w:tcW w:w="7100" w:type="dxa"/>
            <w:vAlign w:val="bottom"/>
            <w:gridSpan w:val="12"/>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5">
              <w:r>
                <w:rPr>
                  <w:rFonts w:ascii="Arial" w:cs="Arial" w:eastAsia="Arial" w:hAnsi="Arial"/>
                  <w:sz w:val="17"/>
                  <w:szCs w:val="17"/>
                  <w:color w:val="0000FF"/>
                  <w:w w:val="84"/>
                </w:rPr>
                <w:t>65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FF"/>
            </w:tcBorders>
            <w:gridSpan w:val="7"/>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Item 9B.</w:t>
              </w:r>
            </w:hyperlink>
          </w:p>
        </w:tc>
        <w:tc>
          <w:tcPr>
            <w:tcW w:w="720" w:type="dxa"/>
            <w:vAlign w:val="bottom"/>
            <w:gridSpan w:val="4"/>
          </w:tcPr>
          <w:p>
            <w:pPr>
              <w:spacing w:after="0"/>
              <w:rPr>
                <w:sz w:val="17"/>
                <w:szCs w:val="17"/>
                <w:color w:val="auto"/>
              </w:rPr>
            </w:pPr>
          </w:p>
        </w:tc>
        <w:tc>
          <w:tcPr>
            <w:tcW w:w="1280" w:type="dxa"/>
            <w:vAlign w:val="bottom"/>
            <w:tcBorders>
              <w:bottom w:val="single" w:sz="8" w:color="0000FF"/>
            </w:tcBorders>
            <w:gridSpan w:val="5"/>
          </w:tcPr>
          <w:p>
            <w:pPr>
              <w:spacing w:after="0"/>
              <w:rPr>
                <w:rFonts w:ascii="Arial" w:cs="Arial" w:eastAsia="Arial" w:hAnsi="Arial"/>
                <w:sz w:val="17"/>
                <w:szCs w:val="17"/>
                <w:color w:val="0000FF"/>
                <w:w w:val="95"/>
              </w:rPr>
            </w:pPr>
            <w:hyperlink w:anchor="page66">
              <w:r>
                <w:rPr>
                  <w:rFonts w:ascii="Arial" w:cs="Arial" w:eastAsia="Arial" w:hAnsi="Arial"/>
                  <w:sz w:val="17"/>
                  <w:szCs w:val="17"/>
                  <w:color w:val="0000FF"/>
                  <w:w w:val="95"/>
                </w:rPr>
                <w:t>Other Information</w:t>
              </w:r>
            </w:hyperlink>
          </w:p>
        </w:tc>
        <w:tc>
          <w:tcPr>
            <w:tcW w:w="7560" w:type="dxa"/>
            <w:vAlign w:val="bottom"/>
            <w:gridSpan w:val="15"/>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6">
              <w:r>
                <w:rPr>
                  <w:rFonts w:ascii="Arial" w:cs="Arial" w:eastAsia="Arial" w:hAnsi="Arial"/>
                  <w:sz w:val="17"/>
                  <w:szCs w:val="17"/>
                  <w:color w:val="0000FF"/>
                  <w:w w:val="84"/>
                </w:rPr>
                <w:t>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FF"/>
            </w:tcBorders>
            <w:gridSpan w:val="6"/>
          </w:tcPr>
          <w:p>
            <w:pPr>
              <w:spacing w:after="0"/>
              <w:rPr>
                <w:rFonts w:ascii="Arial" w:cs="Arial" w:eastAsia="Arial" w:hAnsi="Arial"/>
                <w:sz w:val="17"/>
                <w:szCs w:val="17"/>
                <w:color w:val="0000FF"/>
                <w:w w:val="96"/>
              </w:rPr>
            </w:pPr>
            <w:hyperlink w:anchor="page66">
              <w:r>
                <w:rPr>
                  <w:rFonts w:ascii="Arial" w:cs="Arial" w:eastAsia="Arial" w:hAnsi="Arial"/>
                  <w:sz w:val="17"/>
                  <w:szCs w:val="17"/>
                  <w:color w:val="0000FF"/>
                  <w:w w:val="96"/>
                </w:rPr>
                <w:t>Item 9C.</w:t>
              </w:r>
            </w:hyperlink>
          </w:p>
        </w:tc>
        <w:tc>
          <w:tcPr>
            <w:tcW w:w="740" w:type="dxa"/>
            <w:vAlign w:val="bottom"/>
            <w:gridSpan w:val="5"/>
          </w:tcPr>
          <w:p>
            <w:pPr>
              <w:spacing w:after="0"/>
              <w:rPr>
                <w:sz w:val="17"/>
                <w:szCs w:val="17"/>
                <w:color w:val="auto"/>
              </w:rPr>
            </w:pPr>
          </w:p>
        </w:tc>
        <w:tc>
          <w:tcPr>
            <w:tcW w:w="482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66">
              <w:r>
                <w:rPr>
                  <w:rFonts w:ascii="Arial" w:cs="Arial" w:eastAsia="Arial" w:hAnsi="Arial"/>
                  <w:sz w:val="17"/>
                  <w:szCs w:val="17"/>
                  <w:color w:val="0000FF"/>
                  <w:w w:val="93"/>
                </w:rPr>
                <w:t>Disclosure Regarding Foreign Jurisdictions That Prevent Inspections</w:t>
              </w:r>
            </w:hyperlink>
          </w:p>
        </w:tc>
        <w:tc>
          <w:tcPr>
            <w:tcW w:w="4020" w:type="dxa"/>
            <w:vAlign w:val="bottom"/>
            <w:gridSpan w:val="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6">
              <w:r>
                <w:rPr>
                  <w:rFonts w:ascii="Arial" w:cs="Arial" w:eastAsia="Arial" w:hAnsi="Arial"/>
                  <w:sz w:val="17"/>
                  <w:szCs w:val="17"/>
                  <w:color w:val="0000FF"/>
                  <w:w w:val="84"/>
                </w:rPr>
                <w:t>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0" w:type="dxa"/>
            <w:vAlign w:val="bottom"/>
            <w:tcBorders>
              <w:bottom w:val="single" w:sz="8" w:color="0000FF"/>
            </w:tcBorders>
            <w:gridSpan w:val="6"/>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PART III.</w:t>
              </w:r>
            </w:hyperlink>
          </w:p>
        </w:tc>
        <w:tc>
          <w:tcPr>
            <w:tcW w:w="7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6">
              <w:r>
                <w:rPr>
                  <w:rFonts w:ascii="Arial" w:cs="Arial" w:eastAsia="Arial" w:hAnsi="Arial"/>
                  <w:sz w:val="17"/>
                  <w:szCs w:val="17"/>
                  <w:color w:val="0000FF"/>
                  <w:w w:val="84"/>
                </w:rPr>
                <w:t>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Item 10.</w:t>
              </w:r>
            </w:hyperlink>
          </w:p>
        </w:tc>
        <w:tc>
          <w:tcPr>
            <w:tcW w:w="8840" w:type="dxa"/>
            <w:vAlign w:val="bottom"/>
            <w:gridSpan w:val="20"/>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Directors, Executive Officers, and Corporate Governance</w:t>
              </w:r>
            </w:hyperlink>
          </w:p>
        </w:tc>
        <w:tc>
          <w:tcPr>
            <w:tcW w:w="840" w:type="dxa"/>
            <w:vAlign w:val="bottom"/>
            <w:gridSpan w:val="4"/>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FF"/>
            </w:tcBorders>
            <w:gridSpan w:val="3"/>
          </w:tcPr>
          <w:p>
            <w:pPr>
              <w:spacing w:after="0"/>
              <w:rPr>
                <w:rFonts w:ascii="Arial" w:cs="Arial" w:eastAsia="Arial" w:hAnsi="Arial"/>
                <w:sz w:val="17"/>
                <w:szCs w:val="17"/>
                <w:color w:val="0000FF"/>
                <w:w w:val="87"/>
              </w:rPr>
            </w:pPr>
            <w:hyperlink w:anchor="page66">
              <w:r>
                <w:rPr>
                  <w:rFonts w:ascii="Arial" w:cs="Arial" w:eastAsia="Arial" w:hAnsi="Arial"/>
                  <w:sz w:val="17"/>
                  <w:szCs w:val="17"/>
                  <w:color w:val="0000FF"/>
                  <w:w w:val="87"/>
                </w:rPr>
                <w:t>Item 11.</w:t>
              </w:r>
            </w:hyperlink>
          </w:p>
        </w:tc>
        <w:tc>
          <w:tcPr>
            <w:tcW w:w="800" w:type="dxa"/>
            <w:vAlign w:val="bottom"/>
            <w:gridSpan w:val="8"/>
          </w:tcPr>
          <w:p>
            <w:pPr>
              <w:spacing w:after="0"/>
              <w:rPr>
                <w:sz w:val="17"/>
                <w:szCs w:val="17"/>
                <w:color w:val="auto"/>
              </w:rPr>
            </w:pPr>
          </w:p>
        </w:tc>
        <w:tc>
          <w:tcPr>
            <w:tcW w:w="4020" w:type="dxa"/>
            <w:vAlign w:val="bottom"/>
            <w:tcBorders>
              <w:top w:val="single" w:sz="8" w:color="0000FF"/>
            </w:tcBorders>
            <w:gridSpan w:val="12"/>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Executive Compensation</w:t>
              </w:r>
            </w:hyperlink>
          </w:p>
        </w:tc>
        <w:tc>
          <w:tcPr>
            <w:tcW w:w="482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66">
              <w:r>
                <w:rPr>
                  <w:rFonts w:ascii="Arial" w:cs="Arial" w:eastAsia="Arial" w:hAnsi="Arial"/>
                  <w:sz w:val="17"/>
                  <w:szCs w:val="17"/>
                  <w:color w:val="0000FF"/>
                  <w:w w:val="84"/>
                </w:rPr>
                <w:t>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Item 12.</w:t>
              </w:r>
            </w:hyperlink>
          </w:p>
        </w:tc>
        <w:tc>
          <w:tcPr>
            <w:tcW w:w="8840" w:type="dxa"/>
            <w:vAlign w:val="bottom"/>
            <w:gridSpan w:val="20"/>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Security Ownership of Certain Beneficial Owners and Management and Related Stockholder Matters</w:t>
              </w:r>
            </w:hyperlink>
          </w:p>
        </w:tc>
        <w:tc>
          <w:tcPr>
            <w:tcW w:w="840" w:type="dxa"/>
            <w:vAlign w:val="bottom"/>
            <w:gridSpan w:val="4"/>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Item 13.</w:t>
              </w:r>
            </w:hyperlink>
          </w:p>
        </w:tc>
        <w:tc>
          <w:tcPr>
            <w:tcW w:w="8840" w:type="dxa"/>
            <w:vAlign w:val="bottom"/>
            <w:gridSpan w:val="20"/>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Certain Relationships and Related Transactions, and Director Independence</w:t>
              </w:r>
            </w:hyperlink>
          </w:p>
        </w:tc>
        <w:tc>
          <w:tcPr>
            <w:tcW w:w="840" w:type="dxa"/>
            <w:vAlign w:val="bottom"/>
            <w:gridSpan w:val="4"/>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Item 14.</w:t>
              </w:r>
            </w:hyperlink>
          </w:p>
        </w:tc>
        <w:tc>
          <w:tcPr>
            <w:tcW w:w="8840" w:type="dxa"/>
            <w:vAlign w:val="bottom"/>
            <w:gridSpan w:val="20"/>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Principal Accountant Fees and Services</w:t>
              </w:r>
            </w:hyperlink>
          </w:p>
        </w:tc>
        <w:tc>
          <w:tcPr>
            <w:tcW w:w="840" w:type="dxa"/>
            <w:vAlign w:val="bottom"/>
            <w:gridSpan w:val="4"/>
          </w:tcPr>
          <w:p>
            <w:pPr>
              <w:jc w:val="right"/>
              <w:spacing w:after="0"/>
              <w:rPr>
                <w:rFonts w:ascii="Arial" w:cs="Arial" w:eastAsia="Arial" w:hAnsi="Arial"/>
                <w:sz w:val="17"/>
                <w:szCs w:val="17"/>
                <w:color w:val="0000FF"/>
              </w:rPr>
            </w:pPr>
            <w:hyperlink w:anchor="page67">
              <w:r>
                <w:rPr>
                  <w:rFonts w:ascii="Arial" w:cs="Arial" w:eastAsia="Arial" w:hAnsi="Arial"/>
                  <w:sz w:val="17"/>
                  <w:szCs w:val="17"/>
                  <w:color w:val="0000FF"/>
                </w:rPr>
                <w:t>67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bottom w:val="single" w:sz="8" w:color="0000FF"/>
            </w:tcBorders>
            <w:gridSpan w:val="5"/>
          </w:tcPr>
          <w:p>
            <w:pPr>
              <w:spacing w:after="0"/>
              <w:rPr>
                <w:rFonts w:ascii="Arial" w:cs="Arial" w:eastAsia="Arial" w:hAnsi="Arial"/>
                <w:sz w:val="17"/>
                <w:szCs w:val="17"/>
                <w:color w:val="0000FF"/>
                <w:w w:val="98"/>
              </w:rPr>
            </w:pPr>
            <w:hyperlink w:anchor="page67">
              <w:r>
                <w:rPr>
                  <w:rFonts w:ascii="Arial" w:cs="Arial" w:eastAsia="Arial" w:hAnsi="Arial"/>
                  <w:sz w:val="17"/>
                  <w:szCs w:val="17"/>
                  <w:color w:val="0000FF"/>
                  <w:w w:val="98"/>
                </w:rPr>
                <w:t>PART IV.</w:t>
              </w:r>
            </w:hyperlink>
          </w:p>
        </w:tc>
        <w:tc>
          <w:tcPr>
            <w:tcW w:w="7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7">
              <w:r>
                <w:rPr>
                  <w:rFonts w:ascii="Arial" w:cs="Arial" w:eastAsia="Arial" w:hAnsi="Arial"/>
                  <w:sz w:val="17"/>
                  <w:szCs w:val="17"/>
                  <w:color w:val="0000FF"/>
                  <w:w w:val="84"/>
                </w:rPr>
                <w:t>67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Item 15.</w:t>
              </w:r>
            </w:hyperlink>
          </w:p>
        </w:tc>
        <w:tc>
          <w:tcPr>
            <w:tcW w:w="8840" w:type="dxa"/>
            <w:vAlign w:val="bottom"/>
            <w:gridSpan w:val="20"/>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Exhibits, Financial Statement Schedules</w:t>
              </w:r>
            </w:hyperlink>
          </w:p>
        </w:tc>
        <w:tc>
          <w:tcPr>
            <w:tcW w:w="840" w:type="dxa"/>
            <w:vAlign w:val="bottom"/>
            <w:gridSpan w:val="4"/>
          </w:tcPr>
          <w:p>
            <w:pPr>
              <w:jc w:val="right"/>
              <w:spacing w:after="0"/>
              <w:rPr>
                <w:rFonts w:ascii="Arial" w:cs="Arial" w:eastAsia="Arial" w:hAnsi="Arial"/>
                <w:sz w:val="17"/>
                <w:szCs w:val="17"/>
                <w:color w:val="0000FF"/>
              </w:rPr>
            </w:pPr>
            <w:hyperlink w:anchor="page67">
              <w:r>
                <w:rPr>
                  <w:rFonts w:ascii="Arial" w:cs="Arial" w:eastAsia="Arial" w:hAnsi="Arial"/>
                  <w:sz w:val="17"/>
                  <w:szCs w:val="17"/>
                  <w:color w:val="0000FF"/>
                </w:rPr>
                <w:t>67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Item 16.</w:t>
              </w:r>
            </w:hyperlink>
          </w:p>
        </w:tc>
        <w:tc>
          <w:tcPr>
            <w:tcW w:w="8840" w:type="dxa"/>
            <w:vAlign w:val="bottom"/>
            <w:gridSpan w:val="20"/>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Form 10-K Summary</w:t>
              </w:r>
            </w:hyperlink>
          </w:p>
        </w:tc>
        <w:tc>
          <w:tcPr>
            <w:tcW w:w="840" w:type="dxa"/>
            <w:vAlign w:val="bottom"/>
            <w:gridSpan w:val="4"/>
          </w:tcPr>
          <w:p>
            <w:pPr>
              <w:jc w:val="right"/>
              <w:spacing w:after="0"/>
              <w:rPr>
                <w:rFonts w:ascii="Arial" w:cs="Arial" w:eastAsia="Arial" w:hAnsi="Arial"/>
                <w:sz w:val="17"/>
                <w:szCs w:val="17"/>
                <w:color w:val="0000FF"/>
              </w:rPr>
            </w:pPr>
            <w:hyperlink w:anchor="page67">
              <w:r>
                <w:rPr>
                  <w:rFonts w:ascii="Arial" w:cs="Arial" w:eastAsia="Arial" w:hAnsi="Arial"/>
                  <w:sz w:val="17"/>
                  <w:szCs w:val="17"/>
                  <w:color w:val="0000FF"/>
                </w:rPr>
                <w:t>67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0000FF"/>
            </w:tcBorders>
            <w:gridSpan w:val="10"/>
          </w:tcPr>
          <w:p>
            <w:pPr>
              <w:spacing w:after="0"/>
              <w:rPr>
                <w:rFonts w:ascii="Arial" w:cs="Arial" w:eastAsia="Arial" w:hAnsi="Arial"/>
                <w:sz w:val="17"/>
                <w:szCs w:val="17"/>
                <w:color w:val="0000FF"/>
                <w:w w:val="96"/>
              </w:rPr>
            </w:pPr>
            <w:hyperlink w:anchor="page119">
              <w:r>
                <w:rPr>
                  <w:rFonts w:ascii="Arial" w:cs="Arial" w:eastAsia="Arial" w:hAnsi="Arial"/>
                  <w:sz w:val="17"/>
                  <w:szCs w:val="17"/>
                  <w:color w:val="0000FF"/>
                  <w:w w:val="96"/>
                </w:rPr>
                <w:t>Exhibit Index</w:t>
              </w:r>
            </w:hyperlink>
          </w:p>
        </w:tc>
        <w:tc>
          <w:tcPr>
            <w:tcW w:w="5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bottom w:val="single" w:sz="8" w:color="0000FF"/>
            </w:tcBorders>
            <w:gridSpan w:val="3"/>
          </w:tcPr>
          <w:p>
            <w:pPr>
              <w:spacing w:after="0"/>
              <w:rPr>
                <w:rFonts w:ascii="Arial" w:cs="Arial" w:eastAsia="Arial" w:hAnsi="Arial"/>
                <w:sz w:val="17"/>
                <w:szCs w:val="17"/>
                <w:color w:val="0000FF"/>
                <w:w w:val="90"/>
              </w:rPr>
            </w:pPr>
            <w:r>
              <w:rPr>
                <w:rFonts w:ascii="Arial" w:cs="Arial" w:eastAsia="Arial" w:hAnsi="Arial"/>
                <w:sz w:val="17"/>
                <w:szCs w:val="17"/>
                <w:color w:val="0000FF"/>
                <w:w w:val="90"/>
              </w:rPr>
              <w:t>E-</w:t>
            </w:r>
            <w:hyperlink w:anchor="page119">
              <w:r>
                <w:rPr>
                  <w:rFonts w:ascii="Arial" w:cs="Arial" w:eastAsia="Arial" w:hAnsi="Arial"/>
                  <w:sz w:val="17"/>
                  <w:szCs w:val="17"/>
                  <w:color w:val="0000FF"/>
                  <w:w w:val="90"/>
                </w:rPr>
                <w:t>1</w:t>
              </w:r>
            </w:hyperlink>
          </w:p>
        </w:tc>
        <w:tc>
          <w:tcPr>
            <w:tcW w:w="40" w:type="dxa"/>
            <w:vAlign w:val="bottom"/>
            <w:gridSpan w:val="2"/>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00" w:type="dxa"/>
            <w:vAlign w:val="bottom"/>
            <w:gridSpan w:val="12"/>
          </w:tcPr>
          <w:p>
            <w:pPr>
              <w:spacing w:after="0"/>
              <w:rPr>
                <w:rFonts w:ascii="Arial" w:cs="Arial" w:eastAsia="Arial" w:hAnsi="Arial"/>
                <w:sz w:val="17"/>
                <w:szCs w:val="17"/>
                <w:color w:val="0000FF"/>
              </w:rPr>
            </w:pPr>
            <w:hyperlink w:anchor="page123">
              <w:r>
                <w:rPr>
                  <w:rFonts w:ascii="Arial" w:cs="Arial" w:eastAsia="Arial" w:hAnsi="Arial"/>
                  <w:sz w:val="17"/>
                  <w:szCs w:val="17"/>
                  <w:color w:val="0000FF"/>
                </w:rPr>
                <w:t>SIGNATURES</w:t>
              </w:r>
            </w:hyperlink>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6"/>
          </w:tcPr>
          <w:p>
            <w:pPr>
              <w:ind w:left="580"/>
              <w:spacing w:after="0"/>
              <w:rPr>
                <w:rFonts w:ascii="Arial" w:cs="Arial" w:eastAsia="Arial" w:hAnsi="Arial"/>
                <w:sz w:val="17"/>
                <w:szCs w:val="17"/>
                <w:color w:val="0000FF"/>
              </w:rPr>
            </w:pPr>
            <w:r>
              <w:rPr>
                <w:rFonts w:ascii="Arial" w:cs="Arial" w:eastAsia="Arial" w:hAnsi="Arial"/>
                <w:sz w:val="17"/>
                <w:szCs w:val="17"/>
                <w:color w:val="0000FF"/>
              </w:rPr>
              <w:t>E-</w:t>
            </w:r>
            <w:hyperlink w:anchor="page123">
              <w:r>
                <w:rPr>
                  <w:rFonts w:ascii="Arial" w:cs="Arial" w:eastAsia="Arial" w:hAnsi="Arial"/>
                  <w:sz w:val="17"/>
                  <w:szCs w:val="17"/>
                  <w:color w:val="0000FF"/>
                </w:rPr>
                <w:t>5</w:t>
              </w:r>
            </w:hyperlink>
          </w:p>
        </w:tc>
      </w:tr>
      <w:tr>
        <w:trPr>
          <w:trHeight w:val="858"/>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180" w:type="dxa"/>
            <w:vAlign w:val="bottom"/>
            <w:gridSpan w:val="13"/>
          </w:tcPr>
          <w:p>
            <w:pPr>
              <w:jc w:val="center"/>
              <w:ind w:left="3933"/>
              <w:spacing w:after="0"/>
              <w:rPr>
                <w:sz w:val="20"/>
                <w:szCs w:val="20"/>
                <w:color w:val="auto"/>
              </w:rPr>
            </w:pPr>
            <w:r>
              <w:rPr>
                <w:rFonts w:ascii="Arial" w:cs="Arial" w:eastAsia="Arial" w:hAnsi="Arial"/>
                <w:sz w:val="17"/>
                <w:szCs w:val="17"/>
                <w:color w:val="auto"/>
                <w:w w:val="84"/>
              </w:rPr>
              <w:t>2</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51" w:lineRule="exact"/>
        <w:rPr>
          <w:sz w:val="20"/>
          <w:szCs w:val="20"/>
          <w:color w:val="auto"/>
        </w:rPr>
      </w:pPr>
    </w:p>
    <w:p>
      <w:pPr>
        <w:ind w:right="120" w:firstLine="393"/>
        <w:spacing w:after="0" w:line="255" w:lineRule="auto"/>
        <w:rPr>
          <w:sz w:val="20"/>
          <w:szCs w:val="20"/>
          <w:color w:val="auto"/>
        </w:rPr>
      </w:pPr>
      <w:r>
        <w:rPr>
          <w:rFonts w:ascii="Arial" w:cs="Arial" w:eastAsia="Arial" w:hAnsi="Arial"/>
          <w:sz w:val="17"/>
          <w:szCs w:val="17"/>
          <w:i w:val="1"/>
          <w:iCs w:val="1"/>
          <w:color w:val="auto"/>
        </w:rPr>
        <w:t xml:space="preserve">This Annual Report on Form 10-K </w:t>
      </w:r>
      <w:r>
        <w:rPr>
          <w:rFonts w:ascii="Arial" w:cs="Arial" w:eastAsia="Arial" w:hAnsi="Arial"/>
          <w:sz w:val="15"/>
          <w:szCs w:val="15"/>
          <w:i w:val="1"/>
          <w:iCs w:val="1"/>
          <w:color w:val="auto"/>
        </w:rPr>
        <w:t>contains, or incorporates by reference, certain forward-looking statements within the meaning of the Private Securities Litigation</w:t>
      </w:r>
      <w:r>
        <w:rPr>
          <w:rFonts w:ascii="Arial" w:cs="Arial" w:eastAsia="Arial" w:hAnsi="Arial"/>
          <w:sz w:val="17"/>
          <w:szCs w:val="17"/>
          <w:i w:val="1"/>
          <w:iCs w:val="1"/>
          <w:color w:val="auto"/>
        </w:rPr>
        <w:t xml:space="preserve"> </w:t>
      </w:r>
      <w:r>
        <w:rPr>
          <w:rFonts w:ascii="Arial" w:cs="Arial" w:eastAsia="Arial" w:hAnsi="Arial"/>
          <w:sz w:val="15"/>
          <w:szCs w:val="15"/>
          <w:i w:val="1"/>
          <w:iCs w:val="1"/>
          <w:color w:val="auto"/>
        </w:rPr>
        <w:t>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our pending merger with Microsoft Corporation, releases of products or services, restructuring activities, and employee retention and recruitment; (3) statements of future financial or operating performance, including the impact of tax items thereon; and (4)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3" w:lineRule="exact"/>
        <w:rPr>
          <w:sz w:val="20"/>
          <w:szCs w:val="20"/>
          <w:color w:val="auto"/>
        </w:rPr>
      </w:pPr>
    </w:p>
    <w:p>
      <w:pPr>
        <w:ind w:right="240" w:firstLine="393"/>
        <w:spacing w:after="0" w:line="280" w:lineRule="auto"/>
        <w:rPr>
          <w:rFonts w:ascii="Arial" w:cs="Arial" w:eastAsia="Arial" w:hAnsi="Arial"/>
          <w:sz w:val="15"/>
          <w:szCs w:val="15"/>
          <w:i w:val="1"/>
          <w:iCs w:val="1"/>
          <w:color w:val="auto"/>
        </w:rPr>
      </w:pPr>
      <w:r>
        <w:rPr>
          <w:rFonts w:ascii="Arial" w:cs="Arial" w:eastAsia="Arial" w:hAnsi="Arial"/>
          <w:sz w:val="15"/>
          <w:szCs w:val="15"/>
          <w:i w:val="1"/>
          <w:iCs w:val="1"/>
          <w:color w:val="auto"/>
        </w:rPr>
        <w:t>We caution that a number of important factors, many of which are beyond our control, could cause our actual future results and other future circumstances to differ materially from those expressed in any forward-looking statements. Some of the risk factors that could cause our actual results to differ from those stated in the forward-looking statements can be found in “</w:t>
      </w:r>
      <w:hyperlink w:anchor="page14">
        <w:r>
          <w:rPr>
            <w:rFonts w:ascii="Arial" w:cs="Arial" w:eastAsia="Arial" w:hAnsi="Arial"/>
            <w:sz w:val="15"/>
            <w:szCs w:val="15"/>
            <w:i w:val="1"/>
            <w:iCs w:val="1"/>
            <w:u w:val="single" w:color="auto"/>
            <w:color w:val="0000FF"/>
          </w:rPr>
          <w:t>Risk Factors</w:t>
        </w:r>
      </w:hyperlink>
      <w:r>
        <w:rPr>
          <w:rFonts w:ascii="Arial" w:cs="Arial" w:eastAsia="Arial" w:hAnsi="Arial"/>
          <w:sz w:val="15"/>
          <w:szCs w:val="15"/>
          <w:i w:val="1"/>
          <w:iCs w:val="1"/>
          <w:color w:val="auto"/>
        </w:rPr>
        <w:t xml:space="preserve">” included in Part I, Item 1A of this Annual Report on Form 10-K. </w:t>
      </w:r>
      <w:r>
        <w:rPr>
          <w:rFonts w:ascii="Arial" w:cs="Arial" w:eastAsia="Arial" w:hAnsi="Arial"/>
          <w:sz w:val="14"/>
          <w:szCs w:val="14"/>
          <w:i w:val="1"/>
          <w:iCs w:val="1"/>
          <w:color w:val="auto"/>
        </w:rPr>
        <w:t>The forward-looking statements contained</w:t>
      </w:r>
    </w:p>
    <w:p>
      <w:pPr>
        <w:spacing w:after="0" w:line="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i w:val="1"/>
          <w:iCs w:val="1"/>
          <w:color w:val="auto"/>
        </w:rPr>
        <w:t>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214" w:lineRule="exact"/>
        <w:rPr>
          <w:sz w:val="20"/>
          <w:szCs w:val="20"/>
          <w:color w:val="auto"/>
        </w:rPr>
      </w:pPr>
    </w:p>
    <w:p>
      <w:pPr>
        <w:ind w:firstLine="393"/>
        <w:spacing w:after="0" w:line="251" w:lineRule="auto"/>
        <w:rPr>
          <w:sz w:val="20"/>
          <w:szCs w:val="20"/>
          <w:color w:val="auto"/>
        </w:rPr>
      </w:pPr>
      <w:r>
        <w:rPr>
          <w:rFonts w:ascii="Arial" w:cs="Arial" w:eastAsia="Arial" w:hAnsi="Arial"/>
          <w:sz w:val="17"/>
          <w:szCs w:val="17"/>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Annual Report on Form 10-K refer to U.S. dollars, unless otherwise explicitly stated to the contrary.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50" w:lineRule="exact"/>
        <w:rPr>
          <w:sz w:val="20"/>
          <w:szCs w:val="20"/>
          <w:color w:val="auto"/>
        </w:rPr>
      </w:pPr>
    </w:p>
    <w:p>
      <w:pPr>
        <w:ind w:right="60" w:firstLine="393"/>
        <w:spacing w:after="0" w:line="265" w:lineRule="auto"/>
        <w:rPr>
          <w:rFonts w:ascii="Arial" w:cs="Arial" w:eastAsia="Arial" w:hAnsi="Arial"/>
          <w:sz w:val="17"/>
          <w:szCs w:val="17"/>
          <w:color w:val="0000FF"/>
        </w:rPr>
      </w:pPr>
      <w:r>
        <w:rPr>
          <w:rFonts w:ascii="Arial" w:cs="Arial" w:eastAsia="Arial" w:hAnsi="Arial"/>
          <w:sz w:val="17"/>
          <w:szCs w:val="17"/>
          <w:color w:val="auto"/>
        </w:rPr>
        <w:t xml:space="preserve">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w:t>
      </w:r>
      <w:hyperlink r:id="rId15">
        <w:r>
          <w:rPr>
            <w:rFonts w:ascii="Arial" w:cs="Arial" w:eastAsia="Arial" w:hAnsi="Arial"/>
            <w:sz w:val="17"/>
            <w:szCs w:val="17"/>
            <w:color w:val="auto"/>
          </w:rPr>
          <w:t xml:space="preserve">subsidiaries. For a discussion of the history of the formation of our Company, including our year and form of incorporation, refer to </w:t>
        </w:r>
        <w:r>
          <w:rPr>
            <w:rFonts w:ascii="Arial" w:cs="Arial" w:eastAsia="Arial" w:hAnsi="Arial"/>
            <w:sz w:val="17"/>
            <w:szCs w:val="17"/>
            <w:u w:val="single" w:color="auto"/>
            <w:color w:val="0000FF"/>
          </w:rPr>
          <w:t>Part I, Item 1 “Business” of</w:t>
        </w:r>
      </w:hyperlink>
      <w:r>
        <w:rPr>
          <w:rFonts w:ascii="Arial" w:cs="Arial" w:eastAsia="Arial" w:hAnsi="Arial"/>
          <w:sz w:val="17"/>
          <w:szCs w:val="17"/>
          <w:color w:val="auto"/>
        </w:rPr>
        <w:t xml:space="preserve"> </w:t>
      </w:r>
      <w:hyperlink r:id="rId15">
        <w:r>
          <w:rPr>
            <w:rFonts w:ascii="Arial" w:cs="Arial" w:eastAsia="Arial" w:hAnsi="Arial"/>
            <w:sz w:val="17"/>
            <w:szCs w:val="17"/>
            <w:u w:val="single" w:color="auto"/>
            <w:color w:val="0000FF"/>
          </w:rPr>
          <w:t>our Annual Report on Form 10-K for the year ended December 31, 2019</w:t>
        </w:r>
        <w:r>
          <w:rPr>
            <w:rFonts w:ascii="Arial" w:cs="Arial" w:eastAsia="Arial" w:hAnsi="Arial"/>
            <w:sz w:val="17"/>
            <w:szCs w:val="17"/>
            <w:color w:val="000000"/>
          </w:rPr>
          <w:t>.</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50"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(the “Shares”),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(the “Effective Time”). We do not believe these restrictions will prevent us from meeting our debt service obligations, ongoing costs of operations, working capital needs or capital expenditure requirements.</w:t>
      </w:r>
    </w:p>
    <w:p>
      <w:pPr>
        <w:spacing w:after="0" w:line="197"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in connection with our entry into an agreement with respect to a Superior Proposal (as defined in the Merger Agreement) prior to us receiving stockholder approval of the Merger, or termination by Microsoft upon a Company Board Recommendation Change (as defined in the Merger Agreement), in each case, if certain other conditions are met.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(1) $2.0 billion if the termination notice is provided prior to January 18, 2023, (2) $2.5 billion if the termination notice is provided after January 18, 2023, and prior to April 18, 2023, or (3) $3.0 billion if the termination notice is provided at any time after April 18, 2023. The consummation of the Merger remains subject to customary closing conditions, including satisfaction of certain regulatory approvals, approval by our stockholders and other customary closing conditions. The Merger is currently expected to close in Microsoft’s fiscal year ending June 30, 2023.</w:t>
      </w:r>
    </w:p>
    <w:p>
      <w:pPr>
        <w:spacing w:after="0" w:line="215" w:lineRule="exact"/>
        <w:rPr>
          <w:sz w:val="20"/>
          <w:szCs w:val="20"/>
          <w:color w:val="auto"/>
        </w:rPr>
      </w:pPr>
    </w:p>
    <w:p>
      <w:pPr>
        <w:jc w:val="both"/>
        <w:ind w:right="420" w:firstLine="393"/>
        <w:spacing w:after="0" w:line="273" w:lineRule="auto"/>
        <w:rPr>
          <w:sz w:val="20"/>
          <w:szCs w:val="20"/>
          <w:color w:val="auto"/>
        </w:rPr>
      </w:pPr>
      <w:r>
        <w:rPr>
          <w:rFonts w:ascii="Arial" w:cs="Arial" w:eastAsia="Arial" w:hAnsi="Arial"/>
          <w:sz w:val="17"/>
          <w:szCs w:val="17"/>
          <w:color w:val="auto"/>
        </w:rPr>
        <w:t>For additional information related to the Merger Agreement, please refer to the preliminary proxy statement previously filed with the SEC and other relevant materials in connection with the transaction that we will file with the SEC and that will contain important information about the Company and the Merger.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and Vision</w:t>
      </w:r>
    </w:p>
    <w:p>
      <w:pPr>
        <w:spacing w:after="0" w:line="250" w:lineRule="exact"/>
        <w:rPr>
          <w:sz w:val="20"/>
          <w:szCs w:val="20"/>
          <w:color w:val="auto"/>
        </w:rPr>
      </w:pPr>
    </w:p>
    <w:p>
      <w:pPr>
        <w:ind w:right="160" w:firstLine="393"/>
        <w:spacing w:after="0" w:line="268" w:lineRule="auto"/>
        <w:rPr>
          <w:sz w:val="20"/>
          <w:szCs w:val="20"/>
          <w:color w:val="auto"/>
        </w:rPr>
      </w:pPr>
      <w:r>
        <w:rPr>
          <w:rFonts w:ascii="Arial" w:cs="Arial" w:eastAsia="Arial" w:hAnsi="Arial"/>
          <w:sz w:val="17"/>
          <w:szCs w:val="17"/>
          <w:color w:val="auto"/>
        </w:rPr>
        <w:t>Our objective is to connect and engage the world through epic entertainment by continuing to be a worldwide leader in the development, publishing, and distribution of high-quality interactive entertainment content and services, as well as related media, that deliver engaging entertainment experiences to our network of connected players on a year-round basis. In pursuit of this objective, we focus on three strategic pillars: expanding audience reach; deepening consumer engagement; and increasing player investment.</w:t>
      </w:r>
    </w:p>
    <w:p>
      <w:pPr>
        <w:spacing w:after="0" w:line="202" w:lineRule="exact"/>
        <w:rPr>
          <w:sz w:val="20"/>
          <w:szCs w:val="20"/>
          <w:color w:val="auto"/>
        </w:rPr>
      </w:pPr>
    </w:p>
    <w:p>
      <w:pPr>
        <w:ind w:right="140" w:firstLine="393"/>
        <w:spacing w:after="0" w:line="326" w:lineRule="auto"/>
        <w:rPr>
          <w:sz w:val="20"/>
          <w:szCs w:val="20"/>
          <w:color w:val="auto"/>
        </w:rPr>
      </w:pPr>
      <w:r>
        <w:rPr>
          <w:rFonts w:ascii="Arial" w:cs="Arial" w:eastAsia="Arial" w:hAnsi="Arial"/>
          <w:sz w:val="15"/>
          <w:szCs w:val="15"/>
          <w:i w:val="1"/>
          <w:iCs w:val="1"/>
          <w:color w:val="auto"/>
        </w:rPr>
        <w:t xml:space="preserve">Expanding audience reach. </w:t>
      </w:r>
      <w:r>
        <w:rPr>
          <w:rFonts w:ascii="Arial" w:cs="Arial" w:eastAsia="Arial" w:hAnsi="Arial"/>
          <w:sz w:val="15"/>
          <w:szCs w:val="15"/>
          <w:color w:val="auto"/>
        </w:rPr>
        <w:t>Building on our strong established franchises and creating new franchises through compelling content is at the core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We endeavor to expand our network and reach as many consumers as possible by offering our content on multiple platforms, particularly mobile, the largest and fastest growing platform, and delivering compelling experiences across multiple business models (e.g., premium, free-to-play, subscription-based).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i w:val="1"/>
          <w:iCs w:val="1"/>
          <w:color w:val="auto"/>
        </w:rPr>
        <w:t>Driving deep consumer engagement</w:t>
      </w:r>
      <w:r>
        <w:rPr>
          <w:rFonts w:ascii="Arial" w:cs="Arial" w:eastAsia="Arial" w:hAnsi="Arial"/>
          <w:sz w:val="17"/>
          <w:szCs w:val="17"/>
          <w:color w:val="auto"/>
        </w:rPr>
        <w:t>. Our high-quality entertainment content not only expands our audience reach, but it also drives deep engagement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our franchises. We design our games, as well as related media, to provide a depth of content that keeps consumers engaged for a long period of time following a game’s release. In addition, our games are designed to provide players the ability to connect with each other socially within our franchise communities, thus delivering more value to our players and providing additional growth opportunities for our franchises.</w:t>
      </w:r>
    </w:p>
    <w:p>
      <w:pPr>
        <w:spacing w:after="0" w:line="202"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i w:val="1"/>
          <w:iCs w:val="1"/>
          <w:color w:val="auto"/>
        </w:rPr>
        <w:t xml:space="preserve">Increasing player investment. </w:t>
      </w:r>
      <w:r>
        <w:rPr>
          <w:rFonts w:ascii="Arial" w:cs="Arial" w:eastAsia="Arial" w:hAnsi="Arial"/>
          <w:sz w:val="17"/>
          <w:szCs w:val="17"/>
          <w:color w:val="auto"/>
        </w:rPr>
        <w:t>The connected, online nature of our network enables us to offer content and player investment opportunities directly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on a year-round basis. In addition to purchasing full games or subscriptions, players can invest in our franchises by purchasing incremental in-game content. These digital revenue streams tend to be more recurring and have relatively higher profit margins. In addition, we generate revenue through offering advertising within certain of our franchises, and we believe there are opportunities to grow new forms of player investment through esports and consumer products. We are still in the early stages of developing these new revenue streams.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50" w:lineRule="exact"/>
        <w:rPr>
          <w:sz w:val="20"/>
          <w:szCs w:val="20"/>
          <w:color w:val="auto"/>
        </w:rPr>
      </w:pPr>
    </w:p>
    <w:p>
      <w:pPr>
        <w:ind w:right="380" w:firstLine="393"/>
        <w:spacing w:after="0" w:line="28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50" w:lineRule="exact"/>
        <w:rPr>
          <w:sz w:val="20"/>
          <w:szCs w:val="20"/>
          <w:color w:val="auto"/>
        </w:rPr>
      </w:pPr>
    </w:p>
    <w:p>
      <w:pPr>
        <w:ind w:right="120" w:firstLine="393"/>
        <w:spacing w:after="0" w:line="244"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50" w:lineRule="exact"/>
        <w:rPr>
          <w:sz w:val="20"/>
          <w:szCs w:val="20"/>
          <w:color w:val="auto"/>
        </w:rPr>
      </w:pPr>
    </w:p>
    <w:p>
      <w:pPr>
        <w:ind w:firstLine="393"/>
        <w:spacing w:after="0" w:line="222"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Warcraft</w:t>
      </w:r>
      <w:r>
        <w:rPr>
          <w:rFonts w:ascii="Arial" w:cs="Arial" w:eastAsia="Arial" w:hAnsi="Arial"/>
          <w:sz w:val="22"/>
          <w:szCs w:val="22"/>
          <w:color w:val="auto"/>
          <w:vertAlign w:val="superscript"/>
        </w:rPr>
        <w:t>®</w:t>
      </w:r>
      <w:r>
        <w:rPr>
          <w:rFonts w:ascii="Arial" w:cs="Arial" w:eastAsia="Arial" w:hAnsi="Arial"/>
          <w:sz w:val="17"/>
          <w:szCs w:val="17"/>
          <w:color w:val="auto"/>
        </w:rPr>
        <w:t>, which includes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game and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50" w:lineRule="exact"/>
        <w:rPr>
          <w:sz w:val="20"/>
          <w:szCs w:val="20"/>
          <w:color w:val="auto"/>
        </w:rPr>
      </w:pPr>
    </w:p>
    <w:p>
      <w:pPr>
        <w:ind w:right="380" w:firstLine="393"/>
        <w:spacing w:after="0" w:line="28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franchise is Candy Crush™, a “match three” franchise.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Impacts of the Global COVID-19 Pandemic</w:t>
      </w:r>
    </w:p>
    <w:p>
      <w:pPr>
        <w:spacing w:after="0" w:line="250"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In December 2019, a novel strain of coronavirus (“COVID-19”) emerged and has since extensively impacted global health and the economic environment. On March 11, 2020, the World Health Organization characterized COVID-19 as a pandemic. In an effort to contain the spread of COVID-19, domestic and international governments around the world enacted various measures, including orders to close all businesses not deemed “essential,” quarantine orders for individuals to stay in their homes or places of residence, and to practice social distancing when engaging in essential activities.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During the early stages of the COVID-19 pandemic, our business experienced an increase in demand for certain of our products and services as a result of the stay-at-home orders enacted in various regions as players had more time to engage with our games. We have, however, seen a moderation in these trends from when the stay-at-home orders were originally enacted early in 2020 and at this time stay-at-home orders have largely been lifted in most regions. It is uncertain how our business could be impacted in the current state of the pandemic as stay-at-home orders in certain regions are reduced, lifted, or at times, fully or partially reinstated, as new cases and variants of COVID-19 arise and evolve.</w:t>
      </w:r>
    </w:p>
    <w:p>
      <w:pPr>
        <w:spacing w:after="0" w:line="206" w:lineRule="exact"/>
        <w:rPr>
          <w:sz w:val="20"/>
          <w:szCs w:val="20"/>
          <w:color w:val="auto"/>
        </w:rPr>
      </w:pPr>
    </w:p>
    <w:p>
      <w:pPr>
        <w:ind w:right="60" w:firstLine="393"/>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In an effort to protect the health and safety of our employees, the majority of our workforce continues to work from home, and we have placed restrictions on non-essential business travel. During 2022 we expect that our workforce will return to our offices in some capacity while also having the option to continue to work from home depending on business requirements and health and safety concerns. Additionally, thus far, the pandemic has caused minimal disruption to our game titles’ published release dates. Please see </w:t>
      </w:r>
      <w:hyperlink w:anchor="page41">
        <w:r>
          <w:rPr>
            <w:rFonts w:ascii="Arial" w:cs="Arial" w:eastAsia="Arial" w:hAnsi="Arial"/>
            <w:sz w:val="16"/>
            <w:szCs w:val="16"/>
            <w:u w:val="single" w:color="auto"/>
            <w:color w:val="0000FF"/>
          </w:rPr>
          <w:t>“Management’s Overview of Business Trends”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section included in Part II, Item 7 “Management’s Discussion and Analysis of Financial Condition and Results of Operations” of this Annual Report on Form 10-K.</w:t>
      </w:r>
    </w:p>
    <w:p>
      <w:pPr>
        <w:spacing w:after="0" w:line="189"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As the COVID-19 pandemic continues to be present and evolve, the impact on our business, reputation, financial condition, results of operations, income, revenue, profitability, cash flows, liquidity, and stock price will depend on numerous evolving factors that we are not able to fully predict at this time, including the duration and spread of the pandemic and associated macroeconomic impacts including labor shortages and supply chain disruption, the speed and effectiveness of regional and worldwide containment and vaccination efforts including vaccine mandates, and the impact of these and other factors on our employees, customers, and partners. We will continue to actively monitor the developments of the COVID-19 pandemic and may take further actions that could alter our business operations as may be required by federal, state, local, or foreign authorities, or that we determine are in the best interests of our employees, customers, partners, and shareholders.</w:t>
      </w:r>
    </w:p>
    <w:p>
      <w:pPr>
        <w:spacing w:after="0" w:line="211" w:lineRule="exact"/>
        <w:rPr>
          <w:sz w:val="20"/>
          <w:szCs w:val="20"/>
          <w:color w:val="auto"/>
        </w:rPr>
      </w:pPr>
    </w:p>
    <w:p>
      <w:pPr>
        <w:ind w:firstLine="393"/>
        <w:spacing w:after="0" w:line="273" w:lineRule="auto"/>
        <w:rPr>
          <w:rFonts w:ascii="Arial" w:cs="Arial" w:eastAsia="Arial" w:hAnsi="Arial"/>
          <w:sz w:val="17"/>
          <w:szCs w:val="17"/>
          <w:color w:val="auto"/>
        </w:rPr>
      </w:pPr>
      <w:r>
        <w:rPr>
          <w:rFonts w:ascii="Arial" w:cs="Arial" w:eastAsia="Arial" w:hAnsi="Arial"/>
          <w:sz w:val="17"/>
          <w:szCs w:val="17"/>
          <w:color w:val="auto"/>
        </w:rPr>
        <w:t>Refer to Part I, Item 1A “</w:t>
      </w:r>
      <w:hyperlink w:anchor="page14">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of this Annual Report on Form 10-K for additional details on risks and uncertainties regarding the impacts of the global COVID-19 pandemic on our business, reputation, financial condition, results of operations, income, revenue, profitability, cash flows, liquidity, and stock price.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w:t>
      </w:r>
    </w:p>
    <w:p>
      <w:pPr>
        <w:spacing w:after="0" w:line="250" w:lineRule="exact"/>
        <w:rPr>
          <w:sz w:val="20"/>
          <w:szCs w:val="20"/>
          <w:color w:val="auto"/>
        </w:rPr>
      </w:pPr>
    </w:p>
    <w:p>
      <w:pPr>
        <w:jc w:val="both"/>
        <w:ind w:right="200" w:firstLine="393"/>
        <w:spacing w:after="0" w:line="273" w:lineRule="auto"/>
        <w:rPr>
          <w:sz w:val="20"/>
          <w:szCs w:val="20"/>
          <w:color w:val="auto"/>
        </w:rPr>
      </w:pPr>
      <w:r>
        <w:rPr>
          <w:rFonts w:ascii="Arial" w:cs="Arial" w:eastAsia="Arial" w:hAnsi="Arial"/>
          <w:sz w:val="17"/>
          <w:szCs w:val="17"/>
          <w:color w:val="auto"/>
        </w:rPr>
        <w:t>We develop interactive entertainment content and services, principally for console, PC, and mobile devices, and we market and sell our games primarily through digital distribution channels. Our products span various genres, including first- and third-person action/adventure, role-playing, strategy, and “match three,” among others. We primarily offer the following products and services:</w:t>
      </w:r>
    </w:p>
    <w:p>
      <w:pPr>
        <w:spacing w:after="0" w:line="198" w:lineRule="exact"/>
        <w:rPr>
          <w:sz w:val="20"/>
          <w:szCs w:val="20"/>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premium full-games, which typically provide access to main game content after purchase;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free-to-play offerings, which allow players to download the game and engage with the associated content for free;</w:t>
      </w:r>
    </w:p>
    <w:p>
      <w:pPr>
        <w:spacing w:after="0" w:line="250" w:lineRule="exact"/>
        <w:rPr>
          <w:rFonts w:ascii="Arial" w:cs="Arial" w:eastAsia="Arial" w:hAnsi="Arial"/>
          <w:sz w:val="17"/>
          <w:szCs w:val="17"/>
          <w:color w:val="auto"/>
        </w:rPr>
      </w:pPr>
    </w:p>
    <w:p>
      <w:pPr>
        <w:ind w:left="940" w:right="340" w:hanging="306"/>
        <w:spacing w:after="0" w:line="289"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in-game content for purchase to enhance gameplay (i.e., microtransactions and downloadable content) available within both our premium full-games and free-to-play offerings; and</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subscriptions for players in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that provide for ongoing access to the game content.</w:t>
      </w:r>
    </w:p>
    <w:p>
      <w:pPr>
        <w:spacing w:after="0" w:line="250"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Providing additional content and experiences within franchises has increased opportunities for player investment outside of premium full-game purchases. This has allowed us to shift from our historical seasonality to a more consistently recurring and year-round revenue model. In addition, if executed properly, it allows us to increase player engagement with our games and content.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and Support</w:t>
      </w:r>
    </w:p>
    <w:p>
      <w:pPr>
        <w:spacing w:after="0" w:line="250" w:lineRule="exact"/>
        <w:rPr>
          <w:sz w:val="20"/>
          <w:szCs w:val="20"/>
          <w:color w:val="auto"/>
        </w:rPr>
      </w:pPr>
    </w:p>
    <w:p>
      <w:pPr>
        <w:ind w:right="240" w:firstLine="393"/>
        <w:spacing w:after="0" w:line="286" w:lineRule="auto"/>
        <w:rPr>
          <w:sz w:val="20"/>
          <w:szCs w:val="20"/>
          <w:color w:val="auto"/>
        </w:rPr>
      </w:pPr>
      <w:r>
        <w:rPr>
          <w:rFonts w:ascii="Arial" w:cs="Arial" w:eastAsia="Arial" w:hAnsi="Arial"/>
          <w:sz w:val="16"/>
          <w:szCs w:val="16"/>
          <w:color w:val="auto"/>
        </w:rPr>
        <w:t>We focus on developing enduring wholly-owned franchises backed by well-designed, high-quality games with regular content updates. We aim to build interactive entertainment content with the potential for broad reach, sustainable engagement, and year-round player investment. It is our experience that enduring franchises then serve as the basis for related new products and content that can be released over an extended period of time. We believe that the development and distribution of products and content based on established franchises enhances predictability of revenues and the probability of high unit volume sales and operating profits. We intend to continue development of content based on our owned franchises in the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00" w:firstLine="393"/>
        <w:spacing w:after="0" w:line="298" w:lineRule="auto"/>
        <w:rPr>
          <w:sz w:val="20"/>
          <w:szCs w:val="20"/>
          <w:color w:val="auto"/>
        </w:rPr>
      </w:pPr>
      <w:r>
        <w:rPr>
          <w:rFonts w:ascii="Arial" w:cs="Arial" w:eastAsia="Arial" w:hAnsi="Arial"/>
          <w:sz w:val="16"/>
          <w:szCs w:val="16"/>
          <w:color w:val="auto"/>
        </w:rPr>
        <w:t>We develop and produce our titles using a model in which individual game studios have responsibility for the entire development and production process, including the supervision and coordination of internal and, where appropriate, external resources. We believe this model allows us to deploy the best resources for a given task, including by supplementing our internal expertise with top-quality external resources on an as-needed basis.</w:t>
      </w:r>
    </w:p>
    <w:p>
      <w:pPr>
        <w:spacing w:after="0" w:line="180"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While most of our content is developed by our internal studios, we periodically engage independent third-party developers to create content on our behalf. From time to time, we also acquire the license rights to publish and/or distribute software products that are, or will be, independently created by third-party developers.</w:t>
      </w:r>
    </w:p>
    <w:p>
      <w:pPr>
        <w:spacing w:after="0" w:line="198" w:lineRule="exact"/>
        <w:rPr>
          <w:sz w:val="20"/>
          <w:szCs w:val="20"/>
          <w:color w:val="auto"/>
        </w:rPr>
      </w:pPr>
    </w:p>
    <w:p>
      <w:pPr>
        <w:ind w:right="80" w:firstLine="393"/>
        <w:spacing w:after="0" w:line="314" w:lineRule="auto"/>
        <w:rPr>
          <w:sz w:val="20"/>
          <w:szCs w:val="20"/>
          <w:color w:val="auto"/>
        </w:rPr>
      </w:pPr>
      <w:r>
        <w:rPr>
          <w:rFonts w:ascii="Arial" w:cs="Arial" w:eastAsia="Arial" w:hAnsi="Arial"/>
          <w:sz w:val="15"/>
          <w:szCs w:val="15"/>
          <w:color w:val="auto"/>
        </w:rPr>
        <w:t>We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in an effort to minimize the number of bugs and other defects found in the products. To support our content, we generally provide 24-hour game support to players, primarily online.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Sales, and Distribution</w:t>
      </w:r>
    </w:p>
    <w:p>
      <w:pPr>
        <w:spacing w:after="0" w:line="250" w:lineRule="exact"/>
        <w:rPr>
          <w:sz w:val="20"/>
          <w:szCs w:val="20"/>
          <w:color w:val="auto"/>
        </w:rPr>
      </w:pPr>
    </w:p>
    <w:p>
      <w:pPr>
        <w:ind w:right="120" w:firstLine="393"/>
        <w:spacing w:after="0" w:line="283" w:lineRule="auto"/>
        <w:rPr>
          <w:sz w:val="20"/>
          <w:szCs w:val="20"/>
          <w:color w:val="auto"/>
        </w:rPr>
      </w:pPr>
      <w:r>
        <w:rPr>
          <w:rFonts w:ascii="Arial" w:cs="Arial" w:eastAsia="Arial" w:hAnsi="Arial"/>
          <w:sz w:val="16"/>
          <w:szCs w:val="16"/>
          <w:color w:val="auto"/>
        </w:rPr>
        <w:t>Many of our products contain software that enables us to connect with our gamers directly. This allows us to communicate and market directly to our customers, including through customized advertising and in-game messaging based on customer preferences and trends. Our marketing efforts also include: activities on online social networks; other online advertising; public relations activities; print and broadcast advertising; coordinated in-store and industry promotions (including merchandising and point of purchase displays); participation in cooperative advertising programs; direct response vehicles; and product sampling. From time to time, we also receive marketing support from hardware manufacturers, producers of consumer products related to a game, and retailers in connection with their own promotional efforts, as well as co-marketing from promotional partners.</w:t>
      </w:r>
    </w:p>
    <w:p>
      <w:pPr>
        <w:spacing w:after="0" w:line="193"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Most of our products and content are available in a digital format, which allows consumers to purchase and download the content at their convenience directly to their console, PC, or mobile device through our platform partners, including Apple Inc. (“Apple”), Facebook, Inc. (“Facebook”), Google Inc. (“Google”), Microsoft, and Sony Interactive Entertainment Inc. (“Sony”). Blizzard utilizes its proprietary online gaming platform, Battle.net, to distribute most of Blizzard’s content and selected Activision content directly to PC consumers.</w:t>
      </w:r>
    </w:p>
    <w:p>
      <w:pPr>
        <w:spacing w:after="0" w:line="202"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In addition to serving as a distribution platform, Battle.net offers players communications features, social networking, player matching, and digital content delivery and is designed to allow people to connect regardless of which of our games on Battle.net they are playing.</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Our physical products are available for sale in outlets around the world. These products are sold primarily on a direct basis to mass-market retailers (e.g., Target, Walmart), consumer electronics stores (e.g., Best Buy), discount warehouses, game specialty stores (e.g., GameStop), and other stores (e.g., Amazon), or through third-party distribution and licensing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We prepare master program copies for our products on each release platform. With respect to products for consoles, such as for Microsoft and Sony, our disk duplication, packaging, printing, manufacturing, warehousing, assembly, and shipping are performed by third-party subcontractors or distribution facilities owned by us.</w:t>
      </w:r>
    </w:p>
    <w:p>
      <w:pPr>
        <w:spacing w:after="0" w:line="198" w:lineRule="exact"/>
        <w:rPr>
          <w:sz w:val="20"/>
          <w:szCs w:val="20"/>
          <w:color w:val="auto"/>
        </w:rPr>
      </w:pPr>
    </w:p>
    <w:p>
      <w:pPr>
        <w:ind w:right="300" w:firstLine="393"/>
        <w:spacing w:after="0" w:line="298" w:lineRule="auto"/>
        <w:rPr>
          <w:sz w:val="20"/>
          <w:szCs w:val="20"/>
          <w:color w:val="auto"/>
        </w:rPr>
      </w:pPr>
      <w:r>
        <w:rPr>
          <w:rFonts w:ascii="Arial" w:cs="Arial" w:eastAsia="Arial" w:hAnsi="Arial"/>
          <w:sz w:val="16"/>
          <w:szCs w:val="16"/>
          <w:color w:val="auto"/>
        </w:rPr>
        <w:t>Microsoft and Sony generally specify or control the manufacturing and assembly of finished products and license their hardware technologies to us. In return, we pay an applicable royalty per unit once the manufacturer fills the product order, even if the units do not ultimately sell. We deliver the master materials to the licensor or its approved replicator, who then manufactures the finished goods and delivers them to us for distribution under our label.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Customers and Top Franchises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Customers</w:t>
      </w:r>
    </w:p>
    <w:p>
      <w:pPr>
        <w:spacing w:after="0" w:line="250" w:lineRule="exact"/>
        <w:rPr>
          <w:sz w:val="20"/>
          <w:szCs w:val="20"/>
          <w:color w:val="auto"/>
        </w:rPr>
      </w:pPr>
    </w:p>
    <w:p>
      <w:pPr>
        <w:jc w:val="both"/>
        <w:ind w:right="20" w:firstLine="393"/>
        <w:spacing w:after="0" w:line="273" w:lineRule="auto"/>
        <w:rPr>
          <w:sz w:val="20"/>
          <w:szCs w:val="20"/>
          <w:color w:val="auto"/>
        </w:rPr>
      </w:pPr>
      <w:r>
        <w:rPr>
          <w:rFonts w:ascii="Arial" w:cs="Arial" w:eastAsia="Arial" w:hAnsi="Arial"/>
          <w:sz w:val="17"/>
          <w:szCs w:val="17"/>
          <w:color w:val="auto"/>
        </w:rPr>
        <w:t>While the Company does sell directly to end consumers in certain instances, such as sales through Battle.net, in other instances our customers are platform providers, such as Sony, Microsoft, Google, and Apple, or retailers, such as Walmart, Target, Best Buy, and GameStop, who act as distributors of our content to end consumers.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percentage of our consolidated net revenues by our most significant customers were as follows:</w:t>
      </w:r>
    </w:p>
    <w:p>
      <w:pPr>
        <w:spacing w:after="0" w:line="284" w:lineRule="exact"/>
        <w:rPr>
          <w:sz w:val="20"/>
          <w:szCs w:val="20"/>
          <w:color w:val="auto"/>
        </w:rPr>
      </w:pPr>
    </w:p>
    <w:p>
      <w:pPr>
        <w:ind w:left="6460"/>
        <w:spacing w:after="0"/>
        <w:rPr>
          <w:sz w:val="20"/>
          <w:szCs w:val="20"/>
          <w:color w:val="auto"/>
        </w:rPr>
      </w:pPr>
      <w:r>
        <w:rPr>
          <w:rFonts w:ascii="Arial" w:cs="Arial" w:eastAsia="Arial" w:hAnsi="Arial"/>
          <w:sz w:val="17"/>
          <w:szCs w:val="17"/>
          <w:b w:val="1"/>
          <w:bCs w:val="1"/>
          <w:color w:val="auto"/>
        </w:rPr>
        <w:t>For the Years Ended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Borders>
              <w:bottom w:val="single" w:sz="8" w:color="CCEEFF"/>
            </w:tcBorders>
          </w:tcPr>
          <w:p>
            <w:pPr>
              <w:spacing w:after="0"/>
              <w:rPr>
                <w:sz w:val="18"/>
                <w:szCs w:val="18"/>
                <w:color w:val="auto"/>
              </w:rPr>
            </w:pPr>
          </w:p>
        </w:tc>
        <w:tc>
          <w:tcPr>
            <w:tcW w:w="21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b w:val="1"/>
                <w:bCs w:val="1"/>
                <w:color w:val="auto"/>
                <w:w w:val="97"/>
              </w:rPr>
              <w:t>December 31, 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5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December 31, 2020</w:t>
            </w:r>
          </w:p>
        </w:tc>
        <w:tc>
          <w:tcPr>
            <w:tcW w:w="140" w:type="dxa"/>
            <w:vAlign w:val="bottom"/>
            <w:tcBorders>
              <w:top w:val="single" w:sz="8" w:color="auto"/>
              <w:bottom w:val="single" w:sz="8" w:color="CCEEFF"/>
            </w:tcBorders>
          </w:tcPr>
          <w:p>
            <w:pPr>
              <w:spacing w:after="0"/>
              <w:rPr>
                <w:sz w:val="18"/>
                <w:szCs w:val="18"/>
                <w:color w:val="auto"/>
              </w:rPr>
            </w:pPr>
          </w:p>
        </w:tc>
        <w:tc>
          <w:tcPr>
            <w:tcW w:w="26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December 31, 2019</w:t>
            </w:r>
          </w:p>
        </w:tc>
      </w:tr>
      <w:tr>
        <w:trPr>
          <w:trHeight w:val="21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Apple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Google</w:t>
            </w:r>
          </w:p>
        </w:tc>
        <w:tc>
          <w:tcPr>
            <w:tcW w:w="480" w:type="dxa"/>
            <w:vAlign w:val="bottom"/>
          </w:tcPr>
          <w:p>
            <w:pPr>
              <w:jc w:val="right"/>
              <w:spacing w:after="0"/>
              <w:rPr>
                <w:sz w:val="20"/>
                <w:szCs w:val="20"/>
                <w:color w:val="auto"/>
              </w:rPr>
            </w:pPr>
            <w:r>
              <w:rPr>
                <w:rFonts w:ascii="Arial" w:cs="Arial" w:eastAsia="Arial" w:hAnsi="Arial"/>
                <w:sz w:val="17"/>
                <w:szCs w:val="17"/>
                <w:color w:val="auto"/>
              </w:rPr>
              <w:t>17 %</w:t>
            </w:r>
          </w:p>
        </w:tc>
        <w:tc>
          <w:tcPr>
            <w:tcW w:w="1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14 %</w:t>
            </w:r>
          </w:p>
        </w:tc>
        <w:tc>
          <w:tcPr>
            <w:tcW w:w="14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22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Sony</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2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Microsoft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11 %</w:t>
            </w:r>
          </w:p>
        </w:tc>
        <w:tc>
          <w:tcPr>
            <w:tcW w:w="14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6"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Customer did not account for 10% or more of our consolidated net revenues for the noted period.</w:t>
      </w:r>
    </w:p>
    <w:p>
      <w:pPr>
        <w:spacing w:after="0" w:line="250" w:lineRule="exact"/>
        <w:rPr>
          <w:sz w:val="20"/>
          <w:szCs w:val="20"/>
          <w:color w:val="auto"/>
        </w:rPr>
      </w:pPr>
    </w:p>
    <w:p>
      <w:pPr>
        <w:jc w:val="both"/>
        <w:ind w:right="40" w:firstLine="393"/>
        <w:spacing w:after="0" w:line="273" w:lineRule="auto"/>
        <w:rPr>
          <w:sz w:val="20"/>
          <w:szCs w:val="20"/>
          <w:color w:val="auto"/>
        </w:rPr>
      </w:pPr>
      <w:r>
        <w:rPr>
          <w:rFonts w:ascii="Arial" w:cs="Arial" w:eastAsia="Arial" w:hAnsi="Arial"/>
          <w:sz w:val="17"/>
          <w:szCs w:val="17"/>
          <w:color w:val="auto"/>
        </w:rPr>
        <w:t>No other customer accounted for 10% or more of our net revenues in the periods above. We had two customers—Microsoft and Sony—who accounted for 20% and 22%, respectively, of consolidated gross receivables at December 31, 2021, and 28% and 21%, respectively, at December 31, 2020. No other customer accounted for 10% or more of our consolidated gross receivables in those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Top Franchises</w:t>
      </w:r>
    </w:p>
    <w:p>
      <w:pPr>
        <w:spacing w:after="0" w:line="250" w:lineRule="exact"/>
        <w:rPr>
          <w:sz w:val="20"/>
          <w:szCs w:val="20"/>
          <w:color w:val="auto"/>
        </w:rPr>
      </w:pPr>
    </w:p>
    <w:p>
      <w:pPr>
        <w:ind w:right="120" w:firstLine="393"/>
        <w:spacing w:after="0" w:line="322" w:lineRule="auto"/>
        <w:rPr>
          <w:sz w:val="20"/>
          <w:szCs w:val="20"/>
          <w:color w:val="auto"/>
        </w:rPr>
      </w:pPr>
      <w:r>
        <w:rPr>
          <w:rFonts w:ascii="Arial" w:cs="Arial" w:eastAsia="Arial" w:hAnsi="Arial"/>
          <w:sz w:val="16"/>
          <w:szCs w:val="16"/>
          <w:color w:val="auto"/>
        </w:rPr>
        <w:t>For the years ended December 31, 2021, 2020, and 2019, our top three franchises—Call of Duty, Candy Crush, and Warcraft—collectively accounted for 82%, 79%, and 72%, respectively, of our net revenues. No other franchise comprised 10% or more of our net revenues in those periods.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250" w:lineRule="exact"/>
        <w:rPr>
          <w:sz w:val="20"/>
          <w:szCs w:val="20"/>
          <w:color w:val="auto"/>
        </w:rPr>
      </w:pPr>
    </w:p>
    <w:p>
      <w:pPr>
        <w:ind w:right="320" w:firstLine="393"/>
        <w:spacing w:after="0" w:line="322" w:lineRule="auto"/>
        <w:rPr>
          <w:sz w:val="20"/>
          <w:szCs w:val="20"/>
          <w:color w:val="auto"/>
        </w:rPr>
      </w:pPr>
      <w:r>
        <w:rPr>
          <w:rFonts w:ascii="Arial" w:cs="Arial" w:eastAsia="Arial" w:hAnsi="Arial"/>
          <w:sz w:val="16"/>
          <w:szCs w:val="16"/>
          <w:color w:val="auto"/>
        </w:rPr>
        <w:t>We compete for the leisure time and discretionary spending of consumers with other interactive entertainment companies and software competitors, as well as with providers of different forms of entertainment, such as film, television, social networking, music, and other consumer products.</w:t>
      </w:r>
    </w:p>
    <w:p>
      <w:pPr>
        <w:spacing w:after="0" w:line="162"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of content; marketing support; and quality of customer service.</w:t>
      </w:r>
    </w:p>
    <w:p>
      <w:pPr>
        <w:spacing w:after="0" w:line="202" w:lineRule="exact"/>
        <w:rPr>
          <w:sz w:val="20"/>
          <w:szCs w:val="20"/>
          <w:color w:val="auto"/>
        </w:rPr>
      </w:pPr>
    </w:p>
    <w:p>
      <w:pPr>
        <w:ind w:right="100" w:firstLine="393"/>
        <w:spacing w:after="0" w:line="298" w:lineRule="auto"/>
        <w:rPr>
          <w:sz w:val="20"/>
          <w:szCs w:val="20"/>
          <w:color w:val="auto"/>
        </w:rPr>
      </w:pPr>
      <w:r>
        <w:rPr>
          <w:rFonts w:ascii="Arial" w:cs="Arial" w:eastAsia="Arial" w:hAnsi="Arial"/>
          <w:sz w:val="16"/>
          <w:szCs w:val="16"/>
          <w:color w:val="auto"/>
        </w:rPr>
        <w:t>In addition to third-party software competitors, integrated video game console hardware and software companies, such as Microsoft, Sony, and Nintendo, compete directly with us in the development of software titles for their respective platforms, while at the same time act as key distribution channels and payment gateways for our products and services through their digital storefronts. Apple and Google are similarly positioned on mobile devices.</w:t>
      </w:r>
    </w:p>
    <w:p>
      <w:pPr>
        <w:spacing w:after="0" w:line="180"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As our teams have contributed to transforming gaming into social experiences, enabling players to find purpose and meaning through games, we believe connecting these communities together is the next step in our industry. This can be seen by established and emerging competitors seeing opportunity for virtual worlds filled with professionally produced content, user generated content and rich social connections. As investments in cloud computing, artificial intelligence and machine learning, data analytics, and user interface and experience capabilities are becoming more competitive, we believe that our recently announced merger and partnership with Microsoft will better enable our ambitions in this dynamic and highly competitive environment.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w:t>
      </w:r>
    </w:p>
    <w:p>
      <w:pPr>
        <w:spacing w:after="0" w:line="237"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 that we use to develop and run our games. Other intellectual property is in the form of copyrighted audio-visual elements that consumers can see, hear, and interact with when they are playing our games.</w:t>
      </w:r>
    </w:p>
    <w:p>
      <w:pPr>
        <w:spacing w:after="0" w:line="202"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We develop a majority of our products based on wholly-owned intellectual properties, such as Call of Duty, Warcraft, and Candy Crush. In other cases, we obtain intellectual property through licenses and service agreements. 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89"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People</w:t>
      </w:r>
    </w:p>
    <w:p>
      <w:pPr>
        <w:spacing w:after="0" w:line="250" w:lineRule="exact"/>
        <w:rPr>
          <w:sz w:val="20"/>
          <w:szCs w:val="20"/>
          <w:color w:val="auto"/>
        </w:rPr>
      </w:pPr>
    </w:p>
    <w:p>
      <w:pPr>
        <w:ind w:right="160" w:firstLine="393"/>
        <w:spacing w:after="0" w:line="273" w:lineRule="auto"/>
        <w:rPr>
          <w:sz w:val="20"/>
          <w:szCs w:val="20"/>
          <w:color w:val="auto"/>
        </w:rPr>
      </w:pPr>
      <w:r>
        <w:rPr>
          <w:rFonts w:ascii="Arial" w:cs="Arial" w:eastAsia="Arial" w:hAnsi="Arial"/>
          <w:sz w:val="17"/>
          <w:szCs w:val="17"/>
          <w:color w:val="auto"/>
        </w:rPr>
        <w:t>We are committed to becoming the most welcoming, inclusive company in our industry. Genuinely embodying this mission and responsibility to our communities is a powerful lever to attract and retain the very best talent. Our continued success and growth are directly related to our ability to attract, recruit, enable, retain, and develop diverse and innovative talent.</w:t>
      </w:r>
    </w:p>
    <w:p>
      <w:pPr>
        <w:spacing w:after="0" w:line="238" w:lineRule="exact"/>
        <w:rPr>
          <w:sz w:val="20"/>
          <w:szCs w:val="20"/>
          <w:color w:val="auto"/>
        </w:rPr>
      </w:pPr>
    </w:p>
    <w:p>
      <w:pPr>
        <w:jc w:val="both"/>
        <w:ind w:right="240" w:firstLine="393"/>
        <w:spacing w:after="0" w:line="314" w:lineRule="auto"/>
        <w:rPr>
          <w:rFonts w:ascii="Arial" w:cs="Arial" w:eastAsia="Arial" w:hAnsi="Arial"/>
          <w:sz w:val="15"/>
          <w:szCs w:val="15"/>
          <w:color w:val="auto"/>
        </w:rPr>
      </w:pPr>
      <w:r>
        <w:rPr>
          <w:rFonts w:ascii="Arial" w:cs="Arial" w:eastAsia="Arial" w:hAnsi="Arial"/>
          <w:sz w:val="15"/>
          <w:szCs w:val="15"/>
          <w:color w:val="auto"/>
        </w:rPr>
        <w:t>During 2021, the Company has worked to address concerns raised regarding our workplace and related matters. These concerns have been set forth in, among other contexts, various legal actions against the Company, as described in Part I, Item 1A “</w:t>
      </w:r>
      <w:hyperlink w:anchor="page14">
        <w:r>
          <w:rPr>
            <w:rFonts w:ascii="Arial" w:cs="Arial" w:eastAsia="Arial" w:hAnsi="Arial"/>
            <w:sz w:val="15"/>
            <w:szCs w:val="15"/>
            <w:u w:val="single" w:color="auto"/>
            <w:color w:val="0000FF"/>
          </w:rPr>
          <w:t>Risk Factors</w:t>
        </w:r>
      </w:hyperlink>
      <w:r>
        <w:rPr>
          <w:rFonts w:ascii="Arial" w:cs="Arial" w:eastAsia="Arial" w:hAnsi="Arial"/>
          <w:sz w:val="15"/>
          <w:szCs w:val="15"/>
          <w:color w:val="auto"/>
        </w:rPr>
        <w:t xml:space="preserve">” and </w:t>
      </w:r>
      <w:hyperlink w:anchor="page115">
        <w:r>
          <w:rPr>
            <w:rFonts w:ascii="Arial" w:cs="Arial" w:eastAsia="Arial" w:hAnsi="Arial"/>
            <w:sz w:val="15"/>
            <w:szCs w:val="15"/>
            <w:u w:val="single" w:color="auto"/>
            <w:color w:val="0000FF"/>
          </w:rPr>
          <w:t>Note 22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the notes to the consolidated financial statements included in Part II, Item 8 of this Annual Report on Form 10-K. The leadership of the Company has committed to take action to produce meaningful change and provide employees the resources and support to succeed in our collective aspiration to be the model workplace in our industry.</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Steps we have taken to improve our workplace and address concerns include:</w:t>
      </w:r>
    </w:p>
    <w:p>
      <w:pPr>
        <w:spacing w:after="0" w:line="250" w:lineRule="exact"/>
        <w:rPr>
          <w:sz w:val="20"/>
          <w:szCs w:val="20"/>
          <w:color w:val="auto"/>
        </w:rPr>
      </w:pPr>
    </w:p>
    <w:p>
      <w:pPr>
        <w:ind w:left="940" w:right="20" w:hanging="306"/>
        <w:spacing w:after="0" w:line="314" w:lineRule="auto"/>
        <w:tabs>
          <w:tab w:leader="none" w:pos="936"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November 2021, the Board of Directors formed a “Workplace Responsibility Committee” (the “Committee”), initially comprised of two independent directors, to oversee the Company’s progress in successfully implementing its workplace policies, procedures, and commitments. The Committee will require management to develop key performance indicators and/or other means to measure progress and ensure accountability, with executive management providing frequent progress reports to the Committee, which will regularly brief the full Board of Directors.</w:t>
      </w:r>
    </w:p>
    <w:p>
      <w:pPr>
        <w:spacing w:after="0" w:line="172" w:lineRule="exact"/>
        <w:rPr>
          <w:rFonts w:ascii="Arial" w:cs="Arial" w:eastAsia="Arial" w:hAnsi="Arial"/>
          <w:sz w:val="15"/>
          <w:szCs w:val="15"/>
          <w:color w:val="auto"/>
        </w:rPr>
      </w:pPr>
    </w:p>
    <w:p>
      <w:pPr>
        <w:ind w:left="940" w:right="180" w:hanging="306"/>
        <w:spacing w:after="0" w:line="28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any Activision Blizzard employee who chooses not to arbitrate an individual claim of sexual harassment, unlawful discrimination, or related retaliation arising from events after October 2021, the Company will waive any obligation to do so.</w:t>
      </w:r>
    </w:p>
    <w:p>
      <w:pPr>
        <w:spacing w:after="0" w:line="184" w:lineRule="exact"/>
        <w:rPr>
          <w:rFonts w:ascii="Arial" w:cs="Arial" w:eastAsia="Arial" w:hAnsi="Arial"/>
          <w:sz w:val="17"/>
          <w:szCs w:val="17"/>
          <w:color w:val="auto"/>
        </w:rPr>
      </w:pPr>
    </w:p>
    <w:p>
      <w:pPr>
        <w:ind w:left="940" w:right="120" w:hanging="306"/>
        <w:spacing w:after="0" w:line="26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investigated–and will continue to investigate–complaints of harassment, discrimination and retaliation raised through various reporting channels. In October 2021, we combined our investigations groups into one centralized “investigations unit” within the Ethics &amp; Compliance team. This centralized unit with expanded resources increases our ability to conduct prompt investigations and maintain and measure consistency throughout investigations of all types and across the Company.</w:t>
      </w:r>
    </w:p>
    <w:p>
      <w:pPr>
        <w:spacing w:after="0" w:line="241" w:lineRule="exact"/>
        <w:rPr>
          <w:rFonts w:ascii="Arial" w:cs="Arial" w:eastAsia="Arial" w:hAnsi="Arial"/>
          <w:sz w:val="17"/>
          <w:szCs w:val="17"/>
          <w:color w:val="auto"/>
        </w:rPr>
      </w:pPr>
    </w:p>
    <w:p>
      <w:pPr>
        <w:ind w:left="940" w:right="100" w:hanging="306"/>
        <w:spacing w:after="0" w:line="244" w:lineRule="auto"/>
        <w:tabs>
          <w:tab w:leader="none" w:pos="93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Way to Play Heroes–who are volunteers who help other employees understand reporting options, champion speaking up, and provide feedback and advise on how to strengthen our overall ethics and compliance program– are receiving additional resources and recognition through an overall expansion of the program.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40" w:hanging="306"/>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committed to continuing to grow our investment in anti-harassment and anti-discrimination training resources.</w:t>
      </w:r>
    </w:p>
    <w:p>
      <w:pPr>
        <w:spacing w:after="0" w:line="250" w:lineRule="exact"/>
        <w:rPr>
          <w:rFonts w:ascii="Arial" w:cs="Arial" w:eastAsia="Arial" w:hAnsi="Arial"/>
          <w:sz w:val="17"/>
          <w:szCs w:val="17"/>
          <w:color w:val="auto"/>
        </w:rPr>
      </w:pPr>
    </w:p>
    <w:p>
      <w:pPr>
        <w:ind w:left="940" w:right="160" w:hanging="306"/>
        <w:spacing w:after="0" w:line="360" w:lineRule="auto"/>
        <w:tabs>
          <w:tab w:leader="none" w:pos="936"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released our U.S. Pay Equity Review 2020 in October 2021. We also released our 2021 Representation Data report in December 2021, based on data in Company records as of November 30, 2021. We believe transparency with our stakeholders is an important part of our mission.</w:t>
      </w:r>
    </w:p>
    <w:p>
      <w:pPr>
        <w:spacing w:after="0" w:line="138" w:lineRule="exact"/>
        <w:rPr>
          <w:rFonts w:ascii="Arial" w:cs="Arial" w:eastAsia="Arial" w:hAnsi="Arial"/>
          <w:sz w:val="15"/>
          <w:szCs w:val="15"/>
          <w:color w:val="auto"/>
        </w:rPr>
      </w:pPr>
    </w:p>
    <w:p>
      <w:pPr>
        <w:ind w:left="940" w:hanging="306"/>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October 2021, we announced the launch of a new zero-tolerance harassment policy Company-wide.</w:t>
      </w:r>
    </w:p>
    <w:p>
      <w:pPr>
        <w:spacing w:after="0" w:line="250" w:lineRule="exact"/>
        <w:rPr>
          <w:rFonts w:ascii="Arial" w:cs="Arial" w:eastAsia="Arial" w:hAnsi="Arial"/>
          <w:sz w:val="17"/>
          <w:szCs w:val="17"/>
          <w:color w:val="auto"/>
        </w:rPr>
      </w:pPr>
    </w:p>
    <w:p>
      <w:pPr>
        <w:ind w:left="940" w:right="80" w:hanging="306"/>
        <w:spacing w:after="0" w:line="322" w:lineRule="auto"/>
        <w:tabs>
          <w:tab w:leader="none" w:pos="936"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launched Upward Feedback in December 2021, an annual process where employees share constructive, actionable feedback to their managers through an anonymous survey, enabling awareness regarding managers’ inclusive behaviors and commitment to living our values.</w:t>
      </w:r>
    </w:p>
    <w:p>
      <w:pPr>
        <w:spacing w:after="0" w:line="161" w:lineRule="exact"/>
        <w:rPr>
          <w:rFonts w:ascii="Arial" w:cs="Arial" w:eastAsia="Arial" w:hAnsi="Arial"/>
          <w:sz w:val="16"/>
          <w:szCs w:val="16"/>
          <w:color w:val="auto"/>
        </w:rPr>
      </w:pPr>
    </w:p>
    <w:p>
      <w:pPr>
        <w:ind w:left="940" w:right="260" w:hanging="306"/>
        <w:spacing w:after="0" w:line="289"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announced a global drug and alcohol policy for Company-sponsored events and zero tolerance for alcohol consumption in the workplace in November 2021.</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removed content in our games that we believe to be inappropriate.</w:t>
      </w:r>
    </w:p>
    <w:p>
      <w:pPr>
        <w:spacing w:after="0" w:line="250" w:lineRule="exact"/>
        <w:rPr>
          <w:sz w:val="20"/>
          <w:szCs w:val="20"/>
          <w:color w:val="auto"/>
        </w:rPr>
      </w:pPr>
    </w:p>
    <w:p>
      <w:pPr>
        <w:ind w:right="20" w:firstLine="393"/>
        <w:spacing w:after="0" w:line="245" w:lineRule="auto"/>
        <w:rPr>
          <w:rFonts w:ascii="Arial" w:cs="Arial" w:eastAsia="Arial" w:hAnsi="Arial"/>
          <w:sz w:val="17"/>
          <w:szCs w:val="17"/>
          <w:color w:val="auto"/>
        </w:rPr>
      </w:pPr>
      <w:r>
        <w:rPr>
          <w:rFonts w:ascii="Arial" w:cs="Arial" w:eastAsia="Arial" w:hAnsi="Arial"/>
          <w:sz w:val="17"/>
          <w:szCs w:val="17"/>
          <w:color w:val="auto"/>
        </w:rPr>
        <w:t>While some of these initiatives will have an immediate impact, others may take time to be felt across the Company and will continue to evolve as we gather further feedback from our employees. Additionally, our employees in the U.S. are not covered by collective bargaining agreements. At Raven Software, one of our studios, the Communications Workers of America has filed a petition to represent a unit of employees, and the National Labor Relations Board will oversee the election process, including a determination of the appropriate set of employees who would be included in any bargaining unit (and thus participate in the election on potential unionization). We deeply respect the rights of all employees to make their own decisions about whether or not to join a union and exercise all other National Labor Relations Act rights. Across the Company, we believe that a direct relationship between managers and team members allows us to quickly respond and deliver the strongest results and opportunities for employees. As discussed in Part I, Item 1A under “</w:t>
      </w:r>
      <w:hyperlink w:anchor="page14">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of this Annual Report on Form 10-K, while the Merger Agreement is in effect, we are also subject to certain interim covenants with respect to various matters (including, among other things, with respect to collective bargaining agreements and employee benefit plans) concerning the operation of our business during the pendency of the Merger.</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Other important aspects and areas of focus for the Company to attract, recruit, enable, retain, and develop diverse and innovative talent are set out below:</w:t>
      </w:r>
    </w:p>
    <w:p>
      <w:pPr>
        <w:spacing w:after="0" w:line="273"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As of December 31, 2021, Activision Blizzard had approximately 9,800 full-time and part-time employees, with approximately 68% in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approximately 25% in the Europe, Middle East, and Africa (“EMEA”) region, and approximately 7% in the Asia Pacific region. Of these employees, approximately 68% either work directly on, or support, our game and technology development, which represents an approximate seven percentage point increase from 2020.</w:t>
      </w:r>
    </w:p>
    <w:p>
      <w:pPr>
        <w:spacing w:after="0" w:line="202"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i w:val="1"/>
          <w:iCs w:val="1"/>
          <w:color w:val="auto"/>
        </w:rPr>
        <w:t>Diversity, Equity, and Inclusion (“DE&amp;I”)</w:t>
      </w:r>
      <w:r>
        <w:rPr>
          <w:rFonts w:ascii="Arial" w:cs="Arial" w:eastAsia="Arial" w:hAnsi="Arial"/>
          <w:sz w:val="17"/>
          <w:szCs w:val="17"/>
          <w:color w:val="auto"/>
        </w:rPr>
        <w:t>: We believe that a culture of inclusion and diversity enables us to create, develop, and fully leverage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strengths of our workforce to exceed players’ and fans’ expectations and meet our growth objectives. We remain committed to building and sustaining a culture of belonging, where our employees can be their authentic selves. By embedding DE&amp;I practices and programs in the full employee lifecycle, we work to attract, recruit, enable, retain and develop diverse world-class talent. Our employee resource groups play an active role in our DE&amp;I efforts by building community and awareness. We also offer leadership and management development opportunities on the topics of unconscious bias and inclusive leadership and train our recruiting workforce in diverse sourcing strategies.</w:t>
      </w:r>
    </w:p>
    <w:p>
      <w:pPr>
        <w:spacing w:after="0" w:line="192" w:lineRule="exact"/>
        <w:rPr>
          <w:sz w:val="20"/>
          <w:szCs w:val="20"/>
          <w:color w:val="auto"/>
        </w:rPr>
      </w:pPr>
    </w:p>
    <w:p>
      <w:pPr>
        <w:ind w:firstLine="393"/>
        <w:spacing w:after="0" w:line="246" w:lineRule="auto"/>
        <w:rPr>
          <w:sz w:val="20"/>
          <w:szCs w:val="20"/>
          <w:color w:val="auto"/>
        </w:rPr>
      </w:pPr>
      <w:r>
        <w:rPr>
          <w:rFonts w:ascii="Arial" w:cs="Arial" w:eastAsia="Arial" w:hAnsi="Arial"/>
          <w:sz w:val="16"/>
          <w:szCs w:val="16"/>
          <w:color w:val="auto"/>
        </w:rPr>
        <w:t>Our Corporate Governance Principles and Policies demonstrate our commitment to diversity at the Board of Directors level, providing that the initial list from which any new independent director nominee is chosen includes qualified female and racially/ethnically diverse candidates and, similarly, if we conduct an external search for a new CEO, that the initial list of external candidates includes qualified female and racially/ethnically diverse candidates. As of December 31, 2021, 20% of the members of our Board of Directors are women, and 20% are members of underrepresented communities. Under current California law, we were required to add an additional female director to our Board of Directors by the end of 2021. To meet this requirement and improve the diversity of our Board of Directors, the Company retained a search firm and began interviewing potential additional female directors in 2021. However, since the Company’s current directors would cease to continue to serve on our Board of Directors upon consummation of our proposed transaction with Microsoft, we were unable to conclude the process in 2021. We will be continuing our efforts to appoint a new female director.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Additionally, since 2016, the number of women in our game development leadership roles has more than doubled. As of November 30, 2021, approximately 24% of our global employee population identifies as women or non-binary, and in 2021, we committed to increase the percentage of women and non-binary employees in our workforce by 50% over the next five years to achieve over one-third representation. Further, upon joining the Company, and again every two years, every employee is required to take our bespoke online Equality &amp; Diversity Training, which underscores our commitment to creating a respectful workplace culture.</w:t>
      </w:r>
    </w:p>
    <w:p>
      <w:pPr>
        <w:spacing w:after="0" w:line="206" w:lineRule="exact"/>
        <w:rPr>
          <w:sz w:val="20"/>
          <w:szCs w:val="20"/>
          <w:color w:val="auto"/>
        </w:rPr>
      </w:pPr>
    </w:p>
    <w:p>
      <w:pPr>
        <w:ind w:right="140" w:firstLine="393"/>
        <w:spacing w:after="0" w:line="322" w:lineRule="auto"/>
        <w:rPr>
          <w:sz w:val="20"/>
          <w:szCs w:val="20"/>
          <w:color w:val="auto"/>
        </w:rPr>
      </w:pPr>
      <w:r>
        <w:rPr>
          <w:rFonts w:ascii="Arial" w:cs="Arial" w:eastAsia="Arial" w:hAnsi="Arial"/>
          <w:sz w:val="16"/>
          <w:szCs w:val="16"/>
          <w:color w:val="auto"/>
        </w:rPr>
        <w:t>Our overall goal in hiring is to provide an objective and equitable process that helps us recruit the very best creative and technical talent in the world and explore an array of resources to increase the share of women, underrepresented ethnic groups (“UEGs”), and other forms of diversity in our workforce.</w:t>
      </w:r>
    </w:p>
    <w:p>
      <w:pPr>
        <w:spacing w:after="0" w:line="162"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In 2021 we launched a new tool that tracks–for every single hire–data on the representation and presence of women and UEG candidates at applicant, interview, and hiring stages of our recruiting process. This tool will enable us to provide transparency on our diversity progress as well as helping to reinforce our objective of having diverse candidate slates for open positions.</w:t>
      </w:r>
    </w:p>
    <w:p>
      <w:pPr>
        <w:spacing w:after="0" w:line="198"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We also recognize that formal tools and mechanisms around our candidate slates alone will not create the change we strive for in our organization or our industry, which is why we have also prioritized and taken meaningful action on a broad portfolio of initiatives–from expanding opportunities in the gaming and technology space for underrepresented communities to mentorship and sponsorship programs for our current teammates and future leaders. As part of these efforts, we have committed to invest $250 million over the next 10 years in initiatives that foster expanded opportunities in gaming and technology for under-represented communities. Additionally, our work to support the Call of Duty Endowment in 2021 resulted in 16,138 veteran job placements and more than $1 billion in positive economic impact for the veteran community.</w:t>
      </w:r>
    </w:p>
    <w:p>
      <w:pPr>
        <w:spacing w:after="0" w:line="205"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i w:val="1"/>
          <w:iCs w:val="1"/>
          <w:color w:val="auto"/>
        </w:rPr>
        <w:t>Compensation and Benefits</w:t>
      </w:r>
      <w:r>
        <w:rPr>
          <w:rFonts w:ascii="Arial" w:cs="Arial" w:eastAsia="Arial" w:hAnsi="Arial"/>
          <w:sz w:val="16"/>
          <w:szCs w:val="16"/>
          <w:color w:val="auto"/>
        </w:rPr>
        <w:t>: The main objective of our compensation program is to provide a compensation package that attracts, retains, motivates,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rewards employees that operate in a highly competitive and technologically challenging environment. We seek to do this by linking compensation (including annual changes in compensation) to overall Company and business unit/franchise performance, as well as each individual’s contribution to the results achieved. The emphasis on overall Company performance is intended to align our employees’ financial interests with the interests of our shareholders. We continue to make efforts across our global organization to promote equal pay practices. For example, our U.S. analysis showed that women at the Company on average earned slightly more than men for comparable work in 2020. Further, we have announced improved benefits provided to a large portion of our employees, such as increased holiday, sick, and vacation time off. We also have increased our overall investment in development and operations by announcing the conversion of approximately 500 temporary workers to full-time employees at our Activision studios.</w:t>
      </w:r>
    </w:p>
    <w:p>
      <w:pPr>
        <w:spacing w:after="0" w:line="197" w:lineRule="exact"/>
        <w:rPr>
          <w:sz w:val="20"/>
          <w:szCs w:val="20"/>
          <w:color w:val="auto"/>
        </w:rPr>
      </w:pPr>
    </w:p>
    <w:p>
      <w:pPr>
        <w:ind w:right="20" w:firstLine="393"/>
        <w:spacing w:after="0" w:line="281" w:lineRule="auto"/>
        <w:rPr>
          <w:sz w:val="20"/>
          <w:szCs w:val="20"/>
          <w:color w:val="auto"/>
        </w:rPr>
      </w:pPr>
      <w:r>
        <w:rPr>
          <w:rFonts w:ascii="Arial" w:cs="Arial" w:eastAsia="Arial" w:hAnsi="Arial"/>
          <w:sz w:val="16"/>
          <w:szCs w:val="16"/>
          <w:color w:val="auto"/>
        </w:rPr>
        <w:t>We are committed to providing comprehensive benefit options, and it is our intention to offer benefits that allow our employees and their families to live healthier and more secure lives. Some examples of our wide-ranging benefits offered are: 401(k) with matching Company contributions; a comprehensive well-being program; paid leave programs; medical insurance; prescription drug benefits; dental insurance; vision insurance; accidental death and dismemberment insurance; critical illness insurance; life insurance; disability insurance; health savings accounts; flexible spending accounts; and benefits to support current and hopeful parents. We frequently upgrade our benefit portfolio by seeking out pioneer partners that give our employees modern benefit experiences. As an example, at the onset of the COVID-19 pandemic when traditional medical services became under huge demand, in order to help ensure that our employees and their families had access to medical advice, we created an enterprise-wide global network of physicians.</w:t>
      </w:r>
    </w:p>
    <w:p>
      <w:pPr>
        <w:spacing w:after="0" w:line="197" w:lineRule="exact"/>
        <w:rPr>
          <w:sz w:val="20"/>
          <w:szCs w:val="20"/>
          <w:color w:val="auto"/>
        </w:rPr>
      </w:pPr>
    </w:p>
    <w:p>
      <w:pPr>
        <w:ind w:right="60" w:firstLine="393"/>
        <w:spacing w:after="0" w:line="314" w:lineRule="auto"/>
        <w:rPr>
          <w:sz w:val="20"/>
          <w:szCs w:val="20"/>
          <w:color w:val="auto"/>
        </w:rPr>
      </w:pPr>
      <w:r>
        <w:rPr>
          <w:rFonts w:ascii="Arial" w:cs="Arial" w:eastAsia="Arial" w:hAnsi="Arial"/>
          <w:sz w:val="15"/>
          <w:szCs w:val="15"/>
          <w:color w:val="auto"/>
        </w:rPr>
        <w:t>Further, the Company has been reviewing our overall compensation structure and philosophy and began implementing changes to our compensation payments for 2021, primarily to enhance employee equity ownership and bring our employee equity compensation in line with current industry practice. As a result of this review, the Company made changes to our 2021 bonus and equity structure so that all eligible employees will receive incentives in the form of Company equity for 2021 in an amount equal to or greater than 2021 target Company performance without regard to whether target performance was achieved.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393"/>
        <w:spacing w:after="0" w:line="279" w:lineRule="auto"/>
        <w:rPr>
          <w:sz w:val="20"/>
          <w:szCs w:val="20"/>
          <w:color w:val="auto"/>
        </w:rPr>
      </w:pPr>
      <w:r>
        <w:rPr>
          <w:rFonts w:ascii="Arial" w:cs="Arial" w:eastAsia="Arial" w:hAnsi="Arial"/>
          <w:sz w:val="16"/>
          <w:szCs w:val="16"/>
          <w:i w:val="1"/>
          <w:iCs w:val="1"/>
          <w:color w:val="auto"/>
        </w:rPr>
        <w:t xml:space="preserve">Developing Careers and Growing Leaders: </w:t>
      </w:r>
      <w:r>
        <w:rPr>
          <w:rFonts w:ascii="Arial" w:cs="Arial" w:eastAsia="Arial" w:hAnsi="Arial"/>
          <w:sz w:val="16"/>
          <w:szCs w:val="16"/>
          <w:color w:val="auto"/>
        </w:rPr>
        <w:t>Recognizing that ours is a rapidly changing industry with constant innovation, developing our diverse and</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innovative talent base is vital to our business. Our talent processes are focused on performance management, strategic talent assessment and succession planning, and career and leadership development opportunities through promotion and internal mobility. We intend for our employees to have a clear understanding of their strengths and development opportunities, while fostering a collaborative and productive relationship between employees and their managers. Our performance management process begins with the establishment of goals, followed by encouraged regular check-ins on progress and performance so that employees have an understanding of their strengths, areas for improvement, and how they are contributing to the Company. We assess employee contributions to our Company results and culture so that we can recognize and reward their contributions. Additionally, on an annual basis, we conduct an organizational and performance review process with our CEO and all segment, business unit, and function leaders, focusing on our high-performing and high-potential talent, diversity and inclusion, and the performance and succession for our most critical roles.</w:t>
      </w:r>
    </w:p>
    <w:p>
      <w:pPr>
        <w:spacing w:after="0" w:line="199" w:lineRule="exact"/>
        <w:rPr>
          <w:sz w:val="20"/>
          <w:szCs w:val="20"/>
          <w:color w:val="auto"/>
        </w:rPr>
      </w:pPr>
    </w:p>
    <w:p>
      <w:pPr>
        <w:ind w:right="100" w:firstLine="393"/>
        <w:spacing w:after="0" w:line="267" w:lineRule="auto"/>
        <w:rPr>
          <w:sz w:val="20"/>
          <w:szCs w:val="20"/>
          <w:color w:val="auto"/>
        </w:rPr>
      </w:pPr>
      <w:r>
        <w:rPr>
          <w:rFonts w:ascii="Arial" w:cs="Arial" w:eastAsia="Arial" w:hAnsi="Arial"/>
          <w:sz w:val="17"/>
          <w:szCs w:val="17"/>
          <w:i w:val="1"/>
          <w:iCs w:val="1"/>
          <w:color w:val="auto"/>
        </w:rPr>
        <w:t xml:space="preserve">Engaging Employees: </w:t>
      </w:r>
      <w:r>
        <w:rPr>
          <w:rFonts w:ascii="Arial" w:cs="Arial" w:eastAsia="Arial" w:hAnsi="Arial"/>
          <w:sz w:val="17"/>
          <w:szCs w:val="17"/>
          <w:color w:val="auto"/>
        </w:rPr>
        <w:t>Employees across the Company have the opportunity to join and contribute to one of our nine Employee Networks. These groups</w:t>
      </w:r>
      <w:r>
        <w:rPr>
          <w:rFonts w:ascii="Arial" w:cs="Arial" w:eastAsia="Arial" w:hAnsi="Arial"/>
          <w:sz w:val="17"/>
          <w:szCs w:val="17"/>
          <w:i w:val="1"/>
          <w:iCs w:val="1"/>
          <w:color w:val="auto"/>
        </w:rPr>
        <w:t xml:space="preserve"> </w:t>
      </w:r>
      <w:r>
        <w:rPr>
          <w:rFonts w:ascii="Arial" w:cs="Arial" w:eastAsia="Arial" w:hAnsi="Arial"/>
          <w:sz w:val="17"/>
          <w:szCs w:val="17"/>
          <w:color w:val="auto"/>
        </w:rPr>
        <w:t>enrich our employees’ experiences, our culture, and our business by driving inclusion, cultural awareness, professional development, networking, and community involvement. Employee engagement also plays a critical role in how we identify and improve the way we work. We capture and act on the voice of our employees through multiple means including pulse surveys, listening sessions and newly added upward feedback. We emphasize to employees that this is their chance to “provide honest, candid feedback about their experience working for the Company.” Our employee feedback is dynamic and relevant to our employees’ immediate needs.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Sustainability</w:t>
      </w:r>
    </w:p>
    <w:p>
      <w:pPr>
        <w:spacing w:after="0" w:line="250" w:lineRule="exact"/>
        <w:rPr>
          <w:sz w:val="20"/>
          <w:szCs w:val="20"/>
          <w:color w:val="auto"/>
        </w:rPr>
      </w:pPr>
    </w:p>
    <w:p>
      <w:pPr>
        <w:ind w:right="120" w:firstLine="393"/>
        <w:spacing w:after="0" w:line="314" w:lineRule="auto"/>
        <w:rPr>
          <w:sz w:val="20"/>
          <w:szCs w:val="20"/>
          <w:color w:val="auto"/>
        </w:rPr>
      </w:pPr>
      <w:r>
        <w:rPr>
          <w:rFonts w:ascii="Arial" w:cs="Arial" w:eastAsia="Arial" w:hAnsi="Arial"/>
          <w:sz w:val="15"/>
          <w:szCs w:val="15"/>
          <w:color w:val="auto"/>
        </w:rPr>
        <w:t>We understand that we have a responsibility to operate sustainably. Our ongoing conversion to a more digital business is enabling us to set and achieve important sustainability goals. As a result of this transition, during 2021 we have made significant progress in reducing packaging waste for which, using 2019 as a baseline, we have achieved a 60% reduction, surpassing our original goal of a 50% reduction by 2024. We are also in the process of establishing baselines and setting quantitative interim targets to measure progress towards our goal of achieving net zero greenhouse gas emissions by 2050.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about our Executive Officers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executive officers and their biographical summaries are provided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20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b w:val="1"/>
                <w:bCs w:val="1"/>
                <w:color w:val="auto"/>
                <w:w w:val="93"/>
              </w:rPr>
              <w:t>Age</w:t>
            </w:r>
          </w:p>
        </w:tc>
        <w:tc>
          <w:tcPr>
            <w:tcW w:w="80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Position</w:t>
            </w: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Robert A. Kotick</w:t>
            </w:r>
          </w:p>
        </w:tc>
        <w:tc>
          <w:tcPr>
            <w:tcW w:w="120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4"/>
              </w:rPr>
              <w:t>58</w:t>
            </w:r>
          </w:p>
        </w:tc>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Chief Executive Officer of Activision Blizzard</w:t>
            </w:r>
          </w:p>
        </w:tc>
      </w:tr>
      <w:tr>
        <w:trPr>
          <w:trHeight w:val="223"/>
        </w:trPr>
        <w:tc>
          <w:tcPr>
            <w:tcW w:w="2000" w:type="dxa"/>
            <w:vAlign w:val="bottom"/>
          </w:tcPr>
          <w:p>
            <w:pPr>
              <w:ind w:left="20"/>
              <w:spacing w:after="0"/>
              <w:rPr>
                <w:sz w:val="20"/>
                <w:szCs w:val="20"/>
                <w:color w:val="auto"/>
              </w:rPr>
            </w:pPr>
            <w:r>
              <w:rPr>
                <w:rFonts w:ascii="Arial" w:cs="Arial" w:eastAsia="Arial" w:hAnsi="Arial"/>
                <w:sz w:val="17"/>
                <w:szCs w:val="17"/>
                <w:color w:val="auto"/>
              </w:rPr>
              <w:t>Daniel Alegre</w:t>
            </w:r>
          </w:p>
        </w:tc>
        <w:tc>
          <w:tcPr>
            <w:tcW w:w="1200" w:type="dxa"/>
            <w:vAlign w:val="bottom"/>
          </w:tcPr>
          <w:p>
            <w:pPr>
              <w:jc w:val="center"/>
              <w:ind w:left="533"/>
              <w:spacing w:after="0"/>
              <w:rPr>
                <w:sz w:val="20"/>
                <w:szCs w:val="20"/>
                <w:color w:val="auto"/>
              </w:rPr>
            </w:pPr>
            <w:r>
              <w:rPr>
                <w:rFonts w:ascii="Arial" w:cs="Arial" w:eastAsia="Arial" w:hAnsi="Arial"/>
                <w:sz w:val="17"/>
                <w:szCs w:val="17"/>
                <w:color w:val="auto"/>
                <w:w w:val="94"/>
              </w:rPr>
              <w:t>53</w:t>
            </w:r>
          </w:p>
        </w:tc>
        <w:tc>
          <w:tcPr>
            <w:tcW w:w="8040" w:type="dxa"/>
            <w:vAlign w:val="bottom"/>
          </w:tcPr>
          <w:p>
            <w:pPr>
              <w:ind w:left="120"/>
              <w:spacing w:after="0"/>
              <w:rPr>
                <w:sz w:val="20"/>
                <w:szCs w:val="20"/>
                <w:color w:val="auto"/>
              </w:rPr>
            </w:pPr>
            <w:r>
              <w:rPr>
                <w:rFonts w:ascii="Arial" w:cs="Arial" w:eastAsia="Arial" w:hAnsi="Arial"/>
                <w:sz w:val="17"/>
                <w:szCs w:val="17"/>
                <w:color w:val="auto"/>
              </w:rPr>
              <w:t>President and Chief Operating Officer of Activision Blizzard</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Armin Zerza</w:t>
            </w:r>
          </w:p>
        </w:tc>
        <w:tc>
          <w:tcPr>
            <w:tcW w:w="120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4"/>
              </w:rPr>
              <w:t>52</w:t>
            </w:r>
          </w:p>
        </w:tc>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Chief Financial Officer of Activision Blizzard</w:t>
            </w:r>
          </w:p>
        </w:tc>
      </w:tr>
      <w:tr>
        <w:trPr>
          <w:trHeight w:val="223"/>
        </w:trPr>
        <w:tc>
          <w:tcPr>
            <w:tcW w:w="2000" w:type="dxa"/>
            <w:vAlign w:val="bottom"/>
          </w:tcPr>
          <w:p>
            <w:pPr>
              <w:ind w:left="20"/>
              <w:spacing w:after="0"/>
              <w:rPr>
                <w:sz w:val="20"/>
                <w:szCs w:val="20"/>
                <w:color w:val="auto"/>
              </w:rPr>
            </w:pPr>
            <w:r>
              <w:rPr>
                <w:rFonts w:ascii="Arial" w:cs="Arial" w:eastAsia="Arial" w:hAnsi="Arial"/>
                <w:sz w:val="17"/>
                <w:szCs w:val="17"/>
                <w:color w:val="auto"/>
              </w:rPr>
              <w:t>Grant Dixton</w:t>
            </w:r>
          </w:p>
        </w:tc>
        <w:tc>
          <w:tcPr>
            <w:tcW w:w="1200" w:type="dxa"/>
            <w:vAlign w:val="bottom"/>
          </w:tcPr>
          <w:p>
            <w:pPr>
              <w:jc w:val="center"/>
              <w:ind w:left="533"/>
              <w:spacing w:after="0"/>
              <w:rPr>
                <w:sz w:val="20"/>
                <w:szCs w:val="20"/>
                <w:color w:val="auto"/>
              </w:rPr>
            </w:pPr>
            <w:r>
              <w:rPr>
                <w:rFonts w:ascii="Arial" w:cs="Arial" w:eastAsia="Arial" w:hAnsi="Arial"/>
                <w:sz w:val="17"/>
                <w:szCs w:val="17"/>
                <w:color w:val="auto"/>
                <w:w w:val="94"/>
              </w:rPr>
              <w:t>48</w:t>
            </w:r>
          </w:p>
        </w:tc>
        <w:tc>
          <w:tcPr>
            <w:tcW w:w="8040" w:type="dxa"/>
            <w:vAlign w:val="bottom"/>
          </w:tcPr>
          <w:p>
            <w:pPr>
              <w:ind w:left="120"/>
              <w:spacing w:after="0"/>
              <w:rPr>
                <w:sz w:val="20"/>
                <w:szCs w:val="20"/>
                <w:color w:val="auto"/>
              </w:rPr>
            </w:pPr>
            <w:r>
              <w:rPr>
                <w:rFonts w:ascii="Arial" w:cs="Arial" w:eastAsia="Arial" w:hAnsi="Arial"/>
                <w:sz w:val="17"/>
                <w:szCs w:val="17"/>
                <w:color w:val="auto"/>
              </w:rPr>
              <w:t>Chief Legal Officer of Activision Blizzard</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Brian Bulatao</w:t>
            </w:r>
          </w:p>
        </w:tc>
        <w:tc>
          <w:tcPr>
            <w:tcW w:w="120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4"/>
              </w:rPr>
              <w:t>57</w:t>
            </w:r>
          </w:p>
        </w:tc>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Chief Administrative Officer of Activision Blizzard</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A. Kotick, Chief Executive Officer of Activision Blizzard</w:t>
      </w:r>
    </w:p>
    <w:p>
      <w:pPr>
        <w:spacing w:after="0" w:line="250"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Robert A. Kotick, who serves as our Chief Executive Officer,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He served as our President from July 2008 until June 2017. Mr. Kotick is also a member of the board of directors of The Coca-Cola Company, a multinational beverage corporation, and the boards of trustees for the Harvard-Westlake School. He is also the Vice Chairman of the Board and Chairman of the Committee of trustees of the Los Angeles County Museum of Art. In addition, Mr. Kotick is the co-founder and co-Chairman of the Call of Duty Endowment, a nonprofit, public benefit corporation that seeks to help organizations that provide job placement and training services for veterans.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Daniel Alegre, President and Chief Operating Officer of Activision Blizzard</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Daniel Alegre has served as our Chief Operating Officer since April 2020. Prior to joining the Company, Mr. Alegre held a number of leadership positions at Google, a technology company specializing in internet-related services and products, from 2004 to 2020, including serving as President of Global Retail and Shopping, where he led the initiatives to embed e-commerce across all Google product areas and to help diversify beyond advertising into the retail transactions business. Prior to that, Mr. Alegre was President of the Google’s Global and Strategic Partnerships organization, working across all of Google’s core business lines to create and foster key strategic relationships with some of the world’s largest partners. Mr. Alegre was also instrumental in Google’s international expansion, serving as President of Google’s Asia-Pacific and Japan businesses living in China, Singapore, and Tokyo and as Vice President of the Latin America business, overseeing a massive expansion in both regions. Prior to joining Google, Mr. Alegre was Vice President at Bertelsmann Media, running a division of BMG Music in Latin America as well as Partnerships of the Bertelsmann eCommerce Group in New York City. Mr. Alegre holds a B.A. degree from the Woodrow Wilson School of Public and International Affairs at Princeton University, as well as dual M.B.A. and J.D. degrees from Harvard Business School and Harvard Law School.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Armin Zerza, Chief Financial Officer of Activision Blizzard</w:t>
      </w:r>
    </w:p>
    <w:p>
      <w:pPr>
        <w:spacing w:after="0" w:line="250"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Armin Zerza has served as our Chief Financial Officer since April 2021. Prior to that, he served as the Company’s Chief Commercial Officer from 2019 to 2021, as the Chief Operating Officer of Blizzard from 2017 to 2019, and as Chief Financial Officer of Blizzard from 2015 to 2017. Mr. Zerza joined Activision Blizzard in August 2015 with more than 20 years of senior leadership experience at Procter &amp; Gamble, serving in North America, Europe, Asia, and Latin America. Mr. Zerza has held a number of senior roles across multi-billion dollar businesses at Procter &amp; Gamble, including as Director of Procter &amp; Gamble’s global M&amp;A team and CFO of the European Baby Care and Latin America divisions. Mr. Zerza also served as a board member of the Italy Procter &amp; Gamble-Fater and Spain Procter &amp; Gamble-Arbora &amp; Ausonia joint ventures. Mr. Zerza holds a degree from Vienna University.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 Dixton, Chief Legal Officer of Activision Blizzard</w:t>
      </w:r>
    </w:p>
    <w:p>
      <w:pPr>
        <w:spacing w:after="0" w:line="250" w:lineRule="exact"/>
        <w:rPr>
          <w:sz w:val="20"/>
          <w:szCs w:val="20"/>
          <w:color w:val="auto"/>
        </w:rPr>
      </w:pPr>
    </w:p>
    <w:p>
      <w:pPr>
        <w:ind w:right="180" w:firstLine="393"/>
        <w:spacing w:after="0" w:line="262" w:lineRule="auto"/>
        <w:rPr>
          <w:sz w:val="20"/>
          <w:szCs w:val="20"/>
          <w:color w:val="auto"/>
        </w:rPr>
      </w:pPr>
      <w:r>
        <w:rPr>
          <w:rFonts w:ascii="Arial" w:cs="Arial" w:eastAsia="Arial" w:hAnsi="Arial"/>
          <w:sz w:val="17"/>
          <w:szCs w:val="17"/>
          <w:color w:val="auto"/>
        </w:rPr>
        <w:t>Grant Dixton has served as our Chief Legal Officer since June 2021. From 2006 to 2021, Mr. Dixton held a number of positions of increasing responsibility within the legal department of The Boeing Company, an aerospace company and leading manufacturer in space and security systems, most recently as Senior Vice President, General Counsel, and Corporate Secretary, in addition to serving as a member of the company’s Executive Council. Prior to joining The Boeing Company, Mr. Dixton served in the White House as Associate Counsel to the President. Earlier in his career, Mr. Dixton practiced law at Kirkland &amp; Ellis in Washington, D.C. He served as a law clerk for the Honorable Anthony M. Kennedy at the Supreme Court of the United States and for the Honorable J. Michael Luttig at the United States Court of Appeals for the Fourth Circuit. Mr. Dixton holds an A.B. degree in history from Harvard University and a J.D. from Harvard Law School.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Brian Bulatao, Chief Administrative Officer of Activision Blizzard</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Brian Bulatao has served as Chief Administrative Officer of Activision Blizzard since March 2021. Prior to joining the Company, Mr. Bulatao served as the Under Secretary of State for Management from 2018 to 2021, directly responsible for the budget, security, IT infrastructure, consular affairs and global talent management of the U.S. State Department’s 70,000 plus workforce based in 190 countries around the world. Prior to that, Mr. Bulatao served as Chief Operating Officer at the Central Intelligence Agency from 2017 to 2018, where he also led diversity and inclusion initiatives. Before joining the CIA, Mr. Bulatao held a number of leadership positions in private equity and investment companies, having served as Senior Advisor at Highlander Partners from 2016 to 2017 and Managing Director at Pallas Capital Partners from 2015 to 2017, helping companies grow organically and through acquisitions and creating transformational value through strategic positioning. Prior to that, Mr. Bulatao held executive and CEO roles at The Nefab Group, co-founded Thayer Aerospace with fellow West Point graduates, and served as a consultant with McKinsey &amp; Company. Mr. Bulatao is a retired Infantry Captain and a distinguished graduate of the US Army Ranger School. Mr. Bulatao holds a BS degree in Engineering Management from the United States Military Academy at West Point and an MBA degree from Harvard Business School.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Financial Information</w:t>
      </w:r>
    </w:p>
    <w:p>
      <w:pPr>
        <w:spacing w:after="0" w:line="250" w:lineRule="exact"/>
        <w:rPr>
          <w:sz w:val="20"/>
          <w:szCs w:val="20"/>
          <w:color w:val="auto"/>
        </w:rPr>
      </w:pPr>
    </w:p>
    <w:p>
      <w:pPr>
        <w:jc w:val="both"/>
        <w:ind w:right="80" w:firstLine="393"/>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See the </w:t>
      </w:r>
      <w:hyperlink w:anchor="page57">
        <w:r>
          <w:rPr>
            <w:rFonts w:ascii="Arial" w:cs="Arial" w:eastAsia="Arial" w:hAnsi="Arial"/>
            <w:sz w:val="16"/>
            <w:szCs w:val="16"/>
            <w:u w:val="single" w:color="auto"/>
            <w:color w:val="0000FF"/>
          </w:rPr>
          <w:t>“Critical Accounting Policies and Estimates”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section under Item 7 “Management’s Discussion and Analysis of Financial Condition and Results of Operations” for a discussion of our practices with regard to several working capital items. See the </w:t>
      </w:r>
      <w:hyperlink w:anchor="page41">
        <w:r>
          <w:rPr>
            <w:rFonts w:ascii="Arial" w:cs="Arial" w:eastAsia="Arial" w:hAnsi="Arial"/>
            <w:sz w:val="16"/>
            <w:szCs w:val="16"/>
            <w:u w:val="single" w:color="auto"/>
            <w:color w:val="0000FF"/>
          </w:rPr>
          <w:t>“Management’s Overview of Business Trends”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Item 7 “Management’s Discussion and Analysis of Financial Condition and Results of Operations” for a discussion of the impact of seasonality on our business.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website, located at https://www.activisionblizzard.com, allows free-of-charge access to our annual reports on Form 10-K, quarterly reports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Form 10-Q, current reports on Form 8-K, proxy statements and amendments to those documents filed with or furnished to the SEC pursuant to Section 13(a) or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15(d) of the Securities Exchange Act of 1934, as amended (the “Exchange Act”). The information found on our website is not a part of, and is not incorporated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by reference into, this or any other report that we file with or furnish to the Securities and Exchange Commission (“SEC”).</w:t>
      </w:r>
    </w:p>
    <w:p>
      <w:pPr>
        <w:spacing w:after="0" w:line="238"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color w:val="auto"/>
        </w:rPr>
        <w:t>The SEC maintains a website at www.sec.gov that contains reports, proxy and information statements, and other information regarding issuers that file electronically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 Summary</w:t>
      </w:r>
    </w:p>
    <w:p>
      <w:pPr>
        <w:spacing w:after="0" w:line="256"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Below is a summary of the principal risks associated with an investment in the Company. This summary should not be relied upon as an exhaustive list of the material risks facing our business.</w:t>
      </w:r>
    </w:p>
    <w:p>
      <w:pPr>
        <w:spacing w:after="0" w:line="172" w:lineRule="exact"/>
        <w:rPr>
          <w:sz w:val="20"/>
          <w:szCs w:val="20"/>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Merger, the pendency of the Merger Agreement, or our failure to complete the Merger;</w:t>
      </w:r>
    </w:p>
    <w:p>
      <w:pPr>
        <w:spacing w:after="0" w:line="2" w:lineRule="exact"/>
        <w:rPr>
          <w:rFonts w:ascii="Arial" w:cs="Arial" w:eastAsia="Arial" w:hAnsi="Arial"/>
          <w:sz w:val="17"/>
          <w:szCs w:val="17"/>
          <w:color w:val="auto"/>
        </w:rPr>
      </w:pP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the global COVID-19 pandemic;</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deliver popular, high-quality content in a timely manner;</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level of demand for our games and products;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meet customer expectations with respect to our brands, games, services, and/or business practices;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negative impacts on our business resulting from concerns regarding our workplace, including associated legal proceedings;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retain, and motivate skilled personnel;</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a relatively small number of franchises for a significant portion of our revenues and profits;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negative impacts from unionization or attempts to unionize by our workforce;</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adapt to rapid technological change and allocate our resources accordingly;</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increasing importance of digital sales and the risks of that business model;</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effectively manage the scope and complexity of our business;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third-party platforms, which are also our competitors, for the distribution of products;</w:t>
      </w:r>
    </w:p>
    <w:p>
      <w:pPr>
        <w:ind w:left="640" w:right="700" w:hanging="320"/>
        <w:spacing w:after="0" w:line="22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dependence on the success and availability of video game consoles manufactured by third parties and our ability to develop commercially successful products for these consoles;</w:t>
      </w:r>
    </w:p>
    <w:p>
      <w:pPr>
        <w:ind w:left="620" w:hanging="300"/>
        <w:spacing w:after="0" w:line="184" w:lineRule="exact"/>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increasing importance of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play games and the risks of that business model;</w:t>
      </w:r>
    </w:p>
    <w:p>
      <w:pPr>
        <w:ind w:left="640" w:right="660" w:hanging="320"/>
        <w:spacing w:after="0" w:line="22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risks and uncertainties of conducting business outside the U.S., including the need for regulatory approval to operate, the relatively weaker protection for our intellectual property rights, and the impact of cultural differences on consumer preferences;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importance of retail sales to our business and the risks of that business model;</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realize the expected benefits of our recent restructuring actions;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difficulties in integrating acquired businesses or realizing the anticipated benefits of strategic transactions;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 in the sale of our products;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 in our recurring business;</w:t>
      </w:r>
    </w:p>
    <w:p>
      <w:pPr>
        <w:ind w:left="640" w:right="480" w:hanging="320"/>
        <w:spacing w:after="0" w:line="22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of distributors, retailers, development, and licensing partners or other third parties being unable to honor their commitments or otherwise putting our brand at risk;</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tools and technologies owned by third parties;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use of open source software;</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associated with undisclosed content or features in our games;</w:t>
      </w:r>
    </w:p>
    <w:p>
      <w:pPr>
        <w:ind w:left="620" w:hanging="300"/>
        <w:spacing w:after="0" w:line="184" w:lineRule="exact"/>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impact of objectionable consumer- or other third-party</w:t>
      </w:r>
      <w:r>
        <w:rPr>
          <w:rFonts w:ascii="MS PGothic" w:cs="MS PGothic" w:eastAsia="MS PGothic" w:hAnsi="MS PGothic"/>
          <w:sz w:val="17"/>
          <w:szCs w:val="17"/>
          <w:color w:val="auto"/>
        </w:rPr>
        <w:t>‑</w:t>
      </w:r>
      <w:r>
        <w:rPr>
          <w:rFonts w:ascii="Arial" w:cs="Arial" w:eastAsia="Arial" w:hAnsi="Arial"/>
          <w:sz w:val="17"/>
          <w:szCs w:val="17"/>
          <w:color w:val="auto"/>
        </w:rPr>
        <w:t>created content on our operating results or reputation;</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outages, disruptions, or degradations in our services, products, and/or technological infrastructure;</w:t>
      </w:r>
    </w:p>
    <w:p>
      <w:pPr>
        <w:ind w:left="620" w:hanging="300"/>
        <w:spacing w:after="0" w:line="184" w:lineRule="exact"/>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cybersecurity</w:t>
      </w:r>
      <w:r>
        <w:rPr>
          <w:rFonts w:ascii="MS PGothic" w:cs="MS PGothic" w:eastAsia="MS PGothic" w:hAnsi="MS PGothic"/>
          <w:sz w:val="17"/>
          <w:szCs w:val="17"/>
          <w:color w:val="auto"/>
        </w:rPr>
        <w:t>‑</w:t>
      </w:r>
      <w:r>
        <w:rPr>
          <w:rFonts w:ascii="Arial" w:cs="Arial" w:eastAsia="Arial" w:hAnsi="Arial"/>
          <w:sz w:val="17"/>
          <w:szCs w:val="17"/>
          <w:color w:val="auto"/>
        </w:rPr>
        <w:t>related attack, significant data breach, fraudulent activity, or disruption of our information technology systems or networks;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significant disruption during our live events;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catastrophic events;</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climate change;</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provisions in our corporate documents and Delaware state law that could delay or prevent a change of control;</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ongoing legal proceedings, related to workplace concerns and otherwise;</w:t>
      </w:r>
    </w:p>
    <w:p>
      <w:pPr>
        <w:ind w:left="620" w:hanging="300"/>
        <w:spacing w:after="0" w:line="22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regulation in key territories over our business, products, and distribution;</w:t>
      </w: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government regulation relating to the Internet;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compliance with evolving data privacy laws and regulations;</w:t>
      </w:r>
    </w:p>
    <w:p>
      <w:pPr>
        <w:spacing w:after="0" w:line="2" w:lineRule="exact"/>
        <w:rPr>
          <w:rFonts w:ascii="Arial" w:cs="Arial" w:eastAsia="Arial" w:hAnsi="Arial"/>
          <w:sz w:val="17"/>
          <w:szCs w:val="17"/>
          <w:color w:val="auto"/>
        </w:rPr>
      </w:pPr>
    </w:p>
    <w:p>
      <w:pPr>
        <w:ind w:left="620" w:hanging="300"/>
        <w:spacing w:after="0" w:line="22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scrutiny regarding the appropriateness of the content in our games and our ability to receive target ratings for certain titles;</w:t>
      </w:r>
    </w:p>
    <w:p>
      <w:pPr>
        <w:ind w:left="620" w:hanging="300"/>
        <w:spacing w:after="0" w:line="22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rates and/or tax laws and exposure to additional tax liabilities;</w:t>
      </w:r>
    </w:p>
    <w:p>
      <w:pPr>
        <w:ind w:left="620" w:hanging="300"/>
        <w:spacing w:after="0" w:line="22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ind w:left="620" w:hanging="300"/>
        <w:spacing w:after="0" w:line="22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financial accounting standards or the application of existing or future standards as our business evolves;</w:t>
      </w:r>
    </w:p>
    <w:p>
      <w:pPr>
        <w:ind w:left="620" w:hanging="300"/>
        <w:spacing w:after="0" w:line="22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insolvency or business failure of any of our business partners; and</w:t>
      </w: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declines in general economic conditions and related discretionary spending on our products and services.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are detailed descriptions of our Risk Factors summarized above.</w:t>
      </w:r>
    </w:p>
    <w:p>
      <w:pPr>
        <w:spacing w:after="0" w:line="244" w:lineRule="exact"/>
        <w:rPr>
          <w:sz w:val="20"/>
          <w:szCs w:val="20"/>
          <w:color w:val="auto"/>
        </w:rPr>
      </w:pPr>
    </w:p>
    <w:p>
      <w:pPr>
        <w:ind w:right="180" w:firstLine="393"/>
        <w:spacing w:after="0" w:line="213" w:lineRule="exact"/>
        <w:rPr>
          <w:sz w:val="20"/>
          <w:szCs w:val="20"/>
          <w:color w:val="auto"/>
        </w:rPr>
      </w:pPr>
      <w:r>
        <w:rPr>
          <w:rFonts w:ascii="Arial" w:cs="Arial" w:eastAsia="Arial" w:hAnsi="Arial"/>
          <w:sz w:val="17"/>
          <w:szCs w:val="17"/>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 contained in this document and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income, revenue, profitability, cash flows, liquidity, or stock price.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Merger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While the Merger Agreement is in effect, we are subject to certain interim covenants.</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On January 18, 2022, we entered into the Merger Agreement with Microsoft and Merger Sub, a wholly owned subsidiary of Microsoft, pursuant to which Microsoft agreed to acquire the Company in an all-cash transaction for $95.00 per share of our issued and outstanding common stock.</w:t>
      </w:r>
    </w:p>
    <w:p>
      <w:pPr>
        <w:spacing w:after="0" w:line="185"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The Merger Agreement generally requires us to operate our business in the ordinary course, subject to certain exceptions, including as required by applicable law, pending consummation of the Merger, and subjects us to customary interim operating covenants that restrict us, without Microsoft’s approval (such approval not to be unreasonably conditioned, withheld or delayed), from taking certain specified actions until the Merger is completed or the Merger Agreement is terminated in accordance with its terms. These restrictions could prevent us from pursuing certain business opportunities that may arise prior to the consummation of the Merger and may affect our ability to execute our business strategies and attain financial and other goals and may impact our financial condition, results of operations and cash flows.</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The announcement and pendency of the Merger may result in disruptions to our business, and the Merger could divert management's attention, disrupt our relationships with third parties and employees, and result in negative publicity or legal proceedings, any of which could negatively impact our operating results and ongoing business.</w:t>
      </w:r>
    </w:p>
    <w:p>
      <w:pPr>
        <w:spacing w:after="0" w:line="198"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In connection with the pending Merger, our current and prospective employees may experience uncertainty about their future roles with us following the Merger, which may materially adversely affect our ability to attract and retain key personnel and other employees while the Merger is pending. Key employees may depart because of issues relating to the uncertainty and difficulty of integration or a desire not to remain with us following the Merger, and may depart prior to the consummation of the Merger. Accordingly, no assurance can be given that we will be able to attract and retain key employees to the same extent that we have been able to in the past.</w:t>
      </w:r>
    </w:p>
    <w:p>
      <w:pPr>
        <w:spacing w:after="0" w:line="206"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The proposed Merger could cause disruptions to our business or business relationships with our existing and potential customers, suppliers, vendors, landlords, and other business partners, and this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negotiate changes or alter their present business relationships with us. Parties with whom we otherwise may have sought to establish business relationships may seek alternative relationships with third parties.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The pursuit of the Merger may place a significant burden on management and internal resources, which may have a negative impact on our ongoing business. It may also divert management’s time and attention from the day-to-day operation of our remaining businesses and the execution of our other strategic initiatives. This could adversely affect our financial results. In addition, we have incurred and will continue to incur other significant costs, expenses, and fees for professional services and other transaction costs in connection with the proposed Merger, and many of these fees and costs are payable regardless of whether or not the pending Merger is consummated.</w:t>
      </w:r>
    </w:p>
    <w:p>
      <w:pPr>
        <w:spacing w:after="0" w:line="206"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Any of the foregoing, individually or in combination, could materially and adversely affect our business, our financial condition and our results of operations and prospects.</w:t>
      </w:r>
    </w:p>
    <w:p>
      <w:pPr>
        <w:spacing w:after="0" w:line="18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The Merger may not be completed within the expected timeframe, or at all, for a variety of reasons, including the possibility that the Merger Agreement is terminated prior to the consummation of the Merger, and the failure to complete the Merger could adversely affect our business, results of operations, financial condition, and the market price of our common stock.</w:t>
      </w:r>
    </w:p>
    <w:p>
      <w:pPr>
        <w:spacing w:after="0" w:line="198" w:lineRule="exact"/>
        <w:rPr>
          <w:sz w:val="20"/>
          <w:szCs w:val="20"/>
          <w:color w:val="auto"/>
        </w:rPr>
      </w:pPr>
    </w:p>
    <w:p>
      <w:pPr>
        <w:ind w:right="80" w:firstLine="393"/>
        <w:spacing w:after="0" w:line="281" w:lineRule="auto"/>
        <w:rPr>
          <w:sz w:val="20"/>
          <w:szCs w:val="20"/>
          <w:color w:val="auto"/>
        </w:rPr>
      </w:pPr>
      <w:r>
        <w:rPr>
          <w:rFonts w:ascii="Arial" w:cs="Arial" w:eastAsia="Arial" w:hAnsi="Arial"/>
          <w:sz w:val="16"/>
          <w:szCs w:val="16"/>
          <w:color w:val="auto"/>
        </w:rPr>
        <w:t>There can be no assurance that the Merger will be completed in the expected timeframe, or at all. The Merger Agreement contains a number of customary closing conditions that must be satisfied or waived prior to the completion of the Merger, including, among others, (1) the approval and adoption of the Merger Agreement by our stockholders, (2) the absence of any court order or law prohibiting (or seeking to prohibit) the consummation of the Merger, (3) the termination or expiration of any applicable waiting period or periods under the Hart-Scott-Rodino Antitrust Improvements Act of 1976 (as amended) and specified approvals under certain other antitrust and foreign investment laws, subject to certain limitations, (4) compliance by us and Microsoft in all material respects with our respective obligations under the Merger Agreement, and (5) subject to specified exceptions and qualifications for materiality, the accuracy of representations and warranties made by us and Microsoft, respectively, as of the signing date and the closing date.</w:t>
      </w:r>
    </w:p>
    <w:p>
      <w:pPr>
        <w:spacing w:after="0" w:line="197" w:lineRule="exact"/>
        <w:rPr>
          <w:sz w:val="20"/>
          <w:szCs w:val="20"/>
          <w:color w:val="auto"/>
        </w:rPr>
      </w:pPr>
    </w:p>
    <w:p>
      <w:pPr>
        <w:ind w:right="180" w:firstLine="393"/>
        <w:spacing w:after="0" w:line="264" w:lineRule="auto"/>
        <w:rPr>
          <w:sz w:val="20"/>
          <w:szCs w:val="20"/>
          <w:color w:val="auto"/>
        </w:rPr>
      </w:pPr>
      <w:r>
        <w:rPr>
          <w:rFonts w:ascii="Arial" w:cs="Arial" w:eastAsia="Arial" w:hAnsi="Arial"/>
          <w:sz w:val="17"/>
          <w:szCs w:val="17"/>
          <w:color w:val="auto"/>
        </w:rPr>
        <w:t>There can be no assurance that all required approvals will be obtained or that all closing conditions will otherwise be satisfied (or waived, if applicable), and, if all required approvals are obtained and all closing conditions are satisfied (or waived, if applicable), we can provide no assurance as to the terms, conditions and timing of such approvals or that the Merger will be completed in a timely manner or at all. Many of the conditions to completion of the Merger are not within our or Microsoft’s control, and we cannot predict when or if these conditions will be satisfied (or waived, as applicable). Even if regulatory approval is obtained, it is possible conditions will be imposed that could result in a material delay in, or the abandonment of, the Merger or otherwise have an adverse effect on us.</w:t>
      </w:r>
    </w:p>
    <w:p>
      <w:pPr>
        <w:spacing w:after="0" w:line="205"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The Merger Agreement contains customary mutual termination rights for us and Microsoft, which could prevent the consummation of the Merger, including if the Merger is not completed by January 18, 2023 (subject to automatic extension first to April 18, 2023, then to July 18, 2023, in each case, to the extent the regulatory closing conditions are the only conditions that remain outstanding).</w:t>
      </w:r>
    </w:p>
    <w:p>
      <w:pPr>
        <w:spacing w:after="0" w:line="198" w:lineRule="exact"/>
        <w:rPr>
          <w:sz w:val="20"/>
          <w:szCs w:val="20"/>
          <w:color w:val="auto"/>
        </w:rPr>
      </w:pPr>
    </w:p>
    <w:p>
      <w:pPr>
        <w:ind w:right="60" w:firstLine="393"/>
        <w:spacing w:after="0" w:line="286" w:lineRule="auto"/>
        <w:rPr>
          <w:sz w:val="20"/>
          <w:szCs w:val="20"/>
          <w:color w:val="auto"/>
        </w:rPr>
      </w:pPr>
      <w:r>
        <w:rPr>
          <w:rFonts w:ascii="Arial" w:cs="Arial" w:eastAsia="Arial" w:hAnsi="Arial"/>
          <w:sz w:val="16"/>
          <w:szCs w:val="16"/>
          <w:color w:val="auto"/>
        </w:rPr>
        <w:t>The Merger Agreement also contains customary termination rights for the benefit of each party, including if the other party breaches its representations, warranties, or covenants under the Merger Agreement in a way that would result in a failure of the other party’s condition to closing being satisfied (subject to certain procedures and cure periods). Additionally, the Merger Agreement provides termination rights, if certain conditions are met, including (1) for Microsoft, if our Board of Directors changes its recommendation in favor of the Merger, and (2) for us, if our Board of Directors authorizes entry into a definitive agreement with respect to a Superior Proposal (as defined in the Merger Agreement) prior to us receiving stockholder approval of the Merger.</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the Merger is not completed within the expected timeframe or at all, we may be subject to a number of material risks, including:</w:t>
      </w:r>
    </w:p>
    <w:p>
      <w:pPr>
        <w:spacing w:after="0" w:line="250" w:lineRule="exact"/>
        <w:rPr>
          <w:sz w:val="20"/>
          <w:szCs w:val="20"/>
          <w:color w:val="auto"/>
        </w:rPr>
      </w:pPr>
    </w:p>
    <w:p>
      <w:pPr>
        <w:ind w:left="640" w:right="680" w:hanging="320"/>
        <w:spacing w:after="0" w:line="264"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market price of our common stock may decline to the extent that current market prices reflect a market assumption that the Merger will be completed;</w:t>
      </w:r>
    </w:p>
    <w:p>
      <w:pPr>
        <w:spacing w:after="0" w:line="1" w:lineRule="exact"/>
        <w:rPr>
          <w:rFonts w:ascii="Arial" w:cs="Arial" w:eastAsia="Arial" w:hAnsi="Arial"/>
          <w:sz w:val="17"/>
          <w:szCs w:val="17"/>
          <w:color w:val="auto"/>
        </w:rPr>
      </w:pPr>
    </w:p>
    <w:p>
      <w:pPr>
        <w:jc w:val="both"/>
        <w:ind w:left="640" w:right="80" w:hanging="320"/>
        <w:spacing w:after="0" w:line="266"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Merger Agreement is terminated under certain specified circumstances, we or Microsoft will be required to pay a termination fee, including that we will be required to pay Microsoft a termination fee of approximately $2.27 billion under specified circumstances, and Microsoft will be required to pay us a reverse termination fee ranging from $2.0 billion to $3.0 billion under specified circumstances;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40" w:right="240" w:hanging="320"/>
        <w:spacing w:after="0" w:line="297"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color w:val="auto"/>
        </w:rPr>
        <w:t>some costs related to the Merger must be paid whether or not the Merger is completed, and we have incurred, and will continue to incur, significant costs, expenses and fees for professional services and other transaction costs in connection with the proposed transaction, as well as the diversion of management and resources towards the Merger, for which we will have received little or no benefit if completion of the Merger does not occur; and</w:t>
      </w:r>
    </w:p>
    <w:p>
      <w:pPr>
        <w:spacing w:after="0" w:line="1" w:lineRule="exact"/>
        <w:rPr>
          <w:rFonts w:ascii="Arial" w:cs="Arial" w:eastAsia="Arial" w:hAnsi="Arial"/>
          <w:sz w:val="15"/>
          <w:szCs w:val="15"/>
          <w:color w:val="auto"/>
        </w:rPr>
      </w:pPr>
    </w:p>
    <w:p>
      <w:pPr>
        <w:ind w:left="640" w:right="200" w:hanging="320"/>
        <w:spacing w:after="0" w:line="27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experience negative publicity and/or reactions from our investors, customers, partners, suppliers, vendors, landlords, other business partners and employees</w:t>
      </w:r>
    </w:p>
    <w:p>
      <w:pPr>
        <w:spacing w:after="0" w:line="196" w:lineRule="exact"/>
        <w:rPr>
          <w:sz w:val="20"/>
          <w:szCs w:val="20"/>
          <w:color w:val="auto"/>
        </w:rPr>
      </w:pPr>
    </w:p>
    <w:p>
      <w:pPr>
        <w:ind w:right="620" w:firstLine="393"/>
        <w:spacing w:after="0" w:line="289" w:lineRule="auto"/>
        <w:rPr>
          <w:sz w:val="20"/>
          <w:szCs w:val="20"/>
          <w:color w:val="auto"/>
        </w:rPr>
      </w:pPr>
      <w:r>
        <w:rPr>
          <w:rFonts w:ascii="Arial" w:cs="Arial" w:eastAsia="Arial" w:hAnsi="Arial"/>
          <w:sz w:val="17"/>
          <w:szCs w:val="17"/>
          <w:color w:val="auto"/>
        </w:rPr>
        <w:t>Stockholder litigation could prevent or delay the closing of the pending Merger or otherwise negatively impact our business, operating results and financial condition.</w:t>
      </w:r>
    </w:p>
    <w:p>
      <w:pPr>
        <w:spacing w:after="0" w:line="185" w:lineRule="exact"/>
        <w:rPr>
          <w:sz w:val="20"/>
          <w:szCs w:val="20"/>
          <w:color w:val="auto"/>
        </w:rPr>
      </w:pPr>
    </w:p>
    <w:p>
      <w:pPr>
        <w:ind w:firstLine="393"/>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We may incur additional costs in connection with the defense or settlement of stockholder litigation in connection with the pending Merger. Such litigation may adversely affect our ability to complete the pending Merger. We could incur significant costs in connection with such litigation, including costs associated with the indemnification obligations to our directors and officers. Such litigation may be distracting to management and may require us to incur additional, significant costs. Such litigation could result in the Merger being delayed and/or enjoined by a court of competent jurisdiction, which could prevent the Merger from becoming effective. See </w:t>
      </w:r>
      <w:hyperlink w:anchor="page115">
        <w:r>
          <w:rPr>
            <w:rFonts w:ascii="Arial" w:cs="Arial" w:eastAsia="Arial" w:hAnsi="Arial"/>
            <w:sz w:val="17"/>
            <w:szCs w:val="17"/>
            <w:u w:val="single" w:color="auto"/>
            <w:color w:val="0000FF"/>
          </w:rPr>
          <w:t>Note 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notes to the consolidated financial statements included in Part II, Item 8 of this Annual Report on Form 10-K for a description of complaints filed on February 24, 2022 with respect to the pending Merger.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Industry Risks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unable to predict the full impact of the global COVID-19 pandemic.</w:t>
      </w:r>
    </w:p>
    <w:p>
      <w:pPr>
        <w:spacing w:after="0" w:line="237" w:lineRule="exact"/>
        <w:rPr>
          <w:sz w:val="20"/>
          <w:szCs w:val="20"/>
          <w:color w:val="auto"/>
        </w:rPr>
      </w:pPr>
    </w:p>
    <w:p>
      <w:pPr>
        <w:ind w:right="20" w:firstLine="393"/>
        <w:spacing w:after="0" w:line="275" w:lineRule="auto"/>
        <w:rPr>
          <w:sz w:val="20"/>
          <w:szCs w:val="20"/>
          <w:color w:val="auto"/>
        </w:rPr>
      </w:pPr>
      <w:r>
        <w:rPr>
          <w:rFonts w:ascii="Arial" w:cs="Arial" w:eastAsia="Arial" w:hAnsi="Arial"/>
          <w:sz w:val="16"/>
          <w:szCs w:val="16"/>
          <w:color w:val="auto"/>
        </w:rPr>
        <w:t>Since COVID-19 emerged in December 2019 and was declared a pandemic in March 2020, it has extensively impacted global health and the economic environment. The full extent to which the global COVID-19 pandemic and its aftermath impacts our business, reputation, financial condition, results of operations, income, revenue, profitability, cash flows, liquidity, or stock price continues to depend on numerous evolving factors that we are not able to fully predict, including: the duration and severity of the pandemic and the prevalence and severity of new COVID variants; the impact of the pandemic on the global economy and consumer habits; the impact of governmental, business, and individual actions that have been and will continue to be taken in response to the pandemic; unintended consequences of actions we take, or have taken, in response to the pandemic; the impact of the pandemic on the health or productivity of our employees and external developers, including the ability to develop high-quality and well-received interactive software products and entertainment content and/or to release our products and content in a timely manner with effective quality control; the longer-term impact of substantially-increased remote access to our networks and systems on our ability to prevent, detect, and remedy cyber-attacks or information security incidents while our workforce remains dispersed; the effects on the health, finances and discretionary spending patterns of our consumers, including the ability of our consumers to pay for our products and content; our ability to sell products at assumed prices; the financial impact, supply chain constraints and other strains on the retail customers and distributors on whom we rely to sell our physical products to consumers; the financial impact and strain on platform providers for whose video game consoles and/or on whose networks certain of our products are exclusively available; the financial impact and strain on third-party mobile and web platforms that provide significant online distribution for, and/or provide other services critical for the operation of, a number of our games; the effects on our suppliers who manufacture our physical products and on other third parties with which we partner (e.g., to market or ship our products), including from supply chain disruptions; the effects on our lenders and financial counterparties; the effects on regulatory agencies around the world on which we rely; our ability to continue to develop our emerging businesses, such as advertising; increased volatility in foreign currency exchange rates; the impact of recent and potential upcoming or ongoing large-scale actions by local and federal governments and agencies or similar governing bodies in the U.S. and around the world, the U.S. Federal Reserve, and other central banks around the world, including the impact of any of these actions on the U.S. or world economy or global financial markets; and any other factor which results in disruptions or increased costs associated with the development, production, post-production, marketing and distribution of our products, and/or the digital advertising offered within our content. If adverse effects in these areas from the ongoing global COVID-19 pandemic continue or worsen, our business may be negatively impacted. Further, we cannot predict the emergence of new variants, the rise and fall of case rates, or the associated reducing, lifting, and reenacting of stay-at-home orders and other, similar measures to mitigate the spread of COVID-19. As in the case of COVID-19, the occurrence of other epidemics, medical emergencies, and other public health crises outside of our control could have a negative impact on our business. Additionally, stay-at-home orders, the curtailment of certain other forms of entertainment, and other pandemic-related factors that make consumers more inclined to spend time at home may increase demand for our products, and such increase may not be sustained if pandemic-related restrictions and behaviors change. These trends may continue to evolve, and prior trends for revenues, net income, and other financial results and operating metrics, may not be indicative of results for future periods, particularly as pandemic-related factors become less significant.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Our professional esports leagues (i.e., the Overwatch League and the Call of Duty League) and the franchise teams that make up the leagues generate revenues from live in-person events. The COVID-19 pandemic has resulted in the cancellation of live in-person events and any continued health and safety concerns with large public gatherings may impact the ability of the teams in our leagues to hold future live in-person events. Prolonged COVID-19 risks could result in teams being unable or unwilling to make continued investments or otherwise participate in our leagues going forward. This, in turn, could result in the loss of future entry fee payments, revenue from advertising, and other future potential league revenues or income, other benefits associated with our esports business, and/or the termination of our leagues. Also, we have provided, and may continue to provide, financial support to the owners of the teams as a result of the COVID-19 pandemic. Any one of these things could harm our business. Additionally, a prolonged impact of COVID-19 could heighten many of the risk factors included in this Annual Report filed on Form 10-K.</w:t>
      </w:r>
    </w:p>
    <w:p>
      <w:pPr>
        <w:spacing w:after="0" w:line="19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do not consistently deliver popular, high</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quality content in a timely manner, our business may be negatively impacted.</w:t>
      </w:r>
    </w:p>
    <w:p>
      <w:pPr>
        <w:spacing w:after="0" w:line="237" w:lineRule="exact"/>
        <w:rPr>
          <w:sz w:val="20"/>
          <w:szCs w:val="20"/>
          <w:color w:val="auto"/>
        </w:rPr>
      </w:pPr>
    </w:p>
    <w:p>
      <w:pPr>
        <w:ind w:right="60" w:firstLine="393"/>
        <w:spacing w:after="0" w:line="212" w:lineRule="exact"/>
        <w:rPr>
          <w:sz w:val="20"/>
          <w:szCs w:val="20"/>
          <w:color w:val="auto"/>
        </w:rPr>
      </w:pPr>
      <w:r>
        <w:rPr>
          <w:rFonts w:ascii="Arial" w:cs="Arial" w:eastAsia="Arial" w:hAnsi="Arial"/>
          <w:sz w:val="17"/>
          <w:szCs w:val="17"/>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w:t>
      </w:r>
      <w:r>
        <w:rPr>
          <w:rFonts w:ascii="MS PGothic" w:cs="MS PGothic" w:eastAsia="MS PGothic" w:hAnsi="MS PGothic"/>
          <w:sz w:val="17"/>
          <w:szCs w:val="17"/>
          <w:color w:val="auto"/>
        </w:rPr>
        <w:t>‑</w:t>
      </w:r>
      <w:r>
        <w:rPr>
          <w:rFonts w:ascii="Arial" w:cs="Arial" w:eastAsia="Arial" w:hAnsi="Arial"/>
          <w:sz w:val="17"/>
          <w:szCs w:val="17"/>
          <w:color w:val="auto"/>
        </w:rPr>
        <w:t>received by consumers, even if well</w:t>
      </w:r>
      <w:r>
        <w:rPr>
          <w:rFonts w:ascii="MS PGothic" w:cs="MS PGothic" w:eastAsia="MS PGothic" w:hAnsi="MS PGothic"/>
          <w:sz w:val="17"/>
          <w:szCs w:val="17"/>
          <w:color w:val="auto"/>
        </w:rPr>
        <w:t>‑</w:t>
      </w:r>
      <w:r>
        <w:rPr>
          <w:rFonts w:ascii="Arial" w:cs="Arial" w:eastAsia="Arial" w:hAnsi="Arial"/>
          <w:sz w:val="17"/>
          <w:szCs w:val="17"/>
          <w:color w:val="auto"/>
        </w:rPr>
        <w:t>reviewed and of high quality.</w:t>
      </w:r>
    </w:p>
    <w:p>
      <w:pPr>
        <w:spacing w:after="0" w:line="226" w:lineRule="exact"/>
        <w:rPr>
          <w:sz w:val="20"/>
          <w:szCs w:val="20"/>
          <w:color w:val="auto"/>
        </w:rPr>
      </w:pPr>
    </w:p>
    <w:p>
      <w:pPr>
        <w:ind w:right="20" w:firstLine="393"/>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we are subject to legal proceedings regarding workplace concerns, as described in </w:t>
      </w:r>
      <w:hyperlink w:anchor="page115">
        <w:r>
          <w:rPr>
            <w:rFonts w:ascii="Arial" w:cs="Arial" w:eastAsia="Arial" w:hAnsi="Arial"/>
            <w:sz w:val="17"/>
            <w:szCs w:val="17"/>
            <w:u w:val="single" w:color="auto"/>
            <w:color w:val="0000FF"/>
          </w:rPr>
          <w:t>Note 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Part II, Item 8 of this Annual Report on Form 10-K, and could become subject to additional, similar legal proceedings in the future. These legal proceedings have negatively impacted our public reputation and, as a result, some consumers have elected not to continue subscribing to one of our games, and existing and potential players may decide not to play our games in the future. Some existing sponsors, partners, and advertisers have also elected not to be associated with our brand due to this impact on our reputation, and others may so elect in the future. As another example, if we fail to create fun, fair, and safe playing environments, consumers may engage less with our games. All of this may negatively impact, and in the case of those legal proceedings is negatively impacting, our business.</w:t>
      </w:r>
    </w:p>
    <w:p>
      <w:pPr>
        <w:spacing w:after="0" w:line="211"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Our products and services are complex software programs. We have quality controls in place to detect defects, “bugs,” or other errors in our products and services before they are released. Nonetheless, these quality controls are subject to human error, overriding, and resource or technical constraints. As such, these quality controls and preventative measures may not be effective, and at times have not been successful, in detecting all defects, bugs, or errors in our products and services before they have been released into the marketplace. Our games with online features are frequently updated, increasing the risk that a game may contain errors. If any of these issues occur, consumers may stop playing the game and may be less likely to return to the game as often in the future, which may negatively impact our business. If our games or services, such as our proprietary online gaming platform,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w:t>
      </w:r>
    </w:p>
    <w:p>
      <w:pPr>
        <w:spacing w:after="0" w:line="197"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Negative reactions to our products and services may not be foreseeable. We also may not effectively manage or respond to these negative perceptions for reasons within or outside of our control. We expect to continue to expend resources to address concerns with our products and services. Negative perceptions could arise despite our efforts, though, and may result in loss of engagement with our products and services, increased scrutiny from government bodies and consumer groups, and/or litigation, any of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Further, delays in product releases or disruptions following the commercial release of one or more new products have negatively impacted, and could in the future negatively impact, our business and reputation and could cause our results of operations to be materially different from expectations. Our ability to meet development schedules depends on numerous factors, some of which are outside of our control, including our ability to attract and retain qualified personnel, the time-intensive nature of creative processes, the coordination of large and often dispersed development teams, the complexity of our products and the platforms for which they are developed, and third-party approvals. If we fail to release our products in a timely manner, or if we are unable to continue to extend the life of existing games by adding features and functionality that will encourage continued engagement with the game, our business may be negatively impacted. For example, we are now planning for a later launch for our Overwatch 2 and Diablo IV titles than originally expected, which will delay the uplift to our results that we usually experience following the release of new titles. Any negative impact which occurs during key selling periods, particularly in the fourth quarter of the year, could be especially pronounced.</w:t>
      </w:r>
    </w:p>
    <w:p>
      <w:pPr>
        <w:spacing w:after="0" w:line="211" w:lineRule="exact"/>
        <w:rPr>
          <w:sz w:val="20"/>
          <w:szCs w:val="20"/>
          <w:color w:val="auto"/>
        </w:rPr>
      </w:pPr>
    </w:p>
    <w:p>
      <w:pPr>
        <w:ind w:right="40" w:firstLine="393"/>
        <w:spacing w:after="0" w:line="213" w:lineRule="exact"/>
        <w:rPr>
          <w:sz w:val="20"/>
          <w:szCs w:val="20"/>
          <w:color w:val="auto"/>
        </w:rPr>
      </w:pPr>
      <w:r>
        <w:rPr>
          <w:rFonts w:ascii="Arial" w:cs="Arial" w:eastAsia="Arial" w:hAnsi="Arial"/>
          <w:sz w:val="17"/>
          <w:szCs w:val="17"/>
          <w:color w:val="auto"/>
        </w:rPr>
        <w:t>Additionally, the amount of lead time and cost involved in the development of high</w:t>
      </w:r>
      <w:r>
        <w:rPr>
          <w:rFonts w:ascii="MS PGothic" w:cs="MS PGothic" w:eastAsia="MS PGothic" w:hAnsi="MS PGothic"/>
          <w:sz w:val="17"/>
          <w:szCs w:val="17"/>
          <w:color w:val="auto"/>
        </w:rPr>
        <w:t>‑</w:t>
      </w:r>
      <w:r>
        <w:rPr>
          <w:rFonts w:ascii="Arial" w:cs="Arial" w:eastAsia="Arial" w:hAnsi="Arial"/>
          <w:sz w:val="17"/>
          <w:szCs w:val="17"/>
          <w:color w:val="auto"/>
        </w:rPr>
        <w:t>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w:t>
      </w:r>
      <w:r>
        <w:rPr>
          <w:rFonts w:ascii="MS PGothic" w:cs="MS PGothic" w:eastAsia="MS PGothic" w:hAnsi="MS PGothic"/>
          <w:sz w:val="17"/>
          <w:szCs w:val="17"/>
          <w:color w:val="auto"/>
        </w:rPr>
        <w:t>‑</w:t>
      </w:r>
      <w:r>
        <w:rPr>
          <w:rFonts w:ascii="Arial" w:cs="Arial" w:eastAsia="Arial" w:hAnsi="Arial"/>
          <w:sz w:val="17"/>
          <w:szCs w:val="17"/>
          <w:color w:val="auto"/>
        </w:rPr>
        <w:t>front development and marketing costs associated with those products.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experiencing adverse effects related to concerns raised about our workplace.</w:t>
      </w:r>
    </w:p>
    <w:p>
      <w:pPr>
        <w:spacing w:after="0" w:line="250" w:lineRule="exact"/>
        <w:rPr>
          <w:sz w:val="20"/>
          <w:szCs w:val="20"/>
          <w:color w:val="auto"/>
        </w:rPr>
      </w:pPr>
    </w:p>
    <w:p>
      <w:pPr>
        <w:ind w:right="20" w:firstLine="393"/>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As described below under “We are subject to legal proceedings regarding workplace concerns that have negatively affected our reputation” and in </w:t>
      </w:r>
      <w:hyperlink w:anchor="page115">
        <w:r>
          <w:rPr>
            <w:rFonts w:ascii="Arial" w:cs="Arial" w:eastAsia="Arial" w:hAnsi="Arial"/>
            <w:sz w:val="17"/>
            <w:szCs w:val="17"/>
            <w:u w:val="single" w:color="auto"/>
            <w:color w:val="0000FF"/>
          </w:rPr>
          <w:t>Note 22</w:t>
        </w:r>
      </w:hyperlink>
      <w:r>
        <w:rPr>
          <w:rFonts w:ascii="Arial" w:cs="Arial" w:eastAsia="Arial" w:hAnsi="Arial"/>
          <w:sz w:val="17"/>
          <w:szCs w:val="17"/>
          <w:color w:val="auto"/>
        </w:rPr>
        <w:t xml:space="preserve"> to the notes to the consolidated financial statements included in Part II, Item 8 of this Annual Report on Form 10-K, we are subject to legal proceedings regarding workplace concerns. The outcome of these matters remains uncertain, though such matters could be decided unfavorably to the Company and could have a material adverse effect on our business, reputation, financial condition, results of operations, income, revenue, profitability, cash flows, liquidity, or stock price.</w:t>
      </w:r>
    </w:p>
    <w:p>
      <w:pPr>
        <w:spacing w:after="0" w:line="206" w:lineRule="exact"/>
        <w:rPr>
          <w:sz w:val="20"/>
          <w:szCs w:val="20"/>
          <w:color w:val="auto"/>
        </w:rPr>
      </w:pPr>
    </w:p>
    <w:p>
      <w:pPr>
        <w:ind w:right="100" w:firstLine="393"/>
        <w:spacing w:after="0" w:line="264" w:lineRule="auto"/>
        <w:rPr>
          <w:sz w:val="20"/>
          <w:szCs w:val="20"/>
          <w:color w:val="auto"/>
        </w:rPr>
      </w:pPr>
      <w:r>
        <w:rPr>
          <w:rFonts w:ascii="Arial" w:cs="Arial" w:eastAsia="Arial" w:hAnsi="Arial"/>
          <w:sz w:val="17"/>
          <w:szCs w:val="17"/>
          <w:color w:val="auto"/>
        </w:rPr>
        <w:t>We are taking actions to address the concerns of employees and other key stakeholders and the adverse consequences to our business. We are experiencing, and are likely to continue to experience, adverse publicity regarding our Company and executives related to these matters. These matters are having a negative effect on the Company’s business and reputation. If we experience significantly reduced productivity, significant worker protests or strikes in regards to these matters, significant continued loss of sponsors, advertisers or players, or other negative consequences relating to these matters, our business could be materially adversely impacted. We cannot predict the duration and severity of these impacts, and we are continuing to carefully monitor all aspects of our business for such impacts and to take actions to address such concerns.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attract, retain, and motivate skilled personnel, we will be unable to effectively conduct our business.</w:t>
      </w:r>
    </w:p>
    <w:p>
      <w:pPr>
        <w:spacing w:after="0" w:line="250" w:lineRule="exact"/>
        <w:rPr>
          <w:sz w:val="20"/>
          <w:szCs w:val="20"/>
          <w:color w:val="auto"/>
        </w:rPr>
      </w:pPr>
    </w:p>
    <w:p>
      <w:pPr>
        <w:ind w:right="60" w:firstLine="393"/>
        <w:spacing w:after="0" w:line="211" w:lineRule="exact"/>
        <w:rPr>
          <w:rFonts w:ascii="Arial" w:cs="Arial" w:eastAsia="Arial" w:hAnsi="Arial"/>
          <w:sz w:val="16"/>
          <w:szCs w:val="16"/>
          <w:color w:val="auto"/>
        </w:rPr>
      </w:pPr>
      <w:r>
        <w:rPr>
          <w:rFonts w:ascii="Arial" w:cs="Arial" w:eastAsia="Arial" w:hAnsi="Arial"/>
          <w:sz w:val="16"/>
          <w:szCs w:val="16"/>
          <w:color w:val="auto"/>
        </w:rPr>
        <w:t>Our success depends significantly on our ability to identify, attract, hire, retain, motivate, and utilize the abilities of qualified personnel which includes both our direct employees and talent from other employers such as consultants, agencies, and external developers. This particularly pertains to personnel with the specialized skills needed to create and deliver high</w:t>
      </w:r>
      <w:r>
        <w:rPr>
          <w:rFonts w:ascii="MS PGothic" w:cs="MS PGothic" w:eastAsia="MS PGothic" w:hAnsi="MS PGothic"/>
          <w:sz w:val="16"/>
          <w:szCs w:val="16"/>
          <w:color w:val="auto"/>
        </w:rPr>
        <w:t>‑</w:t>
      </w:r>
      <w:r>
        <w:rPr>
          <w:rFonts w:ascii="Arial" w:cs="Arial" w:eastAsia="Arial" w:hAnsi="Arial"/>
          <w:sz w:val="16"/>
          <w:szCs w:val="16"/>
          <w:color w:val="auto"/>
        </w:rPr>
        <w:t>quality, well</w:t>
      </w:r>
      <w:r>
        <w:rPr>
          <w:rFonts w:ascii="MS PGothic" w:cs="MS PGothic" w:eastAsia="MS PGothic" w:hAnsi="MS PGothic"/>
          <w:sz w:val="16"/>
          <w:szCs w:val="16"/>
          <w:color w:val="auto"/>
        </w:rPr>
        <w:t>‑</w:t>
      </w:r>
      <w:r>
        <w:rPr>
          <w:rFonts w:ascii="Arial" w:cs="Arial" w:eastAsia="Arial" w:hAnsi="Arial"/>
          <w:sz w:val="16"/>
          <w:szCs w:val="16"/>
          <w:color w:val="auto"/>
        </w:rPr>
        <w:t xml:space="preserve">received content upon which our business is substantially dependent, as well as to ensure business continuity in areas such as risk management, information security, human resources, and compliance. Our industry is generally characterized by a high level of employee mobility, competitive compensation programs, and aggressive recruiting among competitors for employees with technical, marketing, sales, engineering, product development, creative, and/or management skills, all of which is magnified for us because of our leading position within the industry. We have observed labor shortages, increasing competition for talent, and increasing attrition. We are experiencing increased difficulty in attracting and retaining skilled personnel. For example, we observed a significantly higher turnover rate of our human resources function in 2021. Additionally, recent litigation involving the Company relating to workplace and employee concerns, as further discussed in this Part I, Item 1A “Risk Factors” and </w:t>
      </w:r>
      <w:hyperlink w:anchor="page115">
        <w:r>
          <w:rPr>
            <w:rFonts w:ascii="Arial" w:cs="Arial" w:eastAsia="Arial" w:hAnsi="Arial"/>
            <w:sz w:val="16"/>
            <w:szCs w:val="16"/>
            <w:u w:val="single" w:color="auto"/>
            <w:color w:val="0000FF"/>
          </w:rPr>
          <w:t>Note 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in Part II, Item 8 of this Annual Report on Form 10-K, and related media attention can be expected to have an adverse effect on our ability to attract and retain employees and has resulted in work stoppages. If we are unable to attract additional qualified personnel or retain and utilize the services of key personnel, we can expect this would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consumers prefer products from our competitors, our business may be negatively impacted.</w:t>
      </w:r>
    </w:p>
    <w:p>
      <w:pPr>
        <w:spacing w:after="0" w:line="237" w:lineRule="exact"/>
        <w:rPr>
          <w:sz w:val="20"/>
          <w:szCs w:val="20"/>
          <w:color w:val="auto"/>
        </w:rPr>
      </w:pPr>
    </w:p>
    <w:p>
      <w:pPr>
        <w:ind w:right="280" w:firstLine="393"/>
        <w:spacing w:after="0" w:line="286" w:lineRule="auto"/>
        <w:rPr>
          <w:sz w:val="20"/>
          <w:szCs w:val="20"/>
          <w:color w:val="auto"/>
        </w:rPr>
      </w:pPr>
      <w:r>
        <w:rPr>
          <w:rFonts w:ascii="Arial" w:cs="Arial" w:eastAsia="Arial" w:hAnsi="Arial"/>
          <w:sz w:val="16"/>
          <w:szCs w:val="16"/>
          <w:color w:val="auto"/>
        </w:rPr>
        <w:t>Our competitors include very large corporations with significantly greater financial, marketing, and product development resources than we have— increasingly including technology companies entering, or expanding their investment in, interactive entertainment.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The proliferation of companies developing for mobile platforms creates similar risks.</w:t>
      </w:r>
    </w:p>
    <w:p>
      <w:pPr>
        <w:spacing w:after="0" w:line="189" w:lineRule="exact"/>
        <w:rPr>
          <w:sz w:val="20"/>
          <w:szCs w:val="20"/>
          <w:color w:val="auto"/>
        </w:rPr>
      </w:pPr>
    </w:p>
    <w:p>
      <w:pPr>
        <w:ind w:firstLine="393"/>
        <w:spacing w:after="0" w:line="211" w:lineRule="exact"/>
        <w:rPr>
          <w:sz w:val="20"/>
          <w:szCs w:val="20"/>
          <w:color w:val="auto"/>
        </w:rPr>
      </w:pPr>
      <w:r>
        <w:rPr>
          <w:rFonts w:ascii="Arial" w:cs="Arial" w:eastAsia="Arial" w:hAnsi="Arial"/>
          <w:sz w:val="17"/>
          <w:szCs w:val="17"/>
          <w:color w:val="auto"/>
        </w:rPr>
        <w:t>Competitors may develop content that imitates or competes with our best</w:t>
      </w:r>
      <w:r>
        <w:rPr>
          <w:rFonts w:ascii="MS PGothic" w:cs="MS PGothic" w:eastAsia="MS PGothic" w:hAnsi="MS PGothic"/>
          <w:sz w:val="17"/>
          <w:szCs w:val="17"/>
          <w:color w:val="auto"/>
        </w:rPr>
        <w:t>‑</w:t>
      </w:r>
      <w:r>
        <w:rPr>
          <w:rFonts w:ascii="Arial" w:cs="Arial" w:eastAsia="Arial" w:hAnsi="Arial"/>
          <w:sz w:val="17"/>
          <w:szCs w:val="17"/>
          <w:color w:val="auto"/>
        </w:rPr>
        <w: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w:t>
      </w:r>
      <w:r>
        <w:rPr>
          <w:rFonts w:ascii="MS PGothic" w:cs="MS PGothic" w:eastAsia="MS PGothic" w:hAnsi="MS PGothic"/>
          <w:sz w:val="17"/>
          <w:szCs w:val="17"/>
          <w:color w:val="auto"/>
        </w:rPr>
        <w:t>‑</w:t>
      </w:r>
      <w:r>
        <w:rPr>
          <w:rFonts w:ascii="Arial" w:cs="Arial" w:eastAsia="Arial" w:hAnsi="Arial"/>
          <w:sz w:val="17"/>
          <w:szCs w:val="17"/>
          <w:color w:val="auto"/>
        </w:rPr>
        <w:t>quality and well</w:t>
      </w:r>
      <w:r>
        <w:rPr>
          <w:rFonts w:ascii="MS PGothic" w:cs="MS PGothic" w:eastAsia="MS PGothic" w:hAnsi="MS PGothic"/>
          <w:sz w:val="17"/>
          <w:szCs w:val="17"/>
          <w:color w:val="auto"/>
        </w:rPr>
        <w:t>‑</w:t>
      </w:r>
      <w:r>
        <w:rPr>
          <w:rFonts w:ascii="Arial" w:cs="Arial" w:eastAsia="Arial" w:hAnsi="Arial"/>
          <w:sz w:val="17"/>
          <w:szCs w:val="17"/>
          <w:color w:val="auto"/>
        </w:rPr>
        <w:t>received games or new content for or enhancements to those games, if our marketing fails to resonate with our consumers, or if consumers lose interest in a genre of games we produce, our revenues and profit margins could decline. In addition, our own best</w:t>
      </w:r>
      <w:r>
        <w:rPr>
          <w:rFonts w:ascii="MS PGothic" w:cs="MS PGothic" w:eastAsia="MS PGothic" w:hAnsi="MS PGothic"/>
          <w:sz w:val="17"/>
          <w:szCs w:val="17"/>
          <w:color w:val="auto"/>
        </w:rPr>
        <w:t>‑</w:t>
      </w:r>
      <w:r>
        <w:rPr>
          <w:rFonts w:ascii="Arial" w:cs="Arial" w:eastAsia="Arial" w:hAnsi="Arial"/>
          <w:sz w:val="17"/>
          <w:szCs w:val="17"/>
          <w:color w:val="auto"/>
        </w:rPr>
        <w:t>selling products could compete with our other games, reducing sales for those other games. Further, a failure by us to develop a high</w:t>
      </w:r>
      <w:r>
        <w:rPr>
          <w:rFonts w:ascii="MS PGothic" w:cs="MS PGothic" w:eastAsia="MS PGothic" w:hAnsi="MS PGothic"/>
          <w:sz w:val="17"/>
          <w:szCs w:val="17"/>
          <w:color w:val="auto"/>
        </w:rPr>
        <w:t>‑</w:t>
      </w:r>
      <w:r>
        <w:rPr>
          <w:rFonts w:ascii="Arial" w:cs="Arial" w:eastAsia="Arial" w:hAnsi="Arial"/>
          <w:sz w:val="17"/>
          <w:szCs w:val="17"/>
          <w:color w:val="auto"/>
        </w:rPr>
        <w:t>quality product, or our development of a product that is otherwise not well</w:t>
      </w:r>
      <w:r>
        <w:rPr>
          <w:rFonts w:ascii="MS PGothic" w:cs="MS PGothic" w:eastAsia="MS PGothic" w:hAnsi="MS PGothic"/>
          <w:sz w:val="17"/>
          <w:szCs w:val="17"/>
          <w:color w:val="auto"/>
        </w:rPr>
        <w:t>‑</w:t>
      </w:r>
      <w:r>
        <w:rPr>
          <w:rFonts w:ascii="Arial" w:cs="Arial" w:eastAsia="Arial" w:hAnsi="Arial"/>
          <w:sz w:val="17"/>
          <w:szCs w:val="17"/>
          <w:color w:val="auto"/>
        </w:rPr>
        <w:t>received, could potentially result in additional expenditures to respond to consumer demands, harm our reputation, and increase the likelihood that our future products will not be well</w:t>
      </w:r>
      <w:r>
        <w:rPr>
          <w:rFonts w:ascii="MS PGothic" w:cs="MS PGothic" w:eastAsia="MS PGothic" w:hAnsi="MS PGothic"/>
          <w:sz w:val="17"/>
          <w:szCs w:val="17"/>
          <w:color w:val="auto"/>
        </w:rPr>
        <w:t>‑</w:t>
      </w:r>
      <w:r>
        <w:rPr>
          <w:rFonts w:ascii="Arial" w:cs="Arial" w:eastAsia="Arial" w:hAnsi="Arial"/>
          <w:sz w:val="17"/>
          <w:szCs w:val="17"/>
          <w:color w:val="auto"/>
        </w:rPr>
        <w:t>received. The increased importance of add-on content to our business amplifies these risks, as add-on content for poorly</w:t>
      </w:r>
      <w:r>
        <w:rPr>
          <w:rFonts w:ascii="MS PGothic" w:cs="MS PGothic" w:eastAsia="MS PGothic" w:hAnsi="MS PGothic"/>
          <w:sz w:val="17"/>
          <w:szCs w:val="17"/>
          <w:color w:val="auto"/>
        </w:rPr>
        <w:t>‑</w:t>
      </w:r>
      <w:r>
        <w:rPr>
          <w:rFonts w:ascii="Arial" w:cs="Arial" w:eastAsia="Arial" w:hAnsi="Arial"/>
          <w:sz w:val="17"/>
          <w:szCs w:val="17"/>
          <w:color w:val="auto"/>
        </w:rPr>
        <w:t>received games typically generates lower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expected sales. The increased demand for consistent new content releases for, and enhancements to, our products also requires a greater allocation of financial resources to those products.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relatively small number of franchises for a significant portion of our revenues and profits.</w:t>
      </w:r>
    </w:p>
    <w:p>
      <w:pPr>
        <w:spacing w:after="0" w:line="250"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follow a franchise model, and a significant portion of our revenues has historically been derived from products based on a relatively small number of popular franchises. These products are also responsible for a disproportionately high percentage of our profits. For example, in 2021, revenues associated with the Call of Duty, Candy Crush, and Warcraft franchises, collectively, accounted for approximately 82% of our net revenues—and a significantly higher percentage of our operating income.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as has happened in the past with other popular franchises, we may have to write off the unrecovered portion of the underlying intellectual property assets, which could negatively impact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impacted by unionization or attempts to unionize by our workforce.</w:t>
      </w:r>
    </w:p>
    <w:p>
      <w:pPr>
        <w:spacing w:after="0" w:line="237" w:lineRule="exact"/>
        <w:rPr>
          <w:sz w:val="20"/>
          <w:szCs w:val="20"/>
          <w:color w:val="auto"/>
        </w:rPr>
      </w:pPr>
    </w:p>
    <w:p>
      <w:pPr>
        <w:ind w:right="180" w:firstLine="393"/>
        <w:spacing w:after="0" w:line="249" w:lineRule="auto"/>
        <w:rPr>
          <w:sz w:val="20"/>
          <w:szCs w:val="20"/>
          <w:color w:val="auto"/>
        </w:rPr>
      </w:pPr>
      <w:r>
        <w:rPr>
          <w:rFonts w:ascii="Arial" w:cs="Arial" w:eastAsia="Arial" w:hAnsi="Arial"/>
          <w:sz w:val="16"/>
          <w:szCs w:val="16"/>
          <w:color w:val="auto"/>
        </w:rPr>
        <w:t>Our personnel may attempt, successfully or unsuccessfully, to form one or more unions. For example, at Raven Software, one of our studios, the Communications Workers of America has filed a petition to represent a unit of employees, and the National Labor Relations Board will oversee the election process, including a determination of the appropriate set of employees who would be included in any bargaining unit (and thus participate in the election on potential unionization). Work stoppages or strikes could occur within a unionized workforce. While none of our employees are currently unionized, several of our employees have engaged in a strike for one or more days, leading to a business impact. Further disruptions to our workforce could negatively impact our business and lead to delayed product and content releases as well as a potential impact on product quality.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85" w:lineRule="exact"/>
        <w:rPr>
          <w:sz w:val="20"/>
          <w:szCs w:val="20"/>
          <w:color w:val="auto"/>
        </w:rPr>
      </w:pPr>
    </w:p>
    <w:p>
      <w:pPr>
        <w:ind w:right="100" w:firstLine="393"/>
        <w:spacing w:after="0" w:line="279" w:lineRule="auto"/>
        <w:rPr>
          <w:sz w:val="20"/>
          <w:szCs w:val="20"/>
          <w:color w:val="auto"/>
        </w:rPr>
      </w:pPr>
      <w:r>
        <w:rPr>
          <w:rFonts w:ascii="Arial" w:cs="Arial" w:eastAsia="Arial" w:hAnsi="Arial"/>
          <w:sz w:val="16"/>
          <w:szCs w:val="16"/>
          <w:color w:val="auto"/>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changing technologies and business models is inherently uncertain and volatile. Supporting a new technology or business model may require partnering with a new platform, business, or technology partner, which may be on terms that are less favorable to us than those for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99"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digital sales to our business exposes us to the risks of that business model, including greater competition.</w:t>
      </w:r>
    </w:p>
    <w:p>
      <w:pPr>
        <w:spacing w:after="0" w:line="250"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The proportion of our revenues derived from digital distribution channels, as compared to traditional retail sales, continues to increase. The increased importance of digital online channels in our industry increases our potential competition, as the minimum capital needed to produce and publish a digitally delivered game, particularly a game for a mobile platform, may be significantly less than that needed to produce and publish one that is purchased through retail distribution and is played on a game console or PC. Further, some of the providers of the platforms through which we digitally distribute content are also publishers of their own content distributed on those platforms, and, therefore, a platform provider may give priority to its own products or those of our competitors.</w:t>
      </w:r>
    </w:p>
    <w:p>
      <w:pPr>
        <w:spacing w:after="0" w:line="20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We may be unable to effectively manage the scope and complexity of our business, including our expansion into new business models that are untested and into adjacent business opportunities with large, established competitors.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We have experienced significant growth in the scope and complexity of our business, including through acquisitions and the development of our esports, advertising, and consumer products businesses. Our future success depends, in part, on our ability to manage this expanded business and our aspirations for continued expansion and growth. We have dedicated resources both to new business models that are largely untested, as is the case with esports, and to adjacent business opportunities in which very large competitors have an established presence, as is the case with our advertising and consumer products businesses. We do not know to what extent our future expansions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w:t>
      </w:r>
      <w:r>
        <w:rPr>
          <w:rFonts w:ascii="MS PGothic" w:cs="MS PGothic" w:eastAsia="MS PGothic" w:hAnsi="MS PGothic"/>
          <w:sz w:val="16"/>
          <w:szCs w:val="16"/>
          <w:color w:val="auto"/>
        </w:rPr>
        <w:t>‑</w:t>
      </w:r>
      <w:r>
        <w:rPr>
          <w:rFonts w:ascii="Arial" w:cs="Arial" w:eastAsia="Arial" w:hAnsi="Arial"/>
          <w:sz w:val="16"/>
          <w:szCs w:val="16"/>
          <w:color w:val="auto"/>
        </w:rPr>
        <w:t>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cause damage to our brand or otherwise negatively impact our core business. Further, the success of these new businesses is largely contingent on the success of our underlying franchises, and as such, delays in product releases or a decline in the popularity of a franchise may impact the success of the new businesses adjacent to that franchise.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Due to our reliance on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platforms, platform providers are frequently able to influence our products and costs.</w:t>
      </w:r>
    </w:p>
    <w:p>
      <w:pPr>
        <w:spacing w:after="0" w:line="250"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Generally, when we develop interactive entertainment software products for hardware platforms offered by companies such as Sony and Microsoft, the physical products are replicated exclusively by that hardware manufacturer or their approved replicator. The agreements with these manufacturers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During a console transition, like the one that occurred in 2020, as described below, these manufacturers may seek to change the terms governing our relationships with them. In addition, because each of the manufacturers is also a publisher of games for its own hardware platforms and may manufacture products for other licensees, a manufacturer may give priority to its own products or those of our competitors. Accordingly, console manufacturers could cause unanticipated delays in the release of our products, as well as increases to projected development, manufacturing, marketing, or distribution costs, any of which could negatively impact our business.</w:t>
      </w:r>
    </w:p>
    <w:p>
      <w:pPr>
        <w:spacing w:after="0" w:line="211"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Sony and Microsoft are also platform providers which control the networks over which consumers purchase digital products and services for their platforms and through which we provide online game capabilities for our products. The control that these platform providers have over consumer access to our games, the fee structures and/or retail pricing for products and services for their platforms and online networks and the terms and conditions under which we do business with them could impact the availability of our products or the volume of purchases of our products made over their networks and our profitability. The networks provided by these platform providers are the exclusive means of selling and distributing our content on these platforms. Further, increased competition for limited premium “digital shelf space” has placed the platform providers in an increasingly better position to negotiate favorable terms of sale. If the platform provider establishes terms that restrict our offerings on its platform, significantly alters the financial terms on which these products or services are offered, or does not approve the inclusion of content on its platform, our business could be negatively impacted. We also derive significant revenues from distribution on third</w:t>
      </w:r>
      <w:r>
        <w:rPr>
          <w:rFonts w:ascii="MS PGothic" w:cs="MS PGothic" w:eastAsia="MS PGothic" w:hAnsi="MS PGothic"/>
          <w:sz w:val="16"/>
          <w:szCs w:val="16"/>
          <w:color w:val="auto"/>
        </w:rPr>
        <w:t>‑</w:t>
      </w:r>
      <w:r>
        <w:rPr>
          <w:rFonts w:ascii="Arial" w:cs="Arial" w:eastAsia="Arial" w:hAnsi="Arial"/>
          <w:sz w:val="16"/>
          <w:szCs w:val="16"/>
          <w:color w:val="auto"/>
        </w:rPr>
        <w:t>party mobile and web platforms, such as the Apple App Store, the Google Play Store, and Facebook, which are also our direct competitors, and in some cases the exclusive means through which our content reaches gamers on those platforms, and most of the virtual currency we sell is purchased using these platform providers’ payment processing systems. These platforms also serve as significant online distribution platforms for, and/or provide other services critical for the operation of, a number of our games. If these platforms deny access to our games, modify their current discovery mechanisms, communication channels available to developers, operating systems, terms of service, or other policies (including fees), our business could be negatively impacted. Additionally, if these platform providers change how they label a game’s business model, such as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change how they apply content ratings to a game, or change how the personal information of consumers is made available to developers, our business could be negatively impacted. These platform providers or their services may be unavailable or may not function as intended or may experience issues with their in</w:t>
      </w:r>
      <w:r>
        <w:rPr>
          <w:rFonts w:ascii="MS PGothic" w:cs="MS PGothic" w:eastAsia="MS PGothic" w:hAnsi="MS PGothic"/>
          <w:sz w:val="16"/>
          <w:szCs w:val="16"/>
          <w:color w:val="auto"/>
        </w:rPr>
        <w:t>‑</w:t>
      </w:r>
      <w:r>
        <w:rPr>
          <w:rFonts w:ascii="Arial" w:cs="Arial" w:eastAsia="Arial" w:hAnsi="Arial"/>
          <w:sz w:val="16"/>
          <w:szCs w:val="16"/>
          <w:color w:val="auto"/>
        </w:rPr>
        <w:t>app purchasing functionality. As has sometimes happened in the past, if any of these events occurs on a prolonged, or even short</w:t>
      </w:r>
      <w:r>
        <w:rPr>
          <w:rFonts w:ascii="MS PGothic" w:cs="MS PGothic" w:eastAsia="MS PGothic" w:hAnsi="MS PGothic"/>
          <w:sz w:val="16"/>
          <w:szCs w:val="16"/>
          <w:color w:val="auto"/>
        </w:rPr>
        <w:t>‑</w:t>
      </w:r>
      <w:r>
        <w:rPr>
          <w:rFonts w:ascii="Arial" w:cs="Arial" w:eastAsia="Arial" w:hAnsi="Arial"/>
          <w:sz w:val="16"/>
          <w:szCs w:val="16"/>
          <w:color w:val="auto"/>
        </w:rPr>
        <w:t>term, basis or other similar issues arise that impact players’ ability to access our games, access social features, or make purchases, it may result in lost revenues and otherwise negatively impact our business.</w:t>
      </w:r>
    </w:p>
    <w:p>
      <w:pPr>
        <w:spacing w:after="0" w:line="232"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Our business is highly dependent on the success and availability of video game consoles manufactured by third parties, as well as our ability to develop commercially successful products for these consoles.</w:t>
      </w:r>
    </w:p>
    <w:p>
      <w:pPr>
        <w:spacing w:after="0" w:line="185"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We derive a substantial portion of our revenues from the sale of products for play on video game consoles manufactured by third parties, such as Sony’s PS4 and PS5, Microsoft’s Xbox One and Series X, and Nintendo’s Switch. Sales of products for consoles accounted for 30% of our consolidated net revenues in 2021. The success of our console business is driven in large part by our ability to accurately predict which consoles will be successful in the marketplace and our ability to develop commercially successful products for these consoles. We also rely on the availability of an adequate supply of these video game consoles (which has been negatively impacted by supply chain issues) and the continued support for these consoles by their manufacturers, including our ability to reach consumers via the online networks operated by these console manufacturers. If increased costs are not offset by higher revenues and other cost efficiencies, our business could be negatively impacted. If the consoles for which we develop new software products or modify existing products do not attain significant consumer acceptance, we may not be able to recover our development costs, which could be significant.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11" w:lineRule="exact"/>
        <w:rPr>
          <w:sz w:val="20"/>
          <w:szCs w:val="20"/>
          <w:color w:val="auto"/>
        </w:rPr>
      </w:pPr>
      <w:r>
        <w:rPr>
          <w:rFonts w:ascii="Arial" w:cs="Arial" w:eastAsia="Arial" w:hAnsi="Arial"/>
          <w:sz w:val="17"/>
          <w:szCs w:val="17"/>
          <w:color w:val="auto"/>
        </w:rPr>
        <w:t>Sony and Microsoft each launched next</w:t>
      </w:r>
      <w:r>
        <w:rPr>
          <w:rFonts w:ascii="MS PGothic" w:cs="MS PGothic" w:eastAsia="MS PGothic" w:hAnsi="MS PGothic"/>
          <w:sz w:val="17"/>
          <w:szCs w:val="17"/>
          <w:color w:val="auto"/>
        </w:rPr>
        <w:t>‑</w:t>
      </w:r>
      <w:r>
        <w:rPr>
          <w:rFonts w:ascii="Arial" w:cs="Arial" w:eastAsia="Arial" w:hAnsi="Arial"/>
          <w:sz w:val="17"/>
          <w:szCs w:val="17"/>
          <w:color w:val="auto"/>
        </w:rPr>
        <w:t>generation consoles in 2020. We have released titles that operate on these consoles, and we may continue to develop games for these new console systems. When next-generation consoles are announced or introduced into the market, consumers have typically reduced their purchases of game console entertainment software products for prior-generation consoles in anticipation of purchasing a next-generation console and products for that console. During these periods, sales of the game console entertainment software products we publish may decline until new platforms achieve wide consumer adoption. Console transitions may have a comparable impact on sales of add-on content,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market, and operate titles for prior</w:t>
      </w:r>
      <w:r>
        <w:rPr>
          <w:rFonts w:ascii="MS PGothic" w:cs="MS PGothic" w:eastAsia="MS PGothic" w:hAnsi="MS PGothic"/>
          <w:sz w:val="17"/>
          <w:szCs w:val="17"/>
          <w:color w:val="auto"/>
        </w:rPr>
        <w:t>‑</w:t>
      </w:r>
      <w:r>
        <w:rPr>
          <w:rFonts w:ascii="Arial" w:cs="Arial" w:eastAsia="Arial" w:hAnsi="Arial"/>
          <w:sz w:val="17"/>
          <w:szCs w:val="17"/>
          <w:color w:val="auto"/>
        </w:rPr>
        <w:t>generation video game platforms, while also developing and supporting next</w:t>
      </w:r>
      <w:r>
        <w:rPr>
          <w:rFonts w:ascii="MS PGothic" w:cs="MS PGothic" w:eastAsia="MS PGothic" w:hAnsi="MS PGothic"/>
          <w:sz w:val="17"/>
          <w:szCs w:val="17"/>
          <w:color w:val="auto"/>
        </w:rPr>
        <w:t>‑</w:t>
      </w:r>
      <w:r>
        <w:rPr>
          <w:rFonts w:ascii="Arial" w:cs="Arial" w:eastAsia="Arial" w:hAnsi="Arial"/>
          <w:sz w:val="17"/>
          <w:szCs w:val="17"/>
          <w:color w:val="auto"/>
        </w:rPr>
        <w:t>generation platforms. As a result, our business and operating results may be more volatile and difficult to predict during console transitions than during other times.</w:t>
      </w:r>
    </w:p>
    <w:p>
      <w:pPr>
        <w:spacing w:after="0" w:line="225" w:lineRule="exact"/>
        <w:rPr>
          <w:sz w:val="20"/>
          <w:szCs w:val="20"/>
          <w:color w:val="auto"/>
        </w:rPr>
      </w:pPr>
    </w:p>
    <w:p>
      <w:pPr>
        <w:ind w:right="300"/>
        <w:spacing w:after="0" w:line="216" w:lineRule="exact"/>
        <w:rPr>
          <w:sz w:val="20"/>
          <w:szCs w:val="20"/>
          <w:color w:val="auto"/>
        </w:rPr>
      </w:pPr>
      <w:r>
        <w:rPr>
          <w:rFonts w:ascii="Arial" w:cs="Arial" w:eastAsia="Arial" w:hAnsi="Arial"/>
          <w:sz w:val="17"/>
          <w:szCs w:val="17"/>
          <w:b w:val="1"/>
          <w:bCs w:val="1"/>
          <w:i w:val="1"/>
          <w:iCs w:val="1"/>
          <w:color w:val="auto"/>
        </w:rPr>
        <w:t>The increasing importance of free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to</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play games to our business exposes us to the risks of that business model, including the dependence on a relatively small number of consumers for a significant portion of revenues and profits from any given game.</w:t>
      </w:r>
    </w:p>
    <w:p>
      <w:pPr>
        <w:spacing w:after="0" w:line="226" w:lineRule="exact"/>
        <w:rPr>
          <w:sz w:val="20"/>
          <w:szCs w:val="20"/>
          <w:color w:val="auto"/>
        </w:rPr>
      </w:pPr>
    </w:p>
    <w:p>
      <w:pPr>
        <w:ind w:right="280" w:firstLine="393"/>
        <w:spacing w:after="0" w:line="211" w:lineRule="exact"/>
        <w:rPr>
          <w:sz w:val="20"/>
          <w:szCs w:val="20"/>
          <w:color w:val="auto"/>
        </w:rPr>
      </w:pPr>
      <w:r>
        <w:rPr>
          <w:rFonts w:ascii="Arial" w:cs="Arial" w:eastAsia="Arial" w:hAnsi="Arial"/>
          <w:sz w:val="17"/>
          <w:szCs w:val="17"/>
          <w:color w:val="auto"/>
        </w:rPr>
        <w:t>We are increasingly dependent on our ability to develop, enhance, and monetize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 xml:space="preserve">play games, such as the games in our Candy Crush franchise, </w:t>
      </w:r>
      <w:r>
        <w:rPr>
          <w:rFonts w:ascii="Arial" w:cs="Arial" w:eastAsia="Arial" w:hAnsi="Arial"/>
          <w:sz w:val="17"/>
          <w:szCs w:val="17"/>
          <w:i w:val="1"/>
          <w:iCs w:val="1"/>
          <w:color w:val="auto"/>
        </w:rPr>
        <w:t>Hearthstone, Call of Duty: Warzone</w:t>
      </w:r>
      <w:r>
        <w:rPr>
          <w:rFonts w:ascii="Arial" w:cs="Arial" w:eastAsia="Arial" w:hAnsi="Arial"/>
          <w:sz w:val="17"/>
          <w:szCs w:val="17"/>
          <w:color w:val="auto"/>
        </w:rPr>
        <w:t>™, and</w:t>
      </w:r>
      <w:r>
        <w:rPr>
          <w:rFonts w:ascii="Arial" w:cs="Arial" w:eastAsia="Arial" w:hAnsi="Arial"/>
          <w:sz w:val="17"/>
          <w:szCs w:val="17"/>
          <w:i w:val="1"/>
          <w:iCs w:val="1"/>
          <w:color w:val="auto"/>
        </w:rPr>
        <w:t xml:space="preserve"> Call of Duty: Mobile</w:t>
      </w:r>
      <w:r>
        <w:rPr>
          <w:rFonts w:ascii="Arial" w:cs="Arial" w:eastAsia="Arial" w:hAnsi="Arial"/>
          <w:sz w:val="17"/>
          <w:szCs w:val="17"/>
          <w:color w:val="auto"/>
        </w:rPr>
        <w:t>. As such, we are increasingly exposed to the risks of the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play business model.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we may invest in the development of new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play interactive entertainment products that are not successful in building and maintaining a significant player base, in which case our revenues from those products likely will be lower than anticipated and we may not recover our development costs. Further, our business may be negatively impacted if: (1) we are unable to encourage new and existing consumers to purchase our virtual items; (2) we fail to offer monetization features that appeal to these consumers; (3) our platform providers make it more difficult or expensive for players to purchase our virtual items; and/or (4) our free-to-play releases reduce sales of our other games.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global company and are subject to the risks and uncertainties of conducting business outside the U.S.</w:t>
      </w:r>
    </w:p>
    <w:p>
      <w:pPr>
        <w:spacing w:after="0" w:line="250" w:lineRule="exact"/>
        <w:rPr>
          <w:sz w:val="20"/>
          <w:szCs w:val="20"/>
          <w:color w:val="auto"/>
        </w:rPr>
      </w:pPr>
    </w:p>
    <w:p>
      <w:pPr>
        <w:ind w:right="60" w:firstLine="393"/>
        <w:spacing w:after="0" w:line="303" w:lineRule="auto"/>
        <w:rPr>
          <w:sz w:val="20"/>
          <w:szCs w:val="20"/>
          <w:color w:val="auto"/>
        </w:rPr>
      </w:pPr>
      <w:r>
        <w:rPr>
          <w:rFonts w:ascii="Arial" w:cs="Arial" w:eastAsia="Arial" w:hAnsi="Arial"/>
          <w:sz w:val="15"/>
          <w:szCs w:val="15"/>
          <w:color w:val="auto"/>
        </w:rPr>
        <w:t>We conduct business throughout the world, and we derive a substantial amount of our revenues and profits from international trade, particularly from Europe and Asia. We expect that international sales will continue to account for a significant portion of our total revenues and profits and, moreover, that sales in emerging markets in Asia and elsewhere will continue to be an important part of our international sales. As such, we are, and may be increasingly, subject to risks inherent in foreign trade generally, as well as risks inherent in doing business in non-U.S.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180"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A deterioration in relations between either us or the U.S. and any country in which we have significant operations or sales, or the implementation of government regulations in the U.S. or such a country, could result in the adoption or expansion of trade restrictions, including economic sanctions or absolute prohibitions, that could have a negative impact on our business. For instance, to operate in China, all games must have regulatory approval. A decision by the Chinese government to revoke its approval for any of our games or to decline to approve any products we desire to sell in China in the future could have a negative impact on our business, as could delays in the approval process. Additionally, in the past, legislation has been implemented in China that has required modifications to our products and our business model to satisfy regulatory requirements, such as Chinese regulations that limit the number of hours per week children under the age of 18 can play video games. The future implementation of similar or new laws or regulations in China or any other country in which we have operations or sales may restrict or prohibit the sale of our products or may require engineering modifications to our products and our business model that are not cost</w:t>
      </w:r>
      <w:r>
        <w:rPr>
          <w:rFonts w:ascii="MS PGothic" w:cs="MS PGothic" w:eastAsia="MS PGothic" w:hAnsi="MS PGothic"/>
          <w:sz w:val="16"/>
          <w:szCs w:val="16"/>
          <w:color w:val="auto"/>
        </w:rPr>
        <w:t>‑</w:t>
      </w:r>
      <w:r>
        <w:rPr>
          <w:rFonts w:ascii="Arial" w:cs="Arial" w:eastAsia="Arial" w:hAnsi="Arial"/>
          <w:sz w:val="16"/>
          <w:szCs w:val="16"/>
          <w:color w:val="auto"/>
        </w:rPr>
        <w:t>effective, if even feasible at all, or could degrade the consumer experience to the point where consumers cease to purchase such products. Changes in Chinese game approval procedures in 2018 have resulted in reduced rates of approval for games and unclear approval timeframes, making it uncertain as to if and when our new products will be approved for release in China. Further, the continued enforcement of regulations relating to mobile and other games with an online element in China could have a negative impact on our business in China.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The laws of some countries either do not protect our products, brands, and intellectual property to the same extent as the laws of the U.S. or are inconsistently enforced. Legal protection of our rights may be ineffective in countries with weaker intellectual property enforcement mechanisms. In addition, certain third parties have registered our intellectual property rights without authorization in foreign countries. Successfully registering such intellectual property rights could limit or restrict our ability to offer products and services based on such rights in those countries. Although we take steps to enforce and police our rights, our practices and methodologies may not be effective against all eventualities.</w:t>
      </w:r>
    </w:p>
    <w:p>
      <w:pPr>
        <w:spacing w:after="0" w:line="206"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If we do not correctly assess consumer preferences in the countries in which we sell our products, it could negatively impact our business.</w:t>
      </w:r>
    </w:p>
    <w:p>
      <w:pPr>
        <w:spacing w:after="0" w:line="198" w:lineRule="exact"/>
        <w:rPr>
          <w:sz w:val="20"/>
          <w:szCs w:val="20"/>
          <w:color w:val="auto"/>
        </w:rPr>
      </w:pPr>
    </w:p>
    <w:p>
      <w:pPr>
        <w:ind w:right="60" w:firstLine="393"/>
        <w:spacing w:after="0" w:line="212" w:lineRule="exact"/>
        <w:rPr>
          <w:sz w:val="20"/>
          <w:szCs w:val="20"/>
          <w:color w:val="auto"/>
        </w:rPr>
      </w:pPr>
      <w:r>
        <w:rPr>
          <w:rFonts w:ascii="Arial" w:cs="Arial" w:eastAsia="Arial" w:hAnsi="Arial"/>
          <w:sz w:val="16"/>
          <w:szCs w:val="16"/>
          <w:color w:val="auto"/>
        </w:rPr>
        <w:t>We are also subject to risks that our operations outside the U.S. could be conducted by our employees, contractors, third</w:t>
      </w:r>
      <w:r>
        <w:rPr>
          <w:rFonts w:ascii="MS PGothic" w:cs="MS PGothic" w:eastAsia="MS PGothic" w:hAnsi="MS PGothic"/>
          <w:sz w:val="16"/>
          <w:szCs w:val="16"/>
          <w:color w:val="auto"/>
        </w:rPr>
        <w:t>‑</w:t>
      </w:r>
      <w:r>
        <w:rPr>
          <w:rFonts w:ascii="Arial" w:cs="Arial" w:eastAsia="Arial" w:hAnsi="Arial"/>
          <w:sz w:val="16"/>
          <w:szCs w:val="16"/>
          <w:color w:val="auto"/>
        </w:rPr>
        <w:t>party partners, representatives, or agents in ways that violate the Foreign Corrupt Practices Act, the U.K. Anti</w:t>
      </w:r>
      <w:r>
        <w:rPr>
          <w:rFonts w:ascii="MS PGothic" w:cs="MS PGothic" w:eastAsia="MS PGothic" w:hAnsi="MS PGothic"/>
          <w:sz w:val="16"/>
          <w:szCs w:val="16"/>
          <w:color w:val="auto"/>
        </w:rPr>
        <w:t>‑</w:t>
      </w:r>
      <w:r>
        <w:rPr>
          <w:rFonts w:ascii="Arial" w:cs="Arial" w:eastAsia="Arial" w:hAnsi="Arial"/>
          <w:sz w:val="16"/>
          <w:szCs w:val="16"/>
          <w:color w:val="auto"/>
        </w:rPr>
        <w:t>Bribery Act, or other similar anti</w:t>
      </w:r>
      <w:r>
        <w:rPr>
          <w:rFonts w:ascii="MS PGothic" w:cs="MS PGothic" w:eastAsia="MS PGothic" w:hAnsi="MS PGothic"/>
          <w:sz w:val="16"/>
          <w:szCs w:val="16"/>
          <w:color w:val="auto"/>
        </w:rPr>
        <w:t>‑</w:t>
      </w:r>
      <w:r>
        <w:rPr>
          <w:rFonts w:ascii="Arial" w:cs="Arial" w:eastAsia="Arial" w:hAnsi="Arial"/>
          <w:sz w:val="16"/>
          <w:szCs w:val="16"/>
          <w:color w:val="auto"/>
        </w:rPr>
        <w:t>bribery laws, as well as the 2017 U.K. Criminal Finances Act or other similar financial crime laws. While we have policies, procedures, and training for our employees, intended to secure compliance with these laws, our employees, contractors, third</w:t>
      </w:r>
      <w:r>
        <w:rPr>
          <w:rFonts w:ascii="MS PGothic" w:cs="MS PGothic" w:eastAsia="MS PGothic" w:hAnsi="MS PGothic"/>
          <w:sz w:val="16"/>
          <w:szCs w:val="16"/>
          <w:color w:val="auto"/>
        </w:rPr>
        <w:t>‑</w:t>
      </w:r>
      <w:r>
        <w:rPr>
          <w:rFonts w:ascii="Arial" w:cs="Arial" w:eastAsia="Arial" w:hAnsi="Arial"/>
          <w:sz w:val="16"/>
          <w:szCs w:val="16"/>
          <w:color w:val="auto"/>
        </w:rPr>
        <w:t>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importance of retail sales to our business exposes us to the risks of that business model.</w:t>
      </w:r>
    </w:p>
    <w:p>
      <w:pPr>
        <w:spacing w:after="0" w:line="250" w:lineRule="exact"/>
        <w:rPr>
          <w:sz w:val="20"/>
          <w:szCs w:val="20"/>
          <w:color w:val="auto"/>
        </w:rPr>
      </w:pPr>
    </w:p>
    <w:p>
      <w:pPr>
        <w:ind w:right="100" w:firstLine="393"/>
        <w:spacing w:after="0" w:line="212" w:lineRule="exact"/>
        <w:rPr>
          <w:sz w:val="20"/>
          <w:szCs w:val="20"/>
          <w:color w:val="auto"/>
        </w:rPr>
      </w:pPr>
      <w:r>
        <w:rPr>
          <w:rFonts w:ascii="Arial" w:cs="Arial" w:eastAsia="Arial" w:hAnsi="Arial"/>
          <w:sz w:val="17"/>
          <w:szCs w:val="17"/>
          <w:color w:val="auto"/>
        </w:rPr>
        <w:t>While the proportion of our revenues derived from traditional retail sales, as compared to revenue from digital distribution channels, continues to decline, retail sales remain important to our business. Such sales are made primarily on a purchase order basis without long</w:t>
      </w:r>
      <w:r>
        <w:rPr>
          <w:rFonts w:ascii="MS PGothic" w:cs="MS PGothic" w:eastAsia="MS PGothic" w:hAnsi="MS PGothic"/>
          <w:sz w:val="17"/>
          <w:szCs w:val="17"/>
          <w:color w:val="auto"/>
        </w:rPr>
        <w:t>‑</w:t>
      </w:r>
      <w:r>
        <w:rPr>
          <w:rFonts w:ascii="Arial" w:cs="Arial" w:eastAsia="Arial" w:hAnsi="Arial"/>
          <w:sz w:val="17"/>
          <w:szCs w:val="17"/>
          <w:color w:val="auto"/>
        </w:rPr>
        <w:t>term agreements or other forms of commitments, and due to the increased proportion of our revenue from digital distribution channels, our retail customers and distributors have generally been reducing the levels of inventory they are willing to carry. The loss of, or significant reduction in sales to, any of Activision’s principal retail customers or distributors, including digital distributors, could have adverse consequences.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expected benefits of our recent restructuring actions.</w:t>
      </w:r>
    </w:p>
    <w:p>
      <w:pPr>
        <w:spacing w:after="0" w:line="250" w:lineRule="exact"/>
        <w:rPr>
          <w:sz w:val="20"/>
          <w:szCs w:val="20"/>
          <w:color w:val="auto"/>
        </w:rPr>
      </w:pPr>
    </w:p>
    <w:p>
      <w:pPr>
        <w:ind w:right="280" w:firstLine="393"/>
        <w:spacing w:after="0" w:line="314" w:lineRule="auto"/>
        <w:rPr>
          <w:sz w:val="20"/>
          <w:szCs w:val="20"/>
          <w:color w:val="auto"/>
        </w:rPr>
      </w:pPr>
      <w:r>
        <w:rPr>
          <w:rFonts w:ascii="Arial" w:cs="Arial" w:eastAsia="Arial" w:hAnsi="Arial"/>
          <w:sz w:val="15"/>
          <w:szCs w:val="15"/>
          <w:color w:val="auto"/>
        </w:rPr>
        <w:t>During 2019, we began implementing a plan aimed at refocusing our resources on our largest opportunities and removing unnecessary levels of complexity and duplication from certain parts of our business. While we believe this plan enables us to provide better opportunities for talent, and greater expertise and scale over the long term, our ability to achieve the desired and anticipated benefits from the plan is subject to many estimates and assumptions. These estimates and assumptions are also subject to significant economic, competitive, and other uncertainties, some of which are beyond our control.</w:t>
      </w:r>
    </w:p>
    <w:p>
      <w:pPr>
        <w:spacing w:after="0" w:line="173"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Additionally, there can be no assurance that our business will be more efficient or effective than prior to implementation of the plan, and we do not expect to realize significant net savings as a result of the plan as cost reductions in our selling, general and administrative activities are expected to be offset by increased investment in product development. Any of these consequences could negatively impact our business. In addition, there can be no assurance that additional plans will not be required or implemented in the future.</w:t>
      </w:r>
    </w:p>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We engage in strategic transactions and may encounter difficulties in integrating acquired businesses or otherwise realizing the anticipated benefits of these transactions.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As part of our business strategy, from time to time, we acquire, make investments in, or enter into strategic alliances and joint ventures with, complementary businesses. These transactions may involve significant risks and uncertainties, including: (1)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w:t>
      </w:r>
      <w:r>
        <w:rPr>
          <w:rFonts w:ascii="MS PGothic" w:cs="MS PGothic" w:eastAsia="MS PGothic" w:hAnsi="MS PGothic"/>
          <w:sz w:val="16"/>
          <w:szCs w:val="16"/>
          <w:color w:val="auto"/>
        </w:rPr>
        <w:t>‑</w:t>
      </w:r>
      <w:r>
        <w:rPr>
          <w:rFonts w:ascii="Arial" w:cs="Arial" w:eastAsia="Arial" w:hAnsi="Arial"/>
          <w:sz w:val="16"/>
          <w:szCs w:val="16"/>
          <w:color w:val="auto"/>
        </w:rPr>
        <w:t>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and (vi) the potential loss of key employees of the acquired businesses; and (2) in the case of an investment, alliance, or joint venture, (i) our ability to cooperate with our partner, (ii) our partner having economic, business, or legal interests or goals that are inconsistent with ours, and (iii) the potential that our partner may be unable to meet its economic or other obligations, which may require us to fulfill those obligations alone.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seasonality in the sale of our products.</w:t>
      </w:r>
    </w:p>
    <w:p>
      <w:pPr>
        <w:spacing w:after="0" w:line="250" w:lineRule="exact"/>
        <w:rPr>
          <w:sz w:val="20"/>
          <w:szCs w:val="20"/>
          <w:color w:val="auto"/>
        </w:rPr>
      </w:pPr>
    </w:p>
    <w:p>
      <w:pPr>
        <w:ind w:right="120" w:firstLine="393"/>
        <w:spacing w:after="0" w:line="213" w:lineRule="exact"/>
        <w:rPr>
          <w:sz w:val="20"/>
          <w:szCs w:val="20"/>
          <w:color w:val="auto"/>
        </w:rPr>
      </w:pPr>
      <w:r>
        <w:rPr>
          <w:rFonts w:ascii="Arial" w:cs="Arial" w:eastAsia="Arial" w:hAnsi="Arial"/>
          <w:sz w:val="15"/>
          <w:szCs w:val="15"/>
          <w:color w:val="auto"/>
        </w:rPr>
        <w:t>The interactive entertainment industry is somewhat seasonal, with the highest levels of consumer demand occurring during the calendar year</w:t>
      </w:r>
      <w:r>
        <w:rPr>
          <w:rFonts w:ascii="MS PGothic" w:cs="MS PGothic" w:eastAsia="MS PGothic" w:hAnsi="MS PGothic"/>
          <w:sz w:val="15"/>
          <w:szCs w:val="15"/>
          <w:color w:val="auto"/>
        </w:rPr>
        <w:t>‑</w:t>
      </w:r>
      <w:r>
        <w:rPr>
          <w:rFonts w:ascii="Arial" w:cs="Arial" w:eastAsia="Arial" w:hAnsi="Arial"/>
          <w:sz w:val="15"/>
          <w:szCs w:val="15"/>
          <w:color w:val="auto"/>
        </w:rPr>
        <w:t>end holiday buying season. As a result, our sales, particularly for our Activision segment, receivables, and credit risk, are higher during the fourth quarter of the year, as consumers and retailers increase their purchases in anticipation of the holiday season. Delays in development, approvals or manufacturing could affect the release of products, causing us to miss key selling periods such as the year</w:t>
      </w:r>
      <w:r>
        <w:rPr>
          <w:rFonts w:ascii="MS PGothic" w:cs="MS PGothic" w:eastAsia="MS PGothic" w:hAnsi="MS PGothic"/>
          <w:sz w:val="15"/>
          <w:szCs w:val="15"/>
          <w:color w:val="auto"/>
        </w:rPr>
        <w:t>‑</w:t>
      </w:r>
      <w:r>
        <w:rPr>
          <w:rFonts w:ascii="Arial" w:cs="Arial" w:eastAsia="Arial" w:hAnsi="Arial"/>
          <w:sz w:val="15"/>
          <w:szCs w:val="15"/>
          <w:color w:val="auto"/>
        </w:rPr>
        <w:t>end holiday buying season, which could negatively impact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recurring business is subject to fluctuation, and we could see a decline in that portion of our business.</w:t>
      </w:r>
    </w:p>
    <w:p>
      <w:pPr>
        <w:spacing w:after="0" w:line="250" w:lineRule="exact"/>
        <w:rPr>
          <w:sz w:val="20"/>
          <w:szCs w:val="20"/>
          <w:color w:val="auto"/>
        </w:rPr>
      </w:pPr>
    </w:p>
    <w:p>
      <w:pPr>
        <w:ind w:right="160" w:firstLine="393"/>
        <w:spacing w:after="0" w:line="264" w:lineRule="auto"/>
        <w:rPr>
          <w:sz w:val="20"/>
          <w:szCs w:val="20"/>
          <w:color w:val="auto"/>
        </w:rPr>
      </w:pPr>
      <w:r>
        <w:rPr>
          <w:rFonts w:ascii="Arial" w:cs="Arial" w:eastAsia="Arial" w:hAnsi="Arial"/>
          <w:sz w:val="17"/>
          <w:szCs w:val="17"/>
          <w:color w:val="auto"/>
        </w:rPr>
        <w:t xml:space="preserve">Our business model includes recurring revenue we deem recurring in nature, such as revenue from subscriptions for </w:t>
      </w:r>
      <w:r>
        <w:rPr>
          <w:rFonts w:ascii="Arial" w:cs="Arial" w:eastAsia="Arial" w:hAnsi="Arial"/>
          <w:sz w:val="17"/>
          <w:szCs w:val="17"/>
          <w:i w:val="1"/>
          <w:iCs w:val="1"/>
          <w:color w:val="auto"/>
        </w:rPr>
        <w:t>World of Warcraft</w:t>
      </w:r>
      <w:r>
        <w:rPr>
          <w:rFonts w:ascii="Arial" w:cs="Arial" w:eastAsia="Arial" w:hAnsi="Arial"/>
          <w:sz w:val="17"/>
          <w:szCs w:val="17"/>
          <w:color w:val="auto"/>
        </w:rPr>
        <w:t>. There is no guarantee that demand for this service will remain at current levels. Consumer demand has declined and fluctuated in the past, and could do so in the future. If consumers lose interest in our services; if we fail to adapt our services to changing markets, distribution channels, and business models; if we discontinue our services; if we, or third parties we rely on, experience network disruptions or outages; if our competitors offer more attractive services; if our advertising and marketing of our service fails; or if there is a general downturn in the market, revenues generated by this service may decline, which could negatively impact our business.</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business may be harmed if our distributors, retailers, development, and licensing partners, or other third parties with whom we are affiliated are unable to honor their commitments or act in ways that put our brand at risk.</w:t>
      </w:r>
    </w:p>
    <w:p>
      <w:pPr>
        <w:spacing w:after="0" w:line="185"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 many cases, our business partners and other third-party affiliates, which may include, among others, individuals or entities affiliated with the esports leagues we operate,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damage our reputation or our business. Further, should we terminate our relationship with a third-party affiliate for any reason, we may experience interruptions in our business and incur costs as we transition to a new partner.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developing our games, we rely on tools and technologies owned by third parties.</w:t>
      </w:r>
    </w:p>
    <w:p>
      <w:pPr>
        <w:spacing w:after="0" w:line="250" w:lineRule="exact"/>
        <w:rPr>
          <w:sz w:val="20"/>
          <w:szCs w:val="20"/>
          <w:color w:val="auto"/>
        </w:rPr>
      </w:pPr>
    </w:p>
    <w:p>
      <w:pPr>
        <w:ind w:right="260" w:firstLine="393"/>
        <w:spacing w:after="0" w:line="268" w:lineRule="auto"/>
        <w:rPr>
          <w:sz w:val="20"/>
          <w:szCs w:val="20"/>
          <w:color w:val="auto"/>
        </w:rPr>
      </w:pPr>
      <w:r>
        <w:rPr>
          <w:rFonts w:ascii="Arial" w:cs="Arial" w:eastAsia="Arial" w:hAnsi="Arial"/>
          <w:sz w:val="17"/>
          <w:szCs w:val="17"/>
          <w:color w:val="auto"/>
        </w:rPr>
        <w:t>In developing our games, we often use tools and technologies owned by third parties. If entities that own tools and technologies we use are acquired by our competitors we may lose access to such resources. Further, third party tools and technologies we use might be “sunsetted” or modified in such a way that would require us to engineer a workaround. Such events could cause delays in our production schedule and we may incur time and cost as we acquire or develop alternative assets.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We use open-source software in connection with some of the games and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w:t>
      </w:r>
      <w:r>
        <w:rPr>
          <w:rFonts w:ascii="MS PGothic" w:cs="MS PGothic" w:eastAsia="MS PGothic" w:hAnsi="MS PGothic"/>
          <w:sz w:val="16"/>
          <w:szCs w:val="16"/>
          <w:color w:val="auto"/>
        </w:rPr>
        <w:t>‑</w:t>
      </w:r>
      <w:r>
        <w:rPr>
          <w:rFonts w:ascii="Arial" w:cs="Arial" w:eastAsia="Arial" w:hAnsi="Arial"/>
          <w:sz w:val="16"/>
          <w:szCs w:val="16"/>
          <w:color w:val="auto"/>
        </w:rPr>
        <w:t>engineer our games or products, discontinue distribution in the event re</w:t>
      </w:r>
      <w:r>
        <w:rPr>
          <w:rFonts w:ascii="MS PGothic" w:cs="MS PGothic" w:eastAsia="MS PGothic" w:hAnsi="MS PGothic"/>
          <w:sz w:val="16"/>
          <w:szCs w:val="16"/>
          <w:color w:val="auto"/>
        </w:rPr>
        <w:t>‑</w:t>
      </w:r>
      <w:r>
        <w:rPr>
          <w:rFonts w:ascii="Arial" w:cs="Arial" w:eastAsia="Arial" w:hAnsi="Arial"/>
          <w:sz w:val="16"/>
          <w:szCs w:val="16"/>
          <w:color w:val="auto"/>
        </w:rPr>
        <w:t>engineering cannot be accomplished on a timely basis, or take other remedial action that may divert resources away from our game development efforts, any of which could negatively impact our business. Additionally, the shared nature of open source software may increase the ability of cyber-attackers to discover and exploit vulnerabilities, which may increase the likelihood of a data breach, ransomware, network interruption, or other type of cyber-attack against us or against third parties who may use open source software, such as our platform partners or key vendors, any of which could negatively impact our business.</w:t>
      </w:r>
    </w:p>
    <w:p>
      <w:pPr>
        <w:spacing w:after="0" w:line="226"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Our games may include undisclosed content or features. If our retailers refuse to sell such titles, or consumers refuse to purchase such titles, due to what they perceive to be objectionable undisclosed content, it could have a negative impact on our business.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Throughout the history of the interactive entertainment industry, many interactive software products have included hidden content and/or hidden gameplay features, some of which have been accessible through the use of in</w:t>
      </w:r>
      <w:r>
        <w:rPr>
          <w:rFonts w:ascii="MS PGothic" w:cs="MS PGothic" w:eastAsia="MS PGothic" w:hAnsi="MS PGothic"/>
          <w:sz w:val="16"/>
          <w:szCs w:val="16"/>
          <w:color w:val="auto"/>
        </w:rPr>
        <w:t>‑</w:t>
      </w:r>
      <w:r>
        <w:rPr>
          <w:rFonts w:ascii="Arial" w:cs="Arial" w:eastAsia="Arial" w:hAnsi="Arial"/>
          <w:sz w:val="16"/>
          <w:szCs w:val="16"/>
          <w:color w:val="auto"/>
        </w:rPr>
        <w:t>game codes or other technological means, that are intended to enhance the gameplay experience. In some cases, such undisclosed content or features have been considered to be objectionable. While publishers are required to disclose pertinent hidden content during the Entertainment Software Rating Board (the “ESRB”) ratings process, in a few cases, publishers have failed to disclose pertinent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stores, refusing to sell them, and demanding that their publishers accept them as product returns. Likewise, some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226" w:lineRule="exact"/>
        <w:rPr>
          <w:sz w:val="20"/>
          <w:szCs w:val="20"/>
          <w:color w:val="auto"/>
        </w:rPr>
      </w:pPr>
    </w:p>
    <w:p>
      <w:pPr>
        <w:ind w:right="460" w:firstLine="393"/>
        <w:spacing w:after="0" w:line="326" w:lineRule="auto"/>
        <w:rPr>
          <w:sz w:val="20"/>
          <w:szCs w:val="20"/>
          <w:color w:val="auto"/>
        </w:rPr>
      </w:pPr>
      <w:r>
        <w:rPr>
          <w:rFonts w:ascii="Arial" w:cs="Arial" w:eastAsia="Arial" w:hAnsi="Arial"/>
          <w:sz w:val="15"/>
          <w:szCs w:val="15"/>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63"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Our results of operations or reputation may be harmed as a result of objectionable consumer- or other third-party</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created content.</w:t>
      </w:r>
    </w:p>
    <w:p>
      <w:pPr>
        <w:spacing w:after="0" w:line="250" w:lineRule="exact"/>
        <w:rPr>
          <w:sz w:val="20"/>
          <w:szCs w:val="20"/>
          <w:color w:val="auto"/>
        </w:rPr>
      </w:pPr>
    </w:p>
    <w:p>
      <w:pPr>
        <w:ind w:right="80" w:firstLine="393"/>
        <w:spacing w:after="0" w:line="211" w:lineRule="exact"/>
        <w:rPr>
          <w:sz w:val="20"/>
          <w:szCs w:val="20"/>
          <w:color w:val="auto"/>
        </w:rPr>
      </w:pPr>
      <w:r>
        <w:rPr>
          <w:rFonts w:ascii="Arial" w:cs="Arial" w:eastAsia="Arial" w:hAnsi="Arial"/>
          <w:sz w:val="16"/>
          <w:szCs w:val="16"/>
          <w:color w:val="auto"/>
        </w:rPr>
        <w:t>Certain of our games and esports broadcasts support collaborative online features that allow consumers to communicate with one another and post narrative comments, in real time, that are visible to other consumers. Additionally, certain of our games allow consumers to create and share “user</w:t>
      </w:r>
      <w:r>
        <w:rPr>
          <w:rFonts w:ascii="MS PGothic" w:cs="MS PGothic" w:eastAsia="MS PGothic" w:hAnsi="MS PGothic"/>
          <w:sz w:val="16"/>
          <w:szCs w:val="16"/>
          <w:color w:val="auto"/>
        </w:rPr>
        <w:t>‑</w:t>
      </w:r>
      <w:r>
        <w:rPr>
          <w:rFonts w:ascii="Arial" w:cs="Arial" w:eastAsia="Arial" w:hAnsi="Arial"/>
          <w:sz w:val="16"/>
          <w:szCs w:val="16"/>
          <w:color w:val="auto"/>
        </w:rPr>
        <w:t>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Although we expend resources, and expect to continue to expend resources, to promote positive play, our efforts may not be successful due to scale, limitations of existing technologies, or other factors. We may be subject to lawsuits, governmental regulation or restrictions, and consumer backlash (including decreased sales and harmed reputation), as a result of consumers posting offensive content.</w:t>
      </w:r>
    </w:p>
    <w:p>
      <w:pPr>
        <w:spacing w:after="0" w:line="229" w:lineRule="exact"/>
        <w:rPr>
          <w:sz w:val="20"/>
          <w:szCs w:val="20"/>
          <w:color w:val="auto"/>
        </w:rPr>
      </w:pPr>
    </w:p>
    <w:p>
      <w:pPr>
        <w:ind w:right="40" w:firstLine="393"/>
        <w:spacing w:after="0" w:line="212" w:lineRule="exact"/>
        <w:rPr>
          <w:sz w:val="20"/>
          <w:szCs w:val="20"/>
          <w:color w:val="auto"/>
        </w:rPr>
      </w:pPr>
      <w:r>
        <w:rPr>
          <w:rFonts w:ascii="Arial" w:cs="Arial" w:eastAsia="Arial" w:hAnsi="Arial"/>
          <w:sz w:val="16"/>
          <w:szCs w:val="16"/>
          <w:color w:val="auto"/>
        </w:rPr>
        <w:t>Additionally, we have begun to generate revenue through offering advertising within certain of our franchises and in connection with our esports broadcasts. The content of in</w:t>
      </w:r>
      <w:r>
        <w:rPr>
          <w:rFonts w:ascii="MS PGothic" w:cs="MS PGothic" w:eastAsia="MS PGothic" w:hAnsi="MS PGothic"/>
          <w:sz w:val="16"/>
          <w:szCs w:val="16"/>
          <w:color w:val="auto"/>
        </w:rPr>
        <w:t>‑</w:t>
      </w:r>
      <w:r>
        <w:rPr>
          <w:rFonts w:ascii="Arial" w:cs="Arial" w:eastAsia="Arial" w:hAnsi="Arial"/>
          <w:sz w:val="16"/>
          <w:szCs w:val="16"/>
          <w:color w:val="auto"/>
        </w:rPr>
        <w:t>game and esports broadcast advertisements may be created and delivered by third</w:t>
      </w:r>
      <w:r>
        <w:rPr>
          <w:rFonts w:ascii="MS PGothic" w:cs="MS PGothic" w:eastAsia="MS PGothic" w:hAnsi="MS PGothic"/>
          <w:sz w:val="16"/>
          <w:szCs w:val="16"/>
          <w:color w:val="auto"/>
        </w:rPr>
        <w:t>‑</w:t>
      </w:r>
      <w:r>
        <w:rPr>
          <w:rFonts w:ascii="Arial" w:cs="Arial" w:eastAsia="Arial" w:hAnsi="Arial"/>
          <w:sz w:val="16"/>
          <w:szCs w:val="16"/>
          <w:color w:val="auto"/>
        </w:rPr>
        <w:t>party advertisers without our pre</w:t>
      </w:r>
      <w:r>
        <w:rPr>
          <w:rFonts w:ascii="MS PGothic" w:cs="MS PGothic" w:eastAsia="MS PGothic" w:hAnsi="MS PGothic"/>
          <w:sz w:val="16"/>
          <w:szCs w:val="16"/>
          <w:color w:val="auto"/>
        </w:rPr>
        <w:t>‑</w:t>
      </w:r>
      <w:r>
        <w:rPr>
          <w:rFonts w:ascii="Arial" w:cs="Arial" w:eastAsia="Arial" w:hAnsi="Arial"/>
          <w:sz w:val="16"/>
          <w:szCs w:val="16"/>
          <w:color w:val="auto"/>
        </w:rPr>
        <w:t>approval, and, as such, objectionable content may be published in our games or during our esports broadcasts by these advertisers. This objectionable third-party</w:t>
      </w:r>
      <w:r>
        <w:rPr>
          <w:rFonts w:ascii="MS PGothic" w:cs="MS PGothic" w:eastAsia="MS PGothic" w:hAnsi="MS PGothic"/>
          <w:sz w:val="16"/>
          <w:szCs w:val="16"/>
          <w:color w:val="auto"/>
        </w:rPr>
        <w:t>‑</w:t>
      </w:r>
      <w:r>
        <w:rPr>
          <w:rFonts w:ascii="Arial" w:cs="Arial" w:eastAsia="Arial" w:hAnsi="Arial"/>
          <w:sz w:val="16"/>
          <w:szCs w:val="16"/>
          <w:color w:val="auto"/>
        </w:rPr>
        <w:t>created content may expose us to regulatory action or claims related to content, or otherwise negatively impact our business. We may also be subject to consumer backlash from comments made in response to postings we make on social media sites such as Facebook, YouTube, and Twitter.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outages, disruptions, or degradations in our services, products, and/or technological infrastructure.</w:t>
      </w:r>
    </w:p>
    <w:p>
      <w:pPr>
        <w:spacing w:after="0" w:line="250"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The reliable performance of our products and services depends on the continuing operation and availability of our information technology systems and those of our external service providers, including third-party “cloud” computing services. Our games and services are complex software products, and maintaining the sophisticated internal and external technological infrastructure required to reliably deliver these games and services is expensive and complex. The reliable delivery and stability of our products and services has been, and could in the future be, adversely impacted by outages, disruptions, failures, or degradations in our network and related infrastructure, as well as in the online platforms or services of key business partners that offer, support or host our products and services. The reliability and stability of our products and services has been affected by events outside of our control as well as by events within our control, such as the migration of data among data centers and to third-party hosted environments, the performance of upgrades and maintenance on our systems, and online demand for our products and services that exceeds the capabilities of our technological infrastructure.</w:t>
      </w:r>
    </w:p>
    <w:p>
      <w:pPr>
        <w:spacing w:after="0" w:line="197"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If we or our external business partners were to experience an event that caused a significant system outage, disruption, or degradation or if a transition among data centers or service providers or an upgrade or maintenance session encountered unexpected interruptions, unforeseen complexity, or unplanned disruptions, our products and services may not be available to consumers or may not be delivered reliably and stably. As a result, our reputation and brand may be harmed, consumer engagement with our products and services may be reduced, and our revenue and profitability could be negatively impacted. We do not have redundancy for all our systems and many of our critical applications reside in only one of our data centers, which may make such an event more damaging to us.</w:t>
      </w:r>
    </w:p>
    <w:p>
      <w:pPr>
        <w:spacing w:after="0" w:line="205"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As our digital business grows, we will require an increasing amount of internal and external technical infrastructure, including network capacity and computing power to continue to satisfy the needs of our players. We are investing, and expect to continue to invest, in our own technology, hardware, and software and the technology, hardware, and software of external service providers to support our business. It is possible that we may fail to scale effectively and grow this technical infrastructure to accommodate increased demands, which may adversely affect the reliable and stable performance of our games and services, therefore negatively impact our business.</w:t>
      </w:r>
    </w:p>
    <w:p>
      <w:pPr>
        <w:spacing w:after="0" w:line="206" w:lineRule="exact"/>
        <w:rPr>
          <w:sz w:val="20"/>
          <w:szCs w:val="20"/>
          <w:color w:val="auto"/>
        </w:rPr>
      </w:pPr>
    </w:p>
    <w:p>
      <w:pPr>
        <w:ind w:right="120"/>
        <w:spacing w:after="0" w:line="216" w:lineRule="exact"/>
        <w:rPr>
          <w:sz w:val="20"/>
          <w:szCs w:val="20"/>
          <w:color w:val="auto"/>
        </w:rPr>
      </w:pPr>
      <w:r>
        <w:rPr>
          <w:rFonts w:ascii="Arial" w:cs="Arial" w:eastAsia="Arial" w:hAnsi="Arial"/>
          <w:sz w:val="17"/>
          <w:szCs w:val="17"/>
          <w:b w:val="1"/>
          <w:bCs w:val="1"/>
          <w:i w:val="1"/>
          <w:iCs w:val="1"/>
          <w:color w:val="auto"/>
        </w:rPr>
        <w:t>Any cybersecurity</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related attack, significant data breach, fraudulent activity, or disruption of the information technology systems or networks on which we rely could negatively impact our business.</w:t>
      </w:r>
    </w:p>
    <w:p>
      <w:pPr>
        <w:spacing w:after="0" w:line="226" w:lineRule="exact"/>
        <w:rPr>
          <w:sz w:val="20"/>
          <w:szCs w:val="20"/>
          <w:color w:val="auto"/>
        </w:rPr>
      </w:pPr>
    </w:p>
    <w:p>
      <w:pPr>
        <w:ind w:right="20" w:firstLine="393"/>
        <w:spacing w:after="0" w:line="211" w:lineRule="exact"/>
        <w:rPr>
          <w:sz w:val="20"/>
          <w:szCs w:val="20"/>
          <w:color w:val="auto"/>
        </w:rPr>
      </w:pPr>
      <w:r>
        <w:rPr>
          <w:rFonts w:ascii="Arial" w:cs="Arial" w:eastAsia="Arial" w:hAnsi="Arial"/>
          <w:sz w:val="16"/>
          <w:szCs w:val="16"/>
          <w:color w:val="auto"/>
        </w:rPr>
        <w:t>In the course of our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business, we and third parties operating on our behalf create, store, and/or use commercially sensitive information, such as the source code and game assets for our interactive entertainment software products and sensitive and confidential information with respect to our customers, consumers, and employees. A malicious cybersecurity</w:t>
      </w:r>
      <w:r>
        <w:rPr>
          <w:rFonts w:ascii="MS PGothic" w:cs="MS PGothic" w:eastAsia="MS PGothic" w:hAnsi="MS PGothic"/>
          <w:sz w:val="16"/>
          <w:szCs w:val="16"/>
          <w:color w:val="auto"/>
        </w:rPr>
        <w:t>‑</w:t>
      </w:r>
      <w:r>
        <w:rPr>
          <w:rFonts w:ascii="Arial" w:cs="Arial" w:eastAsia="Arial" w:hAnsi="Arial"/>
          <w:sz w:val="16"/>
          <w:szCs w:val="16"/>
          <w:color w:val="auto"/>
        </w:rPr>
        <w:t>related attack, intrusion, or disruption by hackers (including through spyware, ransomware, viruses, phishing, denial of service, and similar attacks) or other breach of the systems (including harm or improper access due to error by employees or third parties who have authorized access)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w:t>
      </w:r>
      <w:r>
        <w:rPr>
          <w:rFonts w:ascii="MS PGothic" w:cs="MS PGothic" w:eastAsia="MS PGothic" w:hAnsi="MS PGothic"/>
          <w:sz w:val="16"/>
          <w:szCs w:val="16"/>
          <w:color w:val="auto"/>
        </w:rPr>
        <w:t>‑</w:t>
      </w:r>
      <w:r>
        <w:rPr>
          <w:rFonts w:ascii="Arial" w:cs="Arial" w:eastAsia="Arial" w:hAnsi="Arial"/>
          <w:sz w:val="16"/>
          <w:szCs w:val="16"/>
          <w:color w:val="auto"/>
        </w:rPr>
        <w:t>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change frequently, we may be unable to anticipate these techniques or implement adequate preventative measures. A data intrusion into a server for a game with online features or for our proprietary online gaming platform could also disrupt the operation of such game or platform. If we are subject to cybersecurity breaches, or a security</w:t>
      </w:r>
      <w:r>
        <w:rPr>
          <w:rFonts w:ascii="MS PGothic" w:cs="MS PGothic" w:eastAsia="MS PGothic" w:hAnsi="MS PGothic"/>
          <w:sz w:val="16"/>
          <w:szCs w:val="16"/>
          <w:color w:val="auto"/>
        </w:rPr>
        <w:t>‑</w:t>
      </w:r>
      <w:r>
        <w:rPr>
          <w:rFonts w:ascii="Arial" w:cs="Arial" w:eastAsia="Arial" w:hAnsi="Arial"/>
          <w:sz w:val="16"/>
          <w:szCs w:val="16"/>
          <w:color w:val="auto"/>
        </w:rPr>
        <w:t>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Additionally, although we maintain insurance policies, they may be insufficient to reimburse us for all losses or all types of claims that may be caused by cyberbreaches or system or network disruptions, and it is uncertain whether we will be able to maintain our current level of coverage in the future. Moreover,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Additionally, many of our games include virtual economies, comprising virtual currencies and assets, which are subject to fraud, exploitation, and abuse. In-game exploits and the use of automated or other fraudulent practices to generate virtual currency or assets illegitimately can detract from players’ enjoyment of our games and can cause loss of revenue and harm to our reputation. Further, the measures we take to remedy abuse and protect against future fraudulent actions can be costly and time-consuming and may negatively impact our operations and financial outlook.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 during our live events may adversely affect our business.</w:t>
      </w:r>
    </w:p>
    <w:p>
      <w:pPr>
        <w:spacing w:after="0" w:line="25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as well as the teams in the esports leagues we operate, host live events each year, many of which are attended by a large number of people. There are many risks that are inherent in large gatherings of people, including actual or threatened terrorist attacks or other acts of violence, fire, explosion, protests, and riots, and other safety or security issues, any one of which could result in injury or death to attendees and/or damage to the facilities at which such an event is hosted. While we maintain insurance policies, they may be insufficient to reimburse us for all losses or all types of claims that may be caused by such an event. Moreover, if there were a public perception that the safety or security measures are inadequate at the events we host or events hosted by teams in the esports leagues we operate, whether or not the case, it could result in reputational damage and a decline in future attendance at events hosted by us or those teams. Any one of these things could harm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250"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Our corporate headquarters and our primary corporate data center are located in the Los Angeles, California area, which is near a major earthquake fault. A major earthquake or other catastrophic event that results in the destruction or disruption of any of our critical business or information technology systems, impacts the health and safety of our employees or the employees of third-party affiliates and the regulatory agencies we rely on,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to protect us against such events. Any such event could also limit the ability of retailers, distributors, or our other customers to sell or distribute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may have an impact on our business.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Risks related to climate change are increasing in both impact and type. We do not expect significant near-term impacts to our operations as a result of</w:t>
      </w:r>
    </w:p>
    <w:p>
      <w:pPr>
        <w:spacing w:after="0" w:line="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climate change, but long-term impacts remain unknown. There may be business or operational risk due to the significant impacts that climate change could pose to our employees’ lives, consumers’ lives, our supply chain, or other operational disruptions from climate change-related weather events. In addition, rapidly changing customer and regulatory requirements, along with stakeholder expectations, to reduce carbon emissions and otherwise to reduce our environmental footprint could increase our costs of operations to comply or present a risk of loss of business if we are not able to meet those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corporate documents and Delaware state law could delay or prevent a change of control.</w:t>
      </w:r>
    </w:p>
    <w:p>
      <w:pPr>
        <w:spacing w:after="0" w:line="250" w:lineRule="exact"/>
        <w:rPr>
          <w:sz w:val="20"/>
          <w:szCs w:val="20"/>
          <w:color w:val="auto"/>
        </w:rPr>
      </w:pPr>
    </w:p>
    <w:p>
      <w:pPr>
        <w:ind w:right="60" w:firstLine="393"/>
        <w:spacing w:after="0" w:line="212" w:lineRule="exact"/>
        <w:rPr>
          <w:sz w:val="20"/>
          <w:szCs w:val="20"/>
          <w:color w:val="auto"/>
        </w:rPr>
      </w:pPr>
      <w:r>
        <w:rPr>
          <w:rFonts w:ascii="Arial" w:cs="Arial" w:eastAsia="Arial" w:hAnsi="Arial"/>
          <w:sz w:val="17"/>
          <w:szCs w:val="17"/>
          <w:color w:val="auto"/>
        </w:rPr>
        <w:t>Our Fifth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w:t>
      </w:r>
      <w:r>
        <w:rPr>
          <w:rFonts w:ascii="MS PGothic" w:cs="MS PGothic" w:eastAsia="MS PGothic" w:hAnsi="MS PGothic"/>
          <w:sz w:val="17"/>
          <w:szCs w:val="17"/>
          <w:color w:val="auto"/>
        </w:rPr>
        <w:t>‑</w:t>
      </w:r>
      <w:r>
        <w:rPr>
          <w:rFonts w:ascii="Arial" w:cs="Arial" w:eastAsia="Arial" w:hAnsi="Arial"/>
          <w:sz w:val="17"/>
          <w:szCs w:val="17"/>
          <w:color w:val="auto"/>
        </w:rPr>
        <w:t>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Regulatory and Legal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legal proceedings regarding workplace concerns that have negatively affected our reputation.</w:t>
      </w:r>
    </w:p>
    <w:p>
      <w:pPr>
        <w:spacing w:after="0" w:line="250" w:lineRule="exact"/>
        <w:rPr>
          <w:sz w:val="20"/>
          <w:szCs w:val="20"/>
          <w:color w:val="auto"/>
        </w:rPr>
      </w:pPr>
    </w:p>
    <w:p>
      <w:pPr>
        <w:ind w:right="20" w:firstLine="393"/>
        <w:spacing w:after="0" w:line="279" w:lineRule="auto"/>
        <w:rPr>
          <w:rFonts w:ascii="Arial" w:cs="Arial" w:eastAsia="Arial" w:hAnsi="Arial"/>
          <w:sz w:val="16"/>
          <w:szCs w:val="16"/>
          <w:color w:val="auto"/>
        </w:rPr>
      </w:pPr>
      <w:r>
        <w:rPr>
          <w:rFonts w:ascii="Arial" w:cs="Arial" w:eastAsia="Arial" w:hAnsi="Arial"/>
          <w:sz w:val="16"/>
          <w:szCs w:val="16"/>
          <w:color w:val="auto"/>
        </w:rPr>
        <w:t xml:space="preserve">As described in </w:t>
      </w:r>
      <w:hyperlink w:anchor="page115">
        <w:r>
          <w:rPr>
            <w:rFonts w:ascii="Arial" w:cs="Arial" w:eastAsia="Arial" w:hAnsi="Arial"/>
            <w:sz w:val="16"/>
            <w:szCs w:val="16"/>
            <w:u w:val="single" w:color="auto"/>
            <w:color w:val="0000FF"/>
          </w:rPr>
          <w:t>Note 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notes to the consolidated financial statements included in Part II, Item 8 of this Annual Report on Form 10-K, in July 2021, the California Department of Fair Employment and Housing (the “DFEH”) filed a complaint against Activision Blizzard, Blizzard Entertainment, and Activision Publishing alleging violations of the California Fair Employment and Housing Act and the California Equal Pay Act. The Company is separately awaiting court approval of a consent decree with the EEOC settling claims against the Company regarding certain employment practices, while the DFEH has objected to the consent decree. The Company has also been named as a defendant in a shareholder class action and a nominal defendant in shareholder derivative actions involving allegations similar to those alleged in the foregoing matters and is cooperating in an investigation with the SEC with respect to its disclosures on employment matters and related issues. The outcome of these matters remains uncertain, and we could become subject to additional, similar legal proceedings in the future. If such matters are decided unfavorably to the Company, they could have a material adverse effect on our business, reputation, financial condition, results of operations, income, revenue, profitability, cash flows, liquidity, or stock price.</w:t>
      </w:r>
    </w:p>
    <w:p>
      <w:pPr>
        <w:spacing w:after="0" w:line="199"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These legal proceedings have negatively impacted our public reputation and, as a result, some consumers have elected not to continue subscribing to one or more of our games, and existing and potential players may decide not to play our games in the future. Some existing sponsors, partners, and advertisers have also elected not to be associated with our brand due to this impact on our reputation, and others may so elect in the future. The outcome of these matters remains uncertain, though such matters could be decided unfavorably to the Company and could have a material adverse effect on our business, reputation, financial condition, results of operations, income, revenue, profitability, cash flows, liquidity, or stock price.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that can have a negative impact on our business.</w:t>
      </w:r>
    </w:p>
    <w:p>
      <w:pPr>
        <w:spacing w:after="0" w:line="237"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From time to time, we are involved in claims, suits, investigations, audits, and proceedings arising in the ordinary course of our business, including with respect to intellectual property, competition and antitrust, regulatory, tax, privacy, labor and employment, compliance, unclaimed property, liability and personal injury, product damage, collection, and/or commercial matters. In addition, negative consumer sentiment about our business practices may result in inquiries or investigations from regulatory agencies and consumer groups, as well as litigation.</w:t>
      </w:r>
    </w:p>
    <w:p>
      <w:pPr>
        <w:spacing w:after="0" w:line="202" w:lineRule="exact"/>
        <w:rPr>
          <w:sz w:val="20"/>
          <w:szCs w:val="20"/>
          <w:color w:val="auto"/>
        </w:rPr>
      </w:pPr>
    </w:p>
    <w:p>
      <w:pPr>
        <w:ind w:right="120" w:firstLine="393"/>
        <w:spacing w:after="0" w:line="286" w:lineRule="auto"/>
        <w:rPr>
          <w:sz w:val="20"/>
          <w:szCs w:val="20"/>
          <w:color w:val="auto"/>
        </w:rPr>
      </w:pPr>
      <w:r>
        <w:rPr>
          <w:rFonts w:ascii="Arial" w:cs="Arial" w:eastAsia="Arial" w:hAnsi="Arial"/>
          <w:sz w:val="16"/>
          <w:szCs w:val="16"/>
          <w:color w:val="auto"/>
        </w:rPr>
        <w:t>Claims, suits, investigations, audits, and proceedings are inherently difficult to predict, including those referenced above,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189" w:lineRule="exact"/>
        <w:rPr>
          <w:sz w:val="20"/>
          <w:szCs w:val="20"/>
          <w:color w:val="auto"/>
        </w:rPr>
      </w:pPr>
    </w:p>
    <w:p>
      <w:pPr>
        <w:ind w:right="40" w:firstLine="393"/>
        <w:spacing w:after="0" w:line="290" w:lineRule="auto"/>
        <w:rPr>
          <w:sz w:val="20"/>
          <w:szCs w:val="20"/>
          <w:color w:val="auto"/>
        </w:rPr>
      </w:pPr>
      <w:r>
        <w:rPr>
          <w:rFonts w:ascii="Arial" w:cs="Arial" w:eastAsia="Arial" w:hAnsi="Arial"/>
          <w:sz w:val="16"/>
          <w:szCs w:val="16"/>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86" w:lineRule="exact"/>
        <w:rPr>
          <w:sz w:val="20"/>
          <w:szCs w:val="20"/>
          <w:color w:val="auto"/>
        </w:rPr>
      </w:pPr>
    </w:p>
    <w:p>
      <w:pPr>
        <w:ind w:firstLine="393"/>
        <w:spacing w:after="0" w:line="212" w:lineRule="exact"/>
        <w:rPr>
          <w:sz w:val="20"/>
          <w:szCs w:val="20"/>
          <w:color w:val="auto"/>
        </w:rPr>
      </w:pPr>
      <w:r>
        <w:rPr>
          <w:rFonts w:ascii="Arial" w:cs="Arial" w:eastAsia="Arial" w:hAnsi="Arial"/>
          <w:sz w:val="16"/>
          <w:szCs w:val="16"/>
          <w:color w:val="auto"/>
        </w:rPr>
        <w:t>We regard our software as proprietary and rely on a variety of methods, including a combination of copyright, patent, trademark, and trade secret laws, and employee and third</w:t>
      </w:r>
      <w:r>
        <w:rPr>
          <w:rFonts w:ascii="MS PGothic" w:cs="MS PGothic" w:eastAsia="MS PGothic" w:hAnsi="MS PGothic"/>
          <w:sz w:val="16"/>
          <w:szCs w:val="16"/>
          <w:color w:val="auto"/>
        </w:rPr>
        <w:t>‑</w:t>
      </w:r>
      <w:r>
        <w:rPr>
          <w:rFonts w:ascii="Arial" w:cs="Arial" w:eastAsia="Arial" w:hAnsi="Arial"/>
          <w:sz w:val="16"/>
          <w:szCs w:val="16"/>
          <w:color w:val="auto"/>
        </w:rPr>
        <w:t>party non</w:t>
      </w:r>
      <w:r>
        <w:rPr>
          <w:rFonts w:ascii="MS PGothic" w:cs="MS PGothic" w:eastAsia="MS PGothic" w:hAnsi="MS PGothic"/>
          <w:sz w:val="16"/>
          <w:szCs w:val="16"/>
          <w:color w:val="auto"/>
        </w:rPr>
        <w:t>‑</w:t>
      </w:r>
      <w:r>
        <w:rPr>
          <w:rFonts w:ascii="Arial" w:cs="Arial" w:eastAsia="Arial" w:hAnsi="Arial"/>
          <w:sz w:val="16"/>
          <w:szCs w:val="16"/>
          <w:color w:val="auto"/>
        </w:rPr>
        <w:t>disclosure agreements, to protect our proprietary rights. We own or license various copyrights, patents, trademarks, and trade secrets. The process of registering and protecting these rights in various jurisdictions is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85" w:lineRule="exact"/>
        <w:rPr>
          <w:sz w:val="20"/>
          <w:szCs w:val="20"/>
          <w:color w:val="auto"/>
        </w:rPr>
      </w:pPr>
    </w:p>
    <w:p>
      <w:pPr>
        <w:ind w:right="180" w:firstLine="393"/>
        <w:spacing w:after="0" w:line="265" w:lineRule="auto"/>
        <w:rPr>
          <w:sz w:val="20"/>
          <w:szCs w:val="20"/>
          <w:color w:val="auto"/>
        </w:rPr>
      </w:pPr>
      <w:r>
        <w:rPr>
          <w:rFonts w:ascii="Arial" w:cs="Arial" w:eastAsia="Arial" w:hAnsi="Arial"/>
          <w:sz w:val="17"/>
          <w:szCs w:val="17"/>
          <w:color w:val="auto"/>
        </w:rPr>
        <w:t>The video game industry continues to evolve, and new and innovative business opportunities are often subject to new attempts at regulation. As such, legislation is continually being introduced, and litigation and regulatory enforcement actions are taking place, that may affect the way in which we, and other industry participants, may offer content and features, and distribute and advertise our products. These laws, regulations, and investigations are related to protection of minors, gambling, screen time, business models, consumer privacy, cybersecurity, data protection, accessibility, advertising, taxation, payments, intellectual property, distribution, and antitrust, among others.</w:t>
      </w:r>
    </w:p>
    <w:p>
      <w:pPr>
        <w:spacing w:after="0" w:line="206"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For example, many foreign countries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U.S., including legislation that attempts to impose additional taxes based on content). In addition, certain jurisdictions have laws that restrict or prohibit marketing or distribution of interactive entertainment software products with random digital item mechanics, which some of our online games and services include, or subject such products to additional regulation and oversight, such as reporting to regulators, mandatory disclosure to consumers of item drop rates, and higher age ratings for products that contain such mechanics.</w:t>
      </w:r>
    </w:p>
    <w:p>
      <w:pPr>
        <w:spacing w:after="0" w:line="20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We are also subject to laws in a number of jurisdictions concerning the operation and offering of tournaments and games, many of which are still evolving and could be interpreted in ways that could harm our business. Certain jurisdictions also have laws that restrict or prohibit certain types of esports tournament structures. These laws may have an impact on our ability to offer certain esports competitions and/or to offer consumers of our online and casual games various types of contests and promotional opportunities.</w:t>
      </w:r>
    </w:p>
    <w:p>
      <w:pPr>
        <w:spacing w:after="0" w:line="202" w:lineRule="exact"/>
        <w:rPr>
          <w:sz w:val="20"/>
          <w:szCs w:val="20"/>
          <w:color w:val="auto"/>
        </w:rPr>
      </w:pPr>
    </w:p>
    <w:p>
      <w:pPr>
        <w:ind w:right="100" w:firstLine="393"/>
        <w:spacing w:after="0" w:line="211" w:lineRule="exact"/>
        <w:rPr>
          <w:sz w:val="20"/>
          <w:szCs w:val="20"/>
          <w:color w:val="auto"/>
        </w:rPr>
      </w:pPr>
      <w:r>
        <w:rPr>
          <w:rFonts w:ascii="Arial" w:cs="Arial" w:eastAsia="Arial" w:hAnsi="Arial"/>
          <w:sz w:val="16"/>
          <w:szCs w:val="16"/>
          <w:color w:val="auto"/>
        </w:rPr>
        <w:t>Further, the growth and development of electronic commerce, virtual items, and currency may prompt calls for more stringent consumer protection laws that may impose additional burdens or limitations on operations of companies such as ours conducting business through the Internet and mobile devices, including related to screen time. Also, existing laws or new laws regarding the marketing of in</w:t>
      </w:r>
      <w:r>
        <w:rPr>
          <w:rFonts w:ascii="MS PGothic" w:cs="MS PGothic" w:eastAsia="MS PGothic" w:hAnsi="MS PGothic"/>
          <w:sz w:val="16"/>
          <w:szCs w:val="16"/>
          <w:color w:val="auto"/>
        </w:rPr>
        <w:t>‑</w:t>
      </w:r>
      <w:r>
        <w:rPr>
          <w:rFonts w:ascii="Arial" w:cs="Arial" w:eastAsia="Arial" w:hAnsi="Arial"/>
          <w:sz w:val="16"/>
          <w:szCs w:val="16"/>
          <w:color w:val="auto"/>
        </w:rPr>
        <w:t>app purchases, regulation of currency, banking institutions, unclaimed property, and money laundering may be interpreted to cover virtual currency or goods. Additionally, laws may limit or prevent the auto-renewal of contracts and subscriptions. Further, the European Commission has recently imposed a large antitrust fine on a number of other game publishers who had been geoblocking certain EU countries. In addition, in 2019 the World Health Organization included “gaming disorder” in the 11th Revision of the International Classification of Diseases (ICD-11), leading some countries to consider legislation and policies aimed at addressing this issue. Moreover, the public dialogue concerning interactive entertainment may have an adverse impact on our reputation and consumers’ willingness to purchase our products.</w:t>
      </w:r>
    </w:p>
    <w:p>
      <w:pPr>
        <w:spacing w:after="0" w:line="228" w:lineRule="exact"/>
        <w:rPr>
          <w:sz w:val="20"/>
          <w:szCs w:val="20"/>
          <w:color w:val="auto"/>
        </w:rPr>
      </w:pPr>
    </w:p>
    <w:p>
      <w:pPr>
        <w:ind w:firstLine="393"/>
        <w:spacing w:after="0" w:line="212" w:lineRule="exact"/>
        <w:rPr>
          <w:sz w:val="20"/>
          <w:szCs w:val="20"/>
          <w:color w:val="auto"/>
        </w:rPr>
      </w:pPr>
      <w:r>
        <w:rPr>
          <w:rFonts w:ascii="Arial" w:cs="Arial" w:eastAsia="Arial" w:hAnsi="Arial"/>
          <w:sz w:val="17"/>
          <w:szCs w:val="17"/>
          <w:color w:val="auto"/>
        </w:rPr>
        <w:t>The adoption and enforcement of legislation that restricts the marketing, content, business model, or sales of our products in countries in which we do business may harm the sales of our products, as the products we are able to offer to our customers and the size of the potential audience for our products may be limited. We may be required to modify certain product development processes or products or alter our marketing strategies to comply with regulations, which could be costly or delay the release of our products. In addition, the laws and regulations affecting our products vary by territory and may be inconsistent with one another, imposing conflicting or uncertain restrictions. Failure to comply with any applicable legislation may also result in government</w:t>
      </w:r>
      <w:r>
        <w:rPr>
          <w:rFonts w:ascii="MS PGothic" w:cs="MS PGothic" w:eastAsia="MS PGothic" w:hAnsi="MS PGothic"/>
          <w:sz w:val="17"/>
          <w:szCs w:val="17"/>
          <w:color w:val="auto"/>
        </w:rPr>
        <w:t>‑</w:t>
      </w:r>
      <w:r>
        <w:rPr>
          <w:rFonts w:ascii="Arial" w:cs="Arial" w:eastAsia="Arial" w:hAnsi="Arial"/>
          <w:sz w:val="17"/>
          <w:szCs w:val="17"/>
          <w:color w:val="auto"/>
        </w:rPr>
        <w:t>imposed fines or other penalties, as well as harm to our reputation.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government regulations relating to the Internet could negatively impact our business.</w:t>
      </w:r>
    </w:p>
    <w:p>
      <w:pPr>
        <w:spacing w:after="0" w:line="250" w:lineRule="exact"/>
        <w:rPr>
          <w:sz w:val="20"/>
          <w:szCs w:val="20"/>
          <w:color w:val="auto"/>
        </w:rPr>
      </w:pPr>
    </w:p>
    <w:p>
      <w:pPr>
        <w:ind w:right="20" w:firstLine="393"/>
        <w:spacing w:after="0" w:line="211" w:lineRule="exact"/>
        <w:rPr>
          <w:sz w:val="20"/>
          <w:szCs w:val="20"/>
          <w:color w:val="auto"/>
        </w:rPr>
      </w:pPr>
      <w:r>
        <w:rPr>
          <w:rFonts w:ascii="Arial" w:cs="Arial" w:eastAsia="Arial" w:hAnsi="Arial"/>
          <w:sz w:val="17"/>
          <w:szCs w:val="17"/>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impacting “net neutrality” or the availability of bandwidth could impair our consumers’ online video game experiences,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Given uncertainty around these rules relating to the Internet, including changing interpretations, amendments, or repeal of those rules, coupled with the potentially significant political and economic power of local Internet service providers and the relatively significant level of Internet bandwidth access our products and services require, we could experience discriminatory or anti</w:t>
      </w:r>
      <w:r>
        <w:rPr>
          <w:rFonts w:ascii="MS PGothic" w:cs="MS PGothic" w:eastAsia="MS PGothic" w:hAnsi="MS PGothic"/>
          <w:sz w:val="17"/>
          <w:szCs w:val="17"/>
          <w:color w:val="auto"/>
        </w:rPr>
        <w:t>‑</w:t>
      </w:r>
      <w:r>
        <w:rPr>
          <w:rFonts w:ascii="Arial" w:cs="Arial" w:eastAsia="Arial" w:hAnsi="Arial"/>
          <w:sz w:val="17"/>
          <w:szCs w:val="17"/>
          <w:color w:val="auto"/>
        </w:rPr>
        <w:t>competitive practices that could impede our growth, cause us to incur additional expenses, or otherwise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laws and regulations concerning data privacy are continually evolving. Failure to comply with these laws and regulations could harm our business.</w:t>
      </w:r>
    </w:p>
    <w:p>
      <w:pPr>
        <w:spacing w:after="0" w:line="273" w:lineRule="exact"/>
        <w:rPr>
          <w:sz w:val="20"/>
          <w:szCs w:val="20"/>
          <w:color w:val="auto"/>
        </w:rPr>
      </w:pPr>
    </w:p>
    <w:p>
      <w:pPr>
        <w:ind w:right="20" w:firstLine="393"/>
        <w:spacing w:after="0" w:line="211" w:lineRule="exact"/>
        <w:rPr>
          <w:sz w:val="20"/>
          <w:szCs w:val="20"/>
          <w:color w:val="auto"/>
        </w:rPr>
      </w:pPr>
      <w:r>
        <w:rPr>
          <w:rFonts w:ascii="Arial" w:cs="Arial" w:eastAsia="Arial" w:hAnsi="Arial"/>
          <w:sz w:val="16"/>
          <w:szCs w:val="16"/>
          <w:color w:val="auto"/>
        </w:rPr>
        <w:t>Consumers play certain of our games online using our own distribution platforms, including Blizzard Battle.net, third</w:t>
      </w:r>
      <w:r>
        <w:rPr>
          <w:rFonts w:ascii="MS PGothic" w:cs="MS PGothic" w:eastAsia="MS PGothic" w:hAnsi="MS PGothic"/>
          <w:sz w:val="16"/>
          <w:szCs w:val="16"/>
          <w:color w:val="auto"/>
        </w:rPr>
        <w:t>‑</w:t>
      </w:r>
      <w:r>
        <w:rPr>
          <w:rFonts w:ascii="Arial" w:cs="Arial" w:eastAsia="Arial" w:hAnsi="Arial"/>
          <w:sz w:val="16"/>
          <w:szCs w:val="16"/>
          <w:color w:val="auto"/>
        </w:rPr>
        <w:t>party platforms and networks, through online social platforms, and on mobile devices. We collect and store information about our consumers, including consumers who play these games. In addition, we collect and store information about our employees. We are subject to laws from a variety of jurisdictions regarding privacy and the protection of this information, including the E.U.’s General Data Protection Regulation (the “GDPR”), the U.S. Children’s Online Privacy Protection Act, which regulates the collection, use, and disclosure of personal information from children under 13 years of age, the California Consumer Privacy Act, and China’s Personal Information Protection Law, among others. Failure to comply with any of these laws or regulations may increase our costs, subject us to expensive and distracting government investigations, result in substantial fines, and other punitive measures, including restricting or prohibiting the sale of our products, or result in lawsuits and claims against us to the extent these laws include a private right of action.</w:t>
      </w:r>
    </w:p>
    <w:p>
      <w:pPr>
        <w:spacing w:after="0" w:line="228"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Data privacy protection laws are rapidly changing and likely will continue to do so for the foreseeable future and may be inconsistent from jurisdiction to jurisdiction. For example, the E.U. and China have taken a broader view than the U.S. and certain other jurisdictions as to what is considered personal information and has imposed greater obligations under data privacy and protection regulations, including those imposed under the GDPR. The U.S. government, including the Federal Trade Commission and the Department of Commerce, various U.S. state governments, and other various national and local governments are continuing to review the need for greater regulation over the collection, sharing, use, or sale of personal information and information about consumer behavior on the Internet and on mobile devices. Complying with emerging and changing laws could require us to incur substantial costs or impact our approach to operating and marketing our games. Due to the rapidly changing nature of these data privacy protection laws, there is not always clear guidance from the respective governments and regulators regarding the interpretation of the law, which may create the risk of an inadvertent violation. Various government and consumer agencies worldwide have also called for new regulation and changes in industry practices. In addition, in some cases, we are dependent upon our platform providers and external data processors to assist us in ensuring compliance with these various types of regulations, and a violation by one of these third parties may also subject us to government investigations and result in substantial fines.</w:t>
      </w:r>
    </w:p>
    <w:p>
      <w:pPr>
        <w:spacing w:after="0" w:line="200" w:lineRule="exact"/>
        <w:rPr>
          <w:sz w:val="20"/>
          <w:szCs w:val="20"/>
          <w:color w:val="auto"/>
        </w:rPr>
      </w:pPr>
    </w:p>
    <w:p>
      <w:pPr>
        <w:ind w:right="180" w:firstLine="393"/>
        <w:spacing w:after="0" w:line="212" w:lineRule="exact"/>
        <w:rPr>
          <w:sz w:val="20"/>
          <w:szCs w:val="20"/>
          <w:color w:val="auto"/>
        </w:rPr>
      </w:pPr>
      <w:r>
        <w:rPr>
          <w:rFonts w:ascii="Arial" w:cs="Arial" w:eastAsia="Arial" w:hAnsi="Arial"/>
          <w:sz w:val="17"/>
          <w:szCs w:val="17"/>
          <w:color w:val="auto"/>
        </w:rPr>
        <w:t>Player interaction with our games is subject to our privacy policies, end user license agreements (“EULAs”), and terms of service. If we fail to comply with our posted privacy policies, EULAs, or terms of service, or if we fail to comply with existing privacy</w:t>
      </w:r>
      <w:r>
        <w:rPr>
          <w:rFonts w:ascii="MS PGothic" w:cs="MS PGothic" w:eastAsia="MS PGothic" w:hAnsi="MS PGothic"/>
          <w:sz w:val="17"/>
          <w:szCs w:val="17"/>
          <w:color w:val="auto"/>
        </w:rPr>
        <w:t>‑</w:t>
      </w:r>
      <w:r>
        <w:rPr>
          <w:rFonts w:ascii="Arial" w:cs="Arial" w:eastAsia="Arial" w:hAnsi="Arial"/>
          <w:sz w:val="17"/>
          <w:szCs w:val="17"/>
          <w:color w:val="auto"/>
        </w:rPr>
        <w:t>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consumers, or employees raise any concerns about our privacy and data protection or consumer protection practices, even if unfounded, this could also result in fines or judgments against us, damage our reputation, negatively impact our financial condition, or damage our business.</w:t>
      </w:r>
    </w:p>
    <w:p>
      <w:pPr>
        <w:spacing w:after="0" w:line="224"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62" w:lineRule="exact"/>
        <w:rPr>
          <w:sz w:val="20"/>
          <w:szCs w:val="20"/>
          <w:color w:val="auto"/>
        </w:rPr>
      </w:pPr>
    </w:p>
    <w:p>
      <w:pPr>
        <w:ind w:right="60" w:firstLine="393"/>
        <w:spacing w:after="0" w:line="211" w:lineRule="exact"/>
        <w:rPr>
          <w:sz w:val="20"/>
          <w:szCs w:val="20"/>
          <w:color w:val="auto"/>
        </w:rPr>
      </w:pPr>
      <w:r>
        <w:rPr>
          <w:rFonts w:ascii="Arial" w:cs="Arial" w:eastAsia="Arial" w:hAnsi="Arial"/>
          <w:sz w:val="16"/>
          <w:szCs w:val="16"/>
          <w:color w:val="auto"/>
        </w:rPr>
        <w:t>Our console and PC games are subject to ratings by the ESRB, a self</w:t>
      </w:r>
      <w:r>
        <w:rPr>
          <w:rFonts w:ascii="MS PGothic" w:cs="MS PGothic" w:eastAsia="MS PGothic" w:hAnsi="MS PGothic"/>
          <w:sz w:val="16"/>
          <w:szCs w:val="16"/>
          <w:color w:val="auto"/>
        </w:rPr>
        <w:t>‑</w:t>
      </w:r>
      <w:r>
        <w:rPr>
          <w:rFonts w:ascii="Arial" w:cs="Arial" w:eastAsia="Arial" w:hAnsi="Arial"/>
          <w:sz w:val="16"/>
          <w:szCs w:val="16"/>
          <w:color w:val="auto"/>
        </w:rPr>
        <w:t>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third parties use other ratings systems. For example, Apple uses a proprietary “App Rating System” and certain online stores, including Google Play, use the International Age Rating Coalition (“IARC”) rating system, whereby ratings are assigned in participating regions through a single application.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w:t>
      </w:r>
      <w:r>
        <w:rPr>
          <w:rFonts w:ascii="MS PGothic" w:cs="MS PGothic" w:eastAsia="MS PGothic" w:hAnsi="MS PGothic"/>
          <w:sz w:val="16"/>
          <w:szCs w:val="16"/>
          <w:color w:val="auto"/>
        </w:rPr>
        <w:t>‑</w:t>
      </w:r>
      <w:r>
        <w:rPr>
          <w:rFonts w:ascii="Arial" w:cs="Arial" w:eastAsia="Arial" w:hAnsi="Arial"/>
          <w:sz w:val="16"/>
          <w:szCs w:val="16"/>
          <w:color w:val="auto"/>
        </w:rPr>
        <w:t>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Additionally, retailers may decline to sell, and/or consumers may decline to buy,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or consumers decline to buy them based upon their opinion that they contain objectionable themes, graphic violence or sexually explicit material, or other generally objectionable content, we might be required to modify particular titles or forfeit the revenue opportunity of selling such titles.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Economic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rates and/or tax laws or exposure to additional tax liabilities could negatively impact our business.</w:t>
      </w:r>
    </w:p>
    <w:p>
      <w:pPr>
        <w:spacing w:after="0" w:line="250" w:lineRule="exact"/>
        <w:rPr>
          <w:sz w:val="20"/>
          <w:szCs w:val="20"/>
          <w:color w:val="auto"/>
        </w:rPr>
      </w:pPr>
    </w:p>
    <w:p>
      <w:pPr>
        <w:ind w:right="40" w:firstLine="393"/>
        <w:spacing w:after="0" w:line="279" w:lineRule="auto"/>
        <w:rPr>
          <w:sz w:val="20"/>
          <w:szCs w:val="20"/>
          <w:color w:val="auto"/>
        </w:rPr>
      </w:pPr>
      <w:r>
        <w:rPr>
          <w:rFonts w:ascii="Arial" w:cs="Arial" w:eastAsia="Arial" w:hAnsi="Arial"/>
          <w:sz w:val="16"/>
          <w:szCs w:val="16"/>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negative impact on our business or require us to change the manner in which we operate our business. The tax regimes we are subject to, or operate under, are unsettled and may be subject to significant change. Furthermore, tax authorities may choose to examine or investigate our tax reporting or tax liability, including under transfer pricing or permanent establishment theories. These proceedings may lead to adjustments or proposed adjustments to our income taxes or provisions for uncertain tax positions. Additionally, a number of countries, including the U.S., have been pursuing fundamental changes to the tax laws applicable to multinational companies like us, including changing the U.S. taxation of non-U.S. income, developing new global OECD guidelines, and enacting revenue-based taxes on digital services. If these developments lead to enacted policy changes, it may have an adverse impact on our income tax expense and could negatively impact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negatively impact our business.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which could fluctuate against the U.S. dollar. Since we have significant international sales but incur the majority of our costs in the U.S.,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21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85" w:lineRule="exact"/>
        <w:rPr>
          <w:sz w:val="20"/>
          <w:szCs w:val="20"/>
          <w:color w:val="auto"/>
        </w:rPr>
      </w:pPr>
    </w:p>
    <w:p>
      <w:pPr>
        <w:ind w:firstLine="393"/>
        <w:spacing w:after="0" w:line="301" w:lineRule="auto"/>
        <w:rPr>
          <w:sz w:val="20"/>
          <w:szCs w:val="20"/>
          <w:color w:val="auto"/>
        </w:rPr>
      </w:pPr>
      <w:r>
        <w:rPr>
          <w:rFonts w:ascii="Arial" w:cs="Arial" w:eastAsia="Arial" w:hAnsi="Arial"/>
          <w:sz w:val="15"/>
          <w:szCs w:val="15"/>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add-on content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U.S. in any given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insolvency or business failure of any of our business partners could negatively impact us.</w:t>
      </w:r>
    </w:p>
    <w:p>
      <w:pPr>
        <w:spacing w:after="0" w:line="250" w:lineRule="exact"/>
        <w:rPr>
          <w:sz w:val="20"/>
          <w:szCs w:val="20"/>
          <w:color w:val="auto"/>
        </w:rPr>
      </w:pPr>
    </w:p>
    <w:p>
      <w:pPr>
        <w:ind w:firstLine="393"/>
        <w:spacing w:after="0" w:line="211" w:lineRule="exact"/>
        <w:rPr>
          <w:sz w:val="20"/>
          <w:szCs w:val="20"/>
          <w:color w:val="auto"/>
        </w:rPr>
      </w:pPr>
      <w:r>
        <w:rPr>
          <w:rFonts w:ascii="Arial" w:cs="Arial" w:eastAsia="Arial" w:hAnsi="Arial"/>
          <w:sz w:val="15"/>
          <w:szCs w:val="15"/>
          <w:color w:val="auto"/>
        </w:rPr>
        <w:t>Our sales, whether digital or retail, are concentrated in a small number of large customers, which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w:t>
      </w:r>
      <w:r>
        <w:rPr>
          <w:rFonts w:ascii="MS PGothic" w:cs="MS PGothic" w:eastAsia="MS PGothic" w:hAnsi="MS PGothic"/>
          <w:sz w:val="15"/>
          <w:szCs w:val="15"/>
          <w:color w:val="auto"/>
        </w:rPr>
        <w:t>‑</w:t>
      </w:r>
      <w:r>
        <w:rPr>
          <w:rFonts w:ascii="Arial" w:cs="Arial" w:eastAsia="Arial" w:hAnsi="Arial"/>
          <w:sz w:val="15"/>
          <w:szCs w:val="15"/>
          <w:color w:val="auto"/>
        </w:rPr>
        <w:t>off of accounts receivable could increase and, even if increased, may turn out to be insufficient. While we have insurance to protect against a customer’s bankruptcy, insolvency, or liquidation, this insurance typically contains a significant deductible and co</w:t>
      </w:r>
      <w:r>
        <w:rPr>
          <w:rFonts w:ascii="MS PGothic" w:cs="MS PGothic" w:eastAsia="MS PGothic" w:hAnsi="MS PGothic"/>
          <w:sz w:val="15"/>
          <w:szCs w:val="15"/>
          <w:color w:val="auto"/>
        </w:rPr>
        <w:t>‑</w:t>
      </w:r>
      <w:r>
        <w:rPr>
          <w:rFonts w:ascii="Arial" w:cs="Arial" w:eastAsia="Arial" w:hAnsi="Arial"/>
          <w:sz w:val="15"/>
          <w:szCs w:val="15"/>
          <w:color w:val="auto"/>
        </w:rPr>
        <w:t>payment obligation and does not cover all instances of non</w:t>
      </w:r>
      <w:r>
        <w:rPr>
          <w:rFonts w:ascii="MS PGothic" w:cs="MS PGothic" w:eastAsia="MS PGothic" w:hAnsi="MS PGothic"/>
          <w:sz w:val="15"/>
          <w:szCs w:val="15"/>
          <w:color w:val="auto"/>
        </w:rPr>
        <w:t>‑</w:t>
      </w:r>
      <w:r>
        <w:rPr>
          <w:rFonts w:ascii="Arial" w:cs="Arial" w:eastAsia="Arial" w:hAnsi="Arial"/>
          <w:sz w:val="15"/>
          <w:szCs w:val="15"/>
          <w:color w:val="auto"/>
        </w:rPr>
        <w:t>payment. Further, a payment default or the insolvency or business failure of, other types of business partners could result in disruptions to the manufacturing or distribution of our products or the cancellation of contractual arrangements that we consider to be favorable and could negatively impact our business. In addition, having such a large portion of our total net revenues concentrated in a few customers reduces our negotiating leverage with these customers.</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Because purchases of our products and services are discretionary spending, if general economic conditions decline, demand for our products and services could decline.</w:t>
      </w:r>
    </w:p>
    <w:p>
      <w:pPr>
        <w:spacing w:after="0" w:line="185" w:lineRule="exact"/>
        <w:rPr>
          <w:sz w:val="20"/>
          <w:szCs w:val="20"/>
          <w:color w:val="auto"/>
        </w:rPr>
      </w:pPr>
    </w:p>
    <w:p>
      <w:pPr>
        <w:ind w:right="60" w:firstLine="393"/>
        <w:spacing w:after="0" w:line="290" w:lineRule="auto"/>
        <w:rPr>
          <w:sz w:val="20"/>
          <w:szCs w:val="20"/>
          <w:color w:val="auto"/>
        </w:rPr>
      </w:pPr>
      <w:r>
        <w:rPr>
          <w:rFonts w:ascii="Arial" w:cs="Arial" w:eastAsia="Arial" w:hAnsi="Arial"/>
          <w:sz w:val="16"/>
          <w:szCs w:val="16"/>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A reduction or shift in domestic or international consumer spending could result in an increase in our selling and promotional expenses, in an effort to offset that reduction, and could negatively impact our business.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tab/>
        <w:t>PROPERTIES</w:t>
      </w:r>
    </w:p>
    <w:p>
      <w:pPr>
        <w:spacing w:after="0" w:line="256"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Our principal corporate and administrative offices and our Activision segment’s headquarters are located in Santa Monica, California. Our Activision segment also leases office space for development studio personnel throughout the U.S., primarily in California, New York, and Wisconsin. We also lease office space in Irvine, CA for our Blizzard segment’s headquarters, which include administrative and development studio space. We lease office space in London, United Kingdom for our King segment’s headquarters, as well as office space for additional administrative and development studio space in Stockholm, Sweden and Barcelona, Spain.</w:t>
      </w:r>
    </w:p>
    <w:p>
      <w:pPr>
        <w:spacing w:after="0" w:line="206"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We anticipate no difficulty in extending the leases of our facilities or obtaining comparable facilities in suitable locations, as needed, and we consider our facilities to be adequate for our current needs.</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tab/>
        <w:t>LEGAL PROCEEDINGS</w:t>
      </w:r>
    </w:p>
    <w:p>
      <w:pPr>
        <w:spacing w:after="0" w:line="256" w:lineRule="exact"/>
        <w:rPr>
          <w:sz w:val="20"/>
          <w:szCs w:val="20"/>
          <w:color w:val="auto"/>
        </w:rPr>
      </w:pPr>
    </w:p>
    <w:p>
      <w:pPr>
        <w:ind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15">
        <w:r>
          <w:rPr>
            <w:rFonts w:ascii="Arial" w:cs="Arial" w:eastAsia="Arial" w:hAnsi="Arial"/>
            <w:sz w:val="17"/>
            <w:szCs w:val="17"/>
            <w:u w:val="single" w:color="auto"/>
            <w:color w:val="0000FF"/>
          </w:rPr>
          <w:t>Note 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disclosures regarding our legal proceedings.</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PART II</w:t>
      </w:r>
    </w:p>
    <w:p>
      <w:pPr>
        <w:spacing w:after="0" w:line="250" w:lineRule="exact"/>
        <w:rPr>
          <w:sz w:val="20"/>
          <w:szCs w:val="20"/>
          <w:color w:val="auto"/>
        </w:rPr>
      </w:pPr>
    </w:p>
    <w:p>
      <w:pPr>
        <w:ind w:left="700" w:right="440" w:hanging="707"/>
        <w:spacing w:after="0" w:line="297" w:lineRule="auto"/>
        <w:tabs>
          <w:tab w:leader="none" w:pos="68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Information and Holders</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Our common stock is quoted on the Nasdaq National Market under the symbol “ATVI”. At February 18, 2022, there were 1,482 holders of record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Performance Graph</w:t>
      </w:r>
    </w:p>
    <w:p>
      <w:pPr>
        <w:spacing w:after="0" w:line="250"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 as amended.</w:t>
      </w:r>
    </w:p>
    <w:p>
      <w:pPr>
        <w:spacing w:after="0" w:line="192" w:lineRule="exact"/>
        <w:rPr>
          <w:sz w:val="20"/>
          <w:szCs w:val="20"/>
          <w:color w:val="auto"/>
        </w:rPr>
      </w:pPr>
    </w:p>
    <w:p>
      <w:pPr>
        <w:jc w:val="center"/>
        <w:ind w:left="900" w:right="2340"/>
        <w:spacing w:after="0" w:line="277" w:lineRule="auto"/>
        <w:rPr>
          <w:sz w:val="20"/>
          <w:szCs w:val="20"/>
          <w:color w:val="auto"/>
        </w:rPr>
      </w:pPr>
      <w:r>
        <w:rPr>
          <w:rFonts w:ascii="Arial" w:cs="Arial" w:eastAsia="Arial" w:hAnsi="Arial"/>
          <w:sz w:val="17"/>
          <w:szCs w:val="17"/>
          <w:b w:val="1"/>
          <w:bCs w:val="1"/>
          <w:color w:val="auto"/>
        </w:rPr>
        <w:t xml:space="preserve">COMPARISON OF 5-YEAR CUMULATIVE TOTAL RETURN </w:t>
      </w:r>
      <w:r>
        <w:rPr>
          <w:rFonts w:ascii="Arial" w:cs="Arial" w:eastAsia="Arial" w:hAnsi="Arial"/>
          <w:sz w:val="17"/>
          <w:szCs w:val="17"/>
          <w:color w:val="auto"/>
        </w:rPr>
        <w:t>among Activision Blizzard, Inc., the Nasdaq Composite Index, the S&amp;P 500 Index, and the RDG Technology Composite Index</w:t>
      </w:r>
    </w:p>
    <w:p>
      <w:pPr>
        <w:spacing w:after="0" w:line="195" w:lineRule="exact"/>
        <w:rPr>
          <w:sz w:val="20"/>
          <w:szCs w:val="20"/>
          <w:color w:val="auto"/>
        </w:rPr>
      </w:pPr>
    </w:p>
    <w:p>
      <w:pPr>
        <w:ind w:right="20" w:firstLine="393"/>
        <w:spacing w:after="0" w:line="298" w:lineRule="auto"/>
        <w:rPr>
          <w:sz w:val="20"/>
          <w:szCs w:val="20"/>
          <w:color w:val="auto"/>
        </w:rPr>
      </w:pPr>
      <w:r>
        <w:rPr>
          <w:rFonts w:ascii="Arial" w:cs="Arial" w:eastAsia="Arial" w:hAnsi="Arial"/>
          <w:sz w:val="16"/>
          <w:szCs w:val="16"/>
          <w:color w:val="auto"/>
        </w:rPr>
        <w:t>The following graph and table compare the cumulative total stockholder return on our common stock, the Nasdaq Composite Index, the S&amp;P 500 Index, and the RDG Technology Composite Index. The graph and table assume that $100 was invested on December 31, 2016,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213995</wp:posOffset>
            </wp:positionV>
            <wp:extent cx="5695950" cy="3547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95950" cy="3547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Fiscal year ending December 31: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12/18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12/21</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 Blizzard, Inc.</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189.96</w:t>
            </w:r>
          </w:p>
        </w:tc>
      </w:tr>
      <w:tr>
        <w:trPr>
          <w:trHeight w:val="223"/>
        </w:trPr>
        <w:tc>
          <w:tcPr>
            <w:tcW w:w="3560" w:type="dxa"/>
            <w:vAlign w:val="bottom"/>
          </w:tcPr>
          <w:p>
            <w:pPr>
              <w:ind w:left="20"/>
              <w:spacing w:after="0"/>
              <w:rPr>
                <w:sz w:val="20"/>
                <w:szCs w:val="20"/>
                <w:color w:val="auto"/>
              </w:rPr>
            </w:pPr>
            <w:r>
              <w:rPr>
                <w:rFonts w:ascii="Arial" w:cs="Arial" w:eastAsia="Arial" w:hAnsi="Arial"/>
                <w:sz w:val="17"/>
                <w:szCs w:val="17"/>
                <w:color w:val="auto"/>
              </w:rPr>
              <w:t>Nasdaq Composite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304.85</w:t>
            </w: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500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233.41</w:t>
            </w:r>
          </w:p>
        </w:tc>
      </w:tr>
      <w:tr>
        <w:trPr>
          <w:trHeight w:val="222"/>
        </w:trPr>
        <w:tc>
          <w:tcPr>
            <w:tcW w:w="3560" w:type="dxa"/>
            <w:vAlign w:val="bottom"/>
          </w:tcPr>
          <w:p>
            <w:pPr>
              <w:ind w:left="20"/>
              <w:spacing w:after="0"/>
              <w:rPr>
                <w:sz w:val="20"/>
                <w:szCs w:val="20"/>
                <w:color w:val="auto"/>
              </w:rPr>
            </w:pPr>
            <w:r>
              <w:rPr>
                <w:rFonts w:ascii="Arial" w:cs="Arial" w:eastAsia="Arial" w:hAnsi="Arial"/>
                <w:sz w:val="17"/>
                <w:szCs w:val="17"/>
                <w:color w:val="auto"/>
              </w:rPr>
              <w:t>RDG Technology Composite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400.39</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Dividends</w:t>
      </w:r>
    </w:p>
    <w:p>
      <w:pPr>
        <w:spacing w:after="0" w:line="250"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We have paid a dividend annually since 2010. Below is a summary of cash dividends paid over the past three fiscal years, along with the dividend most recently declared by the Board of Directors that will be paid in May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gridSpan w:val="2"/>
          </w:tcPr>
          <w:p>
            <w:pPr>
              <w:ind w:left="1120"/>
              <w:spacing w:after="0"/>
              <w:rPr>
                <w:sz w:val="20"/>
                <w:szCs w:val="20"/>
                <w:color w:val="auto"/>
              </w:rPr>
            </w:pPr>
            <w:r>
              <w:rPr>
                <w:rFonts w:ascii="Arial" w:cs="Arial" w:eastAsia="Arial" w:hAnsi="Arial"/>
                <w:sz w:val="17"/>
                <w:szCs w:val="17"/>
                <w:b w:val="1"/>
                <w:bCs w:val="1"/>
                <w:color w:val="auto"/>
              </w:rPr>
              <w:t>Year</w:t>
            </w:r>
          </w:p>
        </w:tc>
        <w:tc>
          <w:tcPr>
            <w:tcW w:w="28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Per Share Amount</w:t>
            </w:r>
          </w:p>
        </w:tc>
        <w:tc>
          <w:tcPr>
            <w:tcW w:w="2880" w:type="dxa"/>
            <w:vAlign w:val="bottom"/>
            <w:gridSpan w:val="2"/>
          </w:tcPr>
          <w:p>
            <w:pPr>
              <w:ind w:left="860"/>
              <w:spacing w:after="0"/>
              <w:rPr>
                <w:sz w:val="20"/>
                <w:szCs w:val="20"/>
                <w:color w:val="auto"/>
              </w:rPr>
            </w:pPr>
            <w:r>
              <w:rPr>
                <w:rFonts w:ascii="Arial" w:cs="Arial" w:eastAsia="Arial" w:hAnsi="Arial"/>
                <w:sz w:val="17"/>
                <w:szCs w:val="17"/>
                <w:b w:val="1"/>
                <w:bCs w:val="1"/>
                <w:color w:val="auto"/>
              </w:rPr>
              <w:t>Record Date</w:t>
            </w:r>
          </w:p>
        </w:tc>
        <w:tc>
          <w:tcPr>
            <w:tcW w:w="2660" w:type="dxa"/>
            <w:vAlign w:val="bottom"/>
          </w:tcPr>
          <w:p>
            <w:pPr>
              <w:jc w:val="right"/>
              <w:ind w:right="353"/>
              <w:spacing w:after="0"/>
              <w:rPr>
                <w:sz w:val="20"/>
                <w:szCs w:val="20"/>
                <w:color w:val="auto"/>
              </w:rPr>
            </w:pPr>
            <w:r>
              <w:rPr>
                <w:rFonts w:ascii="Arial" w:cs="Arial" w:eastAsia="Arial" w:hAnsi="Arial"/>
                <w:sz w:val="17"/>
                <w:szCs w:val="17"/>
                <w:b w:val="1"/>
                <w:bCs w:val="1"/>
                <w:color w:val="auto"/>
              </w:rPr>
              <w:t>Dividend Payment Date</w:t>
            </w:r>
          </w:p>
        </w:tc>
      </w:tr>
      <w:tr>
        <w:trPr>
          <w:trHeight w:val="216"/>
        </w:trPr>
        <w:tc>
          <w:tcPr>
            <w:tcW w:w="25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7"/>
                <w:szCs w:val="17"/>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$0.47</w:t>
            </w:r>
          </w:p>
        </w:tc>
        <w:tc>
          <w:tcPr>
            <w:tcW w:w="2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4/15/2022</w:t>
            </w:r>
          </w:p>
        </w:tc>
        <w:tc>
          <w:tcPr>
            <w:tcW w:w="2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5/6/2022</w:t>
            </w:r>
          </w:p>
        </w:tc>
      </w:tr>
      <w:tr>
        <w:trPr>
          <w:trHeight w:val="223"/>
        </w:trPr>
        <w:tc>
          <w:tcPr>
            <w:tcW w:w="2580" w:type="dxa"/>
            <w:vAlign w:val="bottom"/>
          </w:tcPr>
          <w:p>
            <w:pPr>
              <w:ind w:left="1120"/>
              <w:spacing w:after="0"/>
              <w:rPr>
                <w:sz w:val="20"/>
                <w:szCs w:val="20"/>
                <w:color w:val="auto"/>
              </w:rPr>
            </w:pPr>
            <w:r>
              <w:rPr>
                <w:rFonts w:ascii="Arial" w:cs="Arial" w:eastAsia="Arial" w:hAnsi="Arial"/>
                <w:sz w:val="17"/>
                <w:szCs w:val="17"/>
                <w:color w:val="auto"/>
              </w:rPr>
              <w:t>2021</w:t>
            </w:r>
          </w:p>
        </w:tc>
        <w:tc>
          <w:tcPr>
            <w:tcW w:w="24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7"/>
                <w:szCs w:val="17"/>
                <w:color w:val="auto"/>
                <w:w w:val="93"/>
              </w:rPr>
              <w:t>$0.47</w:t>
            </w:r>
          </w:p>
        </w:tc>
        <w:tc>
          <w:tcPr>
            <w:tcW w:w="2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4/15/2021</w:t>
            </w:r>
          </w:p>
        </w:tc>
        <w:tc>
          <w:tcPr>
            <w:tcW w:w="2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5/6/2021</w:t>
            </w:r>
          </w:p>
        </w:tc>
      </w:tr>
      <w:tr>
        <w:trPr>
          <w:trHeight w:val="223"/>
        </w:trPr>
        <w:tc>
          <w:tcPr>
            <w:tcW w:w="258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2020</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$0.41</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4/15/2020</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5/6/2020</w:t>
            </w:r>
          </w:p>
        </w:tc>
      </w:tr>
      <w:tr>
        <w:trPr>
          <w:trHeight w:val="222"/>
        </w:trPr>
        <w:tc>
          <w:tcPr>
            <w:tcW w:w="2580" w:type="dxa"/>
            <w:vAlign w:val="bottom"/>
          </w:tcPr>
          <w:p>
            <w:pPr>
              <w:ind w:left="1120"/>
              <w:spacing w:after="0"/>
              <w:rPr>
                <w:sz w:val="20"/>
                <w:szCs w:val="20"/>
                <w:color w:val="auto"/>
              </w:rPr>
            </w:pPr>
            <w:r>
              <w:rPr>
                <w:rFonts w:ascii="Arial" w:cs="Arial" w:eastAsia="Arial" w:hAnsi="Arial"/>
                <w:sz w:val="17"/>
                <w:szCs w:val="17"/>
                <w:color w:val="auto"/>
              </w:rPr>
              <w:t>2019</w:t>
            </w:r>
          </w:p>
        </w:tc>
        <w:tc>
          <w:tcPr>
            <w:tcW w:w="24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7"/>
                <w:szCs w:val="17"/>
                <w:color w:val="auto"/>
                <w:w w:val="93"/>
              </w:rPr>
              <w:t>$0.37</w:t>
            </w:r>
          </w:p>
        </w:tc>
        <w:tc>
          <w:tcPr>
            <w:tcW w:w="2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3/28/2019</w:t>
            </w:r>
          </w:p>
        </w:tc>
        <w:tc>
          <w:tcPr>
            <w:tcW w:w="2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5/9/2019</w:t>
            </w:r>
          </w:p>
        </w:tc>
      </w:tr>
    </w:tbl>
    <w:p>
      <w:pPr>
        <w:spacing w:after="0" w:line="316"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Future dividends will depend upon our earnings, financial condition, cash requirements, anticipated future prospects, and other factors deemed relevant by our Board of Directors. There can be no assurances that dividends will be declared in the future.</w:t>
      </w:r>
    </w:p>
    <w:p>
      <w:pPr>
        <w:spacing w:after="0" w:line="185" w:lineRule="exact"/>
        <w:rPr>
          <w:sz w:val="20"/>
          <w:szCs w:val="20"/>
          <w:color w:val="auto"/>
        </w:rPr>
      </w:pPr>
    </w:p>
    <w:p>
      <w:pPr>
        <w:ind w:right="200" w:firstLine="393"/>
        <w:spacing w:after="0" w:line="262" w:lineRule="auto"/>
        <w:rPr>
          <w:sz w:val="20"/>
          <w:szCs w:val="20"/>
          <w:color w:val="auto"/>
        </w:rPr>
      </w:pPr>
      <w:r>
        <w:rPr>
          <w:rFonts w:ascii="Arial" w:cs="Arial" w:eastAsia="Arial" w:hAnsi="Arial"/>
          <w:sz w:val="17"/>
          <w:szCs w:val="17"/>
          <w:color w:val="auto"/>
        </w:rPr>
        <w:t>Under the Merger Agreement, we may declare and pay one regular cash dividend not to exceed $0.47 per common share and consistent with the declaration, record, and payment date of our dividend from our most recent fiscal year. On February 3, 2022, our Board of Directors declared the regular cash dividend of $0.47 per common share permitted under the terms of the Merger Agreement, payable on May 6, 2022, to shareholders of record at the close of business on April 15, 2022. We may not declare, set aside, authorize, establish a record date for, or pay any further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without obtaining Microsoft's approval (which may not be unreasonably withheld, conditioned, or delayed).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 of Equity Securities</w:t>
      </w:r>
    </w:p>
    <w:p>
      <w:pPr>
        <w:spacing w:after="0" w:line="250"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To date, we have not repurchased any shares under this program and are restricted from making any repurchases during the period between the execution of the Merger Agreement and the effective time of the Merger without obtaining Microsoft’s approval (which may not be unreasonably withheld, conditioned, or delayed).</w:t>
      </w:r>
    </w:p>
    <w:p>
      <w:pPr>
        <w:spacing w:after="0" w:line="206" w:lineRule="exact"/>
        <w:rPr>
          <w:sz w:val="20"/>
          <w:szCs w:val="20"/>
          <w:color w:val="auto"/>
        </w:rPr>
      </w:pPr>
    </w:p>
    <w:p>
      <w:pPr>
        <w:jc w:val="both"/>
        <w:ind w:right="220" w:firstLine="393"/>
        <w:spacing w:after="0" w:line="273" w:lineRule="auto"/>
        <w:rPr>
          <w:sz w:val="20"/>
          <w:szCs w:val="20"/>
          <w:color w:val="auto"/>
        </w:rPr>
      </w:pPr>
      <w:r>
        <w:rPr>
          <w:rFonts w:ascii="Arial" w:cs="Arial" w:eastAsia="Arial" w:hAnsi="Arial"/>
          <w:sz w:val="17"/>
          <w:szCs w:val="17"/>
          <w:color w:val="auto"/>
        </w:rPr>
        <w:t>On January 31, 2019, our Board of Directors authorized a stock repurchase program under which we were authorized to repurchase up to $1.5 billion of our common stock during the two-year period from February 14, 2019 until the earlier of February 13, 2021 and a determination by the Board of Directors to discontinue the repurchase program. We did not repurchase any shares under this program.</w:t>
      </w:r>
    </w:p>
    <w:p>
      <w:pPr>
        <w:spacing w:after="0" w:line="19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56" w:lineRule="exact"/>
        <w:rPr>
          <w:sz w:val="20"/>
          <w:szCs w:val="20"/>
          <w:color w:val="auto"/>
        </w:rPr>
      </w:pPr>
    </w:p>
    <w:p>
      <w:pPr>
        <w:ind w:right="180" w:firstLine="393"/>
        <w:spacing w:after="0" w:line="298"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on video game consoles,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50"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On January 18, 2022, we entered into the Merger Agreement with Microsoft and Merger Sub, in which we agreed to be acquired for $95.00 in cash per Share. Pursuant to the terms of the Merger Agreement, our acquisition will be accomplished through the merger of Merger Sub with and into the Company, with the Company surviving the Merger as a wholly owned subsidiary of Microsoft.</w:t>
      </w:r>
    </w:p>
    <w:p>
      <w:pPr>
        <w:spacing w:after="0" w:line="198"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Pursuant to the terms of the Merger Agreement, and subject to the terms and conditions set forth therein, at the Effective Time, each Share (other than Shares (1) held by the Company as treasury stock (excluding certain Shares held by a wholly owned subsidiary of the Company, which shares will remain outstanding and unaffected by the Merger), (2) owned by Microsoft or Merger Sub, (3) owned by any direct or indirect wholly owned subsidiary of Microsoft or Merger Sub or (4) held by stockholders who have neither voted in favor of adoption of the Merger Agreement nor consented thereto in writing and who have properly and validly exercised their statutory rights of appraisal in respect of such Shares in accordance with Section 262 of the Delaware General Corporation Law, in each case, immediately prior to the Effective Time) issued and outstanding immediately prior to the Effective Time will be cancelled and automatically converted into the right to receive $95.00 in cash, without interest.</w:t>
      </w:r>
    </w:p>
    <w:p>
      <w:pPr>
        <w:spacing w:after="0" w:line="211"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in connection with our entry into an agreement with respect to a Superior Proposal (as defined in the Merger Agreement) prior to us receiving stockholder approval of the Merger, or termination by Microsoft upon a Company Board Recommendation Change (as defined in the Merger Agreement), in each case, if certain other conditions are met.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(1) $2.0 billion if the termination notice is provided prior to January 18, 2023, (2) $2.5 billion if the termination notice is provided after January 18, 2023, and prior to April 18, 2023, or (3) $3.0 billion if the termination notice is provided at any time after April 18, 2023.</w:t>
      </w:r>
    </w:p>
    <w:p>
      <w:pPr>
        <w:spacing w:after="0" w:line="211" w:lineRule="exact"/>
        <w:rPr>
          <w:sz w:val="20"/>
          <w:szCs w:val="20"/>
          <w:color w:val="auto"/>
        </w:rPr>
      </w:pPr>
    </w:p>
    <w:p>
      <w:pPr>
        <w:ind w:right="140" w:firstLine="393"/>
        <w:spacing w:after="0" w:line="283" w:lineRule="auto"/>
        <w:rPr>
          <w:sz w:val="20"/>
          <w:szCs w:val="20"/>
          <w:color w:val="auto"/>
        </w:rPr>
      </w:pPr>
      <w:r>
        <w:rPr>
          <w:rFonts w:ascii="Arial" w:cs="Arial" w:eastAsia="Arial" w:hAnsi="Arial"/>
          <w:sz w:val="16"/>
          <w:szCs w:val="16"/>
          <w:color w:val="auto"/>
        </w:rPr>
        <w:t>The consummation of the Merger is subject to customary closing conditions, including, among others, (1) the approval and adoption of the Merger Agreement by our stockholders, (2) the absence of any court order or law prohibiting (or seeking to prohibit) the consummation of the Merger, (3) the termination or expiration of any applicable waiting period or periods under the Hart-Scott-Rodino Antitrust Improvements Act of 1976 (as amended) and specified approvals under certain other antitrust and foreign investment laws, subject to certain limitations, (4) compliance by us and Microsoft in all material respects with our respective obligations under the Merger Agreement, and (5) subject to specified exceptions and qualifications for materiality, the accuracy of representations and warranties made by us and Microsoft, respectively, as of the signing date and the closing date.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Matters</w:t>
      </w:r>
    </w:p>
    <w:p>
      <w:pPr>
        <w:spacing w:after="0" w:line="250" w:lineRule="exact"/>
        <w:rPr>
          <w:sz w:val="20"/>
          <w:szCs w:val="20"/>
          <w:color w:val="auto"/>
        </w:rPr>
      </w:pPr>
    </w:p>
    <w:p>
      <w:pPr>
        <w:ind w:firstLine="393"/>
        <w:spacing w:after="0" w:line="273" w:lineRule="auto"/>
        <w:rPr>
          <w:rFonts w:ascii="Arial" w:cs="Arial" w:eastAsia="Arial" w:hAnsi="Arial"/>
          <w:sz w:val="17"/>
          <w:szCs w:val="17"/>
          <w:color w:val="auto"/>
        </w:rPr>
      </w:pPr>
      <w:r>
        <w:rPr>
          <w:rFonts w:ascii="Arial" w:cs="Arial" w:eastAsia="Arial" w:hAnsi="Arial"/>
          <w:sz w:val="17"/>
          <w:szCs w:val="17"/>
          <w:color w:val="auto"/>
        </w:rPr>
        <w:t>We are subject to legal proceedings regarding our workplace and are experiencing adverse effects related to these proceedings and to concerns raised about our workplace. For information about these matters, see Part I, Item 1A “</w:t>
      </w:r>
      <w:hyperlink w:anchor="page14">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xml:space="preserve">” and </w:t>
      </w:r>
      <w:hyperlink w:anchor="page115">
        <w:r>
          <w:rPr>
            <w:rFonts w:ascii="Arial" w:cs="Arial" w:eastAsia="Arial" w:hAnsi="Arial"/>
            <w:sz w:val="17"/>
            <w:szCs w:val="17"/>
            <w:u w:val="single" w:color="auto"/>
            <w:color w:val="0000FF"/>
          </w:rPr>
          <w:t>Note 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notes to the consolidated financial statements included in Part II,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50" w:lineRule="exact"/>
        <w:rPr>
          <w:sz w:val="20"/>
          <w:szCs w:val="20"/>
          <w:color w:val="auto"/>
        </w:rPr>
      </w:pPr>
    </w:p>
    <w:p>
      <w:pPr>
        <w:ind w:right="400" w:firstLine="393"/>
        <w:spacing w:after="0" w:line="28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50" w:lineRule="exact"/>
        <w:rPr>
          <w:sz w:val="20"/>
          <w:szCs w:val="20"/>
          <w:color w:val="auto"/>
        </w:rPr>
      </w:pPr>
    </w:p>
    <w:p>
      <w:pPr>
        <w:ind w:right="40" w:firstLine="393"/>
        <w:spacing w:after="0" w:line="298" w:lineRule="auto"/>
        <w:rPr>
          <w:sz w:val="20"/>
          <w:szCs w:val="20"/>
          <w:color w:val="auto"/>
        </w:rPr>
      </w:pPr>
      <w:r>
        <w:rPr>
          <w:rFonts w:ascii="Arial" w:cs="Arial" w:eastAsia="Arial" w:hAnsi="Arial"/>
          <w:sz w:val="16"/>
          <w:szCs w:val="16"/>
          <w:color w:val="auto"/>
        </w:rPr>
        <w:t>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 a first-person action franchise. Activision also includes the activities of the Call of Duty League, a global professional esports league with city-based teams.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50"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 which facilitates digital distribution of Blizzard content and selected Activision content, online social connectivity, and the creation of user-generated content. Blizzard’s key product franchises include: Warcraft, which includes World of Warcraft, a subscription-based massive multi-player online role-playing game and Hearthstone, an online collectible card game based in the Warcraft universe; Diablo, an action role-playing franchise; and Overwatch, a team-based first-person action franchise. Blizzard also includes the activities of the Overwatch League, a global professional esports league with city-based teams.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King delivers content through free-to-play offerings and primarily generates revenue from in-game sales and in-game advertising on mobile platforms.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King’s key product franchise is Candy Crush™, a “match three” franchise.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We also engage in other businesses that do not represent reportable segments, including our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2021 financial highlights included:</w:t>
      </w:r>
    </w:p>
    <w:p>
      <w:pPr>
        <w:spacing w:after="0" w:line="250" w:lineRule="exact"/>
        <w:rPr>
          <w:sz w:val="20"/>
          <w:szCs w:val="20"/>
          <w:color w:val="auto"/>
        </w:rPr>
      </w:pPr>
    </w:p>
    <w:p>
      <w:pPr>
        <w:ind w:left="940" w:right="760" w:hanging="306"/>
        <w:spacing w:after="0" w:line="289"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consolidated net revenues increased 9% to $8.8 billion and consolidated operating income increased 19% to $3.3 billion, as compared to consolidated net revenues of $8.1 billion and consolidated operating income of $2.7 billion in 2020;</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diluted earnings per common share increased 22% to $3.44, as compared to $2.82 in 2020;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$2.4 billion, an increase of 7%, as compared to $2.3 billion in 2020.</w:t>
      </w:r>
    </w:p>
    <w:p>
      <w:pPr>
        <w:spacing w:after="0" w:line="250"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year ended December 31, 2021, include a net effect of $449 million and $347 million, respectively, from the recognition of deferred net revenues and related cost of revenues.</w:t>
      </w:r>
    </w:p>
    <w:p>
      <w:pPr>
        <w:spacing w:after="0" w:line="202" w:lineRule="exact"/>
        <w:rPr>
          <w:sz w:val="20"/>
          <w:szCs w:val="20"/>
          <w:color w:val="auto"/>
        </w:rPr>
      </w:pPr>
    </w:p>
    <w:p>
      <w:pPr>
        <w:ind w:right="200" w:firstLine="393"/>
        <w:spacing w:after="0" w:line="289" w:lineRule="auto"/>
        <w:rPr>
          <w:sz w:val="20"/>
          <w:szCs w:val="20"/>
          <w:color w:val="auto"/>
        </w:rPr>
      </w:pPr>
      <w:r>
        <w:rPr>
          <w:rFonts w:ascii="Arial" w:cs="Arial" w:eastAsia="Arial" w:hAnsi="Arial"/>
          <w:sz w:val="17"/>
          <w:szCs w:val="17"/>
          <w:color w:val="auto"/>
        </w:rPr>
        <w:t>The percentage of our consolidated net revenues that are recognized from revenue sources that are recognized at a “point-in-time” and from sources that are recognized “over-time and other” were as follows:</w:t>
      </w:r>
    </w:p>
    <w:p>
      <w:pPr>
        <w:spacing w:after="0" w:line="218" w:lineRule="exact"/>
        <w:rPr>
          <w:sz w:val="20"/>
          <w:szCs w:val="20"/>
          <w:color w:val="auto"/>
        </w:rPr>
      </w:pPr>
    </w:p>
    <w:p>
      <w:pPr>
        <w:ind w:left="6460"/>
        <w:spacing w:after="0"/>
        <w:rPr>
          <w:sz w:val="20"/>
          <w:szCs w:val="20"/>
          <w:color w:val="auto"/>
        </w:rPr>
      </w:pPr>
      <w:r>
        <w:rPr>
          <w:rFonts w:ascii="Arial" w:cs="Arial" w:eastAsia="Arial" w:hAnsi="Arial"/>
          <w:sz w:val="17"/>
          <w:szCs w:val="17"/>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bottom w:val="single" w:sz="8" w:color="CCEEFF"/>
            </w:tcBorders>
          </w:tcPr>
          <w:p>
            <w:pPr>
              <w:spacing w:after="0"/>
              <w:rPr>
                <w:sz w:val="18"/>
                <w:szCs w:val="18"/>
                <w:color w:val="auto"/>
              </w:rPr>
            </w:pPr>
          </w:p>
        </w:tc>
        <w:tc>
          <w:tcPr>
            <w:tcW w:w="24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9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40" w:type="dxa"/>
            <w:vAlign w:val="bottom"/>
            <w:tcBorders>
              <w:top w:val="single" w:sz="8" w:color="auto"/>
              <w:bottom w:val="single" w:sz="8" w:color="auto"/>
            </w:tcBorders>
          </w:tcPr>
          <w:p>
            <w:pPr>
              <w:jc w:val="right"/>
              <w:ind w:right="1453"/>
              <w:spacing w:after="0"/>
              <w:rPr>
                <w:sz w:val="20"/>
                <w:szCs w:val="20"/>
                <w:color w:val="auto"/>
              </w:rPr>
            </w:pPr>
            <w:r>
              <w:rPr>
                <w:rFonts w:ascii="Arial" w:cs="Arial" w:eastAsia="Arial" w:hAnsi="Arial"/>
                <w:sz w:val="17"/>
                <w:szCs w:val="17"/>
                <w:b w:val="1"/>
                <w:bCs w:val="1"/>
                <w:color w:val="auto"/>
              </w:rPr>
              <w:t>2020</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Point-in-time (1)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22"/>
        </w:trPr>
        <w:tc>
          <w:tcPr>
            <w:tcW w:w="6740" w:type="dxa"/>
            <w:vAlign w:val="bottom"/>
            <w:gridSpan w:val="2"/>
          </w:tcPr>
          <w:p>
            <w:pPr>
              <w:ind w:left="20"/>
              <w:spacing w:after="0"/>
              <w:rPr>
                <w:sz w:val="20"/>
                <w:szCs w:val="20"/>
                <w:color w:val="auto"/>
              </w:rPr>
            </w:pPr>
            <w:r>
              <w:rPr>
                <w:rFonts w:ascii="Arial" w:cs="Arial" w:eastAsia="Arial" w:hAnsi="Arial"/>
                <w:sz w:val="17"/>
                <w:szCs w:val="17"/>
                <w:color w:val="auto"/>
              </w:rPr>
              <w:t>Over-time and other (2)</w:t>
            </w:r>
          </w:p>
        </w:tc>
        <w:tc>
          <w:tcPr>
            <w:tcW w:w="980" w:type="dxa"/>
            <w:vAlign w:val="bottom"/>
          </w:tcPr>
          <w:p>
            <w:pPr>
              <w:jc w:val="right"/>
              <w:spacing w:after="0"/>
              <w:rPr>
                <w:sz w:val="20"/>
                <w:szCs w:val="20"/>
                <w:color w:val="auto"/>
              </w:rPr>
            </w:pPr>
            <w:r>
              <w:rPr>
                <w:rFonts w:ascii="Arial" w:cs="Arial" w:eastAsia="Arial" w:hAnsi="Arial"/>
                <w:sz w:val="17"/>
                <w:szCs w:val="17"/>
                <w:color w:val="auto"/>
              </w:rPr>
              <w:t>86 %</w:t>
            </w:r>
          </w:p>
        </w:tc>
        <w:tc>
          <w:tcPr>
            <w:tcW w:w="8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7"/>
                <w:szCs w:val="17"/>
                <w:color w:val="auto"/>
              </w:rPr>
              <w:t>84 %</w:t>
            </w:r>
          </w:p>
        </w:tc>
      </w:tr>
    </w:tbl>
    <w:p>
      <w:pPr>
        <w:spacing w:after="0" w:line="316" w:lineRule="exact"/>
        <w:rPr>
          <w:sz w:val="20"/>
          <w:szCs w:val="20"/>
          <w:color w:val="auto"/>
        </w:rPr>
      </w:pPr>
    </w:p>
    <w:p>
      <w:pPr>
        <w:ind w:left="320" w:right="380" w:hanging="315"/>
        <w:spacing w:after="0" w:line="289"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 recognized at a “point-in-time” is primarily comprised of the portion of revenue from software products that is recognized when the customer takes control of the product (i.e., upon delivery of the software product) and revenues from our Distribution business.</w:t>
      </w:r>
    </w:p>
    <w:p>
      <w:pPr>
        <w:spacing w:after="0" w:line="184" w:lineRule="exact"/>
        <w:rPr>
          <w:rFonts w:ascii="Arial" w:cs="Arial" w:eastAsia="Arial" w:hAnsi="Arial"/>
          <w:sz w:val="17"/>
          <w:szCs w:val="17"/>
          <w:color w:val="auto"/>
        </w:rPr>
      </w:pPr>
    </w:p>
    <w:p>
      <w:pPr>
        <w:ind w:left="320" w:right="520" w:hanging="315"/>
        <w:spacing w:after="0" w:line="289"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 recognized “over-time and other revenue” is primarily comprised of revenue associated with the online functionality of our games, in-game purchases, and subscriptions.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Content Release and Event Highlights</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Throughout the year we regularly release new content through seasonal and live services updates within our franchises, including Call of Duty, Candy Crush, and Warcraft. In addition to these updates, notable game releases during 2021 included:</w:t>
      </w:r>
    </w:p>
    <w:p>
      <w:pPr>
        <w:spacing w:after="0" w:line="185" w:lineRule="exact"/>
        <w:rPr>
          <w:sz w:val="20"/>
          <w:szCs w:val="20"/>
          <w:color w:val="auto"/>
        </w:rPr>
      </w:pPr>
    </w:p>
    <w:p>
      <w:pPr>
        <w:ind w:left="940" w:hanging="306"/>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Call of Duty: Vanguard</w:t>
      </w:r>
      <w:r>
        <w:rPr>
          <w:rFonts w:ascii="Arial" w:cs="Arial" w:eastAsia="Arial" w:hAnsi="Arial"/>
          <w:sz w:val="17"/>
          <w:szCs w:val="17"/>
          <w:color w:val="auto"/>
        </w:rPr>
        <w:t>;</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Call of Duty: Warzone Pacific</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Blizzard’s </w:t>
      </w:r>
      <w:r>
        <w:rPr>
          <w:rFonts w:ascii="Arial" w:cs="Arial" w:eastAsia="Arial" w:hAnsi="Arial"/>
          <w:sz w:val="17"/>
          <w:szCs w:val="17"/>
          <w:i w:val="1"/>
          <w:iCs w:val="1"/>
          <w:color w:val="auto"/>
        </w:rPr>
        <w:t>World of Warcraft: Burning Crusade Classic</w:t>
      </w:r>
      <w:r>
        <w:rPr>
          <w:rFonts w:ascii="Arial" w:cs="Arial" w:eastAsia="Arial" w:hAnsi="Arial"/>
          <w:sz w:val="17"/>
          <w:szCs w:val="17"/>
          <w:color w:val="auto"/>
        </w:rPr>
        <w:t>™;</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Blizzard’s </w:t>
      </w:r>
      <w:r>
        <w:rPr>
          <w:rFonts w:ascii="Arial" w:cs="Arial" w:eastAsia="Arial" w:hAnsi="Arial"/>
          <w:sz w:val="17"/>
          <w:szCs w:val="17"/>
          <w:i w:val="1"/>
          <w:iCs w:val="1"/>
          <w:color w:val="auto"/>
        </w:rPr>
        <w:t>Hearthstone: Mercenaries</w:t>
      </w:r>
      <w:r>
        <w:rPr>
          <w:rFonts w:ascii="Arial" w:cs="Arial" w:eastAsia="Arial" w:hAnsi="Arial"/>
          <w:sz w:val="17"/>
          <w:szCs w:val="17"/>
          <w:color w:val="auto"/>
        </w:rPr>
        <w: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Blizzard’s </w:t>
      </w:r>
      <w:r>
        <w:rPr>
          <w:rFonts w:ascii="Arial" w:cs="Arial" w:eastAsia="Arial" w:hAnsi="Arial"/>
          <w:sz w:val="17"/>
          <w:szCs w:val="17"/>
          <w:i w:val="1"/>
          <w:iCs w:val="1"/>
          <w:color w:val="auto"/>
        </w:rPr>
        <w:t>Diablo II: Resurrected™,</w:t>
      </w:r>
      <w:r>
        <w:rPr>
          <w:rFonts w:ascii="Arial" w:cs="Arial" w:eastAsia="Arial" w:hAnsi="Arial"/>
          <w:sz w:val="17"/>
          <w:szCs w:val="17"/>
          <w:color w:val="auto"/>
        </w:rPr>
        <w:t xml:space="preserve"> a remastered version of the original action role-playing game title </w:t>
      </w:r>
      <w:r>
        <w:rPr>
          <w:rFonts w:ascii="Arial" w:cs="Arial" w:eastAsia="Arial" w:hAnsi="Arial"/>
          <w:sz w:val="17"/>
          <w:szCs w:val="17"/>
          <w:i w:val="1"/>
          <w:iCs w:val="1"/>
          <w:color w:val="auto"/>
        </w:rPr>
        <w:t>Diablo II.</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Title Release Dates</w:t>
      </w:r>
    </w:p>
    <w:p>
      <w:pPr>
        <w:spacing w:after="0" w:line="237" w:lineRule="exact"/>
        <w:rPr>
          <w:sz w:val="20"/>
          <w:szCs w:val="20"/>
          <w:color w:val="auto"/>
        </w:rPr>
      </w:pPr>
    </w:p>
    <w:p>
      <w:pPr>
        <w:ind w:right="120" w:firstLine="393"/>
        <w:spacing w:after="0" w:line="257" w:lineRule="auto"/>
        <w:rPr>
          <w:sz w:val="20"/>
          <w:szCs w:val="20"/>
          <w:color w:val="auto"/>
        </w:rPr>
      </w:pPr>
      <w:r>
        <w:rPr>
          <w:rFonts w:ascii="Arial" w:cs="Arial" w:eastAsia="Arial" w:hAnsi="Arial"/>
          <w:sz w:val="17"/>
          <w:szCs w:val="17"/>
          <w:color w:val="auto"/>
        </w:rPr>
        <w:t>Below is a summary of release dates for titles that are discussed throughout our analysis for our operating metrics, our consolidated results, and operating segment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60" w:type="dxa"/>
            <w:vAlign w:val="bottom"/>
            <w:tcBorders>
              <w:bottom w:val="single" w:sz="8" w:color="CCEEFF"/>
            </w:tcBorders>
          </w:tcPr>
          <w:p>
            <w:pPr>
              <w:spacing w:after="0"/>
              <w:rPr>
                <w:sz w:val="19"/>
                <w:szCs w:val="19"/>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Release Date</w:t>
            </w:r>
          </w:p>
        </w:tc>
      </w:tr>
      <w:tr>
        <w:trPr>
          <w:trHeight w:val="167"/>
        </w:trPr>
        <w:tc>
          <w:tcPr>
            <w:tcW w:w="392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i w:val="1"/>
                <w:iCs w:val="1"/>
                <w:color w:val="auto"/>
              </w:rPr>
              <w:t>Call of Duty: Vanguard</w:t>
            </w:r>
          </w:p>
        </w:tc>
        <w:tc>
          <w:tcPr>
            <w:tcW w:w="73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94"/>
              </w:rPr>
              <w:t xml:space="preserve">November 2021, and when referred to herein, is inclusive of </w:t>
            </w:r>
            <w:r>
              <w:rPr>
                <w:rFonts w:ascii="Arial" w:cs="Arial" w:eastAsia="Arial" w:hAnsi="Arial"/>
                <w:sz w:val="16"/>
                <w:szCs w:val="16"/>
                <w:i w:val="1"/>
                <w:iCs w:val="1"/>
                <w:color w:val="auto"/>
                <w:w w:val="94"/>
              </w:rPr>
              <w:t>Call of Duty: Warzone</w:t>
            </w:r>
            <w:r>
              <w:rPr>
                <w:rFonts w:ascii="Arial" w:cs="Arial" w:eastAsia="Arial" w:hAnsi="Arial"/>
                <w:sz w:val="16"/>
                <w:szCs w:val="16"/>
                <w:color w:val="auto"/>
                <w:w w:val="94"/>
              </w:rPr>
              <w:t xml:space="preserve"> from the release of </w:t>
            </w:r>
            <w:r>
              <w:rPr>
                <w:rFonts w:ascii="Arial" w:cs="Arial" w:eastAsia="Arial" w:hAnsi="Arial"/>
                <w:sz w:val="16"/>
                <w:szCs w:val="16"/>
                <w:i w:val="1"/>
                <w:iCs w:val="1"/>
                <w:color w:val="auto"/>
                <w:w w:val="94"/>
              </w:rPr>
              <w:t>Call of</w:t>
            </w:r>
          </w:p>
        </w:tc>
      </w:tr>
      <w:tr>
        <w:trPr>
          <w:trHeight w:val="220"/>
        </w:trPr>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Duty: Vanguard </w:t>
            </w:r>
            <w:r>
              <w:rPr>
                <w:rFonts w:ascii="Arial" w:cs="Arial" w:eastAsia="Arial" w:hAnsi="Arial"/>
                <w:sz w:val="16"/>
                <w:szCs w:val="16"/>
                <w:color w:val="auto"/>
              </w:rPr>
              <w:t>Season 1 content and</w:t>
            </w:r>
            <w:r>
              <w:rPr>
                <w:rFonts w:ascii="Arial" w:cs="Arial" w:eastAsia="Arial" w:hAnsi="Arial"/>
                <w:sz w:val="16"/>
                <w:szCs w:val="16"/>
                <w:i w:val="1"/>
                <w:iCs w:val="1"/>
                <w:color w:val="auto"/>
              </w:rPr>
              <w:t xml:space="preserve"> Call of Duty: Warzone Pacific </w:t>
            </w:r>
            <w:r>
              <w:rPr>
                <w:rFonts w:ascii="Arial" w:cs="Arial" w:eastAsia="Arial" w:hAnsi="Arial"/>
                <w:sz w:val="16"/>
                <w:szCs w:val="16"/>
                <w:color w:val="auto"/>
              </w:rPr>
              <w:t>on December 8, 2021.</w:t>
            </w:r>
          </w:p>
        </w:tc>
      </w:tr>
      <w:tr>
        <w:trPr>
          <w:trHeight w:val="174"/>
        </w:trPr>
        <w:tc>
          <w:tcPr>
            <w:tcW w:w="3920" w:type="dxa"/>
            <w:vAlign w:val="bottom"/>
            <w:gridSpan w:val="2"/>
          </w:tcPr>
          <w:p>
            <w:pPr>
              <w:ind w:left="20"/>
              <w:spacing w:after="0" w:line="174" w:lineRule="exact"/>
              <w:rPr>
                <w:sz w:val="20"/>
                <w:szCs w:val="20"/>
                <w:color w:val="auto"/>
              </w:rPr>
            </w:pPr>
            <w:r>
              <w:rPr>
                <w:rFonts w:ascii="Arial" w:cs="Arial" w:eastAsia="Arial" w:hAnsi="Arial"/>
                <w:sz w:val="16"/>
                <w:szCs w:val="16"/>
                <w:i w:val="1"/>
                <w:iCs w:val="1"/>
                <w:color w:val="auto"/>
              </w:rPr>
              <w:t>Call of Duty: Black Ops Cold War</w:t>
            </w:r>
          </w:p>
        </w:tc>
        <w:tc>
          <w:tcPr>
            <w:tcW w:w="7320" w:type="dxa"/>
            <w:vAlign w:val="bottom"/>
          </w:tcPr>
          <w:p>
            <w:pPr>
              <w:ind w:left="20"/>
              <w:spacing w:after="0" w:line="174" w:lineRule="exact"/>
              <w:rPr>
                <w:sz w:val="20"/>
                <w:szCs w:val="20"/>
                <w:color w:val="auto"/>
              </w:rPr>
            </w:pPr>
            <w:r>
              <w:rPr>
                <w:rFonts w:ascii="Arial" w:cs="Arial" w:eastAsia="Arial" w:hAnsi="Arial"/>
                <w:sz w:val="16"/>
                <w:szCs w:val="16"/>
                <w:color w:val="auto"/>
                <w:w w:val="94"/>
              </w:rPr>
              <w:t xml:space="preserve">November 2020, and when referred to herein, is inclusive of </w:t>
            </w:r>
            <w:r>
              <w:rPr>
                <w:rFonts w:ascii="Arial" w:cs="Arial" w:eastAsia="Arial" w:hAnsi="Arial"/>
                <w:sz w:val="16"/>
                <w:szCs w:val="16"/>
                <w:i w:val="1"/>
                <w:iCs w:val="1"/>
                <w:color w:val="auto"/>
                <w:w w:val="94"/>
              </w:rPr>
              <w:t>Call of Duty: Warzone</w:t>
            </w:r>
            <w:r>
              <w:rPr>
                <w:rFonts w:ascii="Arial" w:cs="Arial" w:eastAsia="Arial" w:hAnsi="Arial"/>
                <w:sz w:val="16"/>
                <w:szCs w:val="16"/>
                <w:color w:val="auto"/>
                <w:w w:val="94"/>
              </w:rPr>
              <w:t xml:space="preserve"> from the release of </w:t>
            </w:r>
            <w:r>
              <w:rPr>
                <w:rFonts w:ascii="Arial" w:cs="Arial" w:eastAsia="Arial" w:hAnsi="Arial"/>
                <w:sz w:val="16"/>
                <w:szCs w:val="16"/>
                <w:i w:val="1"/>
                <w:iCs w:val="1"/>
                <w:color w:val="auto"/>
                <w:w w:val="94"/>
              </w:rPr>
              <w:t>Call of</w:t>
            </w:r>
          </w:p>
        </w:tc>
      </w:tr>
      <w:tr>
        <w:trPr>
          <w:trHeight w:val="210"/>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Arial" w:cs="Arial" w:eastAsia="Arial" w:hAnsi="Arial"/>
                <w:sz w:val="16"/>
                <w:szCs w:val="16"/>
                <w:i w:val="1"/>
                <w:iCs w:val="1"/>
                <w:color w:val="auto"/>
              </w:rPr>
              <w:t xml:space="preserve">Duty: Black Ops Cold War </w:t>
            </w:r>
            <w:r>
              <w:rPr>
                <w:rFonts w:ascii="Arial" w:cs="Arial" w:eastAsia="Arial" w:hAnsi="Arial"/>
                <w:sz w:val="16"/>
                <w:szCs w:val="16"/>
                <w:color w:val="auto"/>
              </w:rPr>
              <w:t>Season 1 content on December 16, 2020 through December 8, 2021.</w:t>
            </w:r>
          </w:p>
        </w:tc>
      </w:tr>
      <w:tr>
        <w:trPr>
          <w:trHeight w:val="22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Crash Bandicoot™ 4: It’s About Time</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2020.</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Tony Hawk’s™ Pro Skater™ 1 + 2</w:t>
            </w:r>
          </w:p>
        </w:tc>
        <w:tc>
          <w:tcPr>
            <w:tcW w:w="7320" w:type="dxa"/>
            <w:vAlign w:val="bottom"/>
          </w:tcPr>
          <w:p>
            <w:pPr>
              <w:ind w:left="20"/>
              <w:spacing w:after="0"/>
              <w:rPr>
                <w:sz w:val="20"/>
                <w:szCs w:val="20"/>
                <w:color w:val="auto"/>
              </w:rPr>
            </w:pPr>
            <w:r>
              <w:rPr>
                <w:rFonts w:ascii="Arial" w:cs="Arial" w:eastAsia="Arial" w:hAnsi="Arial"/>
                <w:sz w:val="16"/>
                <w:szCs w:val="16"/>
                <w:color w:val="auto"/>
              </w:rPr>
              <w:t>September 2020.</w:t>
            </w:r>
          </w:p>
        </w:tc>
      </w:tr>
      <w:tr>
        <w:trPr>
          <w:trHeight w:val="164"/>
        </w:trPr>
        <w:tc>
          <w:tcPr>
            <w:tcW w:w="39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i w:val="1"/>
                <w:iCs w:val="1"/>
                <w:color w:val="auto"/>
              </w:rPr>
              <w:t>Call of Duty: Modern Warfare</w:t>
            </w:r>
          </w:p>
        </w:tc>
        <w:tc>
          <w:tcPr>
            <w:tcW w:w="732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w w:val="92"/>
              </w:rPr>
              <w:t xml:space="preserve">October 2019, and when referred to herein, is inclusive of </w:t>
            </w:r>
            <w:r>
              <w:rPr>
                <w:rFonts w:ascii="Arial" w:cs="Arial" w:eastAsia="Arial" w:hAnsi="Arial"/>
                <w:sz w:val="16"/>
                <w:szCs w:val="16"/>
                <w:i w:val="1"/>
                <w:iCs w:val="1"/>
                <w:color w:val="auto"/>
                <w:w w:val="92"/>
              </w:rPr>
              <w:t>Call of Duty: Warzone</w:t>
            </w:r>
            <w:r>
              <w:rPr>
                <w:rFonts w:ascii="Arial" w:cs="Arial" w:eastAsia="Arial" w:hAnsi="Arial"/>
                <w:sz w:val="16"/>
                <w:szCs w:val="16"/>
                <w:color w:val="auto"/>
                <w:w w:val="92"/>
              </w:rPr>
              <w:t xml:space="preserve"> from its release in March 2020</w:t>
            </w:r>
          </w:p>
        </w:tc>
      </w:tr>
      <w:tr>
        <w:trPr>
          <w:trHeight w:val="207"/>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through December 16, 2020.</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Call of Duty: Mobile</w:t>
            </w:r>
          </w:p>
        </w:tc>
        <w:tc>
          <w:tcPr>
            <w:tcW w:w="7320" w:type="dxa"/>
            <w:vAlign w:val="bottom"/>
          </w:tcPr>
          <w:p>
            <w:pPr>
              <w:ind w:left="20"/>
              <w:spacing w:after="0"/>
              <w:rPr>
                <w:sz w:val="20"/>
                <w:szCs w:val="20"/>
                <w:color w:val="auto"/>
              </w:rPr>
            </w:pPr>
            <w:r>
              <w:rPr>
                <w:rFonts w:ascii="Arial" w:cs="Arial" w:eastAsia="Arial" w:hAnsi="Arial"/>
                <w:sz w:val="16"/>
                <w:szCs w:val="16"/>
                <w:color w:val="auto"/>
              </w:rPr>
              <w:t>October 2019.</w:t>
            </w:r>
          </w:p>
        </w:tc>
      </w:tr>
      <w:tr>
        <w:trPr>
          <w:trHeight w:val="22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Crash™ Team Racing Nitro-Fueled</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2019.</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Call of Duty: Black Ops 4</w:t>
            </w:r>
          </w:p>
        </w:tc>
        <w:tc>
          <w:tcPr>
            <w:tcW w:w="7320" w:type="dxa"/>
            <w:vAlign w:val="bottom"/>
          </w:tcPr>
          <w:p>
            <w:pPr>
              <w:ind w:left="20"/>
              <w:spacing w:after="0"/>
              <w:rPr>
                <w:sz w:val="20"/>
                <w:szCs w:val="20"/>
                <w:color w:val="auto"/>
              </w:rPr>
            </w:pPr>
            <w:r>
              <w:rPr>
                <w:rFonts w:ascii="Arial" w:cs="Arial" w:eastAsia="Arial" w:hAnsi="Arial"/>
                <w:sz w:val="16"/>
                <w:szCs w:val="16"/>
                <w:color w:val="auto"/>
              </w:rPr>
              <w:t>October 2018.</w:t>
            </w:r>
          </w:p>
        </w:tc>
      </w:tr>
      <w:tr>
        <w:trPr>
          <w:trHeight w:val="21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Diablo II: Resurrected</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2021.</w:t>
            </w: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World of Warcraft: Burning Crusade Classic</w:t>
            </w:r>
          </w:p>
        </w:tc>
        <w:tc>
          <w:tcPr>
            <w:tcW w:w="7320" w:type="dxa"/>
            <w:vAlign w:val="bottom"/>
          </w:tcPr>
          <w:p>
            <w:pPr>
              <w:ind w:left="20"/>
              <w:spacing w:after="0"/>
              <w:rPr>
                <w:sz w:val="20"/>
                <w:szCs w:val="20"/>
                <w:color w:val="auto"/>
              </w:rPr>
            </w:pPr>
            <w:r>
              <w:rPr>
                <w:rFonts w:ascii="Arial" w:cs="Arial" w:eastAsia="Arial" w:hAnsi="Arial"/>
                <w:sz w:val="16"/>
                <w:szCs w:val="16"/>
                <w:color w:val="auto"/>
              </w:rPr>
              <w:t>June 2021.</w:t>
            </w:r>
          </w:p>
        </w:tc>
      </w:tr>
      <w:tr>
        <w:trPr>
          <w:trHeight w:val="23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World of Warcraft: Shadowlands</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2020.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Sales</w:t>
      </w:r>
    </w:p>
    <w:p>
      <w:pPr>
        <w:spacing w:after="0" w:line="250"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51%, 52%, and 54% of our total consolidated net revenues for the years ended December 31, 2021, 2020, and 2019, respectively. The majority of our net revenues from foreign countries are generated by consumers in Australia, Canada, China, France, Germany, Italy, Japan, South Korea, and the U.K. Our international business is subject to risks typical of an international business, including, but not limited to, foreign currency exchange rate volatility and changes in local economies. Accordingly, our future results could be materially and adversely affected by changes in foreign currency exchange rates and changes in local economies.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50"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50"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7"/>
                <w:szCs w:val="17"/>
                <w:b w:val="1"/>
                <w:bCs w:val="1"/>
                <w:color w:val="auto"/>
              </w:rPr>
              <w:t>For the Years Ended December 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Pr>
          <w:p>
            <w:pPr>
              <w:jc w:val="center"/>
              <w:ind w:right="293"/>
              <w:spacing w:after="0"/>
              <w:rPr>
                <w:sz w:val="20"/>
                <w:szCs w:val="20"/>
                <w:color w:val="auto"/>
              </w:rPr>
            </w:pPr>
            <w:r>
              <w:rPr>
                <w:rFonts w:ascii="Arial" w:cs="Arial" w:eastAsia="Arial" w:hAnsi="Arial"/>
                <w:sz w:val="17"/>
                <w:szCs w:val="17"/>
                <w:b w:val="1"/>
                <w:bCs w:val="1"/>
                <w:color w:val="auto"/>
                <w:w w:val="89"/>
              </w:rPr>
              <w:t>Increase</w:t>
            </w:r>
          </w:p>
        </w:tc>
      </w:tr>
      <w:tr>
        <w:trPr>
          <w:trHeight w:val="229"/>
        </w:trPr>
        <w:tc>
          <w:tcPr>
            <w:tcW w:w="43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293"/>
              <w:spacing w:after="0"/>
              <w:rPr>
                <w:sz w:val="20"/>
                <w:szCs w:val="20"/>
                <w:color w:val="auto"/>
              </w:rPr>
            </w:pPr>
            <w:r>
              <w:rPr>
                <w:rFonts w:ascii="Arial" w:cs="Arial" w:eastAsia="Arial" w:hAnsi="Arial"/>
                <w:sz w:val="17"/>
                <w:szCs w:val="17"/>
                <w:b w:val="1"/>
                <w:bCs w:val="1"/>
                <w:color w:val="auto"/>
                <w:w w:val="89"/>
              </w:rPr>
              <w:t>(Decrease)</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8,419</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ind w:left="1440"/>
              <w:spacing w:after="0"/>
              <w:rPr>
                <w:sz w:val="20"/>
                <w:szCs w:val="20"/>
                <w:color w:val="auto"/>
              </w:rPr>
            </w:pPr>
            <w:r>
              <w:rPr>
                <w:rFonts w:ascii="Arial" w:cs="Arial" w:eastAsia="Arial" w:hAnsi="Arial"/>
                <w:sz w:val="17"/>
                <w:szCs w:val="17"/>
                <w:color w:val="auto"/>
                <w:w w:val="99"/>
              </w:rPr>
              <w:t>(65)</w:t>
            </w:r>
          </w:p>
        </w:tc>
      </w:tr>
      <w:tr>
        <w:trPr>
          <w:trHeight w:val="222"/>
        </w:trPr>
        <w:tc>
          <w:tcPr>
            <w:tcW w:w="436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5,100</w:t>
            </w:r>
          </w:p>
        </w:tc>
        <w:tc>
          <w:tcPr>
            <w:tcW w:w="22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4,852</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tcPr>
          <w:p>
            <w:pPr>
              <w:ind w:left="1440"/>
              <w:spacing w:after="0"/>
              <w:rPr>
                <w:sz w:val="20"/>
                <w:szCs w:val="20"/>
                <w:color w:val="auto"/>
              </w:rPr>
            </w:pPr>
            <w:r>
              <w:rPr>
                <w:rFonts w:ascii="Arial" w:cs="Arial" w:eastAsia="Arial" w:hAnsi="Arial"/>
                <w:sz w:val="17"/>
                <w:szCs w:val="17"/>
                <w:color w:val="auto"/>
              </w:rPr>
              <w:t>248</w:t>
            </w:r>
          </w:p>
        </w:tc>
      </w:tr>
    </w:tbl>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Net bookings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decrease in net bookings for the year ended December 31, 2021, as compared to the year ended December 31, 2020, was primarily due to:</w:t>
      </w:r>
    </w:p>
    <w:p>
      <w:pPr>
        <w:spacing w:after="0" w:line="250" w:lineRule="exact"/>
        <w:rPr>
          <w:sz w:val="20"/>
          <w:szCs w:val="20"/>
          <w:color w:val="auto"/>
        </w:rPr>
      </w:pPr>
    </w:p>
    <w:p>
      <w:pPr>
        <w:ind w:left="940" w:hanging="306"/>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 $464 million decrease in Activision net bookings, driven by lower net bookings from (1)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w:t>
      </w:r>
    </w:p>
    <w:p>
      <w:pPr>
        <w:spacing w:after="0" w:line="37"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i w:val="1"/>
          <w:iCs w:val="1"/>
          <w:color w:val="auto"/>
        </w:rPr>
        <w:t>Black Ops Cold War</w:t>
      </w:r>
      <w:r>
        <w:rPr>
          <w:rFonts w:ascii="Arial" w:cs="Arial" w:eastAsia="Arial" w:hAnsi="Arial"/>
          <w:sz w:val="16"/>
          <w:szCs w:val="16"/>
          <w:color w:val="auto"/>
        </w:rPr>
        <w:t>, (2)</w:t>
      </w:r>
      <w:r>
        <w:rPr>
          <w:rFonts w:ascii="Arial" w:cs="Arial" w:eastAsia="Arial" w:hAnsi="Arial"/>
          <w:sz w:val="16"/>
          <w:szCs w:val="16"/>
          <w:i w:val="1"/>
          <w:iCs w:val="1"/>
          <w:color w:val="auto"/>
        </w:rPr>
        <w:t xml:space="preserve"> Call of Duty: Black Ops Cold War </w:t>
      </w:r>
      <w:r>
        <w:rPr>
          <w:rFonts w:ascii="Arial" w:cs="Arial" w:eastAsia="Arial" w:hAnsi="Arial"/>
          <w:sz w:val="16"/>
          <w:szCs w:val="16"/>
          <w:color w:val="auto"/>
        </w:rPr>
        <w:t>as compared to</w:t>
      </w:r>
      <w:r>
        <w:rPr>
          <w:rFonts w:ascii="Arial" w:cs="Arial" w:eastAsia="Arial" w:hAnsi="Arial"/>
          <w:sz w:val="16"/>
          <w:szCs w:val="16"/>
          <w:i w:val="1"/>
          <w:iCs w:val="1"/>
          <w:color w:val="auto"/>
        </w:rPr>
        <w:t xml:space="preserve"> Call of Duty: Modern Warfare</w:t>
      </w:r>
      <w:r>
        <w:rPr>
          <w:rFonts w:ascii="Arial" w:cs="Arial" w:eastAsia="Arial" w:hAnsi="Arial"/>
          <w:sz w:val="16"/>
          <w:szCs w:val="16"/>
          <w:color w:val="auto"/>
        </w:rPr>
        <w:t>, (3)</w:t>
      </w:r>
      <w:r>
        <w:rPr>
          <w:rFonts w:ascii="Arial" w:cs="Arial" w:eastAsia="Arial" w:hAnsi="Arial"/>
          <w:sz w:val="16"/>
          <w:szCs w:val="16"/>
          <w:i w:val="1"/>
          <w:iCs w:val="1"/>
          <w:color w:val="auto"/>
        </w:rPr>
        <w:t xml:space="preserve"> Tony Hawk’s Pro Skater 1 + 2, </w:t>
      </w:r>
      <w:r>
        <w:rPr>
          <w:rFonts w:ascii="Arial" w:cs="Arial" w:eastAsia="Arial" w:hAnsi="Arial"/>
          <w:sz w:val="16"/>
          <w:szCs w:val="16"/>
          <w:color w:val="auto"/>
        </w:rPr>
        <w:t>and</w:t>
      </w:r>
    </w:p>
    <w:p>
      <w:pPr>
        <w:spacing w:after="0" w:line="25"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 xml:space="preserve">(4) </w:t>
      </w:r>
      <w:r>
        <w:rPr>
          <w:rFonts w:ascii="Arial" w:cs="Arial" w:eastAsia="Arial" w:hAnsi="Arial"/>
          <w:sz w:val="16"/>
          <w:szCs w:val="16"/>
          <w:i w:val="1"/>
          <w:iCs w:val="1"/>
          <w:color w:val="auto"/>
        </w:rPr>
        <w:t>Crash Bandicoot 4: It’s About Time</w:t>
      </w:r>
      <w:r>
        <w:rPr>
          <w:rFonts w:ascii="Arial" w:cs="Arial" w:eastAsia="Arial" w:hAnsi="Arial"/>
          <w:sz w:val="16"/>
          <w:szCs w:val="16"/>
          <w:color w:val="auto"/>
        </w:rPr>
        <w:t xml:space="preserve">, partially offset by higher net bookings from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w:t>
      </w:r>
    </w:p>
    <w:p>
      <w:pPr>
        <w:spacing w:after="0" w:line="25"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i w:val="1"/>
          <w:iCs w:val="1"/>
          <w:color w:val="auto"/>
        </w:rPr>
        <w:t xml:space="preserve">Black Ops 4 </w:t>
      </w:r>
      <w:r>
        <w:rPr>
          <w:rFonts w:ascii="Arial" w:cs="Arial" w:eastAsia="Arial" w:hAnsi="Arial"/>
          <w:sz w:val="17"/>
          <w:szCs w:val="17"/>
          <w:color w:val="auto"/>
        </w:rPr>
        <w:t>and</w:t>
      </w:r>
      <w:r>
        <w:rPr>
          <w:rFonts w:ascii="Arial" w:cs="Arial" w:eastAsia="Arial" w:hAnsi="Arial"/>
          <w:sz w:val="17"/>
          <w:szCs w:val="17"/>
          <w:i w:val="1"/>
          <w:iCs w:val="1"/>
          <w:color w:val="auto"/>
        </w:rPr>
        <w:t xml:space="preserve"> Call of Duty: Mobile</w:t>
      </w:r>
      <w:r>
        <w:rPr>
          <w:rFonts w:ascii="Arial" w:cs="Arial" w:eastAsia="Arial" w:hAnsi="Arial"/>
          <w:sz w:val="17"/>
          <w:szCs w:val="17"/>
          <w:color w:val="auto"/>
        </w:rPr>
        <w:t>; and</w:t>
      </w:r>
    </w:p>
    <w:p>
      <w:pPr>
        <w:spacing w:after="0" w:line="238" w:lineRule="exact"/>
        <w:rPr>
          <w:rFonts w:ascii="Arial" w:cs="Arial" w:eastAsia="Arial" w:hAnsi="Arial"/>
          <w:sz w:val="16"/>
          <w:szCs w:val="16"/>
          <w:color w:val="auto"/>
        </w:rPr>
      </w:pPr>
    </w:p>
    <w:p>
      <w:pPr>
        <w:ind w:left="940" w:hanging="306"/>
        <w:spacing w:after="0" w:line="28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 $78 million decrease in Blizzard net bookings, driven by lower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partially offset by higher net bookings from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185"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The decrease in net bookings was partially offset by a $416 million increase in King net bookings, driven by higher net bookings from in-game player purchases and advertising, primarily in the Candy Crush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net bookings</w:t>
      </w:r>
    </w:p>
    <w:p>
      <w:pPr>
        <w:spacing w:after="0" w:line="250"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The increase in in-game net bookings for the year ended December 31, 2021, as compared to the year ended December 31, 2020, was primarily due to a $265 million increase in King in-game net bookings, driven by the Candy Crush franchise.</w:t>
      </w:r>
    </w:p>
    <w:p>
      <w:pPr>
        <w:spacing w:after="0" w:line="185" w:lineRule="exact"/>
        <w:rPr>
          <w:sz w:val="20"/>
          <w:szCs w:val="20"/>
          <w:color w:val="auto"/>
        </w:rPr>
      </w:pPr>
    </w:p>
    <w:p>
      <w:pPr>
        <w:jc w:val="both"/>
        <w:ind w:right="160" w:firstLine="393"/>
        <w:spacing w:after="0" w:line="298" w:lineRule="auto"/>
        <w:rPr>
          <w:sz w:val="20"/>
          <w:szCs w:val="20"/>
          <w:color w:val="auto"/>
        </w:rPr>
      </w:pPr>
      <w:r>
        <w:rPr>
          <w:rFonts w:ascii="Arial" w:cs="Arial" w:eastAsia="Arial" w:hAnsi="Arial"/>
          <w:sz w:val="16"/>
          <w:szCs w:val="16"/>
          <w:color w:val="auto"/>
        </w:rPr>
        <w:t xml:space="preserve">This increase was partially offset by a $18 million decrease in Activision in-game net bookings, with lower in-game net bookings from (1) </w:t>
      </w:r>
      <w:r>
        <w:rPr>
          <w:rFonts w:ascii="Arial" w:cs="Arial" w:eastAsia="Arial" w:hAnsi="Arial"/>
          <w:sz w:val="16"/>
          <w:szCs w:val="16"/>
          <w:i w:val="1"/>
          <w:iCs w:val="1"/>
          <w:color w:val="auto"/>
        </w:rPr>
        <w:t>Call of Duty:</w:t>
      </w:r>
      <w:r>
        <w:rPr>
          <w:rFonts w:ascii="Arial" w:cs="Arial" w:eastAsia="Arial" w:hAnsi="Arial"/>
          <w:sz w:val="16"/>
          <w:szCs w:val="16"/>
          <w:color w:val="auto"/>
        </w:rPr>
        <w:t xml:space="preserve"> </w:t>
      </w:r>
      <w:r>
        <w:rPr>
          <w:rFonts w:ascii="Arial" w:cs="Arial" w:eastAsia="Arial" w:hAnsi="Arial"/>
          <w:sz w:val="16"/>
          <w:szCs w:val="16"/>
          <w:i w:val="1"/>
          <w:iCs w:val="1"/>
          <w:color w:val="auto"/>
        </w:rPr>
        <w:t>Black Ops Cold War</w:t>
      </w:r>
      <w:r>
        <w:rPr>
          <w:rFonts w:ascii="Arial" w:cs="Arial" w:eastAsia="Arial" w:hAnsi="Arial"/>
          <w:sz w:val="16"/>
          <w:szCs w:val="16"/>
          <w:color w:val="auto"/>
        </w:rPr>
        <w:t>, as compared to</w:t>
      </w:r>
      <w:r>
        <w:rPr>
          <w:rFonts w:ascii="Arial" w:cs="Arial" w:eastAsia="Arial" w:hAnsi="Arial"/>
          <w:sz w:val="16"/>
          <w:szCs w:val="16"/>
          <w:i w:val="1"/>
          <w:iCs w:val="1"/>
          <w:color w:val="auto"/>
        </w:rPr>
        <w:t xml:space="preserve"> Call of Duty: Modern Warfare</w:t>
      </w:r>
      <w:r>
        <w:rPr>
          <w:rFonts w:ascii="Arial" w:cs="Arial" w:eastAsia="Arial" w:hAnsi="Arial"/>
          <w:sz w:val="16"/>
          <w:szCs w:val="16"/>
          <w:color w:val="auto"/>
        </w:rPr>
        <w:t>, and (2)</w:t>
      </w:r>
      <w:r>
        <w:rPr>
          <w:rFonts w:ascii="Arial" w:cs="Arial" w:eastAsia="Arial" w:hAnsi="Arial"/>
          <w:sz w:val="16"/>
          <w:szCs w:val="16"/>
          <w:i w:val="1"/>
          <w:iCs w:val="1"/>
          <w:color w:val="auto"/>
        </w:rPr>
        <w:t xml:space="preserve"> Call of Duty: Vanguard</w:t>
      </w:r>
      <w:r>
        <w:rPr>
          <w:rFonts w:ascii="Arial" w:cs="Arial" w:eastAsia="Arial" w:hAnsi="Arial"/>
          <w:sz w:val="16"/>
          <w:szCs w:val="16"/>
          <w:color w:val="auto"/>
        </w:rPr>
        <w:t>, as compared to</w:t>
      </w:r>
      <w:r>
        <w:rPr>
          <w:rFonts w:ascii="Arial" w:cs="Arial" w:eastAsia="Arial" w:hAnsi="Arial"/>
          <w:sz w:val="16"/>
          <w:szCs w:val="16"/>
          <w:i w:val="1"/>
          <w:iCs w:val="1"/>
          <w:color w:val="auto"/>
        </w:rPr>
        <w:t xml:space="preserve"> Call of Duty: Black Ops Cold War</w:t>
      </w:r>
      <w:r>
        <w:rPr>
          <w:rFonts w:ascii="Arial" w:cs="Arial" w:eastAsia="Arial" w:hAnsi="Arial"/>
          <w:sz w:val="16"/>
          <w:szCs w:val="16"/>
          <w:color w:val="auto"/>
        </w:rPr>
        <w:t>, being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largely offset by higher in-game net bookings from </w:t>
      </w:r>
      <w:r>
        <w:rPr>
          <w:rFonts w:ascii="Arial" w:cs="Arial" w:eastAsia="Arial" w:hAnsi="Arial"/>
          <w:sz w:val="16"/>
          <w:szCs w:val="16"/>
          <w:i w:val="1"/>
          <w:iCs w:val="1"/>
          <w:color w:val="auto"/>
        </w:rPr>
        <w:t>Call of Duty: Mobile</w:t>
      </w:r>
      <w:r>
        <w:rPr>
          <w:rFonts w:ascii="Arial" w:cs="Arial" w:eastAsia="Arial" w:hAnsi="Arial"/>
          <w:sz w:val="16"/>
          <w:szCs w:val="16"/>
          <w:color w:val="auto"/>
        </w:rPr>
        <w:t xml:space="preserve"> and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 Black Ops 4</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50"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7"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980" w:type="dxa"/>
            <w:vAlign w:val="bottom"/>
            <w:gridSpan w:val="2"/>
          </w:tcPr>
          <w:p>
            <w:pPr>
              <w:ind w:left="300"/>
              <w:spacing w:after="0"/>
              <w:rPr>
                <w:sz w:val="20"/>
                <w:szCs w:val="20"/>
                <w:color w:val="auto"/>
              </w:rPr>
            </w:pPr>
            <w:r>
              <w:rPr>
                <w:rFonts w:ascii="Arial" w:cs="Arial" w:eastAsia="Arial" w:hAnsi="Arial"/>
                <w:sz w:val="16"/>
                <w:szCs w:val="16"/>
                <w:b w:val="1"/>
                <w:bCs w:val="1"/>
                <w:color w:val="auto"/>
              </w:rPr>
              <w:t>December 31, 2021</w:t>
            </w:r>
          </w:p>
        </w:tc>
        <w:tc>
          <w:tcPr>
            <w:tcW w:w="198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 2021</w:t>
            </w:r>
          </w:p>
        </w:tc>
        <w:tc>
          <w:tcPr>
            <w:tcW w:w="1280" w:type="dxa"/>
            <w:vAlign w:val="bottom"/>
          </w:tcPr>
          <w:p>
            <w:pPr>
              <w:ind w:left="340"/>
              <w:spacing w:after="0"/>
              <w:rPr>
                <w:sz w:val="20"/>
                <w:szCs w:val="20"/>
                <w:color w:val="auto"/>
              </w:rPr>
            </w:pPr>
            <w:r>
              <w:rPr>
                <w:rFonts w:ascii="Arial" w:cs="Arial" w:eastAsia="Arial" w:hAnsi="Arial"/>
                <w:sz w:val="16"/>
                <w:szCs w:val="16"/>
                <w:b w:val="1"/>
                <w:bCs w:val="1"/>
                <w:color w:val="auto"/>
                <w:w w:val="88"/>
              </w:rPr>
              <w:t>June 30, 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 2021</w:t>
            </w:r>
          </w:p>
        </w:tc>
        <w:tc>
          <w:tcPr>
            <w:tcW w:w="1880" w:type="dxa"/>
            <w:vAlign w:val="bottom"/>
          </w:tcPr>
          <w:p>
            <w:pPr>
              <w:jc w:val="right"/>
              <w:ind w:right="214"/>
              <w:spacing w:after="0"/>
              <w:rPr>
                <w:sz w:val="20"/>
                <w:szCs w:val="20"/>
                <w:color w:val="auto"/>
              </w:rPr>
            </w:pPr>
            <w:r>
              <w:rPr>
                <w:rFonts w:ascii="Arial" w:cs="Arial" w:eastAsia="Arial" w:hAnsi="Arial"/>
                <w:sz w:val="16"/>
                <w:szCs w:val="16"/>
                <w:b w:val="1"/>
                <w:bCs w:val="1"/>
                <w:color w:val="auto"/>
              </w:rPr>
              <w:t>December 31, 2020</w:t>
            </w:r>
          </w:p>
        </w:tc>
      </w:tr>
      <w:tr>
        <w:trPr>
          <w:trHeight w:val="219"/>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127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23"/>
        </w:trPr>
        <w:tc>
          <w:tcPr>
            <w:tcW w:w="1940" w:type="dxa"/>
            <w:vAlign w:val="bottom"/>
          </w:tcPr>
          <w:p>
            <w:pPr>
              <w:ind w:left="20"/>
              <w:spacing w:after="0"/>
              <w:rPr>
                <w:sz w:val="20"/>
                <w:szCs w:val="20"/>
                <w:color w:val="auto"/>
              </w:rPr>
            </w:pPr>
            <w:r>
              <w:rPr>
                <w:rFonts w:ascii="Arial" w:cs="Arial" w:eastAsia="Arial" w:hAnsi="Arial"/>
                <w:sz w:val="17"/>
                <w:szCs w:val="17"/>
                <w:color w:val="auto"/>
              </w:rPr>
              <w:t>Blizzard</w:t>
            </w:r>
          </w:p>
        </w:tc>
        <w:tc>
          <w:tcPr>
            <w:tcW w:w="18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255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16"/>
        </w:trPr>
        <w:tc>
          <w:tcPr>
            <w:tcW w:w="1940" w:type="dxa"/>
            <w:vAlign w:val="bottom"/>
          </w:tcPr>
          <w:p>
            <w:pPr>
              <w:ind w:left="20"/>
              <w:spacing w:after="0"/>
              <w:rPr>
                <w:sz w:val="20"/>
                <w:szCs w:val="20"/>
                <w:color w:val="auto"/>
              </w:rPr>
            </w:pPr>
            <w:r>
              <w:rPr>
                <w:rFonts w:ascii="Arial" w:cs="Arial" w:eastAsia="Arial" w:hAnsi="Arial"/>
                <w:sz w:val="17"/>
                <w:szCs w:val="17"/>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408</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r>
      <w:tr>
        <w:trPr>
          <w:trHeight w:val="20"/>
        </w:trPr>
        <w:tc>
          <w:tcPr>
            <w:tcW w:w="19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Average MAUs decreased by 19 million, or 5%, for the three months ended December 31, 2021, as compared to the three months ended September 30, 2021. The decrease was primarily due to lower average MAUs for Activision, primarily driven by the Call of Duty franchise.</w:t>
      </w:r>
    </w:p>
    <w:p>
      <w:pPr>
        <w:spacing w:after="0" w:line="185" w:lineRule="exact"/>
        <w:rPr>
          <w:sz w:val="20"/>
          <w:szCs w:val="20"/>
          <w:color w:val="auto"/>
        </w:rPr>
      </w:pPr>
    </w:p>
    <w:p>
      <w:pPr>
        <w:ind w:right="420" w:firstLine="393"/>
        <w:spacing w:after="0" w:line="289" w:lineRule="auto"/>
        <w:rPr>
          <w:sz w:val="20"/>
          <w:szCs w:val="20"/>
          <w:color w:val="auto"/>
        </w:rPr>
      </w:pPr>
      <w:r>
        <w:rPr>
          <w:rFonts w:ascii="Arial" w:cs="Arial" w:eastAsia="Arial" w:hAnsi="Arial"/>
          <w:sz w:val="17"/>
          <w:szCs w:val="17"/>
          <w:color w:val="auto"/>
        </w:rPr>
        <w:t>Average MAUs decreased by 26 million or 7% for the three months ended December 31, 2021 as compared to the three months ended December 31, 2020. The decrease was primarily due to lower average MAUs for Activision, primarily driven by the Call of Duty franchise.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Impacts of the Global COVID-19 Pandemic</w:t>
      </w:r>
    </w:p>
    <w:p>
      <w:pPr>
        <w:spacing w:after="0" w:line="250" w:lineRule="exact"/>
        <w:rPr>
          <w:sz w:val="20"/>
          <w:szCs w:val="20"/>
          <w:color w:val="auto"/>
        </w:rPr>
      </w:pPr>
    </w:p>
    <w:p>
      <w:pPr>
        <w:ind w:right="320" w:firstLine="393"/>
        <w:spacing w:after="0" w:line="289" w:lineRule="auto"/>
        <w:rPr>
          <w:rFonts w:ascii="Arial" w:cs="Arial" w:eastAsia="Arial" w:hAnsi="Arial"/>
          <w:sz w:val="17"/>
          <w:szCs w:val="17"/>
          <w:color w:val="auto"/>
        </w:rPr>
      </w:pPr>
      <w:r>
        <w:rPr>
          <w:rFonts w:ascii="Arial" w:cs="Arial" w:eastAsia="Arial" w:hAnsi="Arial"/>
          <w:sz w:val="17"/>
          <w:szCs w:val="17"/>
          <w:color w:val="auto"/>
        </w:rPr>
        <w:t>Refer to the “Impacts of the Global COVID-19 Pandemic” section under Part I, Item 1 “</w:t>
      </w:r>
      <w:hyperlink w:anchor="page3">
        <w:r>
          <w:rPr>
            <w:rFonts w:ascii="Arial" w:cs="Arial" w:eastAsia="Arial" w:hAnsi="Arial"/>
            <w:sz w:val="17"/>
            <w:szCs w:val="17"/>
            <w:u w:val="single" w:color="auto"/>
            <w:color w:val="0000FF"/>
          </w:rPr>
          <w:t>Business</w:t>
        </w:r>
      </w:hyperlink>
      <w:r>
        <w:rPr>
          <w:rFonts w:ascii="Arial" w:cs="Arial" w:eastAsia="Arial" w:hAnsi="Arial"/>
          <w:sz w:val="17"/>
          <w:szCs w:val="17"/>
          <w:color w:val="auto"/>
        </w:rPr>
        <w:t>” for discussion on the impacts of COVID-19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Interactive Entertainment Growth</w:t>
      </w:r>
    </w:p>
    <w:p>
      <w:pPr>
        <w:spacing w:after="0" w:line="250"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Our business participates in the global interactive entertainment industry. Games have become an increasingly popular form of entertainment, and we estimate, based on consumer spending, that the total industry has grown, on average, 10% annually from 2018 to 2021. The industry continues to benefit from additional players entering the market as interactive entertainment becomes more commonplace across age groups and as more developing regions gain access to this form of entertainment.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Mobile Gaming and Free-to-Play Games</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 xml:space="preserve">Wide adoption of smartphones globally and the free-to-play business model on mobile platforms have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in, our franchises. The 2019 launch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is an example of these efforts.</w:t>
      </w:r>
    </w:p>
    <w:p>
      <w:pPr>
        <w:spacing w:after="0" w:line="206"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 xml:space="preserve">In addition, the free-to-play business model, which allows players to try a new game with no upfront cost, has begun to receive broader acceptance on PC and console platforms. This provides opportunities for us to increase the reach of our franchises through free-to-play offerings, which, in turn, provides opportunities to further drive player investment, as was seen with our </w:t>
      </w:r>
      <w:r>
        <w:rPr>
          <w:rFonts w:ascii="Arial" w:cs="Arial" w:eastAsia="Arial" w:hAnsi="Arial"/>
          <w:sz w:val="17"/>
          <w:szCs w:val="17"/>
          <w:i w:val="1"/>
          <w:iCs w:val="1"/>
          <w:color w:val="auto"/>
        </w:rPr>
        <w:t>Call of Duty: Warzone</w:t>
      </w:r>
      <w:r>
        <w:rPr>
          <w:rFonts w:ascii="Arial" w:cs="Arial" w:eastAsia="Arial" w:hAnsi="Arial"/>
          <w:sz w:val="17"/>
          <w:szCs w:val="17"/>
          <w:color w:val="auto"/>
        </w:rPr>
        <w:t xml:space="preserve"> release in March 2020, and continuous content updates including the release of a completely new map with the launch of </w:t>
      </w:r>
      <w:r>
        <w:rPr>
          <w:rFonts w:ascii="Arial" w:cs="Arial" w:eastAsia="Arial" w:hAnsi="Arial"/>
          <w:sz w:val="17"/>
          <w:szCs w:val="17"/>
          <w:i w:val="1"/>
          <w:iCs w:val="1"/>
          <w:color w:val="auto"/>
        </w:rPr>
        <w:t>Call of Duty: Warzone Pacific.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Sales Among the Most Popular Franchises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top titles in the industry are also becoming more consistent as players and revenues concentrate more heavily in established franchises.</w:t>
      </w:r>
    </w:p>
    <w:p>
      <w:pPr>
        <w:spacing w:after="0" w:line="250" w:lineRule="exact"/>
        <w:rPr>
          <w:sz w:val="20"/>
          <w:szCs w:val="20"/>
          <w:color w:val="auto"/>
        </w:rPr>
      </w:pPr>
    </w:p>
    <w:p>
      <w:pPr>
        <w:ind w:right="60" w:firstLine="393"/>
        <w:spacing w:after="0" w:line="298" w:lineRule="auto"/>
        <w:rPr>
          <w:sz w:val="20"/>
          <w:szCs w:val="20"/>
          <w:color w:val="auto"/>
        </w:rPr>
      </w:pPr>
      <w:r>
        <w:rPr>
          <w:rFonts w:ascii="Arial" w:cs="Arial" w:eastAsia="Arial" w:hAnsi="Arial"/>
          <w:sz w:val="16"/>
          <w:szCs w:val="16"/>
          <w:color w:val="auto"/>
        </w:rPr>
        <w:t>A significant portion of our revenues historically has been derived from video games based on a few popular franchises, and these video games have also been responsible for a disproportionately higher percentage of our profits. For example, in 2021, the Call of Duty, Candy Crush, and Warcraft franchises, collectively, accounted for 82% of our consolidated net revenues—and a significantly higher percentage of our operating income.</w:t>
      </w:r>
    </w:p>
    <w:p>
      <w:pPr>
        <w:spacing w:after="0" w:line="180" w:lineRule="exact"/>
        <w:rPr>
          <w:sz w:val="20"/>
          <w:szCs w:val="20"/>
          <w:color w:val="auto"/>
        </w:rPr>
      </w:pPr>
    </w:p>
    <w:p>
      <w:pPr>
        <w:ind w:right="100" w:firstLine="393"/>
        <w:spacing w:after="0" w:line="290" w:lineRule="auto"/>
        <w:rPr>
          <w:sz w:val="20"/>
          <w:szCs w:val="20"/>
          <w:color w:val="auto"/>
        </w:rPr>
      </w:pPr>
      <w:r>
        <w:rPr>
          <w:rFonts w:ascii="Arial" w:cs="Arial" w:eastAsia="Arial" w:hAnsi="Arial"/>
          <w:sz w:val="16"/>
          <w:szCs w:val="16"/>
          <w:color w:val="auto"/>
        </w:rPr>
        <w:t xml:space="preserve">In addition to investing in new content for our top franchises, with the aim of releasing such content more frequently, we are continually exploring additional ways to expand those franchises, such as our release of Activision’s </w:t>
      </w:r>
      <w:r>
        <w:rPr>
          <w:rFonts w:ascii="Arial" w:cs="Arial" w:eastAsia="Arial" w:hAnsi="Arial"/>
          <w:sz w:val="16"/>
          <w:szCs w:val="16"/>
          <w:i w:val="1"/>
          <w:iCs w:val="1"/>
          <w:color w:val="auto"/>
        </w:rPr>
        <w:t>Call of Duty: Warzone</w:t>
      </w:r>
      <w:r>
        <w:rPr>
          <w:rFonts w:ascii="Arial" w:cs="Arial" w:eastAsia="Arial" w:hAnsi="Arial"/>
          <w:sz w:val="16"/>
          <w:szCs w:val="16"/>
          <w:color w:val="auto"/>
        </w:rPr>
        <w:t xml:space="preserve">. Additionally, we have been increasing our development efforts to focus on expanding our franchises to mobile platforms, as demonstrated by the release of </w:t>
      </w:r>
      <w:r>
        <w:rPr>
          <w:rFonts w:ascii="Arial" w:cs="Arial" w:eastAsia="Arial" w:hAnsi="Arial"/>
          <w:sz w:val="16"/>
          <w:szCs w:val="16"/>
          <w:i w:val="1"/>
          <w:iCs w:val="1"/>
          <w:color w:val="auto"/>
        </w:rPr>
        <w:t>Call of Duty: Mobile</w:t>
      </w:r>
      <w:r>
        <w:rPr>
          <w:rFonts w:ascii="Arial" w:cs="Arial" w:eastAsia="Arial" w:hAnsi="Arial"/>
          <w:sz w:val="16"/>
          <w:szCs w:val="16"/>
          <w:color w:val="auto"/>
        </w:rPr>
        <w:t xml:space="preserve"> and our recent release of </w:t>
      </w:r>
      <w:r>
        <w:rPr>
          <w:rFonts w:ascii="Arial" w:cs="Arial" w:eastAsia="Arial" w:hAnsi="Arial"/>
          <w:sz w:val="16"/>
          <w:szCs w:val="16"/>
          <w:i w:val="1"/>
          <w:iCs w:val="1"/>
          <w:color w:val="auto"/>
        </w:rPr>
        <w:t>Crash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Bandicoot: On the Run! </w:t>
      </w:r>
      <w:r>
        <w:rPr>
          <w:rFonts w:ascii="Arial" w:cs="Arial" w:eastAsia="Arial" w:hAnsi="Arial"/>
          <w:sz w:val="16"/>
          <w:szCs w:val="16"/>
          <w:color w:val="auto"/>
        </w:rPr>
        <w:t>in March 2021, as well as our plans for</w:t>
      </w:r>
      <w:r>
        <w:rPr>
          <w:rFonts w:ascii="Arial" w:cs="Arial" w:eastAsia="Arial" w:hAnsi="Arial"/>
          <w:sz w:val="16"/>
          <w:szCs w:val="16"/>
          <w:i w:val="1"/>
          <w:iCs w:val="1"/>
          <w:color w:val="auto"/>
        </w:rPr>
        <w:t xml:space="preserve"> Diablo Immortal™ </w:t>
      </w:r>
      <w:r>
        <w:rPr>
          <w:rFonts w:ascii="Arial" w:cs="Arial" w:eastAsia="Arial" w:hAnsi="Arial"/>
          <w:sz w:val="16"/>
          <w:szCs w:val="16"/>
          <w:color w:val="auto"/>
        </w:rPr>
        <w:t>, which is currently in development.</w:t>
      </w:r>
    </w:p>
    <w:p>
      <w:pPr>
        <w:spacing w:after="0" w:line="186"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Overall, we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Revenue Business Models</w:t>
      </w:r>
    </w:p>
    <w:p>
      <w:pPr>
        <w:spacing w:after="0" w:line="250" w:lineRule="exact"/>
        <w:rPr>
          <w:sz w:val="20"/>
          <w:szCs w:val="20"/>
          <w:color w:val="auto"/>
        </w:rPr>
      </w:pPr>
    </w:p>
    <w:p>
      <w:pPr>
        <w:ind w:right="180" w:firstLine="393"/>
        <w:spacing w:after="0" w:line="290" w:lineRule="auto"/>
        <w:rPr>
          <w:sz w:val="20"/>
          <w:szCs w:val="20"/>
          <w:color w:val="auto"/>
        </w:rPr>
      </w:pPr>
      <w:r>
        <w:rPr>
          <w:rFonts w:ascii="Arial" w:cs="Arial" w:eastAsia="Arial" w:hAnsi="Arial"/>
          <w:sz w:val="16"/>
          <w:szCs w:val="16"/>
          <w:color w:val="auto"/>
        </w:rPr>
        <w:t>Increased consumer online connectivity has allowed us to offer players new investment opportunities and to shift our business further towards a more consistently recurring and year-round model. While our business does continue to experience some periods of “seasonality” driven primarily by the timing of our releases of new premium full games, our in-game content and free-to-play offerings allow our players to access and invest in new content throughout the year. This incremental content not only provides additional high-margin revenues, but it can also increase player engagement.</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Opportunities to Expand Franchises Outside of Games</w:t>
      </w:r>
    </w:p>
    <w:p>
      <w:pPr>
        <w:spacing w:after="0" w:line="250" w:lineRule="exact"/>
        <w:rPr>
          <w:sz w:val="20"/>
          <w:szCs w:val="20"/>
          <w:color w:val="auto"/>
        </w:rPr>
      </w:pPr>
    </w:p>
    <w:p>
      <w:pPr>
        <w:ind w:right="240" w:firstLine="393"/>
        <w:spacing w:after="0" w:line="265" w:lineRule="auto"/>
        <w:rPr>
          <w:sz w:val="20"/>
          <w:szCs w:val="20"/>
          <w:color w:val="auto"/>
        </w:rPr>
      </w:pPr>
      <w:r>
        <w:rPr>
          <w:rFonts w:ascii="Arial" w:cs="Arial" w:eastAsia="Arial" w:hAnsi="Arial"/>
          <w:sz w:val="17"/>
          <w:szCs w:val="17"/>
          <w:color w:val="auto"/>
        </w:rPr>
        <w:t>Our fans spend significant time engaging in our franchises and investing through purchases of our game content, including full games and in-game content. Given the passion our players have for our franchises, we believe there are emerging opportunities to drive additional engagement and investment in our franchises through adding non-gaming experiences within games or by adding ways to engage outside of games, such as with our Overwatch and Call of Duty esports leagues. Our efforts to build these adjacent opportunities are still relatively nascent and have experienced negative impacts from COVID-19 on their growth.</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Talent</w:t>
      </w:r>
    </w:p>
    <w:p>
      <w:pPr>
        <w:spacing w:after="0" w:line="250" w:lineRule="exact"/>
        <w:rPr>
          <w:sz w:val="20"/>
          <w:szCs w:val="20"/>
          <w:color w:val="auto"/>
        </w:rPr>
      </w:pPr>
    </w:p>
    <w:p>
      <w:pPr>
        <w:ind w:right="180" w:firstLine="393"/>
        <w:spacing w:after="0" w:line="286" w:lineRule="auto"/>
        <w:rPr>
          <w:sz w:val="20"/>
          <w:szCs w:val="20"/>
          <w:color w:val="auto"/>
        </w:rPr>
      </w:pPr>
      <w:r>
        <w:rPr>
          <w:rFonts w:ascii="Arial" w:cs="Arial" w:eastAsia="Arial" w:hAnsi="Arial"/>
          <w:sz w:val="16"/>
          <w:szCs w:val="16"/>
          <w:color w:val="auto"/>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with our average voluntary turnover rates being higher in the current year as compared to the prior year in many parts of our Company. This competition, voluntary turnover and recruiting difficulty, has negatively impacted our ability to deliver future game releases, and if they persist, could continue to negatively impact our ability to deliver content in a cadence that will be optimal for our business.</w:t>
      </w:r>
    </w:p>
    <w:p>
      <w:pPr>
        <w:spacing w:after="0" w:line="189" w:lineRule="exact"/>
        <w:rPr>
          <w:sz w:val="20"/>
          <w:szCs w:val="20"/>
          <w:color w:val="auto"/>
        </w:rPr>
      </w:pPr>
    </w:p>
    <w:p>
      <w:pPr>
        <w:ind w:right="60" w:firstLine="393"/>
        <w:spacing w:after="0" w:line="268" w:lineRule="auto"/>
        <w:rPr>
          <w:rFonts w:ascii="Arial" w:cs="Arial" w:eastAsia="Arial" w:hAnsi="Arial"/>
          <w:sz w:val="17"/>
          <w:szCs w:val="17"/>
          <w:color w:val="auto"/>
        </w:rPr>
      </w:pPr>
      <w:r>
        <w:rPr>
          <w:rFonts w:ascii="Arial" w:cs="Arial" w:eastAsia="Arial" w:hAnsi="Arial"/>
          <w:sz w:val="17"/>
          <w:szCs w:val="17"/>
          <w:color w:val="auto"/>
        </w:rPr>
        <w:t>Additionally, refer to the “Our People” section under Part I, Item 1 “</w:t>
      </w:r>
      <w:hyperlink w:anchor="page3">
        <w:r>
          <w:rPr>
            <w:rFonts w:ascii="Arial" w:cs="Arial" w:eastAsia="Arial" w:hAnsi="Arial"/>
            <w:sz w:val="17"/>
            <w:szCs w:val="17"/>
            <w:u w:val="single" w:color="auto"/>
            <w:color w:val="0000FF"/>
          </w:rPr>
          <w:t>Business</w:t>
        </w:r>
      </w:hyperlink>
      <w:r>
        <w:rPr>
          <w:rFonts w:ascii="Arial" w:cs="Arial" w:eastAsia="Arial" w:hAnsi="Arial"/>
          <w:sz w:val="17"/>
          <w:szCs w:val="17"/>
          <w:color w:val="auto"/>
        </w:rPr>
        <w:t>” for discussion on Activision Blizzard’s initiatives and focus on our employees, including anticipated future investments to achieve our diversity aspirations. See also Part I, Item 1A “</w:t>
      </w:r>
      <w:hyperlink w:anchor="page14">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xml:space="preserve">” and </w:t>
      </w:r>
      <w:hyperlink w:anchor="page115">
        <w:r>
          <w:rPr>
            <w:rFonts w:ascii="Arial" w:cs="Arial" w:eastAsia="Arial" w:hAnsi="Arial"/>
            <w:sz w:val="17"/>
            <w:szCs w:val="17"/>
            <w:u w:val="single" w:color="auto"/>
            <w:color w:val="0000FF"/>
          </w:rPr>
          <w:t>Note 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notes to the consolidated financial statements included in Part II, Item 8 of this Annual Report on Form 10-K for a discussion of recent employment matters affecting the Company.</w:t>
      </w:r>
    </w:p>
    <w:p>
      <w:pPr>
        <w:spacing w:after="0" w:line="20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i w:val="1"/>
          <w:iCs w:val="1"/>
          <w:color w:val="auto"/>
        </w:rPr>
        <w:t>Upcoming Content Releases</w:t>
      </w:r>
    </w:p>
    <w:p>
      <w:pPr>
        <w:spacing w:after="0" w:line="250" w:lineRule="exact"/>
        <w:rPr>
          <w:rFonts w:ascii="Arial" w:cs="Arial" w:eastAsia="Arial" w:hAnsi="Arial"/>
          <w:sz w:val="17"/>
          <w:szCs w:val="17"/>
          <w:color w:val="auto"/>
        </w:rPr>
      </w:pPr>
    </w:p>
    <w:p>
      <w:pPr>
        <w:ind w:firstLine="393"/>
        <w:spacing w:after="0" w:line="300" w:lineRule="auto"/>
        <w:rPr>
          <w:sz w:val="20"/>
          <w:szCs w:val="20"/>
          <w:color w:val="auto"/>
        </w:rPr>
      </w:pPr>
      <w:r>
        <w:rPr>
          <w:rFonts w:ascii="Arial" w:cs="Arial" w:eastAsia="Arial" w:hAnsi="Arial"/>
          <w:sz w:val="15"/>
          <w:szCs w:val="15"/>
          <w:color w:val="auto"/>
        </w:rPr>
        <w:t xml:space="preserve">As previously announced, we are now planning for a later launch for our </w:t>
      </w:r>
      <w:r>
        <w:rPr>
          <w:rFonts w:ascii="Arial" w:cs="Arial" w:eastAsia="Arial" w:hAnsi="Arial"/>
          <w:sz w:val="15"/>
          <w:szCs w:val="15"/>
          <w:i w:val="1"/>
          <w:iCs w:val="1"/>
          <w:color w:val="auto"/>
        </w:rPr>
        <w:t>Overwatch 2</w:t>
      </w:r>
      <w:r>
        <w:rPr>
          <w:rFonts w:ascii="Arial" w:cs="Arial" w:eastAsia="Arial" w:hAnsi="Arial"/>
          <w:sz w:val="15"/>
          <w:szCs w:val="15"/>
          <w:color w:val="auto"/>
        </w:rPr>
        <w:t xml:space="preserve"> and </w:t>
      </w:r>
      <w:r>
        <w:rPr>
          <w:rFonts w:ascii="Arial" w:cs="Arial" w:eastAsia="Arial" w:hAnsi="Arial"/>
          <w:sz w:val="15"/>
          <w:szCs w:val="15"/>
          <w:i w:val="1"/>
          <w:iCs w:val="1"/>
          <w:color w:val="auto"/>
        </w:rPr>
        <w:t>Diablo IV</w:t>
      </w:r>
      <w:r>
        <w:rPr>
          <w:rFonts w:ascii="Arial" w:cs="Arial" w:eastAsia="Arial" w:hAnsi="Arial"/>
          <w:sz w:val="15"/>
          <w:szCs w:val="15"/>
          <w:color w:val="auto"/>
        </w:rPr>
        <w:t xml:space="preserve"> titles than originally expected in order to provide the development teams the extra time they need to deliver the experiences that their communities deserve, and to set the franchises up for success over a multi-year period. As a result, we will not have the financial uplift that we had expected in 2022 from the release of these two titles. Additionally, as previously announced, Blizzard’s mobile title based on the Diablo franchise, </w:t>
      </w:r>
      <w:r>
        <w:rPr>
          <w:rFonts w:ascii="Arial" w:cs="Arial" w:eastAsia="Arial" w:hAnsi="Arial"/>
          <w:sz w:val="15"/>
          <w:szCs w:val="15"/>
          <w:i w:val="1"/>
          <w:iCs w:val="1"/>
          <w:color w:val="auto"/>
        </w:rPr>
        <w:t>Diablo Immortal</w:t>
      </w:r>
      <w:r>
        <w:rPr>
          <w:rFonts w:ascii="Arial" w:cs="Arial" w:eastAsia="Arial" w:hAnsi="Arial"/>
          <w:sz w:val="15"/>
          <w:szCs w:val="15"/>
          <w:color w:val="auto"/>
        </w:rPr>
        <w:t xml:space="preserve">, is now anticipated to release in 2022 and recently completed public testing in February 2022. In the second half of 2022, we also plan to release the next premium title in our Call of Duty franchise. In addition, throughout the year we expect to deliver ongoing content for our various franchises, including continued in-game content for </w:t>
      </w:r>
      <w:r>
        <w:rPr>
          <w:rFonts w:ascii="Arial" w:cs="Arial" w:eastAsia="Arial" w:hAnsi="Arial"/>
          <w:sz w:val="15"/>
          <w:szCs w:val="15"/>
          <w:i w:val="1"/>
          <w:iCs w:val="1"/>
          <w:color w:val="auto"/>
        </w:rPr>
        <w:t>Call of Duty: Vanguard</w:t>
      </w:r>
      <w:r>
        <w:rPr>
          <w:rFonts w:ascii="Arial" w:cs="Arial" w:eastAsia="Arial" w:hAnsi="Arial"/>
          <w:sz w:val="15"/>
          <w:szCs w:val="15"/>
          <w:color w:val="auto"/>
        </w:rPr>
        <w:t xml:space="preserve">, which includes seasonal content updates for </w:t>
      </w:r>
      <w:r>
        <w:rPr>
          <w:rFonts w:ascii="Arial" w:cs="Arial" w:eastAsia="Arial" w:hAnsi="Arial"/>
          <w:sz w:val="15"/>
          <w:szCs w:val="15"/>
          <w:i w:val="1"/>
          <w:iCs w:val="1"/>
          <w:color w:val="auto"/>
        </w:rPr>
        <w:t>Call of Duty: Warzone</w:t>
      </w:r>
      <w:r>
        <w:rPr>
          <w:rFonts w:ascii="Arial" w:cs="Arial" w:eastAsia="Arial" w:hAnsi="Arial"/>
          <w:sz w:val="15"/>
          <w:szCs w:val="15"/>
          <w:color w:val="auto"/>
        </w:rPr>
        <w:t xml:space="preserve">, seasonal content updates for </w:t>
      </w:r>
      <w:r>
        <w:rPr>
          <w:rFonts w:ascii="Arial" w:cs="Arial" w:eastAsia="Arial" w:hAnsi="Arial"/>
          <w:sz w:val="15"/>
          <w:szCs w:val="15"/>
          <w:i w:val="1"/>
          <w:iCs w:val="1"/>
          <w:color w:val="auto"/>
        </w:rPr>
        <w:t>Call of Duty: Mobile</w:t>
      </w:r>
      <w:r>
        <w:rPr>
          <w:rFonts w:ascii="Arial" w:cs="Arial" w:eastAsia="Arial" w:hAnsi="Arial"/>
          <w:sz w:val="15"/>
          <w:szCs w:val="15"/>
          <w:color w:val="auto"/>
        </w:rPr>
        <w:t>, substantial new content for key Blizzard franchises, and continued releases of content, features, and services across King’s portfolio with an ongoing focus on the Candy Crush franchise. We will also continue to invest in opportunities that we think have the potential to drive our growth over the long-term, including continuing to build on our advertising initiatives and investments in mobile titles.</w:t>
      </w: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56"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The following table sets forth consolidated statements of operations data for the periods indicated (amounts in millions) and as a percentage of total net revenues, except for cost of revenues, which are presented as a percentage of associated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7"/>
                <w:szCs w:val="17"/>
                <w:b w:val="1"/>
                <w:bCs w:val="1"/>
                <w:color w:val="auto"/>
                <w:w w:val="95"/>
              </w:rPr>
              <w:t>For the Years Ended December 31,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2021</w:t>
            </w: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353"/>
              <w:spacing w:after="0"/>
              <w:rPr>
                <w:sz w:val="20"/>
                <w:szCs w:val="20"/>
                <w:color w:val="auto"/>
              </w:rPr>
            </w:pPr>
            <w:r>
              <w:rPr>
                <w:rFonts w:ascii="Arial" w:cs="Arial" w:eastAsia="Arial" w:hAnsi="Arial"/>
                <w:sz w:val="17"/>
                <w:szCs w:val="17"/>
                <w:b w:val="1"/>
                <w:bCs w:val="1"/>
                <w:color w:val="auto"/>
                <w:w w:val="89"/>
              </w:rPr>
              <w:t>2020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Product sales</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2,350</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8,086</w:t>
            </w:r>
          </w:p>
        </w:tc>
        <w:tc>
          <w:tcPr>
            <w:tcW w:w="1800" w:type="dxa"/>
            <w:vAlign w:val="bottom"/>
            <w:gridSpan w:val="3"/>
          </w:tcPr>
          <w:p>
            <w:pPr>
              <w:jc w:val="right"/>
              <w:ind w:right="133"/>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9"/>
        </w:trPr>
        <w:tc>
          <w:tcPr>
            <w:tcW w:w="46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7"/>
                <w:szCs w:val="17"/>
                <w:color w:val="auto"/>
              </w:rPr>
              <w:t>Product costs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705</w:t>
            </w:r>
          </w:p>
        </w:tc>
        <w:tc>
          <w:tcPr>
            <w:tcW w:w="1800" w:type="dxa"/>
            <w:vAlign w:val="bottom"/>
            <w:gridSpan w:val="3"/>
          </w:tcPr>
          <w:p>
            <w:pPr>
              <w:jc w:val="right"/>
              <w:ind w:right="133"/>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20"/>
              <w:spacing w:after="0" w:line="172" w:lineRule="exact"/>
              <w:rPr>
                <w:sz w:val="20"/>
                <w:szCs w:val="20"/>
                <w:color w:val="auto"/>
              </w:rPr>
            </w:pPr>
            <w:r>
              <w:rPr>
                <w:rFonts w:ascii="Arial" w:cs="Arial" w:eastAsia="Arial" w:hAnsi="Arial"/>
                <w:sz w:val="17"/>
                <w:szCs w:val="17"/>
                <w:color w:val="auto"/>
              </w:rPr>
              <w:t>Software royalties, amortization, and intellectual property</w:t>
            </w:r>
          </w:p>
        </w:tc>
        <w:tc>
          <w:tcPr>
            <w:tcW w:w="5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800" w:type="dxa"/>
            <w:vAlign w:val="bottom"/>
            <w:gridSpan w:val="3"/>
            <w:vMerge w:val="restart"/>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licenses</w:t>
            </w:r>
          </w:p>
        </w:tc>
        <w:tc>
          <w:tcPr>
            <w:tcW w:w="5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Cost of revenues—in-game, subscription, and other:</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w:t>
            </w:r>
          </w:p>
        </w:tc>
        <w:tc>
          <w:tcPr>
            <w:tcW w:w="18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71"/>
        </w:trPr>
        <w:tc>
          <w:tcPr>
            <w:tcW w:w="4680" w:type="dxa"/>
            <w:vAlign w:val="bottom"/>
          </w:tcPr>
          <w:p>
            <w:pPr>
              <w:ind w:left="220"/>
              <w:spacing w:after="0" w:line="172" w:lineRule="exact"/>
              <w:rPr>
                <w:sz w:val="20"/>
                <w:szCs w:val="20"/>
                <w:color w:val="auto"/>
              </w:rPr>
            </w:pPr>
            <w:r>
              <w:rPr>
                <w:rFonts w:ascii="Arial" w:cs="Arial" w:eastAsia="Arial" w:hAnsi="Arial"/>
                <w:sz w:val="17"/>
                <w:szCs w:val="17"/>
                <w:color w:val="auto"/>
              </w:rPr>
              <w:t>Software royalties, amortization, and intellectual property</w:t>
            </w:r>
          </w:p>
        </w:tc>
        <w:tc>
          <w:tcPr>
            <w:tcW w:w="5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vMerge w:val="restart"/>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155</w:t>
            </w:r>
          </w:p>
        </w:tc>
        <w:tc>
          <w:tcPr>
            <w:tcW w:w="1800" w:type="dxa"/>
            <w:vAlign w:val="bottom"/>
            <w:gridSpan w:val="3"/>
            <w:vMerge w:val="restart"/>
          </w:tcPr>
          <w:p>
            <w:pPr>
              <w:jc w:val="right"/>
              <w:ind w:right="13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4680" w:type="dxa"/>
            <w:vAlign w:val="bottom"/>
          </w:tcPr>
          <w:p>
            <w:pPr>
              <w:ind w:left="220"/>
              <w:spacing w:after="0"/>
              <w:rPr>
                <w:sz w:val="20"/>
                <w:szCs w:val="20"/>
                <w:color w:val="auto"/>
              </w:rPr>
            </w:pPr>
            <w:r>
              <w:rPr>
                <w:rFonts w:ascii="Arial" w:cs="Arial" w:eastAsia="Arial" w:hAnsi="Arial"/>
                <w:sz w:val="17"/>
                <w:szCs w:val="17"/>
                <w:color w:val="auto"/>
              </w:rPr>
              <w:t>licenses</w:t>
            </w:r>
          </w:p>
        </w:tc>
        <w:tc>
          <w:tcPr>
            <w:tcW w:w="5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8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1,064</w:t>
            </w:r>
          </w:p>
        </w:tc>
        <w:tc>
          <w:tcPr>
            <w:tcW w:w="1800" w:type="dxa"/>
            <w:vAlign w:val="bottom"/>
            <w:gridSpan w:val="3"/>
          </w:tcPr>
          <w:p>
            <w:pPr>
              <w:jc w:val="right"/>
              <w:ind w:right="133"/>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8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Restructuring and related costs</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5,352</w:t>
            </w:r>
          </w:p>
        </w:tc>
        <w:tc>
          <w:tcPr>
            <w:tcW w:w="18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18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Interest and other expense (income), net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w:t>
            </w:r>
          </w:p>
        </w:tc>
        <w:tc>
          <w:tcPr>
            <w:tcW w:w="1800" w:type="dxa"/>
            <w:vAlign w:val="bottom"/>
            <w:gridSpan w:val="3"/>
          </w:tcPr>
          <w:p>
            <w:pPr>
              <w:jc w:val="right"/>
              <w:ind w:right="13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extinguishment of debt (1)</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Income before income tax expense</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2,616</w:t>
            </w:r>
          </w:p>
        </w:tc>
        <w:tc>
          <w:tcPr>
            <w:tcW w:w="1800" w:type="dxa"/>
            <w:vAlign w:val="bottom"/>
            <w:gridSpan w:val="3"/>
          </w:tcPr>
          <w:p>
            <w:pPr>
              <w:jc w:val="right"/>
              <w:ind w:right="133"/>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8"/>
                <w:szCs w:val="18"/>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2,197</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20" w:hanging="415"/>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loss on extinguishment of debt we recognized in connection with our debt financing activities during the year ended December 31, 2020.</w:t>
      </w: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consolidated net revenues and in-game net revenues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For the Years Ended December 31,</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6"/>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51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line="154" w:lineRule="exact"/>
              <w:rPr>
                <w:sz w:val="20"/>
                <w:szCs w:val="20"/>
                <w:color w:val="auto"/>
              </w:rPr>
            </w:pPr>
            <w:r>
              <w:rPr>
                <w:rFonts w:ascii="Arial" w:cs="Arial" w:eastAsia="Arial" w:hAnsi="Arial"/>
                <w:sz w:val="16"/>
                <w:szCs w:val="16"/>
                <w:b w:val="1"/>
                <w:bCs w:val="1"/>
                <w:color w:val="auto"/>
                <w:w w:val="86"/>
              </w:rPr>
              <w:t>Increase/</w:t>
            </w:r>
          </w:p>
        </w:tc>
        <w:tc>
          <w:tcPr>
            <w:tcW w:w="1640" w:type="dxa"/>
            <w:vAlign w:val="bottom"/>
            <w:vMerge w:val="restart"/>
          </w:tcPr>
          <w:p>
            <w:pPr>
              <w:jc w:val="right"/>
              <w:ind w:right="376"/>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7"/>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2"/>
        </w:trPr>
        <w:tc>
          <w:tcPr>
            <w:tcW w:w="474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5,266</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4,571</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695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00" w:right="580" w:hanging="395"/>
        <w:spacing w:after="0" w:line="547" w:lineRule="auto"/>
        <w:tabs>
          <w:tab w:leader="none" w:pos="3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In-game net revenues primarily includes the net amount of revenues recognized for microtransactions and downloadable content during the period. </w:t>
      </w:r>
      <w:r>
        <w:rPr>
          <w:rFonts w:ascii="Arial" w:cs="Arial" w:eastAsia="Arial" w:hAnsi="Arial"/>
          <w:sz w:val="17"/>
          <w:szCs w:val="17"/>
          <w:i w:val="1"/>
          <w:iCs w:val="1"/>
          <w:color w:val="auto"/>
        </w:rPr>
        <w:t>Consolidated net revenues</w:t>
      </w:r>
    </w:p>
    <w:p>
      <w:pPr>
        <w:spacing w:after="0" w:line="1"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The increase in consolidated net revenues for the year ended December 31, 2021, as compared to the year ended December 31, 2020, was primarily driven by an increase in revenues of $1.3 billion due to higher revenues from:</w:t>
      </w:r>
    </w:p>
    <w:p>
      <w:pPr>
        <w:spacing w:after="0" w:line="185" w:lineRule="exact"/>
        <w:rPr>
          <w:sz w:val="20"/>
          <w:szCs w:val="20"/>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color w:val="auto"/>
        </w:rPr>
        <w:t>the Candy Crush franchise;</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400" w:right="1100" w:firstLine="234"/>
        <w:spacing w:after="0" w:line="547" w:lineRule="auto"/>
        <w:tabs>
          <w:tab w:leader="none" w:pos="946"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which includes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and</w:t>
      </w:r>
      <w:r>
        <w:rPr>
          <w:rFonts w:ascii="Arial" w:cs="Arial" w:eastAsia="Arial" w:hAnsi="Arial"/>
          <w:sz w:val="17"/>
          <w:szCs w:val="17"/>
          <w:i w:val="1"/>
          <w:iCs w:val="1"/>
          <w:color w:val="auto"/>
        </w:rPr>
        <w:t xml:space="preserve"> World of Warcraft: Burning Crusade Classic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partially offset by a decrease in revenues of $331 million due to lower revenues from:</w:t>
      </w: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Tony Hawk’s Pro Skater 1 + 2</w:t>
      </w:r>
      <w:r>
        <w:rPr>
          <w:rFonts w:ascii="Arial" w:cs="Arial" w:eastAsia="Arial" w:hAnsi="Arial"/>
          <w:sz w:val="17"/>
          <w:szCs w:val="17"/>
          <w:color w:val="auto"/>
        </w:rPr>
        <w: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Crash Bandicoot 4: It’s About Time</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remaining net decrease in revenues of $288 million was driven by various other franchises and titles.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net revenues</w:t>
      </w:r>
    </w:p>
    <w:p>
      <w:pPr>
        <w:spacing w:after="0" w:line="250"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The increase in in-game net revenues for the year ended December 31, 2021, as compared to the year ended December 31, 2020, was primarily driven by an increase in in-game net revenues of $924 million due to higher in-game net revenues from:</w:t>
      </w:r>
    </w:p>
    <w:p>
      <w:pPr>
        <w:spacing w:after="0" w:line="185" w:lineRule="exact"/>
        <w:rPr>
          <w:sz w:val="20"/>
          <w:szCs w:val="20"/>
          <w:color w:val="auto"/>
        </w:rPr>
      </w:pPr>
    </w:p>
    <w:p>
      <w:pPr>
        <w:ind w:left="940" w:hanging="30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Candy Crush franchise;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This increase was partially offset by a decrease in in-game net revenues of $120 million due to lower in-game net revenues from </w:t>
      </w:r>
      <w:r>
        <w:rPr>
          <w:rFonts w:ascii="Arial" w:cs="Arial" w:eastAsia="Arial" w:hAnsi="Arial"/>
          <w:sz w:val="16"/>
          <w:szCs w:val="16"/>
          <w:i w:val="1"/>
          <w:iCs w:val="1"/>
          <w:color w:val="auto"/>
        </w:rPr>
        <w:t>Call of Duty: Black Ops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Cold War</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Modern Warfare.</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remaining net decrease in in-game net revenues of $109 million was driven by various other franchises and titles.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56"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11"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The Company has been reviewing its overall compensation structure and philosophy and began implementing changes to its compensation payments for 2021, primarily to enhance equity ownership for employees and bring our employee equity compensation more in line with the current industry practice. As an aspect of this change, the Company determined to settle amounts not yet paid as of December 31, 2021 under its annual performance plans in stock as opposed to cash and further to provide such incentives, to eligible employees, at no less than target performance without regard to whether target performance was achieved, resulting in a year-end share-based compensation liability of $194 million. The changes during the three months ended December 31, 2021 resulted in $160 million of expense related to achievement against 2021 performance targets that would have otherwise been included in our reportable segment operating income to instead be excluded from our 2021 operating income as it is now part of share-based compensation, accounted for as a liability under ASC 718. The changes increased our Activision, Blizzard, King and non-reportable segment operating income by $43 million, $25 million, $65 million, and $27 million, respectively, for the three months and year ended December 31, 2021. In addition, going forward, to the extent certain of our previously cash-based bonus programs are instead issued as time-based equity or settled via equity, such amounts will be recorded as share-based compensation and will be excluded from segment operating income.</w:t>
      </w:r>
    </w:p>
    <w:p>
      <w:pPr>
        <w:spacing w:after="0" w:line="215"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Information on the reportable segment net revenues and segment operating income is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6"/>
                <w:szCs w:val="16"/>
                <w:b w:val="1"/>
                <w:bCs w:val="1"/>
                <w:color w:val="auto"/>
              </w:rPr>
              <w:t>For the Year Ended December 31, 2021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Increase / (decrease)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Blizzard</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7"/>
                <w:szCs w:val="17"/>
                <w:color w:val="auto"/>
              </w:rPr>
            </w:pPr>
          </w:p>
        </w:tc>
        <w:tc>
          <w:tcPr>
            <w:tcW w:w="820" w:type="dxa"/>
            <w:vAlign w:val="bottom"/>
          </w:tcPr>
          <w:p>
            <w:pPr>
              <w:jc w:val="right"/>
              <w:ind w:right="30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Blizzard</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King</w:t>
            </w:r>
          </w:p>
        </w:tc>
        <w:tc>
          <w:tcPr>
            <w:tcW w:w="18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140"/>
              <w:spacing w:after="0" w:line="161" w:lineRule="exact"/>
              <w:rPr>
                <w:sz w:val="20"/>
                <w:szCs w:val="20"/>
                <w:color w:val="auto"/>
              </w:rPr>
            </w:pPr>
            <w:r>
              <w:rPr>
                <w:rFonts w:ascii="Arial" w:cs="Arial" w:eastAsia="Arial" w:hAnsi="Arial"/>
                <w:sz w:val="16"/>
                <w:szCs w:val="16"/>
                <w:color w:val="auto"/>
              </w:rPr>
              <w:t>Net revenues from external</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3"/>
                <w:szCs w:val="13"/>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13"/>
                <w:szCs w:val="13"/>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7,791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3"/>
                <w:szCs w:val="13"/>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3"/>
                <w:szCs w:val="13"/>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262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6"/>
                <w:szCs w:val="16"/>
                <w:b w:val="1"/>
                <w:bCs w:val="1"/>
                <w:color w:val="auto"/>
              </w:rPr>
              <w:t>For the Year Ended December 31, 2020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Blizzard</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7"/>
                <w:szCs w:val="17"/>
                <w:color w:val="auto"/>
              </w:rPr>
            </w:pPr>
          </w:p>
        </w:tc>
        <w:tc>
          <w:tcPr>
            <w:tcW w:w="820" w:type="dxa"/>
            <w:vAlign w:val="bottom"/>
          </w:tcPr>
          <w:p>
            <w:pPr>
              <w:jc w:val="right"/>
              <w:ind w:right="3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140"/>
              <w:spacing w:after="0" w:line="161" w:lineRule="exact"/>
              <w:rPr>
                <w:sz w:val="20"/>
                <w:szCs w:val="20"/>
                <w:color w:val="auto"/>
              </w:rPr>
            </w:pPr>
            <w:r>
              <w:rPr>
                <w:rFonts w:ascii="Arial" w:cs="Arial" w:eastAsia="Arial" w:hAnsi="Arial"/>
                <w:sz w:val="16"/>
                <w:szCs w:val="16"/>
                <w:color w:val="auto"/>
              </w:rPr>
              <w:t>Net revenues from external</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3,942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3"/>
                <w:szCs w:val="13"/>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3"/>
                <w:szCs w:val="13"/>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6"/>
        </w:trPr>
        <w:tc>
          <w:tcPr>
            <w:tcW w:w="262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(1) Intersegment revenues reflect licensing and service fees charged between segments.</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7"/>
                <w:szCs w:val="17"/>
                <w:b w:val="1"/>
                <w:bCs w:val="1"/>
                <w:color w:val="auto"/>
              </w:rPr>
              <w:t>For the Year Ended December 31,</w:t>
            </w:r>
          </w:p>
        </w:tc>
        <w:tc>
          <w:tcPr>
            <w:tcW w:w="640" w:type="dxa"/>
            <w:vAlign w:val="bottom"/>
            <w:tcBorders>
              <w:bottom w:val="single" w:sz="8" w:color="auto"/>
            </w:tcBorders>
          </w:tcPr>
          <w:p>
            <w:pPr>
              <w:spacing w:after="0"/>
              <w:rPr>
                <w:sz w:val="19"/>
                <w:szCs w:val="19"/>
                <w:color w:val="auto"/>
              </w:rPr>
            </w:pPr>
          </w:p>
        </w:tc>
      </w:tr>
      <w:tr>
        <w:trPr>
          <w:trHeight w:val="216"/>
        </w:trPr>
        <w:tc>
          <w:tcPr>
            <w:tcW w:w="22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r>
      <w:tr>
        <w:trPr>
          <w:trHeight w:val="20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3"/>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Segment net revenues</w:t>
            </w:r>
          </w:p>
        </w:tc>
        <w:tc>
          <w:tcPr>
            <w:tcW w:w="1400" w:type="dxa"/>
            <w:vAlign w:val="bottom"/>
          </w:tcPr>
          <w:p>
            <w:pPr>
              <w:jc w:val="right"/>
              <w:ind w:right="119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7,885</w:t>
            </w:r>
          </w:p>
        </w:tc>
        <w:tc>
          <w:tcPr>
            <w:tcW w:w="80" w:type="dxa"/>
            <w:vAlign w:val="bottom"/>
          </w:tcPr>
          <w:p>
            <w:pPr>
              <w:spacing w:after="0"/>
              <w:rPr>
                <w:sz w:val="19"/>
                <w:szCs w:val="19"/>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8,011</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r>
      <w:tr>
        <w:trPr>
          <w:trHeight w:val="223"/>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449</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6"/>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Consolidated net revenues</w:t>
            </w:r>
          </w:p>
        </w:tc>
        <w:tc>
          <w:tcPr>
            <w:tcW w:w="14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8,086</w:t>
            </w: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3"/>
        </w:trPr>
        <w:tc>
          <w:tcPr>
            <w:tcW w:w="7040" w:type="dxa"/>
            <w:vAlign w:val="bottom"/>
            <w:gridSpan w:val="3"/>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400" w:type="dxa"/>
            <w:vAlign w:val="bottom"/>
            <w:shd w:val="clear" w:color="auto" w:fill="CCEEFF"/>
          </w:tcPr>
          <w:p>
            <w:pPr>
              <w:jc w:val="right"/>
              <w:ind w:right="119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r>
      <w:tr>
        <w:trPr>
          <w:trHeight w:val="223"/>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8"/>
              </w:rPr>
              <w:t>Net effect from recognition (deferral) of deferred net revenues and related cost of revenues (2)</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23"/>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Share-based compensation expense (4)</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(508)</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(218)</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184"/>
        </w:trPr>
        <w:tc>
          <w:tcPr>
            <w:tcW w:w="7040" w:type="dxa"/>
            <w:vAlign w:val="bottom"/>
            <w:gridSpan w:val="3"/>
          </w:tcPr>
          <w:p>
            <w:pPr>
              <w:ind w:left="20"/>
              <w:spacing w:after="0" w:line="184" w:lineRule="exact"/>
              <w:rPr>
                <w:rFonts w:ascii="Arial" w:cs="Arial" w:eastAsia="Arial" w:hAnsi="Arial"/>
                <w:sz w:val="17"/>
                <w:szCs w:val="17"/>
                <w:color w:val="auto"/>
              </w:rPr>
            </w:pPr>
            <w:r>
              <w:rPr>
                <w:rFonts w:ascii="Arial" w:cs="Arial" w:eastAsia="Arial" w:hAnsi="Arial"/>
                <w:sz w:val="17"/>
                <w:szCs w:val="17"/>
                <w:color w:val="auto"/>
              </w:rPr>
              <w:t>Restructuring and related costs (</w:t>
            </w:r>
            <w:hyperlink w:anchor="page108">
              <w:r>
                <w:rPr>
                  <w:rFonts w:ascii="Arial" w:cs="Arial" w:eastAsia="Arial" w:hAnsi="Arial"/>
                  <w:sz w:val="17"/>
                  <w:szCs w:val="17"/>
                  <w:color w:val="0000FF"/>
                </w:rPr>
                <w:t>Note 17</w:t>
              </w:r>
            </w:hyperlink>
            <w:r>
              <w:rPr>
                <w:rFonts w:ascii="Arial" w:cs="Arial" w:eastAsia="Arial" w:hAnsi="Arial"/>
                <w:sz w:val="17"/>
                <w:szCs w:val="17"/>
                <w:color w:val="auto"/>
              </w:rPr>
              <w:t>)</w:t>
            </w:r>
          </w:p>
        </w:tc>
        <w:tc>
          <w:tcPr>
            <w:tcW w:w="1400" w:type="dxa"/>
            <w:vAlign w:val="bottom"/>
          </w:tcPr>
          <w:p>
            <w:pPr>
              <w:spacing w:after="0"/>
              <w:rPr>
                <w:sz w:val="15"/>
                <w:szCs w:val="15"/>
                <w:color w:val="auto"/>
              </w:rPr>
            </w:pPr>
          </w:p>
        </w:tc>
        <w:tc>
          <w:tcPr>
            <w:tcW w:w="660" w:type="dxa"/>
            <w:vAlign w:val="bottom"/>
          </w:tcPr>
          <w:p>
            <w:pPr>
              <w:jc w:val="right"/>
              <w:spacing w:after="0" w:line="184" w:lineRule="exact"/>
              <w:rPr>
                <w:sz w:val="20"/>
                <w:szCs w:val="20"/>
                <w:color w:val="auto"/>
              </w:rPr>
            </w:pPr>
            <w:r>
              <w:rPr>
                <w:rFonts w:ascii="Arial" w:cs="Arial" w:eastAsia="Arial" w:hAnsi="Arial"/>
                <w:sz w:val="17"/>
                <w:szCs w:val="17"/>
                <w:color w:val="auto"/>
              </w:rPr>
              <w:t>(77)</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7"/>
                <w:szCs w:val="17"/>
                <w:color w:val="auto"/>
              </w:rPr>
              <w:t>(94)</w:t>
            </w: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0000FF"/>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5"/>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Consolidated operating income</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r>
      <w:tr>
        <w:trPr>
          <w:trHeight w:val="223"/>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Interest and other expense (income), net</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400" w:type="dxa"/>
            <w:vAlign w:val="bottom"/>
            <w:tcBorders>
              <w:top w:val="single" w:sz="8" w:color="auto"/>
              <w:bottom w:val="single" w:sz="8" w:color="auto"/>
            </w:tcBorders>
          </w:tcPr>
          <w:p>
            <w:pPr>
              <w:jc w:val="right"/>
              <w:ind w:right="1193"/>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3,164</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23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2,616</w:t>
            </w:r>
          </w:p>
        </w:tc>
      </w:tr>
      <w:tr>
        <w:trPr>
          <w:trHeight w:val="20"/>
        </w:trPr>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right="700" w:hanging="315"/>
        <w:spacing w:after="0" w:line="289" w:lineRule="auto"/>
        <w:tabs>
          <w:tab w:leader="none" w:pos="3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other income and expenses outside of our reportable segments, including our Distribution business and unallocated corporate income and expenses.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61" w:lineRule="exact"/>
        <w:rPr>
          <w:rFonts w:ascii="Arial" w:cs="Arial" w:eastAsia="Arial" w:hAnsi="Arial"/>
          <w:sz w:val="16"/>
          <w:szCs w:val="16"/>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Expenses related to share-based compensation, including liability awards accounted for under ASC 718. Refer to </w:t>
      </w:r>
      <w:hyperlink w:anchor="page104">
        <w:r>
          <w:rPr>
            <w:rFonts w:ascii="Arial" w:cs="Arial" w:eastAsia="Arial" w:hAnsi="Arial"/>
            <w:sz w:val="17"/>
            <w:szCs w:val="17"/>
            <w:u w:val="single" w:color="auto"/>
            <w:color w:val="0000FF"/>
          </w:rPr>
          <w:t>Note 16</w:t>
        </w:r>
      </w:hyperlink>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Activision</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Activision’s segment net revenues and operating income for the year ended December 31, 2021, as compared to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was primarily due to lower revenues from:</w:t>
      </w:r>
    </w:p>
    <w:p>
      <w:pPr>
        <w:spacing w:after="0" w:line="238" w:lineRule="exact"/>
        <w:rPr>
          <w:sz w:val="20"/>
          <w:szCs w:val="20"/>
          <w:color w:val="auto"/>
        </w:rPr>
      </w:pPr>
    </w:p>
    <w:p>
      <w:pPr>
        <w:ind w:left="940" w:hanging="306"/>
        <w:spacing w:after="0"/>
        <w:tabs>
          <w:tab w:leader="none" w:pos="9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Tony Hawk’s Pro Skater 1 + 2</w:t>
      </w:r>
      <w:r>
        <w:rPr>
          <w:rFonts w:ascii="Arial" w:cs="Arial" w:eastAsia="Arial" w:hAnsi="Arial"/>
          <w:sz w:val="17"/>
          <w:szCs w:val="17"/>
          <w:color w:val="auto"/>
        </w:rPr>
        <w: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Crash Bandicoot 4: It’s About Time</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decrease in segment net revenues was partially offset by higher revenues from:</w:t>
      </w:r>
    </w:p>
    <w:p>
      <w:pPr>
        <w:spacing w:after="0" w:line="250" w:lineRule="exact"/>
        <w:rPr>
          <w:sz w:val="20"/>
          <w:szCs w:val="20"/>
          <w:color w:val="auto"/>
        </w:rPr>
      </w:pPr>
    </w:p>
    <w:p>
      <w:pPr>
        <w:ind w:left="940" w:hanging="306"/>
        <w:spacing w:after="0"/>
        <w:tabs>
          <w:tab w:leader="none" w:pos="9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decrease in Activision’s segment operating income, driven by the overall decrease in segment net revenues, was partially offset by:</w:t>
      </w:r>
    </w:p>
    <w:p>
      <w:pPr>
        <w:spacing w:after="0" w:line="250" w:lineRule="exact"/>
        <w:rPr>
          <w:sz w:val="20"/>
          <w:szCs w:val="20"/>
          <w:color w:val="auto"/>
        </w:rPr>
      </w:pPr>
    </w:p>
    <w:p>
      <w:pPr>
        <w:ind w:left="940" w:hanging="306"/>
        <w:spacing w:after="0"/>
        <w:tabs>
          <w:tab w:leader="none" w:pos="940"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 xml:space="preserve">lower cost of revenues, driven by lower software amortization and royalties for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 Black Ops</w:t>
      </w:r>
    </w:p>
    <w:p>
      <w:pPr>
        <w:spacing w:after="0" w:line="37" w:lineRule="exact"/>
        <w:rPr>
          <w:rFonts w:ascii="Arial" w:cs="Arial" w:eastAsia="Arial" w:hAnsi="Arial"/>
          <w:sz w:val="16"/>
          <w:szCs w:val="16"/>
          <w:i w:val="1"/>
          <w:iCs w:val="1"/>
          <w:color w:val="auto"/>
        </w:rPr>
      </w:pPr>
    </w:p>
    <w:p>
      <w:pPr>
        <w:ind w:left="940"/>
        <w:spacing w:after="0"/>
        <w:rPr>
          <w:rFonts w:ascii="Arial" w:cs="Arial" w:eastAsia="Arial" w:hAnsi="Arial"/>
          <w:sz w:val="16"/>
          <w:szCs w:val="16"/>
          <w:i w:val="1"/>
          <w:iCs w:val="1"/>
          <w:color w:val="auto"/>
        </w:rPr>
      </w:pPr>
      <w:r>
        <w:rPr>
          <w:rFonts w:ascii="Arial" w:cs="Arial" w:eastAsia="Arial" w:hAnsi="Arial"/>
          <w:sz w:val="17"/>
          <w:szCs w:val="17"/>
          <w:i w:val="1"/>
          <w:iCs w:val="1"/>
          <w:color w:val="auto"/>
        </w:rPr>
        <w:t>Cold War</w:t>
      </w:r>
      <w:r>
        <w:rPr>
          <w:rFonts w:ascii="Arial" w:cs="Arial" w:eastAsia="Arial" w:hAnsi="Arial"/>
          <w:sz w:val="17"/>
          <w:szCs w:val="17"/>
          <w:color w:val="auto"/>
        </w:rPr>
        <w:t>, as well as for</w:t>
      </w:r>
      <w:r>
        <w:rPr>
          <w:rFonts w:ascii="Arial" w:cs="Arial" w:eastAsia="Arial" w:hAnsi="Arial"/>
          <w:sz w:val="17"/>
          <w:szCs w:val="17"/>
          <w:i w:val="1"/>
          <w:iCs w:val="1"/>
          <w:color w:val="auto"/>
        </w:rPr>
        <w:t xml:space="preserve"> Tony Hawk’s Pro Skater 1 + 2 </w:t>
      </w:r>
      <w:r>
        <w:rPr>
          <w:rFonts w:ascii="Arial" w:cs="Arial" w:eastAsia="Arial" w:hAnsi="Arial"/>
          <w:sz w:val="17"/>
          <w:szCs w:val="17"/>
          <w:color w:val="auto"/>
        </w:rPr>
        <w:t>and</w:t>
      </w:r>
      <w:r>
        <w:rPr>
          <w:rFonts w:ascii="Arial" w:cs="Arial" w:eastAsia="Arial" w:hAnsi="Arial"/>
          <w:sz w:val="17"/>
          <w:szCs w:val="17"/>
          <w:i w:val="1"/>
          <w:iCs w:val="1"/>
          <w:color w:val="auto"/>
        </w:rPr>
        <w:t xml:space="preserve"> Crash Bandicoot 4: It’s About Time</w:t>
      </w:r>
      <w:r>
        <w:rPr>
          <w:rFonts w:ascii="Arial" w:cs="Arial" w:eastAsia="Arial" w:hAnsi="Arial"/>
          <w:sz w:val="17"/>
          <w:szCs w:val="17"/>
          <w:color w:val="auto"/>
        </w:rPr>
        <w:t>;</w:t>
      </w:r>
    </w:p>
    <w:p>
      <w:pPr>
        <w:spacing w:after="0" w:line="238" w:lineRule="exact"/>
        <w:rPr>
          <w:rFonts w:ascii="Arial" w:cs="Arial" w:eastAsia="Arial" w:hAnsi="Arial"/>
          <w:sz w:val="16"/>
          <w:szCs w:val="16"/>
          <w:i w:val="1"/>
          <w:iCs w:val="1"/>
          <w:color w:val="auto"/>
        </w:rPr>
      </w:pPr>
    </w:p>
    <w:p>
      <w:pPr>
        <w:ind w:left="940" w:hanging="306"/>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lower sales and marketing costs, primarily for the Call of Duty franchise and </w:t>
      </w:r>
      <w:r>
        <w:rPr>
          <w:rFonts w:ascii="Arial" w:cs="Arial" w:eastAsia="Arial" w:hAnsi="Arial"/>
          <w:sz w:val="17"/>
          <w:szCs w:val="17"/>
          <w:i w:val="1"/>
          <w:iCs w:val="1"/>
          <w:color w:val="auto"/>
        </w:rPr>
        <w:t>Crash Bandicoot 4: It’s About Time</w:t>
      </w:r>
      <w:r>
        <w:rPr>
          <w:rFonts w:ascii="Arial" w:cs="Arial" w:eastAsia="Arial" w:hAnsi="Arial"/>
          <w:sz w:val="17"/>
          <w:szCs w:val="17"/>
          <w:color w:val="auto"/>
        </w:rPr>
        <w:t>; and</w:t>
      </w:r>
    </w:p>
    <w:p>
      <w:pPr>
        <w:spacing w:after="0" w:line="250" w:lineRule="exact"/>
        <w:rPr>
          <w:rFonts w:ascii="Arial" w:cs="Arial" w:eastAsia="Arial" w:hAnsi="Arial"/>
          <w:sz w:val="17"/>
          <w:szCs w:val="17"/>
          <w:color w:val="auto"/>
        </w:rPr>
      </w:pPr>
    </w:p>
    <w:p>
      <w:pPr>
        <w:ind w:left="940" w:right="80" w:hanging="306"/>
        <w:spacing w:after="0" w:line="273"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lower product development costs driven by lower personnel costs due to changes made to our compensation payments for 2021, as previously noted above, resulting in the costs for certain 2021 personnel bonuses being excluded from 2021 operating income, as they are now part of share-based compensation.</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Blizzard</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 xml:space="preserve">The decrease in Blizzard’s segment net revenues for the year ended December 31, 2021, as compared to the year ended December 31, 2020, was primarily due to lower revenues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partially offset by higher revenues from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Blizzard’s segment operating income was comparable to 2020, as the impact of lower segment net revenues and higher product development costs to support game development efforts were offset by:</w:t>
      </w:r>
    </w:p>
    <w:p>
      <w:pPr>
        <w:spacing w:after="0" w:line="185" w:lineRule="exact"/>
        <w:rPr>
          <w:sz w:val="20"/>
          <w:szCs w:val="20"/>
          <w:color w:val="auto"/>
        </w:rPr>
      </w:pPr>
    </w:p>
    <w:p>
      <w:pPr>
        <w:ind w:left="940" w:hanging="306"/>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lower cost of revenues, driven by lower software amortization and royalties for </w:t>
      </w:r>
      <w:r>
        <w:rPr>
          <w:rFonts w:ascii="Arial" w:cs="Arial" w:eastAsia="Arial" w:hAnsi="Arial"/>
          <w:sz w:val="16"/>
          <w:szCs w:val="16"/>
          <w:i w:val="1"/>
          <w:iCs w:val="1"/>
          <w:color w:val="auto"/>
        </w:rPr>
        <w:t>World of Warcraft: Shadowlands</w:t>
      </w:r>
      <w:r>
        <w:rPr>
          <w:rFonts w:ascii="Arial" w:cs="Arial" w:eastAsia="Arial" w:hAnsi="Arial"/>
          <w:sz w:val="16"/>
          <w:szCs w:val="16"/>
          <w:color w:val="auto"/>
        </w:rPr>
        <w:t>, partially offset by higher</w:t>
      </w:r>
    </w:p>
    <w:p>
      <w:pPr>
        <w:spacing w:after="0" w:line="37"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color w:val="auto"/>
        </w:rPr>
        <w:t xml:space="preserve">software amortization and royalties for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38" w:lineRule="exact"/>
        <w:rPr>
          <w:rFonts w:ascii="Arial" w:cs="Arial" w:eastAsia="Arial" w:hAnsi="Arial"/>
          <w:sz w:val="16"/>
          <w:szCs w:val="16"/>
          <w:color w:val="auto"/>
        </w:rPr>
      </w:pPr>
    </w:p>
    <w:p>
      <w:pPr>
        <w:ind w:left="940" w:right="380" w:hanging="306"/>
        <w:spacing w:after="0" w:line="289" w:lineRule="auto"/>
        <w:tabs>
          <w:tab w:leader="none" w:pos="936" w:val="left"/>
        </w:tabs>
        <w:numPr>
          <w:ilvl w:val="0"/>
          <w:numId w:val="23"/>
        </w:numPr>
        <w:rPr>
          <w:rFonts w:ascii="Arial" w:cs="Arial" w:eastAsia="Arial" w:hAnsi="Arial"/>
          <w:sz w:val="17"/>
          <w:szCs w:val="17"/>
          <w:i w:val="1"/>
          <w:iCs w:val="1"/>
          <w:color w:val="auto"/>
        </w:rPr>
      </w:pPr>
      <w:r>
        <w:rPr>
          <w:rFonts w:ascii="Arial" w:cs="Arial" w:eastAsia="Arial" w:hAnsi="Arial"/>
          <w:sz w:val="17"/>
          <w:szCs w:val="17"/>
          <w:color w:val="auto"/>
        </w:rPr>
        <w:t xml:space="preserve">lower marketing costs, driven by lower marketing costs for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and </w:t>
      </w:r>
      <w:r>
        <w:rPr>
          <w:rFonts w:ascii="Arial" w:cs="Arial" w:eastAsia="Arial" w:hAnsi="Arial"/>
          <w:sz w:val="17"/>
          <w:szCs w:val="17"/>
          <w:i w:val="1"/>
          <w:iCs w:val="1"/>
          <w:color w:val="auto"/>
        </w:rPr>
        <w:t>Hearthstone</w:t>
      </w:r>
      <w:r>
        <w:rPr>
          <w:rFonts w:ascii="Arial" w:cs="Arial" w:eastAsia="Arial" w:hAnsi="Arial"/>
          <w:sz w:val="17"/>
          <w:szCs w:val="17"/>
          <w:color w:val="auto"/>
        </w:rPr>
        <w:t xml:space="preserve">, partially offset by higher marketing costs for </w:t>
      </w:r>
      <w:r>
        <w:rPr>
          <w:rFonts w:ascii="Arial" w:cs="Arial" w:eastAsia="Arial" w:hAnsi="Arial"/>
          <w:sz w:val="17"/>
          <w:szCs w:val="17"/>
          <w:i w:val="1"/>
          <w:iCs w:val="1"/>
          <w:color w:val="auto"/>
        </w:rPr>
        <w:t xml:space="preserve">Diablo II: Resurrected; </w:t>
      </w:r>
      <w:r>
        <w:rPr>
          <w:rFonts w:ascii="Arial" w:cs="Arial" w:eastAsia="Arial" w:hAnsi="Arial"/>
          <w:sz w:val="17"/>
          <w:szCs w:val="17"/>
          <w:color w:val="auto"/>
        </w:rPr>
        <w:t>and</w:t>
      </w:r>
    </w:p>
    <w:p>
      <w:pPr>
        <w:spacing w:after="0" w:line="184" w:lineRule="exact"/>
        <w:rPr>
          <w:rFonts w:ascii="Arial" w:cs="Arial" w:eastAsia="Arial" w:hAnsi="Arial"/>
          <w:sz w:val="17"/>
          <w:szCs w:val="17"/>
          <w:i w:val="1"/>
          <w:iCs w:val="1"/>
          <w:color w:val="auto"/>
        </w:rPr>
      </w:pPr>
    </w:p>
    <w:p>
      <w:pPr>
        <w:ind w:left="940" w:right="160" w:hanging="306"/>
        <w:spacing w:after="0" w:line="322" w:lineRule="auto"/>
        <w:tabs>
          <w:tab w:leader="none" w:pos="936" w:val="left"/>
        </w:tabs>
        <w:numPr>
          <w:ilvl w:val="0"/>
          <w:numId w:val="23"/>
        </w:numPr>
        <w:rPr>
          <w:rFonts w:ascii="Arial" w:cs="Arial" w:eastAsia="Arial" w:hAnsi="Arial"/>
          <w:sz w:val="16"/>
          <w:szCs w:val="16"/>
          <w:i w:val="1"/>
          <w:iCs w:val="1"/>
          <w:color w:val="auto"/>
        </w:rPr>
      </w:pPr>
      <w:r>
        <w:rPr>
          <w:rFonts w:ascii="Arial" w:cs="Arial" w:eastAsia="Arial" w:hAnsi="Arial"/>
          <w:sz w:val="16"/>
          <w:szCs w:val="16"/>
          <w:color w:val="auto"/>
        </w:rPr>
        <w:t>lower personnel costs due to changes made to our compensation payments for 2021, as previously noted above, resulting in the costs for certain 2021 personnel bonuses being excluded from 2021 operating income, as they are now part of share-based compensation.</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King</w:t>
      </w:r>
    </w:p>
    <w:p>
      <w:pPr>
        <w:spacing w:after="0" w:line="250"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The increase in King’s segment net revenues and operating income for the year ended December 31, 2021, as compared to the year ended December 31, 2020, was primarily due to higher revenues from in-game player purchases and advertising, primarily in the Candy Crush franchise.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the increase in King’s segment operating income was driven by:</w:t>
      </w:r>
    </w:p>
    <w:p>
      <w:pPr>
        <w:spacing w:after="0" w:line="250" w:lineRule="exact"/>
        <w:rPr>
          <w:sz w:val="20"/>
          <w:szCs w:val="20"/>
          <w:color w:val="auto"/>
        </w:rPr>
      </w:pPr>
    </w:p>
    <w:p>
      <w:pPr>
        <w:ind w:left="940" w:right="160" w:hanging="306"/>
        <w:spacing w:after="0" w:line="322" w:lineRule="auto"/>
        <w:tabs>
          <w:tab w:leader="none" w:pos="936"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lower personnel costs due to changes made to our compensation payments for 2021, as previously noted above, resulting in the costs for certain 2021 personnel bonuses being excluded from 2021 operating income, as they are now part of share-based compensation; and</w:t>
      </w:r>
    </w:p>
    <w:p>
      <w:pPr>
        <w:spacing w:after="0" w:line="161" w:lineRule="exact"/>
        <w:rPr>
          <w:rFonts w:ascii="Arial" w:cs="Arial" w:eastAsia="Arial" w:hAnsi="Arial"/>
          <w:sz w:val="16"/>
          <w:szCs w:val="16"/>
          <w:i w:val="1"/>
          <w:iCs w:val="1"/>
          <w:color w:val="auto"/>
        </w:rPr>
      </w:pPr>
    </w:p>
    <w:p>
      <w:pPr>
        <w:ind w:left="940" w:hanging="306"/>
        <w:spacing w:after="0" w:line="289"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higher insurance claim proceeds primarily relating to a network outage which occurred in 2018 from changes made by a third-party partner which inadvertently impacted some users’ ability to play and spend money in King games.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These increases in King’s segment operating income were partially offset by:</w:t>
      </w:r>
    </w:p>
    <w:p>
      <w:pPr>
        <w:spacing w:after="0" w:line="250" w:lineRule="exact"/>
        <w:rPr>
          <w:sz w:val="20"/>
          <w:szCs w:val="20"/>
          <w:color w:val="auto"/>
        </w:rPr>
      </w:pPr>
    </w:p>
    <w:p>
      <w:pPr>
        <w:ind w:left="940" w:hanging="306"/>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sales and marketing costs, primarily for the Candy Crush franchise;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service provider fees, primarily digital storefront fees, driven by the higher revenues from in-game player purchases.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24"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Changes in foreign exchange rates had a positive impact of $100 million and $61 million on Activision Blizzard’s segment net revenues for the years ended December 31, 2021 and 2020, respectively, in each case as compared to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6"/>
                <w:szCs w:val="16"/>
                <w:b w:val="1"/>
                <w:bCs w:val="1"/>
                <w:color w:val="auto"/>
                <w:w w:val="97"/>
              </w:rPr>
              <w:t>For the Year Ended December 31,</w:t>
            </w: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360" w:type="dxa"/>
            <w:vAlign w:val="bottom"/>
          </w:tcPr>
          <w:p>
            <w:pPr>
              <w:spacing w:after="0"/>
              <w:rPr>
                <w:sz w:val="13"/>
                <w:szCs w:val="13"/>
                <w:color w:val="auto"/>
              </w:rPr>
            </w:pPr>
          </w:p>
        </w:tc>
        <w:tc>
          <w:tcPr>
            <w:tcW w:w="1060" w:type="dxa"/>
            <w:vAlign w:val="bottom"/>
            <w:vMerge w:val="restart"/>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restart"/>
          </w:tcPr>
          <w:p>
            <w:pPr>
              <w:jc w:val="right"/>
              <w:ind w:right="576"/>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436"/>
              <w:spacing w:after="0" w:line="154" w:lineRule="exact"/>
              <w:rPr>
                <w:sz w:val="20"/>
                <w:szCs w:val="20"/>
                <w:color w:val="auto"/>
              </w:rPr>
            </w:pPr>
            <w:r>
              <w:rPr>
                <w:rFonts w:ascii="Arial" w:cs="Arial" w:eastAsia="Arial" w:hAnsi="Arial"/>
                <w:sz w:val="16"/>
                <w:szCs w:val="16"/>
                <w:b w:val="1"/>
                <w:bCs w:val="1"/>
                <w:color w:val="auto"/>
              </w:rPr>
              <w:t>Increase/</w:t>
            </w:r>
          </w:p>
        </w:tc>
        <w:tc>
          <w:tcPr>
            <w:tcW w:w="80" w:type="dxa"/>
            <w:vAlign w:val="bottom"/>
          </w:tcPr>
          <w:p>
            <w:pPr>
              <w:spacing w:after="0"/>
              <w:rPr>
                <w:sz w:val="13"/>
                <w:szCs w:val="13"/>
                <w:color w:val="auto"/>
              </w:rPr>
            </w:pPr>
          </w:p>
        </w:tc>
        <w:tc>
          <w:tcPr>
            <w:tcW w:w="176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(decrease)</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7"/>
                <w:szCs w:val="17"/>
                <w:color w:val="auto"/>
              </w:rPr>
              <w:t>Digital online channels (1)</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7,663</w:t>
            </w:r>
          </w:p>
        </w:tc>
        <w:tc>
          <w:tcPr>
            <w:tcW w:w="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6,658</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1,005</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 channels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8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(2)</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840" w:type="dxa"/>
            <w:vAlign w:val="bottom"/>
            <w:tcBorders>
              <w:bottom w:val="single" w:sz="8" w:color="CCEEFF"/>
            </w:tcBorders>
            <w:gridSpan w:val="2"/>
          </w:tcPr>
          <w:p>
            <w:pPr>
              <w:jc w:val="right"/>
              <w:ind w:right="81"/>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consolidated net revenues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8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500" w:hanging="315"/>
        <w:spacing w:after="0" w:line="289" w:lineRule="auto"/>
        <w:tabs>
          <w:tab w:leader="none" w:pos="3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50" w:lineRule="exact"/>
        <w:rPr>
          <w:sz w:val="20"/>
          <w:szCs w:val="20"/>
          <w:color w:val="auto"/>
        </w:rPr>
      </w:pPr>
    </w:p>
    <w:p>
      <w:pPr>
        <w:ind w:right="140" w:firstLine="393"/>
        <w:spacing w:after="0" w:line="289" w:lineRule="auto"/>
        <w:rPr>
          <w:sz w:val="20"/>
          <w:szCs w:val="20"/>
          <w:color w:val="auto"/>
        </w:rPr>
      </w:pPr>
      <w:r>
        <w:rPr>
          <w:rFonts w:ascii="Arial" w:cs="Arial" w:eastAsia="Arial" w:hAnsi="Arial"/>
          <w:sz w:val="17"/>
          <w:szCs w:val="17"/>
          <w:color w:val="auto"/>
        </w:rPr>
        <w:t>The increase in net revenues from digital online channels for the year ended December 31, 2021, as compared to the year ended December 31, 2020, was primarily due to higher revenues from:</w:t>
      </w:r>
    </w:p>
    <w:p>
      <w:pPr>
        <w:spacing w:after="0" w:line="185" w:lineRule="exact"/>
        <w:rPr>
          <w:sz w:val="20"/>
          <w:szCs w:val="20"/>
          <w:color w:val="auto"/>
        </w:rPr>
      </w:pPr>
    </w:p>
    <w:p>
      <w:pPr>
        <w:ind w:left="940" w:hanging="306"/>
        <w:spacing w:after="0"/>
        <w:tabs>
          <w:tab w:leader="none" w:pos="940"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color w:val="auto"/>
        </w:rPr>
        <w:t>in-game player purchases and advertising in the Candy Crush franchise;</w:t>
      </w:r>
    </w:p>
    <w:p>
      <w:pPr>
        <w:spacing w:after="0" w:line="250" w:lineRule="exact"/>
        <w:rPr>
          <w:rFonts w:ascii="Arial" w:cs="Arial" w:eastAsia="Arial" w:hAnsi="Arial"/>
          <w:sz w:val="17"/>
          <w:szCs w:val="17"/>
          <w:b w:val="1"/>
          <w:bCs w:val="1"/>
          <w:i w:val="1"/>
          <w:iCs w:val="1"/>
          <w:color w:val="auto"/>
        </w:rPr>
      </w:pPr>
    </w:p>
    <w:p>
      <w:pPr>
        <w:ind w:left="940" w:hanging="306"/>
        <w:spacing w:after="0"/>
        <w:tabs>
          <w:tab w:leader="none" w:pos="94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69" w:lineRule="exact"/>
        <w:rPr>
          <w:rFonts w:ascii="Arial" w:cs="Arial" w:eastAsia="Arial" w:hAnsi="Arial"/>
          <w:sz w:val="17"/>
          <w:szCs w:val="17"/>
          <w:i w:val="1"/>
          <w:iCs w:val="1"/>
          <w:color w:val="auto"/>
        </w:rPr>
      </w:pPr>
    </w:p>
    <w:p>
      <w:pPr>
        <w:ind w:left="940" w:hanging="306"/>
        <w:spacing w:after="0"/>
        <w:tabs>
          <w:tab w:leader="none" w:pos="940" w:val="left"/>
        </w:tabs>
        <w:numPr>
          <w:ilvl w:val="0"/>
          <w:numId w:val="27"/>
        </w:numPr>
        <w:rPr>
          <w:rFonts w:ascii="Arial" w:cs="Arial" w:eastAsia="Arial" w:hAnsi="Arial"/>
          <w:sz w:val="21"/>
          <w:szCs w:val="21"/>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24" w:lineRule="exact"/>
        <w:rPr>
          <w:rFonts w:ascii="Arial" w:cs="Arial" w:eastAsia="Arial" w:hAnsi="Arial"/>
          <w:sz w:val="21"/>
          <w:szCs w:val="21"/>
          <w:i w:val="1"/>
          <w:iCs w:val="1"/>
          <w:color w:val="auto"/>
        </w:rPr>
      </w:pPr>
    </w:p>
    <w:p>
      <w:pPr>
        <w:ind w:left="940" w:hanging="306"/>
        <w:spacing w:after="0"/>
        <w:tabs>
          <w:tab w:leader="none" w:pos="94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which includes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and</w:t>
      </w:r>
      <w:r>
        <w:rPr>
          <w:rFonts w:ascii="Arial" w:cs="Arial" w:eastAsia="Arial" w:hAnsi="Arial"/>
          <w:sz w:val="17"/>
          <w:szCs w:val="17"/>
          <w:i w:val="1"/>
          <w:iCs w:val="1"/>
          <w:color w:val="auto"/>
        </w:rPr>
        <w:t xml:space="preserve"> World of Warcraft: Burning Crusade Classic</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Retail Channel Net Revenues</w:t>
      </w:r>
    </w:p>
    <w:p>
      <w:pPr>
        <w:spacing w:after="0" w:line="250" w:lineRule="exact"/>
        <w:rPr>
          <w:sz w:val="20"/>
          <w:szCs w:val="20"/>
          <w:color w:val="auto"/>
        </w:rPr>
      </w:pPr>
    </w:p>
    <w:p>
      <w:pPr>
        <w:ind w:right="680" w:firstLine="393"/>
        <w:spacing w:after="0" w:line="289" w:lineRule="auto"/>
        <w:rPr>
          <w:sz w:val="20"/>
          <w:szCs w:val="20"/>
          <w:color w:val="auto"/>
        </w:rPr>
      </w:pPr>
      <w:r>
        <w:rPr>
          <w:rFonts w:ascii="Arial" w:cs="Arial" w:eastAsia="Arial" w:hAnsi="Arial"/>
          <w:sz w:val="17"/>
          <w:szCs w:val="17"/>
          <w:color w:val="auto"/>
        </w:rPr>
        <w:t>The decrease in net revenues from retail channels for the year ended December 31, 2021, as compared to the year ended December 31, 2020, was primarily due to lower revenues from:</w:t>
      </w:r>
    </w:p>
    <w:p>
      <w:pPr>
        <w:spacing w:after="0" w:line="185" w:lineRule="exact"/>
        <w:rPr>
          <w:sz w:val="20"/>
          <w:szCs w:val="20"/>
          <w:color w:val="auto"/>
        </w:rPr>
      </w:pPr>
    </w:p>
    <w:p>
      <w:pPr>
        <w:ind w:left="940" w:hanging="306"/>
        <w:spacing w:after="0"/>
        <w:tabs>
          <w:tab w:leader="none" w:pos="94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Crash Bandicoot 4: It’s About Time</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Crash Team Racing Nitro-Fueled</w:t>
      </w:r>
      <w:r>
        <w:rPr>
          <w:rFonts w:ascii="Arial" w:cs="Arial" w:eastAsia="Arial" w:hAnsi="Arial"/>
          <w:sz w:val="17"/>
          <w:szCs w:val="17"/>
          <w:color w:val="auto"/>
        </w:rPr>
        <w: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Tony Hawk’s Pro Skater 1 + 2.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6"/>
                <w:szCs w:val="16"/>
                <w:b w:val="1"/>
                <w:bCs w:val="1"/>
                <w:color w:val="auto"/>
                <w:w w:val="97"/>
              </w:rPr>
              <w:t>For the Year Ended December 31,</w:t>
            </w: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360" w:type="dxa"/>
            <w:vAlign w:val="bottom"/>
          </w:tcPr>
          <w:p>
            <w:pPr>
              <w:spacing w:after="0"/>
              <w:rPr>
                <w:sz w:val="13"/>
                <w:szCs w:val="13"/>
                <w:color w:val="auto"/>
              </w:rPr>
            </w:pPr>
          </w:p>
        </w:tc>
        <w:tc>
          <w:tcPr>
            <w:tcW w:w="1060" w:type="dxa"/>
            <w:vAlign w:val="bottom"/>
            <w:vMerge w:val="restart"/>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restart"/>
          </w:tcPr>
          <w:p>
            <w:pPr>
              <w:jc w:val="right"/>
              <w:ind w:right="575"/>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435"/>
              <w:spacing w:after="0" w:line="154" w:lineRule="exact"/>
              <w:rPr>
                <w:sz w:val="20"/>
                <w:szCs w:val="20"/>
                <w:color w:val="auto"/>
              </w:rPr>
            </w:pPr>
            <w:r>
              <w:rPr>
                <w:rFonts w:ascii="Arial" w:cs="Arial" w:eastAsia="Arial" w:hAnsi="Arial"/>
                <w:sz w:val="16"/>
                <w:szCs w:val="16"/>
                <w:b w:val="1"/>
                <w:bCs w:val="1"/>
                <w:color w:val="auto"/>
              </w:rPr>
              <w:t>Increase/</w:t>
            </w:r>
          </w:p>
        </w:tc>
        <w:tc>
          <w:tcPr>
            <w:tcW w:w="80" w:type="dxa"/>
            <w:vAlign w:val="bottom"/>
          </w:tcPr>
          <w:p>
            <w:pPr>
              <w:spacing w:after="0"/>
              <w:rPr>
                <w:sz w:val="13"/>
                <w:szCs w:val="13"/>
                <w:color w:val="auto"/>
              </w:rPr>
            </w:pPr>
          </w:p>
        </w:tc>
        <w:tc>
          <w:tcPr>
            <w:tcW w:w="176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(decrease)</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7"/>
                <w:szCs w:val="17"/>
                <w:color w:val="auto"/>
              </w:rPr>
              <w:t>Console</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2,637</w:t>
            </w:r>
          </w:p>
        </w:tc>
        <w:tc>
          <w:tcPr>
            <w:tcW w:w="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2,784</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(147)</w:t>
            </w:r>
          </w:p>
        </w:tc>
        <w:tc>
          <w:tcPr>
            <w:tcW w:w="1840" w:type="dxa"/>
            <w:vAlign w:val="bottom"/>
            <w:gridSpan w:val="2"/>
          </w:tcPr>
          <w:p>
            <w:pPr>
              <w:ind w:left="14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84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7"/>
                <w:szCs w:val="17"/>
                <w:color w:val="auto"/>
              </w:rPr>
              <w:t>Mobile and ancillary (1)</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623</w:t>
            </w:r>
          </w:p>
        </w:tc>
        <w:tc>
          <w:tcPr>
            <w:tcW w:w="1840" w:type="dxa"/>
            <w:vAlign w:val="bottom"/>
            <w:gridSpan w:val="2"/>
          </w:tcPr>
          <w:p>
            <w:pPr>
              <w:jc w:val="right"/>
              <w:ind w:right="141"/>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(2)</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84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840" w:type="dxa"/>
            <w:vAlign w:val="bottom"/>
            <w:gridSpan w:val="2"/>
          </w:tcPr>
          <w:p>
            <w:pPr>
              <w:jc w:val="right"/>
              <w:ind w:right="141"/>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720" w:hanging="315"/>
        <w:spacing w:after="0" w:line="289" w:lineRule="auto"/>
        <w:tabs>
          <w:tab w:leader="none" w:pos="314"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non-platform-specific game-related revenues, such as standalone sales of toys and accessories.</w:t>
      </w:r>
    </w:p>
    <w:p>
      <w:pPr>
        <w:spacing w:after="0" w:line="184" w:lineRule="exact"/>
        <w:rPr>
          <w:rFonts w:ascii="Arial" w:cs="Arial" w:eastAsia="Arial" w:hAnsi="Arial"/>
          <w:sz w:val="17"/>
          <w:szCs w:val="17"/>
          <w:color w:val="auto"/>
        </w:rPr>
      </w:pPr>
    </w:p>
    <w:p>
      <w:pPr>
        <w:ind w:left="400" w:right="1080" w:hanging="395"/>
        <w:spacing w:after="0" w:line="547"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Net revenues from “Other” primarily includes revenues from our Distribution business, the Overwatch League, and the Call of Duty League. </w:t>
      </w:r>
      <w:r>
        <w:rPr>
          <w:rFonts w:ascii="Arial" w:cs="Arial" w:eastAsia="Arial" w:hAnsi="Arial"/>
          <w:sz w:val="17"/>
          <w:szCs w:val="17"/>
          <w:i w:val="1"/>
          <w:iCs w:val="1"/>
          <w:color w:val="auto"/>
        </w:rPr>
        <w:t>Console</w:t>
      </w:r>
    </w:p>
    <w:p>
      <w:pPr>
        <w:spacing w:after="0" w:line="1"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The decrease in net revenues from the console platform for the year ended December 31, 2021, as compared to the year ended December 31, 2020, was primarily due to lower revenues from:</w:t>
      </w:r>
    </w:p>
    <w:p>
      <w:pPr>
        <w:spacing w:after="0" w:line="185" w:lineRule="exact"/>
        <w:rPr>
          <w:sz w:val="20"/>
          <w:szCs w:val="20"/>
          <w:color w:val="auto"/>
        </w:rPr>
      </w:pPr>
    </w:p>
    <w:p>
      <w:pPr>
        <w:ind w:left="940" w:hanging="306"/>
        <w:spacing w:after="0"/>
        <w:tabs>
          <w:tab w:leader="none" w:pos="94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Tony Hawk’s Pro Skater 1 + 2</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Crash Bandicoot 4: It’s About Time.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The decrease was partially offset by higher revenues from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4</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PC</w:t>
      </w:r>
    </w:p>
    <w:p>
      <w:pPr>
        <w:spacing w:after="0" w:line="250" w:lineRule="exact"/>
        <w:rPr>
          <w:sz w:val="20"/>
          <w:szCs w:val="20"/>
          <w:color w:val="auto"/>
        </w:rPr>
      </w:pPr>
    </w:p>
    <w:p>
      <w:pPr>
        <w:ind w:right="600" w:firstLine="393"/>
        <w:spacing w:after="0" w:line="289" w:lineRule="auto"/>
        <w:rPr>
          <w:sz w:val="20"/>
          <w:szCs w:val="20"/>
          <w:color w:val="auto"/>
        </w:rPr>
      </w:pPr>
      <w:r>
        <w:rPr>
          <w:rFonts w:ascii="Arial" w:cs="Arial" w:eastAsia="Arial" w:hAnsi="Arial"/>
          <w:sz w:val="17"/>
          <w:szCs w:val="17"/>
          <w:color w:val="auto"/>
        </w:rPr>
        <w:t>The increase in net revenues from the PC platform for the year ended December 31, 2021, as compared to the year ended December 31, 2020, was primarily due to higher revenues from:</w:t>
      </w:r>
    </w:p>
    <w:p>
      <w:pPr>
        <w:spacing w:after="0" w:line="185" w:lineRule="exact"/>
        <w:rPr>
          <w:sz w:val="20"/>
          <w:szCs w:val="20"/>
          <w:color w:val="auto"/>
        </w:rPr>
      </w:pPr>
    </w:p>
    <w:p>
      <w:pPr>
        <w:ind w:left="940" w:hanging="306"/>
        <w:spacing w:after="0"/>
        <w:tabs>
          <w:tab w:leader="none" w:pos="9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which includes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and</w:t>
      </w:r>
      <w:r>
        <w:rPr>
          <w:rFonts w:ascii="Arial" w:cs="Arial" w:eastAsia="Arial" w:hAnsi="Arial"/>
          <w:sz w:val="17"/>
          <w:szCs w:val="17"/>
          <w:i w:val="1"/>
          <w:iCs w:val="1"/>
          <w:color w:val="auto"/>
        </w:rPr>
        <w:t xml:space="preserve"> World of Warcraft: Burning Crusade Classic</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Mobile and Ancillary</w:t>
      </w:r>
    </w:p>
    <w:p>
      <w:pPr>
        <w:spacing w:after="0" w:line="250"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The increase in net revenues from mobile and ancillary for the year ended December 31, 2021, as compared to the year ended December 31, 2020, was primarily due to higher revenues from:</w:t>
      </w:r>
    </w:p>
    <w:p>
      <w:pPr>
        <w:spacing w:after="0" w:line="185" w:lineRule="exact"/>
        <w:rPr>
          <w:sz w:val="20"/>
          <w:szCs w:val="20"/>
          <w:color w:val="auto"/>
        </w:rPr>
      </w:pPr>
    </w:p>
    <w:p>
      <w:pPr>
        <w:ind w:left="940" w:hanging="306"/>
        <w:spacing w:after="0"/>
        <w:tabs>
          <w:tab w:leader="none" w:pos="94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color w:val="auto"/>
        </w:rPr>
        <w:t>in-game player purchases and advertising in the Candy Crush franchise; and</w:t>
      </w:r>
    </w:p>
    <w:p>
      <w:pPr>
        <w:spacing w:after="0" w:line="250" w:lineRule="exact"/>
        <w:rPr>
          <w:rFonts w:ascii="Arial" w:cs="Arial" w:eastAsia="Arial" w:hAnsi="Arial"/>
          <w:sz w:val="17"/>
          <w:szCs w:val="17"/>
          <w:b w:val="1"/>
          <w:bCs w:val="1"/>
          <w:i w:val="1"/>
          <w:iCs w:val="1"/>
          <w:color w:val="auto"/>
        </w:rPr>
      </w:pPr>
    </w:p>
    <w:p>
      <w:pPr>
        <w:ind w:left="940" w:hanging="306"/>
        <w:spacing w:after="0"/>
        <w:tabs>
          <w:tab w:leader="none" w:pos="94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2"/>
              </w:rPr>
              <w:t>associated</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revenues</w:t>
            </w:r>
          </w:p>
        </w:tc>
        <w:tc>
          <w:tcPr>
            <w:tcW w:w="400" w:type="dxa"/>
            <w:vAlign w:val="bottom"/>
          </w:tcPr>
          <w:p>
            <w:pPr>
              <w:spacing w:after="0"/>
              <w:rPr>
                <w:sz w:val="15"/>
                <w:szCs w:val="15"/>
                <w:color w:val="auto"/>
              </w:rPr>
            </w:pPr>
          </w:p>
        </w:tc>
        <w:tc>
          <w:tcPr>
            <w:tcW w:w="1260" w:type="dxa"/>
            <w:vAlign w:val="bottom"/>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revenues</w:t>
            </w:r>
          </w:p>
        </w:tc>
        <w:tc>
          <w:tcPr>
            <w:tcW w:w="24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4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400" w:type="dxa"/>
            <w:vAlign w:val="bottom"/>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649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12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705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718"/>
              <w:spacing w:after="0"/>
              <w:rPr>
                <w:sz w:val="20"/>
                <w:szCs w:val="20"/>
                <w:color w:val="auto"/>
              </w:rPr>
            </w:pPr>
            <w:r>
              <w:rPr>
                <w:rFonts w:ascii="Arial" w:cs="Arial" w:eastAsia="Arial" w:hAnsi="Arial"/>
                <w:sz w:val="17"/>
                <w:szCs w:val="17"/>
                <w:color w:val="auto"/>
                <w:w w:val="99"/>
              </w:rPr>
              <w:t>(56)</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rPr>
              <w:t>Software royalties, amortization, and</w:t>
            </w:r>
          </w:p>
        </w:tc>
        <w:tc>
          <w:tcPr>
            <w:tcW w:w="4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6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6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ind w:left="758"/>
              <w:spacing w:after="0"/>
              <w:rPr>
                <w:sz w:val="20"/>
                <w:szCs w:val="20"/>
                <w:color w:val="auto"/>
              </w:rPr>
            </w:pPr>
            <w:r>
              <w:rPr>
                <w:rFonts w:ascii="Arial" w:cs="Arial" w:eastAsia="Arial" w:hAnsi="Arial"/>
                <w:sz w:val="17"/>
                <w:szCs w:val="17"/>
                <w:color w:val="auto"/>
                <w:w w:val="94"/>
              </w:rPr>
              <w:t>77</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intellectual property licenses</w:t>
            </w:r>
          </w:p>
        </w:tc>
        <w:tc>
          <w:tcPr>
            <w:tcW w:w="4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20" w:type="dxa"/>
            <w:vAlign w:val="bottom"/>
          </w:tcPr>
          <w:p>
            <w:pPr>
              <w:ind w:left="20"/>
              <w:spacing w:after="0" w:line="172" w:lineRule="exact"/>
              <w:rPr>
                <w:sz w:val="20"/>
                <w:szCs w:val="20"/>
                <w:color w:val="auto"/>
              </w:rPr>
            </w:pPr>
            <w:r>
              <w:rPr>
                <w:rFonts w:ascii="Arial" w:cs="Arial" w:eastAsia="Arial" w:hAnsi="Arial"/>
                <w:sz w:val="17"/>
                <w:szCs w:val="17"/>
                <w:color w:val="auto"/>
                <w:w w:val="95"/>
              </w:rPr>
              <w:t>Cost of revenues—in-game, subscription,</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w w:val="94"/>
              </w:rPr>
              <w:t>84</w:t>
            </w:r>
          </w:p>
        </w:tc>
        <w:tc>
          <w:tcPr>
            <w:tcW w:w="0" w:type="dxa"/>
            <w:vAlign w:val="bottom"/>
          </w:tcPr>
          <w:p>
            <w:pPr>
              <w:spacing w:after="0"/>
              <w:rPr>
                <w:sz w:val="1"/>
                <w:szCs w:val="1"/>
                <w:color w:val="auto"/>
              </w:rPr>
            </w:pPr>
          </w:p>
        </w:tc>
      </w:tr>
      <w:tr>
        <w:trPr>
          <w:trHeight w:val="171"/>
        </w:trPr>
        <w:tc>
          <w:tcPr>
            <w:tcW w:w="3020" w:type="dxa"/>
            <w:vAlign w:val="bottom"/>
          </w:tcPr>
          <w:p>
            <w:pPr>
              <w:ind w:left="140"/>
              <w:spacing w:after="0" w:line="172" w:lineRule="exact"/>
              <w:rPr>
                <w:sz w:val="20"/>
                <w:szCs w:val="20"/>
                <w:color w:val="auto"/>
              </w:rPr>
            </w:pPr>
            <w:r>
              <w:rPr>
                <w:rFonts w:ascii="Arial" w:cs="Arial" w:eastAsia="Arial" w:hAnsi="Arial"/>
                <w:sz w:val="17"/>
                <w:szCs w:val="17"/>
                <w:color w:val="auto"/>
              </w:rPr>
              <w:t>Software royalties, amortization, and</w:t>
            </w:r>
          </w:p>
        </w:tc>
        <w:tc>
          <w:tcPr>
            <w:tcW w:w="4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107</w:t>
            </w:r>
          </w:p>
        </w:tc>
        <w:tc>
          <w:tcPr>
            <w:tcW w:w="1640" w:type="dxa"/>
            <w:vAlign w:val="bottom"/>
            <w:gridSpan w:val="2"/>
            <w:vMerge w:val="restart"/>
          </w:tcPr>
          <w:p>
            <w:pPr>
              <w:jc w:val="right"/>
              <w:ind w:right="13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155</w:t>
            </w:r>
          </w:p>
        </w:tc>
        <w:tc>
          <w:tcPr>
            <w:tcW w:w="1640" w:type="dxa"/>
            <w:vAlign w:val="bottom"/>
            <w:gridSpan w:val="2"/>
            <w:vMerge w:val="restart"/>
          </w:tcPr>
          <w:p>
            <w:pPr>
              <w:jc w:val="right"/>
              <w:ind w:right="13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left="718"/>
              <w:spacing w:after="0"/>
              <w:rPr>
                <w:sz w:val="20"/>
                <w:szCs w:val="20"/>
                <w:color w:val="auto"/>
              </w:rPr>
            </w:pPr>
            <w:r>
              <w:rPr>
                <w:rFonts w:ascii="Arial" w:cs="Arial" w:eastAsia="Arial" w:hAnsi="Arial"/>
                <w:sz w:val="17"/>
                <w:szCs w:val="17"/>
                <w:color w:val="auto"/>
                <w:w w:val="99"/>
              </w:rPr>
              <w:t>(48)</w:t>
            </w:r>
          </w:p>
        </w:tc>
        <w:tc>
          <w:tcPr>
            <w:tcW w:w="0" w:type="dxa"/>
            <w:vAlign w:val="bottom"/>
          </w:tcPr>
          <w:p>
            <w:pPr>
              <w:spacing w:after="0"/>
              <w:rPr>
                <w:sz w:val="1"/>
                <w:szCs w:val="1"/>
                <w:color w:val="auto"/>
              </w:rPr>
            </w:pPr>
          </w:p>
        </w:tc>
      </w:tr>
      <w:tr>
        <w:trPr>
          <w:trHeight w:val="222"/>
        </w:trPr>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intellectual property licenses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758"/>
              <w:spacing w:after="0"/>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50" w:lineRule="exact"/>
        <w:rPr>
          <w:sz w:val="20"/>
          <w:szCs w:val="20"/>
          <w:color w:val="auto"/>
        </w:rPr>
      </w:pPr>
    </w:p>
    <w:p>
      <w:pPr>
        <w:ind w:right="380" w:firstLine="393"/>
        <w:spacing w:after="0" w:line="289" w:lineRule="auto"/>
        <w:rPr>
          <w:sz w:val="20"/>
          <w:szCs w:val="20"/>
          <w:color w:val="auto"/>
        </w:rPr>
      </w:pPr>
      <w:r>
        <w:rPr>
          <w:rFonts w:ascii="Arial" w:cs="Arial" w:eastAsia="Arial" w:hAnsi="Arial"/>
          <w:sz w:val="17"/>
          <w:szCs w:val="17"/>
          <w:color w:val="auto"/>
        </w:rPr>
        <w:t>The decrease in product costs for the year ended December 31, 2021, as compared to the year ended December 31, 2020, was driven by a $51 million decrease in product costs from Activision, as a result of lower retail channel revenues.</w:t>
      </w:r>
    </w:p>
    <w:p>
      <w:pPr>
        <w:spacing w:after="0" w:line="185"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 xml:space="preserve">The increase in software royalties, amortization, and intellectual property licenses related to product sales for the year ended December 31, 2021, as compared to the year ended December 31, 2020, was primarily due to a $123 million increase in software amortization and royalties from Blizzard, driven by higher software amortization and royalties from (1)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following the release of </w:t>
      </w:r>
      <w:r>
        <w:rPr>
          <w:rFonts w:ascii="Arial" w:cs="Arial" w:eastAsia="Arial" w:hAnsi="Arial"/>
          <w:sz w:val="17"/>
          <w:szCs w:val="17"/>
          <w:i w:val="1"/>
          <w:iCs w:val="1"/>
          <w:color w:val="auto"/>
        </w:rPr>
        <w:t>World of Warcraft: Shadowlands</w:t>
      </w:r>
      <w:r>
        <w:rPr>
          <w:rFonts w:ascii="Arial" w:cs="Arial" w:eastAsia="Arial" w:hAnsi="Arial"/>
          <w:sz w:val="17"/>
          <w:szCs w:val="17"/>
          <w:color w:val="auto"/>
        </w:rPr>
        <w:t xml:space="preserve">, with no comparable amortization in the prior year, and (2)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02"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 xml:space="preserve">This increase was partially offset by a $46 million decrease in software amortization and royalties from Activision, driven by lower software amortization and royalties from (1) </w:t>
      </w:r>
      <w:r>
        <w:rPr>
          <w:rFonts w:ascii="Arial" w:cs="Arial" w:eastAsia="Arial" w:hAnsi="Arial"/>
          <w:sz w:val="17"/>
          <w:szCs w:val="17"/>
          <w:i w:val="1"/>
          <w:iCs w:val="1"/>
          <w:color w:val="auto"/>
        </w:rPr>
        <w:t>Tony Hawk’s Pro Skater 1 + 2</w:t>
      </w:r>
      <w:r>
        <w:rPr>
          <w:rFonts w:ascii="Arial" w:cs="Arial" w:eastAsia="Arial" w:hAnsi="Arial"/>
          <w:sz w:val="17"/>
          <w:szCs w:val="17"/>
          <w:color w:val="auto"/>
        </w:rPr>
        <w:t xml:space="preserve">, (2) </w:t>
      </w:r>
      <w:r>
        <w:rPr>
          <w:rFonts w:ascii="Arial" w:cs="Arial" w:eastAsia="Arial" w:hAnsi="Arial"/>
          <w:sz w:val="17"/>
          <w:szCs w:val="17"/>
          <w:i w:val="1"/>
          <w:iCs w:val="1"/>
          <w:color w:val="auto"/>
        </w:rPr>
        <w:t>Crash Bandicoot 4: It’s About Time</w:t>
      </w:r>
      <w:r>
        <w:rPr>
          <w:rFonts w:ascii="Arial" w:cs="Arial" w:eastAsia="Arial" w:hAnsi="Arial"/>
          <w:sz w:val="17"/>
          <w:szCs w:val="17"/>
          <w:color w:val="auto"/>
        </w:rPr>
        <w:t xml:space="preserve">, and (3)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Black Ops Cold War</w:t>
      </w:r>
      <w:r>
        <w:rPr>
          <w:rFonts w:ascii="Arial" w:cs="Arial" w:eastAsia="Arial" w:hAnsi="Arial"/>
          <w:sz w:val="17"/>
          <w:szCs w:val="17"/>
          <w:color w:val="auto"/>
        </w:rPr>
        <w:t>, partially offset by higher software amortization and royalties from</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50" w:lineRule="exact"/>
        <w:rPr>
          <w:sz w:val="20"/>
          <w:szCs w:val="20"/>
          <w:color w:val="auto"/>
        </w:rPr>
      </w:pPr>
    </w:p>
    <w:p>
      <w:pPr>
        <w:jc w:val="both"/>
        <w:ind w:right="260" w:firstLine="393"/>
        <w:spacing w:after="0" w:line="273" w:lineRule="auto"/>
        <w:rPr>
          <w:sz w:val="20"/>
          <w:szCs w:val="20"/>
          <w:color w:val="auto"/>
        </w:rPr>
      </w:pPr>
      <w:r>
        <w:rPr>
          <w:rFonts w:ascii="Arial" w:cs="Arial" w:eastAsia="Arial" w:hAnsi="Arial"/>
          <w:sz w:val="17"/>
          <w:szCs w:val="17"/>
          <w:color w:val="auto"/>
        </w:rPr>
        <w:t>The increase in game operations and distribution costs for the year ended December 31, 2021, as compared to the year ended December 31, 2020, was primarily due to a $114 million increase in service provider fees, such as digital storefront fees (e.g., fees retained by Apple and Google for our sales on their platforms) and payment processor fees, as a result of higher revenues.</w:t>
      </w:r>
    </w:p>
    <w:p>
      <w:pPr>
        <w:spacing w:after="0" w:line="198" w:lineRule="exact"/>
        <w:rPr>
          <w:sz w:val="20"/>
          <w:szCs w:val="20"/>
          <w:color w:val="auto"/>
        </w:rPr>
      </w:pPr>
    </w:p>
    <w:p>
      <w:pPr>
        <w:jc w:val="both"/>
        <w:ind w:right="40" w:firstLine="393"/>
        <w:spacing w:after="0" w:line="268" w:lineRule="auto"/>
        <w:rPr>
          <w:sz w:val="20"/>
          <w:szCs w:val="20"/>
          <w:color w:val="auto"/>
        </w:rPr>
      </w:pPr>
      <w:r>
        <w:rPr>
          <w:rFonts w:ascii="Arial" w:cs="Arial" w:eastAsia="Arial" w:hAnsi="Arial"/>
          <w:sz w:val="17"/>
          <w:szCs w:val="17"/>
          <w:color w:val="auto"/>
        </w:rPr>
        <w:t xml:space="preserve">The decrease in software royalties, amortization, and intellectual property licenses related to in-game, subscription, and other revenues for the year ended December 31, 2021, as compared to the year ended December 31, 2020, was primarily due to a decrease of $61 million in amortization of internally-developed franchise and developed software intangible assets acquired as part of our 2016 acquisition of King. The decrease was partially offset by an increase in software amortization and royalties from Activision of $23 million, driven by </w:t>
      </w: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vMerge w:val="restart"/>
          </w:tcPr>
          <w:p>
            <w:pPr>
              <w:spacing w:after="0"/>
              <w:rPr>
                <w:sz w:val="11"/>
                <w:szCs w:val="11"/>
                <w:color w:val="auto"/>
              </w:rPr>
            </w:pPr>
          </w:p>
        </w:tc>
        <w:tc>
          <w:tcPr>
            <w:tcW w:w="1820" w:type="dxa"/>
            <w:vAlign w:val="bottom"/>
            <w:gridSpan w:val="3"/>
          </w:tcPr>
          <w:p>
            <w:pPr>
              <w:jc w:val="center"/>
              <w:ind w:right="300"/>
              <w:spacing w:after="0" w:line="131" w:lineRule="exact"/>
              <w:rPr>
                <w:sz w:val="20"/>
                <w:szCs w:val="20"/>
                <w:color w:val="auto"/>
              </w:rPr>
            </w:pPr>
            <w:r>
              <w:rPr>
                <w:rFonts w:ascii="Arial" w:cs="Arial" w:eastAsia="Arial" w:hAnsi="Arial"/>
                <w:sz w:val="14"/>
                <w:szCs w:val="14"/>
                <w:b w:val="1"/>
                <w:bCs w:val="1"/>
                <w:color w:val="auto"/>
                <w:w w:val="87"/>
              </w:rPr>
              <w:t>consolidated</w:t>
            </w: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vMerge w:val="restart"/>
          </w:tcPr>
          <w:p>
            <w:pPr>
              <w:spacing w:after="0"/>
              <w:rPr>
                <w:sz w:val="11"/>
                <w:szCs w:val="11"/>
                <w:color w:val="auto"/>
              </w:rPr>
            </w:pPr>
          </w:p>
        </w:tc>
        <w:tc>
          <w:tcPr>
            <w:tcW w:w="1900" w:type="dxa"/>
            <w:vAlign w:val="bottom"/>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15 %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1,150</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60" w:firstLine="393"/>
        <w:spacing w:after="0" w:line="298" w:lineRule="auto"/>
        <w:rPr>
          <w:sz w:val="20"/>
          <w:szCs w:val="20"/>
          <w:color w:val="auto"/>
        </w:rPr>
      </w:pPr>
      <w:r>
        <w:rPr>
          <w:rFonts w:ascii="Arial" w:cs="Arial" w:eastAsia="Arial" w:hAnsi="Arial"/>
          <w:sz w:val="16"/>
          <w:szCs w:val="16"/>
          <w:color w:val="auto"/>
        </w:rPr>
        <w:t>The increase in product development costs for the year ended December 31, 2021, as compared to the year ended December 31, 2020, was primarily due to higher development spending of $275 million, driven by increased personnel costs and outside developer fees to support our franchises. The increase was partially offset by an $89 million increase in capitalization of development costs driven by the timing of Activision’s game development cycles.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11"/>
                <w:szCs w:val="11"/>
                <w:color w:val="auto"/>
              </w:rPr>
            </w:pPr>
          </w:p>
        </w:tc>
        <w:tc>
          <w:tcPr>
            <w:tcW w:w="1820" w:type="dxa"/>
            <w:vAlign w:val="bottom"/>
            <w:gridSpan w:val="3"/>
          </w:tcPr>
          <w:p>
            <w:pPr>
              <w:jc w:val="center"/>
              <w:ind w:right="28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1"/>
                <w:szCs w:val="11"/>
                <w:color w:val="auto"/>
              </w:rPr>
            </w:pPr>
          </w:p>
        </w:tc>
        <w:tc>
          <w:tcPr>
            <w:tcW w:w="1900" w:type="dxa"/>
            <w:vAlign w:val="bottom"/>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1,025</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12 %  $</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1,064</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The decrease in sales and marketing expenses for the year ended December 31, 2021, as compared to the year ended December 31, 2020, was primarily due to a decrease of $24 million in costs for marketing personnel and support services. Marketing spending for the year ended December 31, 2021 was comparable to the year ended December 31, 2020, primarily due to lower spending for the Call of Duty franchise being offset by higher spending for the Candy Crush franchise.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70"/>
              <w:spacing w:after="0"/>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1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vMerge w:val="restart"/>
          </w:tcPr>
          <w:p>
            <w:pPr>
              <w:spacing w:after="0"/>
              <w:rPr>
                <w:sz w:val="11"/>
                <w:szCs w:val="11"/>
                <w:color w:val="auto"/>
              </w:rPr>
            </w:pPr>
          </w:p>
        </w:tc>
        <w:tc>
          <w:tcPr>
            <w:tcW w:w="1180" w:type="dxa"/>
            <w:vAlign w:val="bottom"/>
          </w:tcPr>
          <w:p>
            <w:pPr>
              <w:jc w:val="center"/>
              <w:ind w:left="270"/>
              <w:spacing w:after="0" w:line="131" w:lineRule="exact"/>
              <w:rPr>
                <w:sz w:val="20"/>
                <w:szCs w:val="20"/>
                <w:color w:val="auto"/>
              </w:rPr>
            </w:pPr>
            <w:r>
              <w:rPr>
                <w:rFonts w:ascii="Arial" w:cs="Arial" w:eastAsia="Arial" w:hAnsi="Arial"/>
                <w:sz w:val="14"/>
                <w:szCs w:val="14"/>
                <w:b w:val="1"/>
                <w:bCs w:val="1"/>
                <w:color w:val="auto"/>
                <w:w w:val="87"/>
              </w:rPr>
              <w:t>consolidated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vMerge w:val="restart"/>
          </w:tcPr>
          <w:p>
            <w:pPr>
              <w:spacing w:after="0"/>
              <w:rPr>
                <w:sz w:val="11"/>
                <w:szCs w:val="11"/>
                <w:color w:val="auto"/>
              </w:rPr>
            </w:pPr>
          </w:p>
        </w:tc>
        <w:tc>
          <w:tcPr>
            <w:tcW w:w="1160" w:type="dxa"/>
            <w:vAlign w:val="bottom"/>
          </w:tcPr>
          <w:p>
            <w:pPr>
              <w:jc w:val="center"/>
              <w:ind w:left="31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b w:val="1"/>
                <w:bCs w:val="1"/>
                <w:color w:val="auto"/>
                <w:w w:val="87"/>
              </w:rPr>
              <w:t>net revenues</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9 %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General and administrative expenses for the year ended December 31, 2021 were comparable to the year ended December 31, 2020.</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vMerge w:val="restart"/>
          </w:tcPr>
          <w:p>
            <w:pPr>
              <w:spacing w:after="0"/>
              <w:rPr>
                <w:sz w:val="11"/>
                <w:szCs w:val="11"/>
                <w:color w:val="auto"/>
              </w:rPr>
            </w:pPr>
          </w:p>
        </w:tc>
        <w:tc>
          <w:tcPr>
            <w:tcW w:w="1820" w:type="dxa"/>
            <w:vAlign w:val="bottom"/>
            <w:gridSpan w:val="3"/>
          </w:tcPr>
          <w:p>
            <w:pPr>
              <w:jc w:val="center"/>
              <w:ind w:right="300"/>
              <w:spacing w:after="0" w:line="131" w:lineRule="exact"/>
              <w:rPr>
                <w:sz w:val="20"/>
                <w:szCs w:val="20"/>
                <w:color w:val="auto"/>
              </w:rPr>
            </w:pPr>
            <w:r>
              <w:rPr>
                <w:rFonts w:ascii="Arial" w:cs="Arial" w:eastAsia="Arial" w:hAnsi="Arial"/>
                <w:sz w:val="14"/>
                <w:szCs w:val="14"/>
                <w:b w:val="1"/>
                <w:bCs w:val="1"/>
                <w:color w:val="auto"/>
                <w:w w:val="87"/>
              </w:rPr>
              <w:t>consolidated</w:t>
            </w: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vMerge w:val="restart"/>
          </w:tcPr>
          <w:p>
            <w:pPr>
              <w:spacing w:after="0"/>
              <w:rPr>
                <w:sz w:val="11"/>
                <w:szCs w:val="11"/>
                <w:color w:val="auto"/>
              </w:rPr>
            </w:pPr>
          </w:p>
        </w:tc>
        <w:tc>
          <w:tcPr>
            <w:tcW w:w="1900" w:type="dxa"/>
            <w:vAlign w:val="bottom"/>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1 %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40" w:firstLine="393"/>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During 2019, we began implementing a plan aimed at refocusing our resources on our largest opportunities and removing unnecessary levels of complexity and duplication from certain parts of our business. Since then, we have been focusing on these goals as we execute against our plan for which, at the end of 2021, we had substantially completed the actions contemplated under our plan. The restructuring and related costs incurred during 2021 relate primarily to severance costs. We do not expect to realize significant net savings in our total operating expenses as a result of our plan, as cost reductions in our selling, general and administrative activities are expected to be offset by increased investment in product development. Refer to </w:t>
      </w:r>
      <w:hyperlink w:anchor="page108">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in Item 8 of this Annual Report on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 (Income), Net (amounts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11"/>
                <w:szCs w:val="11"/>
                <w:color w:val="auto"/>
              </w:rPr>
            </w:pPr>
          </w:p>
        </w:tc>
        <w:tc>
          <w:tcPr>
            <w:tcW w:w="1820" w:type="dxa"/>
            <w:vAlign w:val="bottom"/>
            <w:gridSpan w:val="3"/>
          </w:tcPr>
          <w:p>
            <w:pPr>
              <w:jc w:val="center"/>
              <w:ind w:right="28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1"/>
                <w:szCs w:val="11"/>
                <w:color w:val="auto"/>
              </w:rPr>
            </w:pPr>
          </w:p>
        </w:tc>
        <w:tc>
          <w:tcPr>
            <w:tcW w:w="1900" w:type="dxa"/>
            <w:vAlign w:val="bottom"/>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Interest and other expense (income), net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1 %  $</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60" w:firstLine="393"/>
        <w:spacing w:after="0" w:line="289" w:lineRule="auto"/>
        <w:rPr>
          <w:sz w:val="20"/>
          <w:szCs w:val="20"/>
          <w:color w:val="auto"/>
        </w:rPr>
      </w:pPr>
      <w:r>
        <w:rPr>
          <w:rFonts w:ascii="Arial" w:cs="Arial" w:eastAsia="Arial" w:hAnsi="Arial"/>
          <w:sz w:val="17"/>
          <w:szCs w:val="17"/>
          <w:color w:val="auto"/>
        </w:rPr>
        <w:t>Interest and other expense (income), net, for the year ended December 31, 2021, was comparable to the year ended December 31, 2020 with a $24 million increase in gains on equity investments being offset by a $16 million decrease in interest income as a result of lower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16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vMerge w:val="restart"/>
          </w:tcPr>
          <w:p>
            <w:pPr>
              <w:spacing w:after="0"/>
              <w:rPr>
                <w:sz w:val="11"/>
                <w:szCs w:val="11"/>
                <w:color w:val="auto"/>
              </w:rPr>
            </w:pPr>
          </w:p>
        </w:tc>
        <w:tc>
          <w:tcPr>
            <w:tcW w:w="1800" w:type="dxa"/>
            <w:vAlign w:val="bottom"/>
            <w:gridSpan w:val="3"/>
          </w:tcPr>
          <w:p>
            <w:pPr>
              <w:jc w:val="center"/>
              <w:ind w:right="300"/>
              <w:spacing w:after="0" w:line="131" w:lineRule="exact"/>
              <w:rPr>
                <w:sz w:val="20"/>
                <w:szCs w:val="20"/>
                <w:color w:val="auto"/>
              </w:rPr>
            </w:pPr>
            <w:r>
              <w:rPr>
                <w:rFonts w:ascii="Arial" w:cs="Arial" w:eastAsia="Arial" w:hAnsi="Arial"/>
                <w:sz w:val="14"/>
                <w:szCs w:val="14"/>
                <w:b w:val="1"/>
                <w:bCs w:val="1"/>
                <w:color w:val="auto"/>
                <w:w w:val="88"/>
              </w:rPr>
              <w:t>Pretax</w:t>
            </w: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1"/>
                <w:szCs w:val="11"/>
                <w:color w:val="auto"/>
              </w:rPr>
            </w:pPr>
          </w:p>
        </w:tc>
        <w:tc>
          <w:tcPr>
            <w:tcW w:w="1880" w:type="dxa"/>
            <w:vAlign w:val="bottom"/>
            <w:gridSpan w:val="3"/>
          </w:tcPr>
          <w:p>
            <w:pPr>
              <w:jc w:val="center"/>
              <w:ind w:right="340"/>
              <w:spacing w:after="0" w:line="131" w:lineRule="exact"/>
              <w:rPr>
                <w:sz w:val="20"/>
                <w:szCs w:val="20"/>
                <w:color w:val="auto"/>
              </w:rPr>
            </w:pPr>
            <w:r>
              <w:rPr>
                <w:rFonts w:ascii="Arial" w:cs="Arial" w:eastAsia="Arial" w:hAnsi="Arial"/>
                <w:sz w:val="14"/>
                <w:szCs w:val="14"/>
                <w:b w:val="1"/>
                <w:bCs w:val="1"/>
                <w:color w:val="auto"/>
                <w:w w:val="88"/>
              </w:rPr>
              <w:t>Pretax</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15 %  $</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419</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20" w:firstLine="393"/>
        <w:spacing w:after="0" w:line="322" w:lineRule="auto"/>
        <w:rPr>
          <w:sz w:val="20"/>
          <w:szCs w:val="20"/>
          <w:color w:val="auto"/>
        </w:rPr>
      </w:pPr>
      <w:r>
        <w:rPr>
          <w:rFonts w:ascii="Arial" w:cs="Arial" w:eastAsia="Arial" w:hAnsi="Arial"/>
          <w:sz w:val="16"/>
          <w:szCs w:val="16"/>
          <w:color w:val="auto"/>
        </w:rPr>
        <w:t>The income tax expense of $465 million for the year ended December 31, 2021 reflects an effective tax rate of 15%, which is lower than the effective tax rate of 16% for the year ended December 31, 2020. The decrease is primarily due to a benefit resulting from deferred tax asset remeasurements.</w:t>
      </w:r>
    </w:p>
    <w:p>
      <w:pPr>
        <w:spacing w:after="0" w:line="162"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The effective tax rate of 15% for the year ended December 31, 2021, is lower than the U.S. statutory rate of 21%, primarily due to foreign earnings taxed at lower rates, research and development credits and a benefit resulting from a deferred tax asset remeasurement.</w:t>
      </w:r>
    </w:p>
    <w:p>
      <w:pPr>
        <w:spacing w:after="0" w:line="185" w:lineRule="exact"/>
        <w:rPr>
          <w:sz w:val="20"/>
          <w:szCs w:val="20"/>
          <w:color w:val="auto"/>
        </w:rPr>
      </w:pPr>
    </w:p>
    <w:p>
      <w:pPr>
        <w:jc w:val="both"/>
        <w:ind w:right="480" w:firstLine="393"/>
        <w:spacing w:after="0" w:line="257" w:lineRule="auto"/>
        <w:rPr>
          <w:sz w:val="20"/>
          <w:szCs w:val="20"/>
          <w:color w:val="auto"/>
        </w:rPr>
      </w:pPr>
      <w:r>
        <w:rPr>
          <w:rFonts w:ascii="Arial" w:cs="Arial" w:eastAsia="Arial" w:hAnsi="Arial"/>
          <w:sz w:val="17"/>
          <w:szCs w:val="17"/>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198" w:lineRule="exact"/>
        <w:rPr>
          <w:sz w:val="20"/>
          <w:szCs w:val="20"/>
          <w:color w:val="auto"/>
        </w:rPr>
      </w:pPr>
    </w:p>
    <w:p>
      <w:pPr>
        <w:ind w:right="280" w:firstLine="393"/>
        <w:spacing w:after="0" w:line="322" w:lineRule="auto"/>
        <w:rPr>
          <w:rFonts w:ascii="Arial" w:cs="Arial" w:eastAsia="Arial" w:hAnsi="Arial"/>
          <w:sz w:val="16"/>
          <w:szCs w:val="16"/>
          <w:color w:val="auto"/>
        </w:rPr>
      </w:pPr>
      <w:r>
        <w:rPr>
          <w:rFonts w:ascii="Arial" w:cs="Arial" w:eastAsia="Arial" w:hAnsi="Arial"/>
          <w:sz w:val="16"/>
          <w:szCs w:val="16"/>
          <w:color w:val="auto"/>
        </w:rPr>
        <w:t xml:space="preserve">Further analysis of the differences between the U.S. federal statutory rate and the consolidated effective tax rate, as well as other information about our income taxes, is provided in </w:t>
      </w:r>
      <w:hyperlink w:anchor="page110">
        <w:r>
          <w:rPr>
            <w:rFonts w:ascii="Arial" w:cs="Arial" w:eastAsia="Arial" w:hAnsi="Arial"/>
            <w:sz w:val="16"/>
            <w:szCs w:val="16"/>
            <w:u w:val="single" w:color="auto"/>
            <w:color w:val="0000FF"/>
          </w:rPr>
          <w:t>Note 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50"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Changes in foreign exchange rates had a positive impact of $107 million and $62 million on our consolidated net revenues in 2021 and 2020, respectively, as compared to the same periods in the previous year.</w:t>
      </w:r>
    </w:p>
    <w:p>
      <w:pPr>
        <w:spacing w:after="0" w:line="185" w:lineRule="exact"/>
        <w:rPr>
          <w:sz w:val="20"/>
          <w:szCs w:val="20"/>
          <w:color w:val="auto"/>
        </w:rPr>
      </w:pPr>
    </w:p>
    <w:p>
      <w:pPr>
        <w:ind w:right="720" w:firstLine="393"/>
        <w:spacing w:after="0" w:line="289" w:lineRule="auto"/>
        <w:rPr>
          <w:sz w:val="20"/>
          <w:szCs w:val="20"/>
          <w:color w:val="auto"/>
        </w:rPr>
      </w:pPr>
      <w:r>
        <w:rPr>
          <w:rFonts w:ascii="Arial" w:cs="Arial" w:eastAsia="Arial" w:hAnsi="Arial"/>
          <w:sz w:val="17"/>
          <w:szCs w:val="17"/>
          <w:color w:val="auto"/>
        </w:rPr>
        <w:t>Changes in foreign exchange rates had a positive impact of $30 million and $35 million on our consolidated operating income in 2021 and 2020, respectively, as compared to the same periods in the previous year.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2020 to 2019</w:t>
      </w:r>
    </w:p>
    <w:p>
      <w:pPr>
        <w:spacing w:after="0" w:line="256" w:lineRule="exact"/>
        <w:rPr>
          <w:sz w:val="20"/>
          <w:szCs w:val="20"/>
          <w:color w:val="auto"/>
        </w:rPr>
      </w:pPr>
    </w:p>
    <w:p>
      <w:pPr>
        <w:ind w:right="40" w:firstLine="393"/>
        <w:spacing w:after="0" w:line="289" w:lineRule="auto"/>
        <w:rPr>
          <w:rFonts w:ascii="Arial" w:cs="Arial" w:eastAsia="Arial" w:hAnsi="Arial"/>
          <w:sz w:val="17"/>
          <w:szCs w:val="17"/>
          <w:color w:val="0000FF"/>
        </w:rPr>
      </w:pPr>
      <w:hyperlink r:id="rId68">
        <w:r>
          <w:rPr>
            <w:rFonts w:ascii="Arial" w:cs="Arial" w:eastAsia="Arial" w:hAnsi="Arial"/>
            <w:sz w:val="17"/>
            <w:szCs w:val="17"/>
            <w:color w:val="auto"/>
          </w:rPr>
          <w:t xml:space="preserve">For the comparison of 2020 to 2019, refer to </w:t>
        </w:r>
        <w:r>
          <w:rPr>
            <w:rFonts w:ascii="Arial" w:cs="Arial" w:eastAsia="Arial" w:hAnsi="Arial"/>
            <w:sz w:val="17"/>
            <w:szCs w:val="17"/>
            <w:u w:val="single" w:color="auto"/>
            <w:color w:val="0000FF"/>
          </w:rPr>
          <w:t>Part II, Item 7 “Management’s Discussion and Analysis of Financial Condition and Results of Operations” of</w:t>
        </w:r>
      </w:hyperlink>
      <w:r>
        <w:rPr>
          <w:rFonts w:ascii="Arial" w:cs="Arial" w:eastAsia="Arial" w:hAnsi="Arial"/>
          <w:sz w:val="17"/>
          <w:szCs w:val="17"/>
          <w:color w:val="auto"/>
        </w:rPr>
        <w:t xml:space="preserve"> </w:t>
      </w:r>
      <w:hyperlink r:id="rId68">
        <w:r>
          <w:rPr>
            <w:rFonts w:ascii="Arial" w:cs="Arial" w:eastAsia="Arial" w:hAnsi="Arial"/>
            <w:sz w:val="17"/>
            <w:szCs w:val="17"/>
            <w:u w:val="single" w:color="auto"/>
            <w:color w:val="0000FF"/>
          </w:rPr>
          <w:t>our Annual Report on Form 10-K for the year ended December 31, 2020</w:t>
        </w:r>
        <w:r>
          <w:rPr>
            <w:rFonts w:ascii="Arial" w:cs="Arial" w:eastAsia="Arial" w:hAnsi="Arial"/>
            <w:sz w:val="17"/>
            <w:szCs w:val="17"/>
            <w:color w:val="000000"/>
          </w:rPr>
          <w:t>.</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ind w:right="20" w:firstLine="393"/>
        <w:spacing w:after="0" w:line="281" w:lineRule="auto"/>
        <w:rPr>
          <w:sz w:val="20"/>
          <w:szCs w:val="20"/>
          <w:color w:val="auto"/>
        </w:rPr>
      </w:pPr>
      <w:r>
        <w:rPr>
          <w:rFonts w:ascii="Arial" w:cs="Arial" w:eastAsia="Arial" w:hAnsi="Arial"/>
          <w:sz w:val="16"/>
          <w:szCs w:val="16"/>
          <w:color w:val="auto"/>
        </w:rPr>
        <w:t>We believe our ability to generate cash flows from operating activities is one of our fundamental financial strengths. Despite the impacts of the COVID-19 pandemic on the global economy, in the near term, we expect our business and financial condition to remain strong and to continue to generate significant operating cash flows, which, we believe, in combination with our existing balance of cash and cash equivalents and short-term investments of $10.6 billion, our access to debt and equity capital, and the availability of our $1.5 billion revolving credit facility, will be sufficient to finance our operational and financing requirements for the next 12 months and beyond. Our primary sources of liquidity include our cash and cash equivalents, short-term investments, and cash flows provided by operating activities. Our material cash requirements include operating expenses, potential dividend payments and share repurchases, scheduled debt maturities (the next of which is in 2026), capital expenditures and other commitments, as discussed below.</w:t>
      </w:r>
    </w:p>
    <w:p>
      <w:pPr>
        <w:spacing w:after="0" w:line="197" w:lineRule="exact"/>
        <w:rPr>
          <w:sz w:val="20"/>
          <w:szCs w:val="20"/>
          <w:color w:val="auto"/>
        </w:rPr>
      </w:pPr>
    </w:p>
    <w:p>
      <w:pPr>
        <w:ind w:right="220" w:firstLine="393"/>
        <w:spacing w:after="0" w:line="322" w:lineRule="auto"/>
        <w:rPr>
          <w:sz w:val="20"/>
          <w:szCs w:val="20"/>
          <w:color w:val="auto"/>
        </w:rPr>
      </w:pPr>
      <w:r>
        <w:rPr>
          <w:rFonts w:ascii="Arial" w:cs="Arial" w:eastAsia="Arial" w:hAnsi="Arial"/>
          <w:sz w:val="16"/>
          <w:szCs w:val="16"/>
          <w:color w:val="auto"/>
        </w:rPr>
        <w:t>As of December 31, 2021, the amount of cash and cash equivalents held outside of the U.S. by our foreign subsidiaries was $3.9 billion, as compared to $2.5 billion as of December 31, 2020. These cash balances are generally available for use in the U.S., subject in some cases to certain restrictions.</w:t>
      </w:r>
    </w:p>
    <w:p>
      <w:pPr>
        <w:spacing w:after="0" w:line="162" w:lineRule="exact"/>
        <w:rPr>
          <w:sz w:val="20"/>
          <w:szCs w:val="20"/>
          <w:color w:val="auto"/>
        </w:rPr>
      </w:pPr>
    </w:p>
    <w:p>
      <w:pPr>
        <w:ind w:right="140" w:firstLine="393"/>
        <w:spacing w:after="0" w:line="286" w:lineRule="auto"/>
        <w:rPr>
          <w:sz w:val="20"/>
          <w:szCs w:val="20"/>
          <w:color w:val="auto"/>
        </w:rPr>
      </w:pPr>
      <w:r>
        <w:rPr>
          <w:rFonts w:ascii="Arial" w:cs="Arial" w:eastAsia="Arial" w:hAnsi="Arial"/>
          <w:sz w:val="16"/>
          <w:szCs w:val="16"/>
          <w:color w:val="auto"/>
        </w:rPr>
        <w:t>Our cash provided from operating activities is somewhat impacted by seasonality. Working capital needs are impacted by sales, which are generally highest in the fourth quarter due to seasonal and holiday-related sales patterns. We consider, on a continuing basis, various transactions to increase shareholder value and enhance our business results, including acquisitions, divestitures, joint ventures, dividends, share repurchases, and other structural changes, with certain of the foregoing actions, if we were to move forward with them, requiring Microsoft's approval under the Merger Agreement (which may not be unreasonably withheld, conditioned, or delayed), subject to certain exceptions. These transactions may result in future cash proceeds or payments.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w w:val="92"/>
              </w:rPr>
              <w:t>December 31, 2021</w:t>
            </w:r>
          </w:p>
        </w:tc>
        <w:tc>
          <w:tcPr>
            <w:tcW w:w="120" w:type="dxa"/>
            <w:vAlign w:val="bottom"/>
            <w:gridSpan w:val="2"/>
            <w:vMerge w:val="restart"/>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December 31, 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Increase</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10,423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8,647</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195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170</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10,618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8,817</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Percentage of total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42 %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7"/>
                <w:szCs w:val="17"/>
                <w:color w:val="auto"/>
              </w:rPr>
              <w:t>38 %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1"/>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10"/>
          </w:tcPr>
          <w:p>
            <w:pPr>
              <w:jc w:val="center"/>
              <w:ind w:left="1275"/>
              <w:spacing w:after="0"/>
              <w:rPr>
                <w:sz w:val="20"/>
                <w:szCs w:val="20"/>
                <w:color w:val="auto"/>
              </w:rPr>
            </w:pPr>
            <w:r>
              <w:rPr>
                <w:rFonts w:ascii="Arial" w:cs="Arial" w:eastAsia="Arial" w:hAnsi="Arial"/>
                <w:sz w:val="16"/>
                <w:szCs w:val="16"/>
                <w:b w:val="1"/>
                <w:bCs w:val="1"/>
                <w:color w:val="auto"/>
                <w:w w:val="89"/>
              </w:rPr>
              <w:t>For the Year Ended December 31,</w:t>
            </w: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vMerge w:val="restart"/>
          </w:tcPr>
          <w:p>
            <w:pPr>
              <w:jc w:val="right"/>
              <w:ind w:right="715"/>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restart"/>
          </w:tcPr>
          <w:p>
            <w:pPr>
              <w:jc w:val="center"/>
              <w:ind w:right="154"/>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ind w:right="616"/>
              <w:spacing w:after="0" w:line="154" w:lineRule="exact"/>
              <w:rPr>
                <w:sz w:val="20"/>
                <w:szCs w:val="20"/>
                <w:color w:val="auto"/>
              </w:rPr>
            </w:pPr>
            <w:r>
              <w:rPr>
                <w:rFonts w:ascii="Arial" w:cs="Arial" w:eastAsia="Arial" w:hAnsi="Arial"/>
                <w:sz w:val="16"/>
                <w:szCs w:val="16"/>
                <w:b w:val="1"/>
                <w:bCs w:val="1"/>
                <w:color w:val="auto"/>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6"/>
                <w:szCs w:val="16"/>
                <w:b w:val="1"/>
                <w:bCs w:val="1"/>
                <w:color w:val="auto"/>
              </w:rPr>
              <w:t>(Decrease)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 and restricted cash</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2,854</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The primary driver of net cash flows associated with our operating activities is the income generated from the sale of our products and services. This is partially offset by: working capital requirements used in the development, sale, and support of our products; payments for interest on our debt; payments for tax liabilities; and payments to our workforce.</w:t>
      </w:r>
    </w:p>
    <w:p>
      <w:pPr>
        <w:spacing w:after="0" w:line="198" w:lineRule="exact"/>
        <w:rPr>
          <w:sz w:val="20"/>
          <w:szCs w:val="20"/>
          <w:color w:val="auto"/>
        </w:rPr>
      </w:pPr>
    </w:p>
    <w:p>
      <w:pPr>
        <w:ind w:right="340" w:firstLine="393"/>
        <w:spacing w:after="0" w:line="268" w:lineRule="auto"/>
        <w:rPr>
          <w:sz w:val="20"/>
          <w:szCs w:val="20"/>
          <w:color w:val="auto"/>
        </w:rPr>
      </w:pPr>
      <w:r>
        <w:rPr>
          <w:rFonts w:ascii="Arial" w:cs="Arial" w:eastAsia="Arial" w:hAnsi="Arial"/>
          <w:sz w:val="17"/>
          <w:szCs w:val="17"/>
          <w:color w:val="auto"/>
        </w:rPr>
        <w:t>Net cash provided by operating activities for the year ended December 31, 2021, was $2.4 billion, as compared to $2.3 billion for the year ended December 31, 2020. The increase was primarily due to higher net income and lower tax payments in the current year, as the prior-year period included payments for a tax settlement in France with no comparable activity in 2021, partially offset by changes in our working capital resulting from the timing of collections and payments.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50" w:lineRule="exact"/>
        <w:rPr>
          <w:sz w:val="20"/>
          <w:szCs w:val="20"/>
          <w:color w:val="auto"/>
        </w:rPr>
      </w:pPr>
    </w:p>
    <w:p>
      <w:pPr>
        <w:ind w:right="440" w:firstLine="393"/>
        <w:spacing w:after="0" w:line="289" w:lineRule="auto"/>
        <w:rPr>
          <w:sz w:val="20"/>
          <w:szCs w:val="20"/>
          <w:color w:val="auto"/>
        </w:rPr>
      </w:pPr>
      <w:r>
        <w:rPr>
          <w:rFonts w:ascii="Arial" w:cs="Arial" w:eastAsia="Arial" w:hAnsi="Arial"/>
          <w:sz w:val="17"/>
          <w:szCs w:val="17"/>
          <w:color w:val="auto"/>
        </w:rPr>
        <w:t>The primary drivers of net cash flows associated with investing activities typically include capital expenditures, purchases and sales of investments, changes in restricted cash balances, and cash used for acquisitions.</w:t>
      </w:r>
    </w:p>
    <w:p>
      <w:pPr>
        <w:spacing w:after="0" w:line="185"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Net cash used in investing activities for the year ended December 31, 2021, was $59 million, as compared to $178 million for the year ended December 31, 2020. The decrease in cash used in investing activities was primarily due to net proceeds from the sale and maturities of available-for-sale investments of $32 million for the year ended December 31, 2021, as compared to net purchases of available-for-sale investments of $100 million for the year ended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50"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98"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Net cash used in financing activities for the year ended December 31, 2021, was $521 million, as compared to net cash provided by financing activities of $711 million for the year ended December 31, 2020. The increase in cash used in financing activities was primarily due to:</w:t>
      </w:r>
    </w:p>
    <w:p>
      <w:pPr>
        <w:spacing w:after="0" w:line="185" w:lineRule="exact"/>
        <w:rPr>
          <w:sz w:val="20"/>
          <w:szCs w:val="20"/>
          <w:color w:val="auto"/>
        </w:rPr>
      </w:pPr>
    </w:p>
    <w:p>
      <w:pPr>
        <w:ind w:left="940" w:hanging="306"/>
        <w:spacing w:after="0" w:line="273" w:lineRule="auto"/>
        <w:tabs>
          <w:tab w:leader="none" w:pos="9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debt proceeds of $896 million received for the year ended December 31, 2020, resulting from the issuance of an aggregate principal amount of $2.0 billion of new notes and the early redemption of $1.05 billion of our previously outstanding notes, with no comparable activity for the year ended December 31, 2021;</w:t>
      </w:r>
    </w:p>
    <w:p>
      <w:pPr>
        <w:spacing w:after="0" w:line="198" w:lineRule="exact"/>
        <w:rPr>
          <w:rFonts w:ascii="Arial" w:cs="Arial" w:eastAsia="Arial" w:hAnsi="Arial"/>
          <w:sz w:val="17"/>
          <w:szCs w:val="17"/>
          <w:color w:val="auto"/>
        </w:rPr>
      </w:pPr>
    </w:p>
    <w:p>
      <w:pPr>
        <w:jc w:val="both"/>
        <w:ind w:left="940" w:right="20" w:hanging="306"/>
        <w:spacing w:after="0" w:line="273" w:lineRule="auto"/>
        <w:tabs>
          <w:tab w:leader="none" w:pos="9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higher tax payments made for net share settlements on restricted stock units, driven by a higher volume of share releases, at higher market values, resulting in $246 million of payments during the year ended December 31, 2021, as compared to $39 million during the year ended December 31, 2020; and</w:t>
      </w:r>
    </w:p>
    <w:p>
      <w:pPr>
        <w:spacing w:after="0" w:line="198" w:lineRule="exact"/>
        <w:rPr>
          <w:rFonts w:ascii="Arial" w:cs="Arial" w:eastAsia="Arial" w:hAnsi="Arial"/>
          <w:sz w:val="17"/>
          <w:szCs w:val="17"/>
          <w:color w:val="auto"/>
        </w:rPr>
      </w:pPr>
    </w:p>
    <w:p>
      <w:pPr>
        <w:ind w:left="940" w:right="340" w:hanging="306"/>
        <w:spacing w:after="0" w:line="289" w:lineRule="auto"/>
        <w:tabs>
          <w:tab w:leader="none" w:pos="9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lower proceeds on issuance of stock to employees, with $90 million received during the year ended December 31, 2021, as compared to $170 million during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50"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Changes in foreign exchange rates had a negative impact of $48 million and a positive impact of $69 million on our cash and cash equivalents for the years ended December 31, 2021 and December 31, 2020, respectively. The change was primarily due to changes in the value of the U.S. dollar relative to the euro and the British pound.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50"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At both December 31, 2021 and December 31, 2020, our total gross unsecured senior notes outstanding was $3.7 billion, bearing interest at a weighted average rate of 2.87%.</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At December 31, 2021</w:t>
            </w:r>
          </w:p>
        </w:tc>
        <w:tc>
          <w:tcPr>
            <w:tcW w:w="260" w:type="dxa"/>
            <w:vAlign w:val="bottom"/>
          </w:tcPr>
          <w:p>
            <w:pPr>
              <w:spacing w:after="0"/>
              <w:rPr>
                <w:sz w:val="16"/>
                <w:szCs w:val="16"/>
                <w:color w:val="auto"/>
              </w:rPr>
            </w:pPr>
          </w:p>
        </w:tc>
        <w:tc>
          <w:tcPr>
            <w:tcW w:w="1920" w:type="dxa"/>
            <w:vAlign w:val="bottom"/>
          </w:tcPr>
          <w:p>
            <w:pPr>
              <w:jc w:val="right"/>
              <w:ind w:right="355"/>
              <w:spacing w:after="0"/>
              <w:rPr>
                <w:sz w:val="20"/>
                <w:szCs w:val="20"/>
                <w:color w:val="auto"/>
              </w:rPr>
            </w:pPr>
            <w:r>
              <w:rPr>
                <w:rFonts w:ascii="Arial" w:cs="Arial" w:eastAsia="Arial" w:hAnsi="Arial"/>
                <w:sz w:val="14"/>
                <w:szCs w:val="14"/>
                <w:b w:val="1"/>
                <w:bCs w:val="1"/>
                <w:color w:val="auto"/>
              </w:rPr>
              <w:t>At December 31, 2020</w:t>
            </w:r>
          </w:p>
        </w:tc>
      </w:tr>
      <w:tr>
        <w:trPr>
          <w:trHeight w:val="22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Notes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2047 Notes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2050 Notes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long-term debt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discount and deferred financing costs</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6720" w:type="dxa"/>
            <w:vAlign w:val="bottom"/>
          </w:tcPr>
          <w:p>
            <w:pPr>
              <w:ind w:left="20"/>
              <w:spacing w:after="0"/>
              <w:rPr>
                <w:sz w:val="20"/>
                <w:szCs w:val="20"/>
                <w:color w:val="auto"/>
              </w:rPr>
            </w:pPr>
            <w:r>
              <w:rPr>
                <w:rFonts w:ascii="Arial" w:cs="Arial" w:eastAsia="Arial" w:hAnsi="Arial"/>
                <w:sz w:val="17"/>
                <w:szCs w:val="17"/>
                <w:color w:val="auto"/>
              </w:rPr>
              <w:t>Total net carrying amount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500"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94">
        <w:r>
          <w:rPr>
            <w:rFonts w:ascii="Arial" w:cs="Arial" w:eastAsia="Arial" w:hAnsi="Arial"/>
            <w:sz w:val="17"/>
            <w:szCs w:val="17"/>
            <w:u w:val="single" w:color="auto"/>
            <w:color w:val="0000FF"/>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further disclosures regarding our debt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50" w:lineRule="exact"/>
        <w:rPr>
          <w:sz w:val="20"/>
          <w:szCs w:val="20"/>
          <w:color w:val="auto"/>
        </w:rPr>
      </w:pPr>
    </w:p>
    <w:p>
      <w:pPr>
        <w:ind w:right="200" w:firstLine="393"/>
        <w:spacing w:after="0" w:line="289" w:lineRule="auto"/>
        <w:rPr>
          <w:sz w:val="20"/>
          <w:szCs w:val="20"/>
          <w:color w:val="auto"/>
        </w:rPr>
      </w:pPr>
      <w:r>
        <w:rPr>
          <w:rFonts w:ascii="Arial" w:cs="Arial" w:eastAsia="Arial" w:hAnsi="Arial"/>
          <w:sz w:val="17"/>
          <w:szCs w:val="17"/>
          <w:color w:val="auto"/>
        </w:rPr>
        <w:t>On February 3, 2022, our Board of Directors declared a cash dividend of $0.47 per common share, payable on May 6, 2022, to shareholders of record at the close of business on April 15, 2022.</w:t>
      </w:r>
    </w:p>
    <w:p>
      <w:pPr>
        <w:spacing w:after="0" w:line="185"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50" w:lineRule="exact"/>
        <w:rPr>
          <w:sz w:val="20"/>
          <w:szCs w:val="20"/>
          <w:color w:val="auto"/>
        </w:rPr>
      </w:pPr>
    </w:p>
    <w:p>
      <w:pPr>
        <w:ind w:right="920" w:firstLine="393"/>
        <w:spacing w:after="0" w:line="289" w:lineRule="auto"/>
        <w:rPr>
          <w:sz w:val="20"/>
          <w:szCs w:val="20"/>
          <w:color w:val="auto"/>
        </w:rPr>
      </w:pPr>
      <w:r>
        <w:rPr>
          <w:rFonts w:ascii="Arial" w:cs="Arial" w:eastAsia="Arial" w:hAnsi="Arial"/>
          <w:sz w:val="17"/>
          <w:szCs w:val="17"/>
          <w:color w:val="auto"/>
        </w:rPr>
        <w:t>We made capital expenditures of $80 million in 2021, as compared to $78 million in 2020. In 2022, we anticipate total capital expenditures of approximately $100 million, primarily for computer hardware, leasehold improvements, and software purchases.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250" w:lineRule="exact"/>
        <w:rPr>
          <w:sz w:val="20"/>
          <w:szCs w:val="20"/>
          <w:color w:val="auto"/>
        </w:rPr>
      </w:pPr>
    </w:p>
    <w:p>
      <w:pPr>
        <w:ind w:right="20"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15">
        <w:r>
          <w:rPr>
            <w:rFonts w:ascii="Arial" w:cs="Arial" w:eastAsia="Arial" w:hAnsi="Arial"/>
            <w:sz w:val="17"/>
            <w:szCs w:val="17"/>
            <w:u w:val="single" w:color="auto"/>
            <w:color w:val="0000FF"/>
          </w:rPr>
          <w:t>Note 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disclosures regarding our commitments, including a table showing contractual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2020 to 2019</w:t>
      </w:r>
    </w:p>
    <w:p>
      <w:pPr>
        <w:spacing w:after="0" w:line="256" w:lineRule="exact"/>
        <w:rPr>
          <w:sz w:val="20"/>
          <w:szCs w:val="20"/>
          <w:color w:val="auto"/>
        </w:rPr>
      </w:pPr>
    </w:p>
    <w:p>
      <w:pPr>
        <w:ind w:right="40" w:firstLine="393"/>
        <w:spacing w:after="0" w:line="289" w:lineRule="auto"/>
        <w:rPr>
          <w:rFonts w:ascii="Arial" w:cs="Arial" w:eastAsia="Arial" w:hAnsi="Arial"/>
          <w:sz w:val="17"/>
          <w:szCs w:val="17"/>
          <w:color w:val="0000FF"/>
        </w:rPr>
      </w:pPr>
      <w:hyperlink r:id="rId71">
        <w:r>
          <w:rPr>
            <w:rFonts w:ascii="Arial" w:cs="Arial" w:eastAsia="Arial" w:hAnsi="Arial"/>
            <w:sz w:val="17"/>
            <w:szCs w:val="17"/>
            <w:color w:val="auto"/>
          </w:rPr>
          <w:t xml:space="preserve">For the comparison of 2020 to 2019, refer to </w:t>
        </w:r>
        <w:r>
          <w:rPr>
            <w:rFonts w:ascii="Arial" w:cs="Arial" w:eastAsia="Arial" w:hAnsi="Arial"/>
            <w:sz w:val="17"/>
            <w:szCs w:val="17"/>
            <w:u w:val="single" w:color="auto"/>
            <w:color w:val="0000FF"/>
          </w:rPr>
          <w:t>Part II, Item 7 “Management’s Discussion and Analysis of Financial Condition and Results of Operations” of</w:t>
        </w:r>
      </w:hyperlink>
      <w:r>
        <w:rPr>
          <w:rFonts w:ascii="Arial" w:cs="Arial" w:eastAsia="Arial" w:hAnsi="Arial"/>
          <w:sz w:val="17"/>
          <w:szCs w:val="17"/>
          <w:color w:val="auto"/>
        </w:rPr>
        <w:t xml:space="preserve"> </w:t>
      </w:r>
      <w:hyperlink r:id="rId71">
        <w:r>
          <w:rPr>
            <w:rFonts w:ascii="Arial" w:cs="Arial" w:eastAsia="Arial" w:hAnsi="Arial"/>
            <w:sz w:val="17"/>
            <w:szCs w:val="17"/>
            <w:u w:val="single" w:color="auto"/>
            <w:color w:val="0000FF"/>
          </w:rPr>
          <w:t>our Annual Report on Form 10-K for the year ended December 31, 2020</w:t>
        </w:r>
        <w:r>
          <w:rPr>
            <w:rFonts w:ascii="Arial" w:cs="Arial" w:eastAsia="Arial" w:hAnsi="Arial"/>
            <w:sz w:val="17"/>
            <w:szCs w:val="17"/>
            <w:color w:val="000000"/>
          </w:rPr>
          <w:t>, under the subheading “Liquidity and Capital Resources.”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At each of December 31, 2021 and December 31, 2020,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and assumptions. The impact and any associated risks related to these policies on our business operations are discussed throughout Management’s Discussion and Analysis of Financial Condition and Results of Operations where such policies affect our reported and expected financial results. The policies, estimates, and assumptions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and assumptions about the effect of matters that are inherently uncertain. Specific risks for these critical accounting policies, estimates, and assumptions are described in the following paragraphs.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ind w:right="360" w:firstLine="393"/>
        <w:spacing w:after="0" w:line="273" w:lineRule="auto"/>
        <w:rPr>
          <w:sz w:val="20"/>
          <w:szCs w:val="20"/>
          <w:color w:val="auto"/>
        </w:rPr>
      </w:pPr>
      <w:r>
        <w:rPr>
          <w:rFonts w:ascii="Arial" w:cs="Arial" w:eastAsia="Arial" w:hAnsi="Arial"/>
          <w:sz w:val="17"/>
          <w:szCs w:val="17"/>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198" w:lineRule="exact"/>
        <w:rPr>
          <w:sz w:val="20"/>
          <w:szCs w:val="20"/>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premium full games, which typically provide access to main game content after purchase;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free-to-play offerings, which allow players to download the game and engage with the associated content for free;</w:t>
      </w:r>
    </w:p>
    <w:p>
      <w:pPr>
        <w:spacing w:after="0" w:line="250" w:lineRule="exact"/>
        <w:rPr>
          <w:rFonts w:ascii="Arial" w:cs="Arial" w:eastAsia="Arial" w:hAnsi="Arial"/>
          <w:sz w:val="17"/>
          <w:szCs w:val="17"/>
          <w:color w:val="auto"/>
        </w:rPr>
      </w:pPr>
    </w:p>
    <w:p>
      <w:pPr>
        <w:ind w:left="940" w:right="340" w:hanging="306"/>
        <w:spacing w:after="0" w:line="289" w:lineRule="auto"/>
        <w:tabs>
          <w:tab w:leader="none" w:pos="9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in-game content for purchase to enhance gameplay (i.e., microtransactions and downloadable content) available within both our premium full-game and free-to-play offerings; and</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subscriptions to players in </w:t>
      </w:r>
      <w:r>
        <w:rPr>
          <w:rFonts w:ascii="Arial" w:cs="Arial" w:eastAsia="Arial" w:hAnsi="Arial"/>
          <w:sz w:val="17"/>
          <w:szCs w:val="17"/>
          <w:i w:val="1"/>
          <w:iCs w:val="1"/>
          <w:color w:val="auto"/>
        </w:rPr>
        <w:t>World of Warcraft</w:t>
      </w:r>
      <w:r>
        <w:rPr>
          <w:rFonts w:ascii="Arial" w:cs="Arial" w:eastAsia="Arial" w:hAnsi="Arial"/>
          <w:sz w:val="17"/>
          <w:szCs w:val="17"/>
          <w:color w:val="auto"/>
        </w:rPr>
        <w:t>, which provide ongoing access to the game content.</w:t>
      </w:r>
    </w:p>
    <w:p>
      <w:pPr>
        <w:spacing w:after="0" w:line="250" w:lineRule="exact"/>
        <w:rPr>
          <w:sz w:val="20"/>
          <w:szCs w:val="20"/>
          <w:color w:val="auto"/>
        </w:rPr>
      </w:pPr>
    </w:p>
    <w:p>
      <w:pPr>
        <w:ind w:right="60" w:firstLine="393"/>
        <w:spacing w:after="0" w:line="289" w:lineRule="auto"/>
        <w:rPr>
          <w:sz w:val="20"/>
          <w:szCs w:val="20"/>
          <w:color w:val="auto"/>
        </w:rPr>
      </w:pPr>
      <w:r>
        <w:rPr>
          <w:rFonts w:ascii="Arial" w:cs="Arial" w:eastAsia="Arial" w:hAnsi="Arial"/>
          <w:sz w:val="17"/>
          <w:szCs w:val="17"/>
          <w:color w:val="auto"/>
        </w:rPr>
        <w:t>When control of the promised products and services is transferred to our customers, we recognize revenue in the amount that reflects the consideration we expect to receive in exchange for these products and services.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determine revenue recognition by:</w:t>
      </w:r>
    </w:p>
    <w:p>
      <w:pPr>
        <w:spacing w:after="0" w:line="250" w:lineRule="exact"/>
        <w:rPr>
          <w:sz w:val="20"/>
          <w:szCs w:val="20"/>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identifying the contract, or contracts, with a customer;</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identifying the performance obligations in each contract;</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determining the transaction price;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allocating the transaction price to the performance obligations in each contract;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recognizing revenue when, or as, we satisfy performance obligations by transferring the promised goods or services.</w:t>
      </w:r>
    </w:p>
    <w:p>
      <w:pPr>
        <w:spacing w:after="0" w:line="250"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86"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Product Sales</w:t>
      </w:r>
    </w:p>
    <w:p>
      <w:pPr>
        <w:spacing w:after="0" w:line="250"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Product sales consist of sales of our games, including digital full-game downloads and physical products.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202"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98"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Products with Online Functionality</w:t>
      </w:r>
    </w:p>
    <w:p>
      <w:pPr>
        <w:spacing w:after="0" w:line="250"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For our software products that include both offline functionality (i.e., do not require an Internet connection to access) and significant online functionality, such as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215" w:lineRule="exact"/>
        <w:rPr>
          <w:sz w:val="20"/>
          <w:szCs w:val="20"/>
          <w:color w:val="auto"/>
        </w:rPr>
      </w:pPr>
    </w:p>
    <w:p>
      <w:pPr>
        <w:ind w:right="160" w:firstLine="393"/>
        <w:spacing w:after="0" w:line="28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software royalties, amortization, and intellectual property licenses, and excludes intangible asset amortization.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Online Hosted Software Arrangements</w:t>
      </w:r>
    </w:p>
    <w:p>
      <w:pPr>
        <w:spacing w:after="0" w:line="250"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For our online hosted software arrangements, such as titles for the Overwatch,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Subscription, and Other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In-game Revenues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In-game revenues primarily includes revenue from microtransactions and downloadable content. 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estimated service period.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Subscription Revenues</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 xml:space="preserve">Subscription revenue arrangements are mostly derived from </w:t>
      </w:r>
      <w:r>
        <w:rPr>
          <w:rFonts w:ascii="Arial" w:cs="Arial" w:eastAsia="Arial" w:hAnsi="Arial"/>
          <w:sz w:val="17"/>
          <w:szCs w:val="17"/>
          <w:i w:val="1"/>
          <w:iCs w:val="1"/>
          <w:color w:val="auto"/>
        </w:rPr>
        <w:t>World of Warcraft</w:t>
      </w:r>
      <w:r>
        <w:rPr>
          <w:rFonts w:ascii="Arial" w:cs="Arial" w:eastAsia="Arial" w:hAnsi="Arial"/>
          <w:sz w:val="17"/>
          <w:szCs w:val="17"/>
          <w:color w:val="auto"/>
        </w:rPr>
        <w:t>, which is only playable online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98" w:lineRule="exact"/>
        <w:rPr>
          <w:sz w:val="20"/>
          <w:szCs w:val="20"/>
          <w:color w:val="auto"/>
        </w:rPr>
      </w:pPr>
    </w:p>
    <w:p>
      <w:pPr>
        <w:ind w:right="500" w:firstLine="393"/>
        <w:spacing w:after="0" w:line="322" w:lineRule="auto"/>
        <w:rPr>
          <w:sz w:val="20"/>
          <w:szCs w:val="20"/>
          <w:color w:val="auto"/>
        </w:rPr>
      </w:pPr>
      <w:r>
        <w:rPr>
          <w:rFonts w:ascii="Arial" w:cs="Arial" w:eastAsia="Arial" w:hAnsi="Arial"/>
          <w:sz w:val="16"/>
          <w:szCs w:val="16"/>
          <w:color w:val="auto"/>
        </w:rPr>
        <w:t xml:space="preserve">Revenues attributable to the purchase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software by our customers, including expansion packs, are classified as “Product sales,” whereas revenues attributable to subscriptions and other in-game revenues are classified as “In-game, subscription, and other revenues.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Other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revenues primarily include revenues from software licensing, licensing of intellectual property other than software, and advertising in our games.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revenues are recognized in "In-game, subscription, and other revenues" on our consolidated statement of operations.</w:t>
      </w:r>
    </w:p>
    <w:p>
      <w:pPr>
        <w:spacing w:after="0" w:line="238"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In certain countries we have software licensing arrangements where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207"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Revenues from the licensing of intellectual property other than software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Revenues from advertising arise primarily from contractual relationships with advertising networks, agencies, advertising brokers and directly with advertisers to display advertisements in our games. For all advertising arrangements, we are the principal and our performance obligation is to provide the inventory for advertisements to be displayed in our games. Our advertising arrangements are primarily impression-based and we recognize revenue from these in the contracted period in which the impressions are delivered. Impressions are considered delivered when an advertisement is displayed to users. The pricing and terms for all our advertising arrangements are governed by either a master contract or insertion order. The transaction price in advertising arrangements governed by a master contract is generally based on a revenue share percentage stated in the contract. The transaction price in advertising arrangements governed by an insertion order is generally the product of the number of advertising units delivered (e.g., impressions, videos viewed) and the contractually agreed upon price per advertising unit.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Significant Judgment around Revenue Arrangements with Multiple Deliverables</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97"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Estimated Service Period</w:t>
      </w:r>
    </w:p>
    <w:p>
      <w:pPr>
        <w:spacing w:after="0" w:line="250"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unique purchase or first day played online, and the time at which players become inactive and cease engaging with our content for a period of time. We also consider known online trends such as the cadence of content delivery in our games,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significant management judgment. The estimated service periods for players of our current games are less than 12 months.</w:t>
      </w:r>
    </w:p>
    <w:p>
      <w:pPr>
        <w:spacing w:after="0" w:line="211" w:lineRule="exact"/>
        <w:rPr>
          <w:sz w:val="20"/>
          <w:szCs w:val="20"/>
          <w:color w:val="auto"/>
        </w:rPr>
      </w:pPr>
    </w:p>
    <w:p>
      <w:pPr>
        <w:ind w:right="60" w:firstLine="393"/>
        <w:spacing w:after="0" w:line="286" w:lineRule="auto"/>
        <w:rPr>
          <w:sz w:val="20"/>
          <w:szCs w:val="20"/>
          <w:color w:val="auto"/>
        </w:rPr>
      </w:pPr>
      <w:r>
        <w:rPr>
          <w:rFonts w:ascii="Arial" w:cs="Arial" w:eastAsia="Arial" w:hAnsi="Arial"/>
          <w:sz w:val="16"/>
          <w:szCs w:val="16"/>
          <w:color w:val="auto"/>
        </w:rPr>
        <w:t>Historically, we have not observed significant variability in our estimated service period as the online content for our games has generally been comparable to previously released titles resulting in similar usage patterns. Future usage patterns could change from historical patterns as a result of various factors, including but not limited to, changes in our online content, frequency of content delivery, competitor’s offerings, and other changes that impact player’s engagement that we may not be able to reasonable predict at the time of deriving our estimate. If future usage patterns were to change significantly from historical patterns, in the future our estimated service period could change and materially impact our future consolidated net revenues and operating income.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Principal Agent Considerations</w:t>
      </w:r>
    </w:p>
    <w:p>
      <w:pPr>
        <w:spacing w:after="0" w:line="250" w:lineRule="exact"/>
        <w:rPr>
          <w:sz w:val="20"/>
          <w:szCs w:val="20"/>
          <w:color w:val="auto"/>
        </w:rPr>
      </w:pPr>
    </w:p>
    <w:p>
      <w:pPr>
        <w:ind w:right="240" w:firstLine="393"/>
        <w:spacing w:after="0" w:line="298" w:lineRule="auto"/>
        <w:rPr>
          <w:sz w:val="20"/>
          <w:szCs w:val="20"/>
          <w:color w:val="auto"/>
        </w:rPr>
      </w:pPr>
      <w:r>
        <w:rPr>
          <w:rFonts w:ascii="Arial" w:cs="Arial" w:eastAsia="Arial" w:hAnsi="Arial"/>
          <w:sz w:val="16"/>
          <w:szCs w:val="16"/>
          <w:color w:val="auto"/>
        </w:rPr>
        <w:t>We evaluate sales of our products and content via third-party digital storefronts, such as Microsoft’s Xbox Games Store, Sony’s PSN, the Apple App Store, and the Google Play Store, to determine whether our revenues should be reported gross or net of fees retained by the storefront. Key indicators that we evaluate in determining whether we are the principal in the sale (gross reporting) or an agent (net reporting) include, but are not limited to:</w:t>
      </w:r>
    </w:p>
    <w:p>
      <w:pPr>
        <w:spacing w:after="0" w:line="180" w:lineRule="exact"/>
        <w:rPr>
          <w:sz w:val="20"/>
          <w:szCs w:val="20"/>
          <w:color w:val="auto"/>
        </w:rPr>
      </w:pPr>
    </w:p>
    <w:p>
      <w:pPr>
        <w:ind w:left="940" w:hanging="306"/>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which party is primarily responsible for fulfilling the promise to provide the specified good or service;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40" w:hanging="30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which party has discretion in establishing the price for the specified good or service.</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firstLine="393"/>
        <w:spacing w:after="0" w:line="303" w:lineRule="auto"/>
        <w:rPr>
          <w:sz w:val="20"/>
          <w:szCs w:val="20"/>
          <w:color w:val="auto"/>
        </w:rPr>
      </w:pPr>
      <w:r>
        <w:rPr>
          <w:rFonts w:ascii="Arial" w:cs="Arial" w:eastAsia="Arial" w:hAnsi="Arial"/>
          <w:sz w:val="15"/>
          <w:szCs w:val="15"/>
          <w:color w:val="auto"/>
        </w:rPr>
        <w:t>We record a tax provision for the anticipated tax consequences of the reported results of operations. In accordance with Accounting Standards Codification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80"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 in the period such determination is made.</w:t>
      </w:r>
    </w:p>
    <w:p>
      <w:pPr>
        <w:spacing w:after="0" w:line="202"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The calculation of tax liabilities involves significant judgment in estimating the impact of uncertainties in the application of ASC Topic 740 and complex tax laws. The accounting guidance for uncertainty in income taxes applies to all income tax positions, including the potential recovery of previously paid taxes. Resolution of these uncertainties in a manner inconsistent with management’s expectations could have a material impact on our business and results of operations in an interim period in which the uncertainties are ultimately resolved.</w:t>
      </w:r>
    </w:p>
    <w:p>
      <w:pPr>
        <w:spacing w:after="0" w:line="202"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205"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We are also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 For the year ended December 31, 2021, one percentage point increase in our effective tax rate would have resulted in an increase in our income tax expense of approximately $32 million.</w:t>
      </w:r>
    </w:p>
    <w:p>
      <w:pPr>
        <w:spacing w:after="0" w:line="206" w:lineRule="exact"/>
        <w:rPr>
          <w:sz w:val="20"/>
          <w:szCs w:val="20"/>
          <w:color w:val="auto"/>
        </w:rPr>
      </w:pPr>
    </w:p>
    <w:p>
      <w:pPr>
        <w:ind w:right="600" w:firstLine="393"/>
        <w:spacing w:after="0" w:line="322" w:lineRule="auto"/>
        <w:rPr>
          <w:sz w:val="20"/>
          <w:szCs w:val="20"/>
          <w:color w:val="auto"/>
        </w:rPr>
      </w:pPr>
      <w:r>
        <w:rPr>
          <w:rFonts w:ascii="Arial" w:cs="Arial" w:eastAsia="Arial" w:hAnsi="Arial"/>
          <w:sz w:val="16"/>
          <w:szCs w:val="16"/>
          <w:color w:val="auto"/>
        </w:rPr>
        <w:t>On December 22, 2017, the U.S. enacted the Tax Cuts and Jobs Act which also created a new minimum tax that applies to certain foreign earnings (“GILTI”). We have elected to recognize deferred taxes for temporary basis differences expected to reverse as GILTI in future years.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50" w:lineRule="exact"/>
        <w:rPr>
          <w:sz w:val="20"/>
          <w:szCs w:val="20"/>
          <w:color w:val="auto"/>
        </w:rPr>
      </w:pPr>
    </w:p>
    <w:p>
      <w:pPr>
        <w:ind w:firstLine="393"/>
        <w:spacing w:after="0" w:line="299" w:lineRule="auto"/>
        <w:rPr>
          <w:sz w:val="20"/>
          <w:szCs w:val="20"/>
          <w:color w:val="auto"/>
        </w:rPr>
      </w:pPr>
      <w:r>
        <w:rPr>
          <w:rFonts w:ascii="Arial" w:cs="Arial" w:eastAsia="Arial" w:hAnsi="Arial"/>
          <w:sz w:val="15"/>
          <w:szCs w:val="15"/>
          <w:color w:val="auto"/>
        </w:rPr>
        <w:t>Software development costs include direct costs incurred for internally developed products, as well as payments made to independent software developers under development agreements. 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Significant management judgments and estimates are applied in assessing when capitalization commences for software development costs and the evaluation is performed on a product-by-product basis.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85" w:lineRule="exact"/>
        <w:rPr>
          <w:sz w:val="20"/>
          <w:szCs w:val="20"/>
          <w:color w:val="auto"/>
        </w:rPr>
      </w:pPr>
    </w:p>
    <w:p>
      <w:pPr>
        <w:jc w:val="both"/>
        <w:ind w:right="120" w:firstLine="393"/>
        <w:spacing w:after="0" w:line="273" w:lineRule="auto"/>
        <w:rPr>
          <w:sz w:val="20"/>
          <w:szCs w:val="20"/>
          <w:color w:val="auto"/>
        </w:rPr>
      </w:pPr>
      <w:r>
        <w:rPr>
          <w:rFonts w:ascii="Arial" w:cs="Arial" w:eastAsia="Arial" w:hAnsi="Arial"/>
          <w:sz w:val="17"/>
          <w:szCs w:val="17"/>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98"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We evaluate the future recoverability of capitalized software development costs on a quarterly basis. For products that have been released,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Additionally, criteria used to evaluate expected product performance may include, as appropriate: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93"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Historically, our forecasted and actual product sales have been more than enough to recover capitalized software costs.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205" w:lineRule="exact"/>
        <w:rPr>
          <w:sz w:val="20"/>
          <w:szCs w:val="20"/>
          <w:color w:val="auto"/>
        </w:rPr>
      </w:pPr>
    </w:p>
    <w:p>
      <w:pPr>
        <w:ind w:right="20"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For a detailed discussion of the application of these and other accounting policies, see </w:t>
      </w:r>
      <w:hyperlink w:anchor="page75">
        <w:r>
          <w:rPr>
            <w:rFonts w:ascii="Arial" w:cs="Arial" w:eastAsia="Arial" w:hAnsi="Arial"/>
            <w:sz w:val="17"/>
            <w:szCs w:val="17"/>
            <w:u w:val="single" w:color="auto"/>
            <w:color w:val="0000FF"/>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56" w:lineRule="exact"/>
        <w:rPr>
          <w:sz w:val="20"/>
          <w:szCs w:val="20"/>
          <w:color w:val="auto"/>
        </w:rPr>
      </w:pPr>
    </w:p>
    <w:p>
      <w:pPr>
        <w:ind w:right="520"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For a detailed discussion of all relevant recently issued accounting pronouncements, see </w:t>
      </w:r>
      <w:hyperlink w:anchor="page87">
        <w:r>
          <w:rPr>
            <w:rFonts w:ascii="Arial" w:cs="Arial" w:eastAsia="Arial" w:hAnsi="Arial"/>
            <w:sz w:val="17"/>
            <w:szCs w:val="17"/>
            <w:u w:val="single" w:color="auto"/>
            <w:color w:val="0000FF"/>
          </w:rPr>
          <w:t>Note 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56"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56" w:lineRule="exact"/>
        <w:rPr>
          <w:sz w:val="20"/>
          <w:szCs w:val="20"/>
          <w:color w:val="auto"/>
        </w:rPr>
      </w:pPr>
    </w:p>
    <w:p>
      <w:pPr>
        <w:ind w:right="80" w:firstLine="393"/>
        <w:spacing w:after="0" w:line="261"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with a heightened risk for volatility in the future due to potential impacts of COVID-19 on global financial markets.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U.S., the impact of foreign currency fluctuations, particularly the strengthening of the U.S. dollar, may have an asymmetric and disproportional impact on our business. We monitor currency volatility throughout the year.</w:t>
      </w:r>
    </w:p>
    <w:p>
      <w:pPr>
        <w:spacing w:after="0" w:line="211" w:lineRule="exact"/>
        <w:rPr>
          <w:sz w:val="20"/>
          <w:szCs w:val="20"/>
          <w:color w:val="auto"/>
        </w:rPr>
      </w:pPr>
    </w:p>
    <w:p>
      <w:pPr>
        <w:jc w:val="both"/>
        <w:ind w:right="80" w:firstLine="393"/>
        <w:spacing w:after="0" w:line="268"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2"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The fair values of our foreign currency contracts are estimated based on the prevailing exchange rates of the various hedged currencies as of the end of the period.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Forward Contracts Designated as Hedges (“Cash Flow Hedges”) and Foreign Currency Forward Contracts Not Designated as Hedges</w:t>
      </w:r>
    </w:p>
    <w:p>
      <w:pPr>
        <w:spacing w:after="0" w:line="273" w:lineRule="exact"/>
        <w:rPr>
          <w:sz w:val="20"/>
          <w:szCs w:val="20"/>
          <w:color w:val="auto"/>
        </w:rPr>
      </w:pPr>
    </w:p>
    <w:p>
      <w:pPr>
        <w:ind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90">
        <w:r>
          <w:rPr>
            <w:rFonts w:ascii="Arial" w:cs="Arial" w:eastAsia="Arial" w:hAnsi="Arial"/>
            <w:sz w:val="17"/>
            <w:szCs w:val="17"/>
            <w:u w:val="single" w:color="auto"/>
            <w:color w:val="0000FF"/>
          </w:rPr>
          <w:t>Note 10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disclosures regarding our foreign currency forward contracts.</w:t>
      </w:r>
    </w:p>
    <w:p>
      <w:pPr>
        <w:spacing w:after="0" w:line="18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In the absence of hedging activities for the year ended December 31, 2021, a hypothetical adverse foreign currency exchange rate movement of 10% would have resulted in a theoretical decline of our net income of approximately $184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6"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2021, our cash and cash equivalents were comprised primarily of money market funds.</w:t>
      </w:r>
    </w:p>
    <w:p>
      <w:pPr>
        <w:spacing w:after="0" w:line="205"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As of December 31, 2021, based on the composition of our investment portfolio, we anticipate investment yields may remain low, which would continue to negatively impact our future interest income. Such impact is not expected to be material to the Company’s liquidity.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0420" w:type="dxa"/>
            <w:vAlign w:val="bottom"/>
            <w:gridSpan w:val="11"/>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24"/>
        </w:trPr>
        <w:tc>
          <w:tcPr>
            <w:tcW w:w="10420" w:type="dxa"/>
            <w:vAlign w:val="bottom"/>
            <w:gridSpan w:val="11"/>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7"/>
                <w:szCs w:val="17"/>
                <w:color w:val="0000FF"/>
                <w:w w:val="98"/>
              </w:rPr>
            </w:pPr>
            <w:hyperlink w:anchor="page67">
              <w:r>
                <w:rPr>
                  <w:rFonts w:ascii="Arial" w:cs="Arial" w:eastAsia="Arial" w:hAnsi="Arial"/>
                  <w:sz w:val="17"/>
                  <w:szCs w:val="17"/>
                  <w:color w:val="0000FF"/>
                  <w:w w:val="98"/>
                </w:rPr>
                <w:t xml:space="preserve">Report of Independent Registered Public Accounting Firm </w:t>
              </w:r>
            </w:hyperlink>
            <w:r>
              <w:rPr>
                <w:rFonts w:ascii="Arial" w:cs="Arial" w:eastAsia="Arial" w:hAnsi="Arial"/>
                <w:sz w:val="17"/>
                <w:szCs w:val="17"/>
                <w:color w:val="000000"/>
                <w:w w:val="98"/>
              </w:rPr>
              <w:t>(PricewaterhouseCoopers</w:t>
            </w:r>
            <w:r>
              <w:rPr>
                <w:rFonts w:ascii="Arial" w:cs="Arial" w:eastAsia="Arial" w:hAnsi="Arial"/>
                <w:sz w:val="17"/>
                <w:szCs w:val="17"/>
                <w:color w:val="0000FF"/>
                <w:w w:val="98"/>
              </w:rPr>
              <w:t xml:space="preserve"> </w:t>
            </w:r>
            <w:r>
              <w:rPr>
                <w:rFonts w:ascii="Arial" w:cs="Arial" w:eastAsia="Arial" w:hAnsi="Arial"/>
                <w:sz w:val="17"/>
                <w:szCs w:val="17"/>
                <w:color w:val="000000"/>
                <w:w w:val="98"/>
              </w:rPr>
              <w:t>LLP, Los Angeles, California, PCAOB ID: 238)</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67">
              <w:r>
                <w:rPr>
                  <w:rFonts w:ascii="Arial" w:cs="Arial" w:eastAsia="Arial" w:hAnsi="Arial"/>
                  <w:sz w:val="17"/>
                  <w:szCs w:val="17"/>
                  <w:color w:val="0000FF"/>
                  <w:w w:val="86"/>
                </w:rPr>
                <w:t>1</w:t>
              </w:r>
            </w:hyperlink>
          </w:p>
        </w:tc>
      </w:tr>
      <w:tr>
        <w:trPr>
          <w:trHeight w:val="20"/>
        </w:trPr>
        <w:tc>
          <w:tcPr>
            <w:tcW w:w="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4300" w:type="dxa"/>
            <w:vAlign w:val="bottom"/>
            <w:tcBorders>
              <w:bottom w:val="single" w:sz="8" w:color="0000FF"/>
            </w:tcBorders>
            <w:gridSpan w:val="4"/>
          </w:tcPr>
          <w:p>
            <w:pPr>
              <w:spacing w:after="0"/>
              <w:rPr>
                <w:rFonts w:ascii="Arial" w:cs="Arial" w:eastAsia="Arial" w:hAnsi="Arial"/>
                <w:sz w:val="17"/>
                <w:szCs w:val="17"/>
                <w:color w:val="0000FF"/>
                <w:w w:val="90"/>
              </w:rPr>
            </w:pPr>
            <w:hyperlink w:anchor="page70">
              <w:r>
                <w:rPr>
                  <w:rFonts w:ascii="Arial" w:cs="Arial" w:eastAsia="Arial" w:hAnsi="Arial"/>
                  <w:sz w:val="17"/>
                  <w:szCs w:val="17"/>
                  <w:color w:val="0000FF"/>
                  <w:w w:val="90"/>
                </w:rPr>
                <w:t>Consolidated Balance Sheets at December 31, 2021 and 2020</w:t>
              </w:r>
            </w:hyperlink>
          </w:p>
        </w:tc>
        <w:tc>
          <w:tcPr>
            <w:tcW w:w="54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70">
              <w:r>
                <w:rPr>
                  <w:rFonts w:ascii="Arial" w:cs="Arial" w:eastAsia="Arial" w:hAnsi="Arial"/>
                  <w:sz w:val="17"/>
                  <w:szCs w:val="17"/>
                  <w:color w:val="0000FF"/>
                  <w:w w:val="86"/>
                </w:rPr>
                <w:t>3</w:t>
              </w:r>
            </w:hyperlink>
          </w:p>
        </w:tc>
      </w:tr>
      <w:tr>
        <w:trPr>
          <w:trHeight w:val="203"/>
        </w:trPr>
        <w:tc>
          <w:tcPr>
            <w:tcW w:w="660" w:type="dxa"/>
            <w:vAlign w:val="bottom"/>
          </w:tcPr>
          <w:p>
            <w:pPr>
              <w:spacing w:after="0"/>
              <w:rPr>
                <w:sz w:val="17"/>
                <w:szCs w:val="17"/>
                <w:color w:val="auto"/>
              </w:rPr>
            </w:pPr>
          </w:p>
        </w:tc>
        <w:tc>
          <w:tcPr>
            <w:tcW w:w="9760" w:type="dxa"/>
            <w:vAlign w:val="bottom"/>
            <w:gridSpan w:val="10"/>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Consolidated Statements of Operations for the Years Ended December 31, 2021, 2020, and 2019</w:t>
              </w:r>
            </w:hyperlink>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70">
              <w:r>
                <w:rPr>
                  <w:rFonts w:ascii="Arial" w:cs="Arial" w:eastAsia="Arial" w:hAnsi="Arial"/>
                  <w:sz w:val="17"/>
                  <w:szCs w:val="17"/>
                  <w:color w:val="0000FF"/>
                  <w:w w:val="86"/>
                </w:rPr>
                <w:t>4</w:t>
              </w:r>
            </w:hyperlink>
          </w:p>
        </w:tc>
      </w:tr>
      <w:tr>
        <w:trPr>
          <w:trHeight w:val="20"/>
        </w:trPr>
        <w:tc>
          <w:tcPr>
            <w:tcW w:w="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7640" w:type="dxa"/>
            <w:vAlign w:val="bottom"/>
            <w:tcBorders>
              <w:bottom w:val="single" w:sz="8" w:color="0000FF"/>
            </w:tcBorders>
            <w:gridSpan w:val="8"/>
          </w:tcPr>
          <w:p>
            <w:pPr>
              <w:spacing w:after="0"/>
              <w:rPr>
                <w:rFonts w:ascii="Arial" w:cs="Arial" w:eastAsia="Arial" w:hAnsi="Arial"/>
                <w:sz w:val="17"/>
                <w:szCs w:val="17"/>
                <w:color w:val="0000FF"/>
                <w:w w:val="91"/>
              </w:rPr>
            </w:pPr>
            <w:hyperlink w:anchor="page71">
              <w:r>
                <w:rPr>
                  <w:rFonts w:ascii="Arial" w:cs="Arial" w:eastAsia="Arial" w:hAnsi="Arial"/>
                  <w:sz w:val="17"/>
                  <w:szCs w:val="17"/>
                  <w:color w:val="0000FF"/>
                  <w:w w:val="91"/>
                </w:rPr>
                <w:t>Consolidated Statements of Comprehensive Income for the Years Ended December 31, 2021, 2020, and 2019</w:t>
              </w:r>
            </w:hyperlink>
          </w:p>
        </w:tc>
        <w:tc>
          <w:tcPr>
            <w:tcW w:w="21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71">
              <w:r>
                <w:rPr>
                  <w:rFonts w:ascii="Arial" w:cs="Arial" w:eastAsia="Arial" w:hAnsi="Arial"/>
                  <w:sz w:val="17"/>
                  <w:szCs w:val="17"/>
                  <w:color w:val="0000FF"/>
                  <w:w w:val="86"/>
                </w:rPr>
                <w:t>5</w:t>
              </w:r>
            </w:hyperlink>
          </w:p>
        </w:tc>
      </w:tr>
      <w:tr>
        <w:trPr>
          <w:trHeight w:val="203"/>
        </w:trPr>
        <w:tc>
          <w:tcPr>
            <w:tcW w:w="660" w:type="dxa"/>
            <w:vAlign w:val="bottom"/>
          </w:tcPr>
          <w:p>
            <w:pPr>
              <w:spacing w:after="0"/>
              <w:rPr>
                <w:sz w:val="17"/>
                <w:szCs w:val="17"/>
                <w:color w:val="auto"/>
              </w:rPr>
            </w:pPr>
          </w:p>
        </w:tc>
        <w:tc>
          <w:tcPr>
            <w:tcW w:w="6800" w:type="dxa"/>
            <w:vAlign w:val="bottom"/>
            <w:tcBorders>
              <w:bottom w:val="single" w:sz="8" w:color="0000FF"/>
            </w:tcBorders>
            <w:gridSpan w:val="7"/>
          </w:tcPr>
          <w:p>
            <w:pPr>
              <w:spacing w:after="0"/>
              <w:rPr>
                <w:rFonts w:ascii="Arial" w:cs="Arial" w:eastAsia="Arial" w:hAnsi="Arial"/>
                <w:sz w:val="17"/>
                <w:szCs w:val="17"/>
                <w:color w:val="0000FF"/>
                <w:w w:val="91"/>
              </w:rPr>
            </w:pPr>
            <w:hyperlink w:anchor="page72">
              <w:r>
                <w:rPr>
                  <w:rFonts w:ascii="Arial" w:cs="Arial" w:eastAsia="Arial" w:hAnsi="Arial"/>
                  <w:sz w:val="17"/>
                  <w:szCs w:val="17"/>
                  <w:color w:val="0000FF"/>
                  <w:w w:val="91"/>
                </w:rPr>
                <w:t>Consolidated Statements of Cash Flows for the Years Ended December 31, 2021, 2020, and 2019</w:t>
              </w:r>
            </w:hyperlink>
          </w:p>
        </w:tc>
        <w:tc>
          <w:tcPr>
            <w:tcW w:w="29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72">
              <w:r>
                <w:rPr>
                  <w:rFonts w:ascii="Arial" w:cs="Arial" w:eastAsia="Arial" w:hAnsi="Arial"/>
                  <w:sz w:val="17"/>
                  <w:szCs w:val="17"/>
                  <w:color w:val="0000FF"/>
                  <w:w w:val="86"/>
                </w:rPr>
                <w:t>6</w:t>
              </w:r>
            </w:hyperlink>
          </w:p>
        </w:tc>
      </w:tr>
      <w:tr>
        <w:trPr>
          <w:trHeight w:val="203"/>
        </w:trPr>
        <w:tc>
          <w:tcPr>
            <w:tcW w:w="660" w:type="dxa"/>
            <w:vAlign w:val="bottom"/>
          </w:tcPr>
          <w:p>
            <w:pPr>
              <w:spacing w:after="0"/>
              <w:rPr>
                <w:sz w:val="17"/>
                <w:szCs w:val="17"/>
                <w:color w:val="auto"/>
              </w:rPr>
            </w:pPr>
          </w:p>
        </w:tc>
        <w:tc>
          <w:tcPr>
            <w:tcW w:w="8280" w:type="dxa"/>
            <w:vAlign w:val="bottom"/>
            <w:tcBorders>
              <w:bottom w:val="single" w:sz="8" w:color="0000FF"/>
            </w:tcBorders>
            <w:gridSpan w:val="9"/>
          </w:tcPr>
          <w:p>
            <w:pPr>
              <w:spacing w:after="0"/>
              <w:rPr>
                <w:rFonts w:ascii="Arial" w:cs="Arial" w:eastAsia="Arial" w:hAnsi="Arial"/>
                <w:sz w:val="17"/>
                <w:szCs w:val="17"/>
                <w:color w:val="0000FF"/>
                <w:w w:val="91"/>
              </w:rPr>
            </w:pPr>
            <w:hyperlink w:anchor="page73">
              <w:r>
                <w:rPr>
                  <w:rFonts w:ascii="Arial" w:cs="Arial" w:eastAsia="Arial" w:hAnsi="Arial"/>
                  <w:sz w:val="17"/>
                  <w:szCs w:val="17"/>
                  <w:color w:val="0000FF"/>
                  <w:w w:val="91"/>
                </w:rPr>
                <w:t>Consolidated Statements of Changes in Shareholders’ Equity for the Years Ended December 31, 2021, 2020, and 2019</w:t>
              </w:r>
            </w:hyperlink>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73">
              <w:r>
                <w:rPr>
                  <w:rFonts w:ascii="Arial" w:cs="Arial" w:eastAsia="Arial" w:hAnsi="Arial"/>
                  <w:sz w:val="17"/>
                  <w:szCs w:val="17"/>
                  <w:color w:val="0000FF"/>
                  <w:w w:val="86"/>
                </w:rPr>
                <w:t>7</w:t>
              </w:r>
            </w:hyperlink>
          </w:p>
        </w:tc>
      </w:tr>
      <w:tr>
        <w:trPr>
          <w:trHeight w:val="203"/>
        </w:trPr>
        <w:tc>
          <w:tcPr>
            <w:tcW w:w="660" w:type="dxa"/>
            <w:vAlign w:val="bottom"/>
          </w:tcPr>
          <w:p>
            <w:pPr>
              <w:spacing w:after="0"/>
              <w:rPr>
                <w:sz w:val="17"/>
                <w:szCs w:val="17"/>
                <w:color w:val="auto"/>
              </w:rPr>
            </w:pPr>
          </w:p>
        </w:tc>
        <w:tc>
          <w:tcPr>
            <w:tcW w:w="3060" w:type="dxa"/>
            <w:vAlign w:val="bottom"/>
            <w:tcBorders>
              <w:bottom w:val="single" w:sz="8" w:color="0000FF"/>
            </w:tcBorders>
            <w:gridSpan w:val="2"/>
          </w:tcPr>
          <w:p>
            <w:pPr>
              <w:spacing w:after="0"/>
              <w:rPr>
                <w:rFonts w:ascii="Arial" w:cs="Arial" w:eastAsia="Arial" w:hAnsi="Arial"/>
                <w:sz w:val="17"/>
                <w:szCs w:val="17"/>
                <w:color w:val="0000FF"/>
                <w:w w:val="91"/>
              </w:rPr>
            </w:pPr>
            <w:hyperlink w:anchor="page74">
              <w:r>
                <w:rPr>
                  <w:rFonts w:ascii="Arial" w:cs="Arial" w:eastAsia="Arial" w:hAnsi="Arial"/>
                  <w:sz w:val="17"/>
                  <w:szCs w:val="17"/>
                  <w:color w:val="0000FF"/>
                  <w:w w:val="91"/>
                </w:rPr>
                <w:t>Notes to Consolidated Financial Statements</w:t>
              </w:r>
            </w:hyperlink>
          </w:p>
        </w:tc>
        <w:tc>
          <w:tcPr>
            <w:tcW w:w="670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r>
              <w:rPr>
                <w:rFonts w:ascii="Arial" w:cs="Arial" w:eastAsia="Arial" w:hAnsi="Arial"/>
                <w:sz w:val="17"/>
                <w:szCs w:val="17"/>
                <w:color w:val="0000FF"/>
                <w:w w:val="86"/>
              </w:rPr>
              <w:t>F-</w:t>
            </w:r>
            <w:hyperlink w:anchor="page74">
              <w:r>
                <w:rPr>
                  <w:rFonts w:ascii="Arial" w:cs="Arial" w:eastAsia="Arial" w:hAnsi="Arial"/>
                  <w:sz w:val="17"/>
                  <w:szCs w:val="17"/>
                  <w:color w:val="0000FF"/>
                  <w:w w:val="86"/>
                </w:rPr>
                <w:t>8</w:t>
              </w:r>
            </w:hyperlink>
          </w:p>
        </w:tc>
      </w:tr>
      <w:tr>
        <w:trPr>
          <w:trHeight w:val="203"/>
        </w:trPr>
        <w:tc>
          <w:tcPr>
            <w:tcW w:w="660" w:type="dxa"/>
            <w:vAlign w:val="bottom"/>
          </w:tcPr>
          <w:p>
            <w:pPr>
              <w:spacing w:after="0"/>
              <w:rPr>
                <w:sz w:val="17"/>
                <w:szCs w:val="17"/>
                <w:color w:val="auto"/>
              </w:rPr>
            </w:pPr>
          </w:p>
        </w:tc>
        <w:tc>
          <w:tcPr>
            <w:tcW w:w="6200" w:type="dxa"/>
            <w:vAlign w:val="bottom"/>
            <w:gridSpan w:val="5"/>
          </w:tcPr>
          <w:p>
            <w:pPr>
              <w:spacing w:after="0"/>
              <w:rPr>
                <w:rFonts w:ascii="Arial" w:cs="Arial" w:eastAsia="Arial" w:hAnsi="Arial"/>
                <w:sz w:val="17"/>
                <w:szCs w:val="17"/>
                <w:color w:val="0000FF"/>
                <w:w w:val="93"/>
              </w:rPr>
            </w:pPr>
            <w:hyperlink w:anchor="page118">
              <w:r>
                <w:rPr>
                  <w:rFonts w:ascii="Arial" w:cs="Arial" w:eastAsia="Arial" w:hAnsi="Arial"/>
                  <w:sz w:val="17"/>
                  <w:szCs w:val="17"/>
                  <w:color w:val="0000FF"/>
                  <w:w w:val="93"/>
                </w:rPr>
                <w:t>Schedule II—Valuation and Qualifying Accounts at December 31, 2021, 2020, and 2019</w:t>
              </w:r>
            </w:hyperlink>
          </w:p>
        </w:tc>
        <w:tc>
          <w:tcPr>
            <w:tcW w:w="3560" w:type="dxa"/>
            <w:vAlign w:val="bottom"/>
            <w:gridSpan w:val="5"/>
          </w:tcPr>
          <w:p>
            <w:pPr>
              <w:spacing w:after="0"/>
              <w:rPr>
                <w:sz w:val="17"/>
                <w:szCs w:val="17"/>
                <w:color w:val="auto"/>
              </w:rPr>
            </w:pPr>
          </w:p>
        </w:tc>
        <w:tc>
          <w:tcPr>
            <w:tcW w:w="760" w:type="dxa"/>
            <w:vAlign w:val="bottom"/>
            <w:gridSpan w:val="3"/>
          </w:tcPr>
          <w:p>
            <w:pPr>
              <w:jc w:val="right"/>
              <w:spacing w:after="0"/>
              <w:rPr>
                <w:rFonts w:ascii="Arial" w:cs="Arial" w:eastAsia="Arial" w:hAnsi="Arial"/>
                <w:sz w:val="17"/>
                <w:szCs w:val="17"/>
                <w:color w:val="0000FF"/>
              </w:rPr>
            </w:pPr>
            <w:r>
              <w:rPr>
                <w:rFonts w:ascii="Arial" w:cs="Arial" w:eastAsia="Arial" w:hAnsi="Arial"/>
                <w:sz w:val="17"/>
                <w:szCs w:val="17"/>
                <w:color w:val="0000FF"/>
              </w:rPr>
              <w:t>F-</w:t>
            </w:r>
            <w:hyperlink w:anchor="page118">
              <w:r>
                <w:rPr>
                  <w:rFonts w:ascii="Arial" w:cs="Arial" w:eastAsia="Arial" w:hAnsi="Arial"/>
                  <w:sz w:val="17"/>
                  <w:szCs w:val="17"/>
                  <w:color w:val="0000FF"/>
                </w:rPr>
                <w:t>52</w:t>
              </w:r>
            </w:hyperlink>
          </w:p>
        </w:tc>
      </w:tr>
      <w:tr>
        <w:trPr>
          <w:trHeight w:val="20"/>
        </w:trPr>
        <w:tc>
          <w:tcPr>
            <w:tcW w:w="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342" w:lineRule="exact"/>
        <w:rPr>
          <w:sz w:val="20"/>
          <w:szCs w:val="20"/>
          <w:color w:val="auto"/>
        </w:rPr>
      </w:pPr>
    </w:p>
    <w:p>
      <w:pPr>
        <w:ind w:right="480" w:firstLine="393"/>
        <w:spacing w:after="0" w:line="289" w:lineRule="auto"/>
        <w:rPr>
          <w:sz w:val="20"/>
          <w:szCs w:val="20"/>
          <w:color w:val="auto"/>
        </w:rPr>
      </w:pPr>
      <w:r>
        <w:rPr>
          <w:rFonts w:ascii="Arial" w:cs="Arial" w:eastAsia="Arial" w:hAnsi="Arial"/>
          <w:sz w:val="17"/>
          <w:szCs w:val="17"/>
          <w:color w:val="auto"/>
        </w:rPr>
        <w:t>Other financial statement schedules are omitted because the information called for is not applicable or is shown either in the Consolidated Financial Statements or the Notes thereto.</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Disclosure Controls and Procedures.</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50"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December 31, 2021, the end of the period covered by this report. Based on this evaluation, the principal executive officer and principal financial officer concluded that, at December 31, 2021,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50" w:lineRule="exact"/>
        <w:rPr>
          <w:sz w:val="20"/>
          <w:szCs w:val="20"/>
          <w:color w:val="auto"/>
        </w:rPr>
      </w:pPr>
    </w:p>
    <w:p>
      <w:pPr>
        <w:ind w:right="180" w:firstLine="393"/>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2021,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2021.</w:t>
      </w:r>
    </w:p>
    <w:p>
      <w:pPr>
        <w:spacing w:after="0" w:line="206"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98" w:lineRule="exact"/>
        <w:rPr>
          <w:sz w:val="20"/>
          <w:szCs w:val="20"/>
          <w:color w:val="auto"/>
        </w:rPr>
      </w:pPr>
    </w:p>
    <w:p>
      <w:pPr>
        <w:ind w:right="700" w:firstLine="393"/>
        <w:spacing w:after="0" w:line="322" w:lineRule="auto"/>
        <w:rPr>
          <w:sz w:val="20"/>
          <w:szCs w:val="20"/>
          <w:color w:val="auto"/>
        </w:rPr>
      </w:pPr>
      <w:r>
        <w:rPr>
          <w:rFonts w:ascii="Arial" w:cs="Arial" w:eastAsia="Arial" w:hAnsi="Arial"/>
          <w:sz w:val="16"/>
          <w:szCs w:val="16"/>
          <w:color w:val="auto"/>
        </w:rPr>
        <w:t>The effectiveness of our internal control over financial reporting as of December 31, 2021, has been audited by PricewaterhouseCoopers LLP, an independent registered public accounting firm, as stated in their report included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0"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quarter ended December 31, 2021. Based on this evaluation, the principal executive officer and principal financial officer concluded that, at December 31, 2021,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9B.</w:t>
        <w:tab/>
        <w:t>OTHER INFORMATION</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56"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The information required by this Item, other than the information regarding executive officers, which is included in Item 1 of this report, is incorporated by reference to the sections of our definitive Proxy Statement for our 2022 Annual Meeting of Shareholders entitled “Proposal 1—Election of Directors,” “Corporate Governance Matters—Board Committees,” “Corporate Governance Matters—Governance Documents—Code of Conduct,” and, if applicable, “Beneficial Ownership Matters—Delinquent Section 16(a) Reports” to be filed with the SEC.</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56" w:lineRule="exact"/>
        <w:rPr>
          <w:sz w:val="20"/>
          <w:szCs w:val="20"/>
          <w:color w:val="auto"/>
        </w:rPr>
      </w:pPr>
    </w:p>
    <w:p>
      <w:pPr>
        <w:ind w:right="480" w:firstLine="393"/>
        <w:spacing w:after="0" w:line="289"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2022 Annual Meeting of Shareholders entitled “Executive Compensation” and “Director Compensation” to be filed with the SEC.</w:t>
      </w:r>
    </w:p>
    <w:p>
      <w:pPr>
        <w:spacing w:after="0" w:line="179" w:lineRule="exact"/>
        <w:rPr>
          <w:sz w:val="20"/>
          <w:szCs w:val="20"/>
          <w:color w:val="auto"/>
        </w:rPr>
      </w:pPr>
    </w:p>
    <w:p>
      <w:pPr>
        <w:ind w:left="800" w:right="860" w:hanging="786"/>
        <w:spacing w:after="0" w:line="297" w:lineRule="auto"/>
        <w:tabs>
          <w:tab w:leader="none" w:pos="7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78"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2022 Annual Meeting of Shareholders entitled “Beneficial Ownership Matters,” “Equity Compensation Plan Information,” and “Corporate Governance Matters—Board Committees,” to be filed with the SEC.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56" w:lineRule="exact"/>
        <w:rPr>
          <w:sz w:val="20"/>
          <w:szCs w:val="20"/>
          <w:color w:val="auto"/>
        </w:rPr>
      </w:pPr>
    </w:p>
    <w:p>
      <w:pPr>
        <w:ind w:right="420" w:firstLine="393"/>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2022 Annual Meeting of Shareholders entitled “Corporate Governance Matters—Director Independence”, “Corporate Governance Matters—Board Committees” and “Certain Relationships and Related Person Transactions” to be filed with the SEC.</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256" w:lineRule="exact"/>
        <w:rPr>
          <w:sz w:val="20"/>
          <w:szCs w:val="20"/>
          <w:color w:val="auto"/>
        </w:rPr>
      </w:pPr>
    </w:p>
    <w:p>
      <w:pPr>
        <w:ind w:right="420" w:firstLine="393"/>
        <w:spacing w:after="0" w:line="289"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2022 Annual Meeting of Shareholders entitled “Audit-Related Matters” to be filed with the SEC.</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IV</w:t>
      </w:r>
    </w:p>
    <w:p>
      <w:pPr>
        <w:spacing w:after="0" w:line="2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15.</w:t>
        <w:tab/>
        <w:t>EXHIBITS, FINANCIAL STATEMENT SCHEDULES</w:t>
      </w:r>
    </w:p>
    <w:p>
      <w:pPr>
        <w:spacing w:after="0" w:line="296" w:lineRule="exact"/>
        <w:rPr>
          <w:sz w:val="20"/>
          <w:szCs w:val="20"/>
          <w:color w:val="auto"/>
        </w:rPr>
      </w:pPr>
    </w:p>
    <w:p>
      <w:pPr>
        <w:ind w:left="800" w:right="320" w:hanging="778"/>
        <w:spacing w:after="0" w:line="241" w:lineRule="auto"/>
        <w:tabs>
          <w:tab w:leader="none" w:pos="62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See Item 8.—Consolidated Financial Statements and Supplementary Data for index to Financial Statements and Financial Statement Schedule on page </w:t>
      </w:r>
      <w:hyperlink w:anchor="page64">
        <w:r>
          <w:rPr>
            <w:rFonts w:ascii="Arial" w:cs="Arial" w:eastAsia="Arial" w:hAnsi="Arial"/>
            <w:sz w:val="17"/>
            <w:szCs w:val="17"/>
            <w:u w:val="single" w:color="auto"/>
            <w:color w:val="0000FF"/>
          </w:rPr>
          <w:t>65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herein.</w:t>
      </w:r>
    </w:p>
    <w:p>
      <w:pPr>
        <w:spacing w:after="0" w:line="263" w:lineRule="exact"/>
        <w:rPr>
          <w:sz w:val="20"/>
          <w:szCs w:val="20"/>
          <w:color w:val="auto"/>
        </w:rPr>
      </w:pPr>
    </w:p>
    <w:p>
      <w:pPr>
        <w:ind w:left="800" w:hanging="165"/>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 </w:t>
      </w:r>
      <w:r>
        <w:rPr>
          <w:rFonts w:ascii="Arial" w:cs="Arial" w:eastAsia="Arial" w:hAnsi="Arial"/>
          <w:sz w:val="16"/>
          <w:szCs w:val="16"/>
          <w:color w:val="auto"/>
        </w:rPr>
        <w:t>The following financial statement schedule of Activision Blizzard for the years ended December 31, 2021, 2020, and</w:t>
      </w:r>
    </w:p>
    <w:p>
      <w:pPr>
        <w:ind w:left="800"/>
        <w:spacing w:after="0"/>
        <w:rPr>
          <w:rFonts w:ascii="Arial" w:cs="Arial" w:eastAsia="Arial" w:hAnsi="Arial"/>
          <w:sz w:val="16"/>
          <w:szCs w:val="16"/>
          <w:color w:val="auto"/>
        </w:rPr>
      </w:pPr>
      <w:r>
        <w:rPr>
          <w:rFonts w:ascii="Arial" w:cs="Arial" w:eastAsia="Arial" w:hAnsi="Arial"/>
          <w:sz w:val="16"/>
          <w:szCs w:val="16"/>
          <w:color w:val="auto"/>
        </w:rPr>
        <w:t xml:space="preserve">2019 is filed as part of this report on page </w:t>
      </w:r>
      <w:r>
        <w:rPr>
          <w:rFonts w:ascii="Arial" w:cs="Arial" w:eastAsia="Arial" w:hAnsi="Arial"/>
          <w:sz w:val="16"/>
          <w:szCs w:val="16"/>
          <w:u w:val="single" w:color="auto"/>
          <w:color w:val="0000FF"/>
        </w:rPr>
        <w:t>F-</w:t>
      </w:r>
      <w:hyperlink w:anchor="page118">
        <w:r>
          <w:rPr>
            <w:rFonts w:ascii="Arial" w:cs="Arial" w:eastAsia="Arial" w:hAnsi="Arial"/>
            <w:sz w:val="16"/>
            <w:szCs w:val="16"/>
            <w:u w:val="single" w:color="auto"/>
            <w:color w:val="0000FF"/>
          </w:rPr>
          <w:t xml:space="preserve">52 </w:t>
        </w:r>
      </w:hyperlink>
      <w:r>
        <w:rPr>
          <w:rFonts w:ascii="Arial" w:cs="Arial" w:eastAsia="Arial" w:hAnsi="Arial"/>
          <w:sz w:val="16"/>
          <w:szCs w:val="16"/>
          <w:u w:val="single" w:color="auto"/>
          <w:color w:val="0000FF"/>
        </w:rPr>
        <w:t>and should be read in conjunction with the consolidated financial statements of Activision Blizzard:</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Schedule II—Valuation and Qualifying Accounts</w:t>
      </w:r>
    </w:p>
    <w:p>
      <w:pPr>
        <w:spacing w:after="0" w:line="290" w:lineRule="exact"/>
        <w:rPr>
          <w:sz w:val="20"/>
          <w:szCs w:val="20"/>
          <w:color w:val="auto"/>
        </w:rPr>
      </w:pPr>
    </w:p>
    <w:p>
      <w:pPr>
        <w:ind w:left="800" w:right="40"/>
        <w:spacing w:after="0" w:line="241" w:lineRule="auto"/>
        <w:rPr>
          <w:sz w:val="20"/>
          <w:szCs w:val="20"/>
          <w:color w:val="auto"/>
        </w:rPr>
      </w:pPr>
      <w:r>
        <w:rPr>
          <w:rFonts w:ascii="Arial" w:cs="Arial" w:eastAsia="Arial" w:hAnsi="Arial"/>
          <w:sz w:val="17"/>
          <w:szCs w:val="17"/>
          <w:color w:val="auto"/>
        </w:rPr>
        <w:t>Other financial statement schedules are omitted because the information called for is not applicable or is shown either in the Consolidated Financial Statements or the Notes thereto.</w:t>
      </w:r>
    </w:p>
    <w:p>
      <w:pPr>
        <w:spacing w:after="0" w:line="263" w:lineRule="exact"/>
        <w:rPr>
          <w:sz w:val="20"/>
          <w:szCs w:val="20"/>
          <w:color w:val="auto"/>
        </w:rPr>
      </w:pPr>
    </w:p>
    <w:p>
      <w:pPr>
        <w:ind w:left="800" w:hanging="165"/>
        <w:spacing w:after="0" w:line="241" w:lineRule="auto"/>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Annual Report on Form 10-K.</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16.</w:t>
        <w:tab/>
        <w:t>FORM 10-K SUMMARY</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Activision Blizzard, Inc.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50" w:lineRule="exact"/>
        <w:rPr>
          <w:sz w:val="20"/>
          <w:szCs w:val="20"/>
          <w:color w:val="auto"/>
        </w:rPr>
      </w:pPr>
    </w:p>
    <w:p>
      <w:pPr>
        <w:ind w:right="20" w:firstLine="393"/>
        <w:spacing w:after="0" w:line="297" w:lineRule="auto"/>
        <w:rPr>
          <w:sz w:val="20"/>
          <w:szCs w:val="20"/>
          <w:color w:val="auto"/>
        </w:rPr>
      </w:pPr>
      <w:r>
        <w:rPr>
          <w:rFonts w:ascii="Arial" w:cs="Arial" w:eastAsia="Arial" w:hAnsi="Arial"/>
          <w:sz w:val="15"/>
          <w:szCs w:val="15"/>
          <w:color w:val="auto"/>
        </w:rPr>
        <w:t>We have audited the accompanying consolidated balance sheets of Activision Blizzard, Inc. and its subsidiaries (the “Company”) as of December 31, 2021 and 2020, and the related consolidated statements of operations, of comprehensive income, of changes in shareholders' equity and of cash flows for each of the three years in the period ended December 31, 2021, including the related notes and financial statement schedule listed in the index appearing under Item 15(a)</w:t>
      </w:r>
    </w:p>
    <w:p>
      <w:pPr>
        <w:spacing w:after="0" w:line="1" w:lineRule="exact"/>
        <w:rPr>
          <w:sz w:val="20"/>
          <w:szCs w:val="20"/>
          <w:color w:val="auto"/>
        </w:rPr>
      </w:pPr>
    </w:p>
    <w:p>
      <w:pPr>
        <w:ind w:right="180" w:firstLine="5"/>
        <w:spacing w:after="0" w:line="266" w:lineRule="auto"/>
        <w:tabs>
          <w:tab w:leader="none" w:pos="247"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4" w:lineRule="exact"/>
        <w:rPr>
          <w:sz w:val="20"/>
          <w:szCs w:val="20"/>
          <w:color w:val="auto"/>
        </w:rPr>
      </w:pPr>
    </w:p>
    <w:p>
      <w:pPr>
        <w:ind w:right="200" w:firstLine="393"/>
        <w:spacing w:after="0" w:line="265"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50"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 Determination of Estimated Service Period</w:t>
      </w:r>
    </w:p>
    <w:p>
      <w:pPr>
        <w:spacing w:after="0" w:line="250" w:lineRule="exact"/>
        <w:rPr>
          <w:sz w:val="20"/>
          <w:szCs w:val="20"/>
          <w:color w:val="auto"/>
        </w:rPr>
      </w:pPr>
    </w:p>
    <w:p>
      <w:pPr>
        <w:ind w:right="60" w:firstLine="393"/>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As described in </w:t>
      </w:r>
      <w:hyperlink w:anchor="page75">
        <w:r>
          <w:rPr>
            <w:rFonts w:ascii="Arial" w:cs="Arial" w:eastAsia="Arial" w:hAnsi="Arial"/>
            <w:sz w:val="17"/>
            <w:szCs w:val="17"/>
            <w:u w:val="single" w:color="auto"/>
            <w:color w:val="0000FF"/>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a portion of the Company’s $8.8 billion of total net revenues for the year ended December 31, 2021, is recognized ratably over an estimated service period, which for players of the Company’s current games is less than twelve months. Management considers a variety of data points when determining the estimated service periods for players of the Company’s games, including the weighted-average number of days between players’ unique purchase or first day played online, and the time at which players become inactive and cease engaging with the games’ content for a period of time. Management also considers known online trends such as the cadence of content delivery in the Company’s games, the service period of previously released games, and, to the extent publicly available, the service period of competitors’ games that are similar in nature. Determining the estimated service period is subjective and requires management’s judgment.</w:t>
      </w:r>
    </w:p>
    <w:p>
      <w:pPr>
        <w:spacing w:after="0" w:line="211"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The principal considerations for our determination that performing procedures relating to revenue recognition - determination of estimated service period is a critical audit matter are the significant judgment by management when determining the estimated service period, which in turn led to a high degree of auditor judgment, subjectivity and effort in performing procedures to evaluate audit evidence relating to the data used by management in determining the estimated service period, such as the player data for historical or comparable titles to determine the weighted-average number of days between players’ unique purchase or first day played online and the time at which players become inactive and cease engaging with the games’ content for a period of time, and qualitative factors utilized by management, such as analysis of competitor information.</w:t>
      </w:r>
    </w:p>
    <w:p>
      <w:pPr>
        <w:spacing w:after="0" w:line="205" w:lineRule="exact"/>
        <w:rPr>
          <w:sz w:val="20"/>
          <w:szCs w:val="20"/>
          <w:color w:val="auto"/>
        </w:rPr>
      </w:pPr>
    </w:p>
    <w:p>
      <w:pPr>
        <w:ind w:right="140" w:firstLine="393"/>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the estimated service period. These procedures also included, among others, (i) testing management’s process for determining the estimated service period, (ii) testing management’s method of analyzing player data, (iii) testing the completeness and accuracy of underlying data used in the determination of the estimated service period, and (iv) evaluating the reasonableness of the estimated service period by comparing it to historical or comparable titles and competitor information.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2022</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2008.</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(Amounts in millions, except share data)</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Arial" w:cs="Arial" w:eastAsia="Arial" w:hAnsi="Arial"/>
                <w:sz w:val="17"/>
                <w:szCs w:val="17"/>
                <w:b w:val="1"/>
                <w:bCs w:val="1"/>
                <w:color w:val="auto"/>
              </w:rPr>
              <w:t>At December 31, 2021</w:t>
            </w:r>
          </w:p>
        </w:tc>
        <w:tc>
          <w:tcPr>
            <w:tcW w:w="220" w:type="dxa"/>
            <w:vAlign w:val="bottom"/>
          </w:tcPr>
          <w:p>
            <w:pPr>
              <w:spacing w:after="0"/>
              <w:rPr>
                <w:sz w:val="19"/>
                <w:szCs w:val="19"/>
                <w:color w:val="auto"/>
              </w:rPr>
            </w:pPr>
          </w:p>
        </w:tc>
        <w:tc>
          <w:tcPr>
            <w:tcW w:w="2060" w:type="dxa"/>
            <w:vAlign w:val="bottom"/>
          </w:tcPr>
          <w:p>
            <w:pPr>
              <w:jc w:val="right"/>
              <w:ind w:right="233"/>
              <w:spacing w:after="0"/>
              <w:rPr>
                <w:sz w:val="20"/>
                <w:szCs w:val="20"/>
                <w:color w:val="auto"/>
              </w:rPr>
            </w:pPr>
            <w:r>
              <w:rPr>
                <w:rFonts w:ascii="Arial" w:cs="Arial" w:eastAsia="Arial" w:hAnsi="Arial"/>
                <w:sz w:val="17"/>
                <w:szCs w:val="17"/>
                <w:b w:val="1"/>
                <w:bCs w:val="1"/>
                <w:color w:val="auto"/>
                <w:w w:val="97"/>
              </w:rPr>
              <w:t>At December 31, 2020</w:t>
            </w: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8,647</w:t>
            </w:r>
          </w:p>
        </w:tc>
        <w:tc>
          <w:tcPr>
            <w:tcW w:w="0" w:type="dxa"/>
            <w:vAlign w:val="bottom"/>
          </w:tcPr>
          <w:p>
            <w:pPr>
              <w:spacing w:after="0"/>
              <w:rPr>
                <w:sz w:val="1"/>
                <w:szCs w:val="1"/>
                <w:color w:val="auto"/>
              </w:rPr>
            </w:pPr>
          </w:p>
        </w:tc>
      </w:tr>
      <w:tr>
        <w:trPr>
          <w:trHeight w:val="171"/>
        </w:trPr>
        <w:tc>
          <w:tcPr>
            <w:tcW w:w="6540" w:type="dxa"/>
            <w:vAlign w:val="bottom"/>
            <w:gridSpan w:val="3"/>
          </w:tcPr>
          <w:p>
            <w:pPr>
              <w:ind w:left="340"/>
              <w:spacing w:after="0" w:line="172" w:lineRule="exact"/>
              <w:rPr>
                <w:sz w:val="20"/>
                <w:szCs w:val="20"/>
                <w:color w:val="auto"/>
              </w:rPr>
            </w:pPr>
            <w:r>
              <w:rPr>
                <w:rFonts w:ascii="Arial" w:cs="Arial" w:eastAsia="Arial" w:hAnsi="Arial"/>
                <w:sz w:val="17"/>
                <w:szCs w:val="17"/>
                <w:color w:val="auto"/>
                <w:w w:val="99"/>
              </w:rPr>
              <w:t>Accounts receivable, net of allowances of $36 and $83, at December 31, 2021 and</w:t>
            </w: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972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22"/>
        </w:trPr>
        <w:tc>
          <w:tcPr>
            <w:tcW w:w="6540" w:type="dxa"/>
            <w:vAlign w:val="bottom"/>
            <w:gridSpan w:val="3"/>
          </w:tcPr>
          <w:p>
            <w:pPr>
              <w:ind w:left="340"/>
              <w:spacing w:after="0"/>
              <w:rPr>
                <w:sz w:val="20"/>
                <w:szCs w:val="20"/>
                <w:color w:val="auto"/>
              </w:rPr>
            </w:pPr>
            <w:r>
              <w:rPr>
                <w:rFonts w:ascii="Arial" w:cs="Arial" w:eastAsia="Arial" w:hAnsi="Arial"/>
                <w:sz w:val="17"/>
                <w:szCs w:val="17"/>
                <w:color w:val="auto"/>
              </w:rPr>
              <w:t>December 31, 2020, respectively</w:t>
            </w:r>
          </w:p>
        </w:tc>
        <w:tc>
          <w:tcPr>
            <w:tcW w:w="22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Software development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10,565</w:t>
            </w:r>
          </w:p>
        </w:tc>
        <w:tc>
          <w:tcPr>
            <w:tcW w:w="0" w:type="dxa"/>
            <w:vAlign w:val="bottom"/>
          </w:tcPr>
          <w:p>
            <w:pPr>
              <w:spacing w:after="0"/>
              <w:rPr>
                <w:sz w:val="1"/>
                <w:szCs w:val="1"/>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Software development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Deferred income taxes, net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0" w:type="dxa"/>
            <w:vAlign w:val="bottom"/>
          </w:tcPr>
          <w:p>
            <w:pPr>
              <w:spacing w:after="0"/>
              <w:rPr>
                <w:sz w:val="1"/>
                <w:szCs w:val="1"/>
                <w:color w:val="auto"/>
              </w:rPr>
            </w:pPr>
          </w:p>
        </w:tc>
      </w:tr>
      <w:tr>
        <w:trPr>
          <w:trHeight w:val="216"/>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34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Deferred revenues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3,605</w:t>
            </w: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Deferred income taxes,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8,072</w:t>
            </w:r>
          </w:p>
        </w:tc>
        <w:tc>
          <w:tcPr>
            <w:tcW w:w="0" w:type="dxa"/>
            <w:vAlign w:val="bottom"/>
          </w:tcPr>
          <w:p>
            <w:pPr>
              <w:spacing w:after="0"/>
              <w:rPr>
                <w:sz w:val="1"/>
                <w:szCs w:val="1"/>
                <w:color w:val="auto"/>
              </w:rPr>
            </w:pPr>
          </w:p>
        </w:tc>
      </w:tr>
      <w:tr>
        <w:trPr>
          <w:trHeight w:val="173"/>
        </w:trPr>
        <w:tc>
          <w:tcPr>
            <w:tcW w:w="6540" w:type="dxa"/>
            <w:vAlign w:val="bottom"/>
            <w:gridSpan w:val="3"/>
          </w:tcPr>
          <w:p>
            <w:pPr>
              <w:ind w:left="20"/>
              <w:spacing w:after="0" w:line="163" w:lineRule="exact"/>
              <w:rPr>
                <w:rFonts w:ascii="Arial" w:cs="Arial" w:eastAsia="Arial" w:hAnsi="Arial"/>
                <w:sz w:val="17"/>
                <w:szCs w:val="17"/>
                <w:color w:val="auto"/>
              </w:rPr>
            </w:pPr>
            <w:r>
              <w:rPr>
                <w:rFonts w:ascii="Arial" w:cs="Arial" w:eastAsia="Arial" w:hAnsi="Arial"/>
                <w:sz w:val="17"/>
                <w:szCs w:val="17"/>
                <w:color w:val="auto"/>
              </w:rPr>
              <w:t>Commitments and contingencies (</w:t>
            </w:r>
            <w:hyperlink w:anchor="page115">
              <w:r>
                <w:rPr>
                  <w:rFonts w:ascii="Arial" w:cs="Arial" w:eastAsia="Arial" w:hAnsi="Arial"/>
                  <w:sz w:val="17"/>
                  <w:szCs w:val="17"/>
                  <w:color w:val="0000FF"/>
                </w:rPr>
                <w:t>Note 22</w:t>
              </w:r>
            </w:hyperlink>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560" w:type="dxa"/>
            <w:vAlign w:val="bottom"/>
            <w:tcBorders>
              <w:top w:val="single" w:sz="8" w:color="0000FF"/>
            </w:tcBorders>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540" w:type="dxa"/>
            <w:vAlign w:val="bottom"/>
            <w:gridSpan w:val="3"/>
          </w:tcPr>
          <w:p>
            <w:pPr>
              <w:ind w:left="220"/>
              <w:spacing w:after="0" w:line="172" w:lineRule="exact"/>
              <w:rPr>
                <w:sz w:val="20"/>
                <w:szCs w:val="20"/>
                <w:color w:val="auto"/>
              </w:rPr>
            </w:pPr>
            <w:r>
              <w:rPr>
                <w:rFonts w:ascii="Arial" w:cs="Arial" w:eastAsia="Arial" w:hAnsi="Arial"/>
                <w:sz w:val="17"/>
                <w:szCs w:val="17"/>
                <w:color w:val="auto"/>
                <w:w w:val="96"/>
              </w:rPr>
              <w:t>Common stock, $0.000001 par value, 2,400,000,000 shares authorized, 1,207,729,623</w:t>
            </w: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gridSpan w:val="3"/>
          </w:tcPr>
          <w:p>
            <w:pPr>
              <w:ind w:left="220"/>
              <w:spacing w:after="0" w:line="171" w:lineRule="exact"/>
              <w:rPr>
                <w:sz w:val="20"/>
                <w:szCs w:val="20"/>
                <w:color w:val="auto"/>
              </w:rPr>
            </w:pPr>
            <w:r>
              <w:rPr>
                <w:rFonts w:ascii="Arial" w:cs="Arial" w:eastAsia="Arial" w:hAnsi="Arial"/>
                <w:sz w:val="17"/>
                <w:szCs w:val="17"/>
                <w:color w:val="auto"/>
              </w:rPr>
              <w:t>and 1,202,906,087 shares issued at December 31, 2021 and December 31, 2020,</w:t>
            </w:r>
          </w:p>
        </w:tc>
        <w:tc>
          <w:tcPr>
            <w:tcW w:w="220" w:type="dxa"/>
            <w:vAlign w:val="bottom"/>
          </w:tcPr>
          <w:p>
            <w:pPr>
              <w:spacing w:after="0"/>
              <w:rPr>
                <w:sz w:val="14"/>
                <w:szCs w:val="14"/>
                <w:color w:val="auto"/>
              </w:rPr>
            </w:pPr>
          </w:p>
        </w:tc>
        <w:tc>
          <w:tcPr>
            <w:tcW w:w="2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540" w:type="dxa"/>
            <w:vAlign w:val="bottom"/>
            <w:gridSpan w:val="3"/>
          </w:tcPr>
          <w:p>
            <w:pPr>
              <w:ind w:left="220"/>
              <w:spacing w:after="0"/>
              <w:rPr>
                <w:sz w:val="20"/>
                <w:szCs w:val="20"/>
                <w:color w:val="auto"/>
              </w:rPr>
            </w:pPr>
            <w:r>
              <w:rPr>
                <w:rFonts w:ascii="Arial" w:cs="Arial" w:eastAsia="Arial" w:hAnsi="Arial"/>
                <w:sz w:val="17"/>
                <w:szCs w:val="17"/>
                <w:color w:val="auto"/>
              </w:rPr>
              <w:t>respectively</w:t>
            </w:r>
          </w:p>
        </w:tc>
        <w:tc>
          <w:tcPr>
            <w:tcW w:w="22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11,531</w:t>
            </w:r>
          </w:p>
        </w:tc>
        <w:tc>
          <w:tcPr>
            <w:tcW w:w="0" w:type="dxa"/>
            <w:vAlign w:val="bottom"/>
          </w:tcPr>
          <w:p>
            <w:pPr>
              <w:spacing w:after="0"/>
              <w:rPr>
                <w:sz w:val="1"/>
                <w:szCs w:val="1"/>
                <w:color w:val="auto"/>
              </w:rPr>
            </w:pPr>
          </w:p>
        </w:tc>
      </w:tr>
      <w:tr>
        <w:trPr>
          <w:trHeight w:val="171"/>
        </w:trPr>
        <w:tc>
          <w:tcPr>
            <w:tcW w:w="6540" w:type="dxa"/>
            <w:vAlign w:val="bottom"/>
            <w:gridSpan w:val="3"/>
          </w:tcPr>
          <w:p>
            <w:pPr>
              <w:ind w:left="220"/>
              <w:spacing w:after="0" w:line="172" w:lineRule="exact"/>
              <w:rPr>
                <w:sz w:val="20"/>
                <w:szCs w:val="20"/>
                <w:color w:val="auto"/>
              </w:rPr>
            </w:pPr>
            <w:r>
              <w:rPr>
                <w:rFonts w:ascii="Arial" w:cs="Arial" w:eastAsia="Arial" w:hAnsi="Arial"/>
                <w:sz w:val="17"/>
                <w:szCs w:val="17"/>
                <w:color w:val="auto"/>
              </w:rPr>
              <w:t>Less: Treasury stock, at cost, 428,676,471 shares at December 31, 2021 and</w:t>
            </w: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(5,563)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22"/>
        </w:trPr>
        <w:tc>
          <w:tcPr>
            <w:tcW w:w="6540" w:type="dxa"/>
            <w:vAlign w:val="bottom"/>
            <w:gridSpan w:val="3"/>
          </w:tcPr>
          <w:p>
            <w:pPr>
              <w:ind w:left="220"/>
              <w:spacing w:after="0"/>
              <w:rPr>
                <w:sz w:val="20"/>
                <w:szCs w:val="20"/>
                <w:color w:val="auto"/>
              </w:rPr>
            </w:pPr>
            <w:r>
              <w:rPr>
                <w:rFonts w:ascii="Arial" w:cs="Arial" w:eastAsia="Arial" w:hAnsi="Arial"/>
                <w:sz w:val="17"/>
                <w:szCs w:val="17"/>
                <w:color w:val="auto"/>
              </w:rPr>
              <w:t>December 31, 2020</w:t>
            </w:r>
          </w:p>
        </w:tc>
        <w:tc>
          <w:tcPr>
            <w:tcW w:w="22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15,037</w:t>
            </w:r>
          </w:p>
        </w:tc>
        <w:tc>
          <w:tcPr>
            <w:tcW w:w="0" w:type="dxa"/>
            <w:vAlign w:val="bottom"/>
          </w:tcPr>
          <w:p>
            <w:pPr>
              <w:spacing w:after="0"/>
              <w:rPr>
                <w:sz w:val="1"/>
                <w:szCs w:val="1"/>
                <w:color w:val="auto"/>
              </w:rPr>
            </w:pPr>
          </w:p>
        </w:tc>
      </w:tr>
      <w:tr>
        <w:trPr>
          <w:trHeight w:val="216"/>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6"/>
                <w:szCs w:val="16"/>
                <w:b w:val="1"/>
                <w:bCs w:val="1"/>
                <w:color w:val="auto"/>
                <w:w w:val="96"/>
              </w:rPr>
              <w:t>For the 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29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r>
      <w:tr>
        <w:trPr>
          <w:trHeight w:val="219"/>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440" w:type="dxa"/>
            <w:vAlign w:val="bottom"/>
            <w:gridSpan w:val="3"/>
          </w:tcPr>
          <w:p>
            <w:pPr>
              <w:ind w:left="140"/>
              <w:spacing w:after="0"/>
              <w:rPr>
                <w:sz w:val="20"/>
                <w:szCs w:val="20"/>
                <w:color w:val="auto"/>
              </w:rPr>
            </w:pPr>
            <w:r>
              <w:rPr>
                <w:rFonts w:ascii="Arial" w:cs="Arial" w:eastAsia="Arial" w:hAnsi="Arial"/>
                <w:sz w:val="17"/>
                <w:szCs w:val="17"/>
                <w:color w:val="auto"/>
              </w:rPr>
              <w:t>Product sales</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1,975</w:t>
            </w:r>
          </w:p>
        </w:tc>
      </w:tr>
      <w:tr>
        <w:trPr>
          <w:trHeight w:val="223"/>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4,514</w:t>
            </w:r>
          </w:p>
        </w:tc>
      </w:tr>
      <w:tr>
        <w:trPr>
          <w:trHeight w:val="216"/>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8,803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6,489</w:t>
            </w:r>
          </w:p>
        </w:tc>
      </w:tr>
      <w:tr>
        <w:trPr>
          <w:trHeight w:val="262"/>
        </w:trPr>
        <w:tc>
          <w:tcPr>
            <w:tcW w:w="2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6440" w:type="dxa"/>
            <w:vAlign w:val="bottom"/>
            <w:gridSpan w:val="3"/>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440" w:type="dxa"/>
            <w:vAlign w:val="bottom"/>
            <w:gridSpan w:val="3"/>
          </w:tcPr>
          <w:p>
            <w:pPr>
              <w:ind w:left="220"/>
              <w:spacing w:after="0"/>
              <w:rPr>
                <w:sz w:val="20"/>
                <w:szCs w:val="20"/>
                <w:color w:val="auto"/>
              </w:rPr>
            </w:pPr>
            <w:r>
              <w:rPr>
                <w:rFonts w:ascii="Arial" w:cs="Arial" w:eastAsia="Arial" w:hAnsi="Arial"/>
                <w:sz w:val="17"/>
                <w:szCs w:val="17"/>
                <w:color w:val="auto"/>
              </w:rPr>
              <w:t>Product costs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656</w:t>
            </w:r>
          </w:p>
        </w:tc>
      </w:tr>
      <w:tr>
        <w:trPr>
          <w:trHeight w:val="223"/>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Software royalties, amortization, and intellectual property licenses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23"/>
        </w:trPr>
        <w:tc>
          <w:tcPr>
            <w:tcW w:w="6440" w:type="dxa"/>
            <w:vAlign w:val="bottom"/>
            <w:gridSpan w:val="3"/>
          </w:tcPr>
          <w:p>
            <w:pPr>
              <w:ind w:left="140"/>
              <w:spacing w:after="0"/>
              <w:rPr>
                <w:sz w:val="20"/>
                <w:szCs w:val="20"/>
                <w:color w:val="auto"/>
              </w:rPr>
            </w:pPr>
            <w:r>
              <w:rPr>
                <w:rFonts w:ascii="Arial" w:cs="Arial" w:eastAsia="Arial" w:hAnsi="Arial"/>
                <w:sz w:val="17"/>
                <w:szCs w:val="17"/>
                <w:color w:val="auto"/>
              </w:rPr>
              <w:t>Cost of revenues—in-game, subscription, and other:</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r>
      <w:tr>
        <w:trPr>
          <w:trHeight w:val="223"/>
        </w:trPr>
        <w:tc>
          <w:tcPr>
            <w:tcW w:w="6440" w:type="dxa"/>
            <w:vAlign w:val="bottom"/>
            <w:gridSpan w:val="3"/>
          </w:tcPr>
          <w:p>
            <w:pPr>
              <w:ind w:left="220"/>
              <w:spacing w:after="0"/>
              <w:rPr>
                <w:sz w:val="20"/>
                <w:szCs w:val="20"/>
                <w:color w:val="auto"/>
              </w:rPr>
            </w:pPr>
            <w:r>
              <w:rPr>
                <w:rFonts w:ascii="Arial" w:cs="Arial" w:eastAsia="Arial" w:hAnsi="Arial"/>
                <w:sz w:val="17"/>
                <w:szCs w:val="17"/>
                <w:color w:val="auto"/>
              </w:rPr>
              <w:t>Software royalties, amortization, and intellectual property licenses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223"/>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r>
      <w:tr>
        <w:trPr>
          <w:trHeight w:val="223"/>
        </w:trPr>
        <w:tc>
          <w:tcPr>
            <w:tcW w:w="6440" w:type="dxa"/>
            <w:vAlign w:val="bottom"/>
            <w:gridSpan w:val="3"/>
          </w:tcPr>
          <w:p>
            <w:pPr>
              <w:ind w:left="140"/>
              <w:spacing w:after="0"/>
              <w:rPr>
                <w:sz w:val="20"/>
                <w:szCs w:val="20"/>
                <w:color w:val="auto"/>
              </w:rPr>
            </w:pPr>
            <w:r>
              <w:rPr>
                <w:rFonts w:ascii="Arial" w:cs="Arial" w:eastAsia="Arial" w:hAnsi="Arial"/>
                <w:sz w:val="17"/>
                <w:szCs w:val="17"/>
                <w:color w:val="auto"/>
              </w:rPr>
              <w:t>Sales and marketing</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926</w:t>
            </w:r>
          </w:p>
        </w:tc>
      </w:tr>
      <w:tr>
        <w:trPr>
          <w:trHeight w:val="223"/>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r>
      <w:tr>
        <w:trPr>
          <w:trHeight w:val="223"/>
        </w:trPr>
        <w:tc>
          <w:tcPr>
            <w:tcW w:w="64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Restructuring and related costs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16"/>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4,882</w:t>
            </w:r>
          </w:p>
        </w:tc>
      </w:tr>
      <w:tr>
        <w:trPr>
          <w:trHeight w:val="242"/>
        </w:trPr>
        <w:tc>
          <w:tcPr>
            <w:tcW w:w="2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3"/>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r>
      <w:tr>
        <w:trPr>
          <w:trHeight w:val="193"/>
        </w:trPr>
        <w:tc>
          <w:tcPr>
            <w:tcW w:w="6440" w:type="dxa"/>
            <w:vAlign w:val="bottom"/>
            <w:gridSpan w:val="3"/>
          </w:tcPr>
          <w:p>
            <w:pPr>
              <w:ind w:left="20"/>
              <w:spacing w:after="0" w:line="184" w:lineRule="exact"/>
              <w:rPr>
                <w:rFonts w:ascii="Arial" w:cs="Arial" w:eastAsia="Arial" w:hAnsi="Arial"/>
                <w:sz w:val="17"/>
                <w:szCs w:val="17"/>
                <w:color w:val="auto"/>
              </w:rPr>
            </w:pPr>
            <w:r>
              <w:rPr>
                <w:rFonts w:ascii="Arial" w:cs="Arial" w:eastAsia="Arial" w:hAnsi="Arial"/>
                <w:sz w:val="17"/>
                <w:szCs w:val="17"/>
                <w:color w:val="auto"/>
              </w:rPr>
              <w:t>Interest and other expense (income), net (</w:t>
            </w:r>
            <w:hyperlink w:anchor="page110">
              <w:r>
                <w:rPr>
                  <w:rFonts w:ascii="Arial" w:cs="Arial" w:eastAsia="Arial" w:hAnsi="Arial"/>
                  <w:sz w:val="17"/>
                  <w:szCs w:val="17"/>
                  <w:color w:val="0000FF"/>
                </w:rPr>
                <w:t>Note 18</w:t>
              </w:r>
            </w:hyperlink>
            <w:r>
              <w:rPr>
                <w:rFonts w:ascii="Arial" w:cs="Arial" w:eastAsia="Arial" w:hAnsi="Arial"/>
                <w:sz w:val="17"/>
                <w:szCs w:val="17"/>
                <w:color w:val="auto"/>
              </w:rPr>
              <w:t>)</w:t>
            </w:r>
          </w:p>
        </w:tc>
        <w:tc>
          <w:tcPr>
            <w:tcW w:w="1000" w:type="dxa"/>
            <w:vAlign w:val="bottom"/>
          </w:tcPr>
          <w:p>
            <w:pPr>
              <w:spacing w:after="0"/>
              <w:rPr>
                <w:sz w:val="16"/>
                <w:szCs w:val="16"/>
                <w:color w:val="auto"/>
              </w:rPr>
            </w:pPr>
          </w:p>
        </w:tc>
        <w:tc>
          <w:tcPr>
            <w:tcW w:w="520" w:type="dxa"/>
            <w:vAlign w:val="bottom"/>
          </w:tcPr>
          <w:p>
            <w:pPr>
              <w:jc w:val="right"/>
              <w:spacing w:after="0" w:line="184" w:lineRule="exact"/>
              <w:rPr>
                <w:sz w:val="20"/>
                <w:szCs w:val="20"/>
                <w:color w:val="auto"/>
              </w:rPr>
            </w:pPr>
            <w:r>
              <w:rPr>
                <w:rFonts w:ascii="Arial" w:cs="Arial" w:eastAsia="Arial" w:hAnsi="Arial"/>
                <w:sz w:val="17"/>
                <w:szCs w:val="17"/>
                <w:color w:val="auto"/>
              </w:rPr>
              <w:t>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line="184" w:lineRule="exact"/>
              <w:rPr>
                <w:sz w:val="20"/>
                <w:szCs w:val="20"/>
                <w:color w:val="auto"/>
              </w:rPr>
            </w:pPr>
            <w:r>
              <w:rPr>
                <w:rFonts w:ascii="Arial" w:cs="Arial" w:eastAsia="Arial" w:hAnsi="Arial"/>
                <w:sz w:val="17"/>
                <w:szCs w:val="17"/>
                <w:color w:val="auto"/>
              </w:rPr>
              <w:t>87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line="184" w:lineRule="exact"/>
              <w:rPr>
                <w:sz w:val="20"/>
                <w:szCs w:val="20"/>
                <w:color w:val="auto"/>
              </w:rPr>
            </w:pPr>
            <w:r>
              <w:rPr>
                <w:rFonts w:ascii="Arial" w:cs="Arial" w:eastAsia="Arial" w:hAnsi="Arial"/>
                <w:sz w:val="17"/>
                <w:szCs w:val="17"/>
                <w:color w:val="auto"/>
              </w:rPr>
              <w:t>(26)</w:t>
            </w:r>
          </w:p>
        </w:tc>
      </w:tr>
      <w:tr>
        <w:trPr>
          <w:trHeight w:val="233"/>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560" w:type="dxa"/>
            <w:vAlign w:val="bottom"/>
            <w:tcBorders>
              <w:top w:val="single" w:sz="8" w:color="0000FF"/>
            </w:tcBorders>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Income before income tax expense</w:t>
            </w: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3,164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1,633</w:t>
            </w:r>
          </w:p>
        </w:tc>
      </w:tr>
      <w:tr>
        <w:trPr>
          <w:trHeight w:val="223"/>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Net income</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1,503</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440" w:type="dxa"/>
            <w:vAlign w:val="bottom"/>
            <w:gridSpan w:val="3"/>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23"/>
        </w:trPr>
        <w:tc>
          <w:tcPr>
            <w:tcW w:w="6440" w:type="dxa"/>
            <w:vAlign w:val="bottom"/>
            <w:gridSpan w:val="3"/>
          </w:tcPr>
          <w:p>
            <w:pPr>
              <w:ind w:left="140"/>
              <w:spacing w:after="0"/>
              <w:rPr>
                <w:sz w:val="20"/>
                <w:szCs w:val="20"/>
                <w:color w:val="auto"/>
              </w:rPr>
            </w:pPr>
            <w:r>
              <w:rPr>
                <w:rFonts w:ascii="Arial" w:cs="Arial" w:eastAsia="Arial" w:hAnsi="Arial"/>
                <w:sz w:val="17"/>
                <w:szCs w:val="17"/>
                <w:color w:val="auto"/>
              </w:rPr>
              <w:t>Diluted</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62"/>
        </w:trPr>
        <w:tc>
          <w:tcPr>
            <w:tcW w:w="2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6440" w:type="dxa"/>
            <w:vAlign w:val="bottom"/>
            <w:gridSpan w:val="3"/>
          </w:tcPr>
          <w:p>
            <w:pPr>
              <w:ind w:left="20"/>
              <w:spacing w:after="0"/>
              <w:rPr>
                <w:sz w:val="20"/>
                <w:szCs w:val="20"/>
                <w:color w:val="auto"/>
              </w:rPr>
            </w:pPr>
            <w:r>
              <w:rPr>
                <w:rFonts w:ascii="Arial" w:cs="Arial" w:eastAsia="Arial" w:hAnsi="Arial"/>
                <w:sz w:val="17"/>
                <w:szCs w:val="17"/>
                <w:b w:val="1"/>
                <w:bCs w:val="1"/>
                <w:color w:val="auto"/>
              </w:rPr>
              <w:t>Weighted-average number of shares outstanding</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r>
      <w:tr>
        <w:trPr>
          <w:trHeight w:val="222"/>
        </w:trPr>
        <w:tc>
          <w:tcPr>
            <w:tcW w:w="6440" w:type="dxa"/>
            <w:vAlign w:val="bottom"/>
            <w:gridSpan w:val="3"/>
          </w:tcPr>
          <w:p>
            <w:pPr>
              <w:ind w:left="140"/>
              <w:spacing w:after="0"/>
              <w:rPr>
                <w:sz w:val="20"/>
                <w:szCs w:val="20"/>
                <w:color w:val="auto"/>
              </w:rPr>
            </w:pPr>
            <w:r>
              <w:rPr>
                <w:rFonts w:ascii="Arial" w:cs="Arial" w:eastAsia="Arial" w:hAnsi="Arial"/>
                <w:sz w:val="17"/>
                <w:szCs w:val="17"/>
                <w:color w:val="auto"/>
              </w:rPr>
              <w:t>Diluted</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771</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6"/>
                <w:szCs w:val="16"/>
                <w:b w:val="1"/>
                <w:bCs w:val="1"/>
                <w:color w:val="auto"/>
                <w:w w:val="96"/>
              </w:rPr>
              <w:t>For the 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64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w:t>
            </w:r>
          </w:p>
        </w:tc>
      </w:tr>
      <w:tr>
        <w:trPr>
          <w:trHeight w:val="223"/>
        </w:trPr>
        <w:tc>
          <w:tcPr>
            <w:tcW w:w="64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 net of tax</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6440" w:type="dxa"/>
            <w:vAlign w:val="bottom"/>
          </w:tcPr>
          <w:p>
            <w:pPr>
              <w:ind w:left="140"/>
              <w:spacing w:after="0"/>
              <w:rPr>
                <w:sz w:val="20"/>
                <w:szCs w:val="20"/>
                <w:color w:val="auto"/>
              </w:rPr>
            </w:pPr>
            <w:r>
              <w:rPr>
                <w:rFonts w:ascii="Arial" w:cs="Arial" w:eastAsia="Arial" w:hAnsi="Arial"/>
                <w:sz w:val="17"/>
                <w:szCs w:val="17"/>
                <w:color w:val="auto"/>
              </w:rPr>
              <w:t>Unrealized gains (losses) on forward contracts designated as hedges, net of tax</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gains (losses) on available-for-sale securities, net of tax</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w w:val="97"/>
              </w:rPr>
              <w:t>For the 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25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2019</w:t>
            </w:r>
          </w:p>
        </w:tc>
      </w:tr>
      <w:tr>
        <w:trPr>
          <w:trHeight w:val="206"/>
        </w:trPr>
        <w:tc>
          <w:tcPr>
            <w:tcW w:w="64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1,503</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7"/>
        </w:trPr>
        <w:tc>
          <w:tcPr>
            <w:tcW w:w="6440" w:type="dxa"/>
            <w:vAlign w:val="bottom"/>
            <w:gridSpan w:val="5"/>
          </w:tcPr>
          <w:p>
            <w:pPr>
              <w:ind w:left="22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644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Non-cash operating lease cost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6440" w:type="dxa"/>
            <w:vAlign w:val="bottom"/>
            <w:gridSpan w:val="5"/>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3"/>
        </w:trPr>
        <w:tc>
          <w:tcPr>
            <w:tcW w:w="644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w w:val="95"/>
              </w:rPr>
              <w:t>Amortization of capitalized software development costs and intellectual property licenses (1)</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170"/>
        </w:trPr>
        <w:tc>
          <w:tcPr>
            <w:tcW w:w="6440" w:type="dxa"/>
            <w:vAlign w:val="bottom"/>
            <w:gridSpan w:val="5"/>
          </w:tcPr>
          <w:p>
            <w:pPr>
              <w:ind w:left="220"/>
              <w:spacing w:after="0" w:line="171" w:lineRule="exact"/>
              <w:rPr>
                <w:rFonts w:ascii="Arial" w:cs="Arial" w:eastAsia="Arial" w:hAnsi="Arial"/>
                <w:sz w:val="16"/>
                <w:szCs w:val="16"/>
                <w:color w:val="auto"/>
              </w:rPr>
            </w:pPr>
            <w:r>
              <w:rPr>
                <w:rFonts w:ascii="Arial" w:cs="Arial" w:eastAsia="Arial" w:hAnsi="Arial"/>
                <w:sz w:val="16"/>
                <w:szCs w:val="16"/>
                <w:color w:val="auto"/>
              </w:rPr>
              <w:t>Share-based compensation expense (</w:t>
            </w:r>
            <w:hyperlink w:anchor="page104">
              <w:r>
                <w:rPr>
                  <w:rFonts w:ascii="Arial" w:cs="Arial" w:eastAsia="Arial" w:hAnsi="Arial"/>
                  <w:sz w:val="16"/>
                  <w:szCs w:val="16"/>
                  <w:color w:val="0000FF"/>
                </w:rPr>
                <w:t>Note 16</w:t>
              </w:r>
            </w:hyperlink>
            <w:r>
              <w:rPr>
                <w:rFonts w:ascii="Arial" w:cs="Arial" w:eastAsia="Arial" w:hAnsi="Arial"/>
                <w:sz w:val="16"/>
                <w:szCs w:val="16"/>
                <w:color w:val="auto"/>
              </w:rPr>
              <w:t>) (2)</w:t>
            </w:r>
          </w:p>
        </w:tc>
        <w:tc>
          <w:tcPr>
            <w:tcW w:w="980" w:type="dxa"/>
            <w:vAlign w:val="bottom"/>
          </w:tcPr>
          <w:p>
            <w:pPr>
              <w:spacing w:after="0"/>
              <w:rPr>
                <w:sz w:val="14"/>
                <w:szCs w:val="14"/>
                <w:color w:val="auto"/>
              </w:rPr>
            </w:pPr>
          </w:p>
        </w:tc>
        <w:tc>
          <w:tcPr>
            <w:tcW w:w="540" w:type="dxa"/>
            <w:vAlign w:val="bottom"/>
          </w:tcPr>
          <w:p>
            <w:pPr>
              <w:jc w:val="right"/>
              <w:spacing w:after="0" w:line="171" w:lineRule="exact"/>
              <w:rPr>
                <w:sz w:val="20"/>
                <w:szCs w:val="20"/>
                <w:color w:val="auto"/>
              </w:rPr>
            </w:pPr>
            <w:r>
              <w:rPr>
                <w:rFonts w:ascii="Arial" w:cs="Arial" w:eastAsia="Arial" w:hAnsi="Arial"/>
                <w:sz w:val="16"/>
                <w:szCs w:val="16"/>
                <w:color w:val="auto"/>
              </w:rPr>
              <w:t>508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71" w:lineRule="exact"/>
              <w:rPr>
                <w:sz w:val="20"/>
                <w:szCs w:val="20"/>
                <w:color w:val="auto"/>
              </w:rPr>
            </w:pPr>
            <w:r>
              <w:rPr>
                <w:rFonts w:ascii="Arial" w:cs="Arial" w:eastAsia="Arial" w:hAnsi="Arial"/>
                <w:sz w:val="16"/>
                <w:szCs w:val="16"/>
                <w:color w:val="auto"/>
              </w:rPr>
              <w:t>218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spacing w:after="0" w:line="171" w:lineRule="exact"/>
              <w:rPr>
                <w:sz w:val="20"/>
                <w:szCs w:val="20"/>
                <w:color w:val="auto"/>
              </w:rPr>
            </w:pPr>
            <w:r>
              <w:rPr>
                <w:rFonts w:ascii="Arial" w:cs="Arial" w:eastAsia="Arial" w:hAnsi="Arial"/>
                <w:sz w:val="16"/>
                <w:szCs w:val="16"/>
                <w:color w:val="auto"/>
              </w:rPr>
              <w:t>166</w:t>
            </w:r>
          </w:p>
        </w:tc>
      </w:tr>
      <w:tr>
        <w:trPr>
          <w:trHeight w:val="30"/>
        </w:trPr>
        <w:tc>
          <w:tcPr>
            <w:tcW w:w="25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9"/>
        </w:trPr>
        <w:tc>
          <w:tcPr>
            <w:tcW w:w="6440" w:type="dxa"/>
            <w:vAlign w:val="bottom"/>
            <w:gridSpan w:val="5"/>
            <w:shd w:val="clear" w:color="auto" w:fill="CCEEFF"/>
          </w:tcPr>
          <w:p>
            <w:pPr>
              <w:ind w:left="220"/>
              <w:spacing w:after="0" w:line="180" w:lineRule="exact"/>
              <w:rPr>
                <w:rFonts w:ascii="Arial" w:cs="Arial" w:eastAsia="Arial" w:hAnsi="Arial"/>
                <w:sz w:val="16"/>
                <w:szCs w:val="16"/>
                <w:color w:val="auto"/>
              </w:rPr>
            </w:pPr>
            <w:r>
              <w:rPr>
                <w:rFonts w:ascii="Arial" w:cs="Arial" w:eastAsia="Arial" w:hAnsi="Arial"/>
                <w:sz w:val="16"/>
                <w:szCs w:val="16"/>
                <w:color w:val="auto"/>
              </w:rPr>
              <w:t>Realized and unrealized gain on equity investment (</w:t>
            </w:r>
            <w:hyperlink w:anchor="page90">
              <w:r>
                <w:rPr>
                  <w:rFonts w:ascii="Arial" w:cs="Arial" w:eastAsia="Arial" w:hAnsi="Arial"/>
                  <w:sz w:val="16"/>
                  <w:szCs w:val="16"/>
                  <w:color w:val="0000FF"/>
                </w:rPr>
                <w:t>Note 10</w:t>
              </w:r>
            </w:hyperlink>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(38)</w:t>
            </w:r>
          </w:p>
        </w:tc>
      </w:tr>
      <w:tr>
        <w:trPr>
          <w:trHeight w:val="207"/>
        </w:trPr>
        <w:tc>
          <w:tcPr>
            <w:tcW w:w="3500" w:type="dxa"/>
            <w:vAlign w:val="bottom"/>
            <w:tcBorders>
              <w:top w:val="single" w:sz="8" w:color="CCEEFF"/>
            </w:tcBorders>
            <w:gridSpan w:val="3"/>
          </w:tcPr>
          <w:p>
            <w:pPr>
              <w:ind w:left="220"/>
              <w:spacing w:after="0"/>
              <w:rPr>
                <w:sz w:val="20"/>
                <w:szCs w:val="20"/>
                <w:color w:val="auto"/>
              </w:rPr>
            </w:pPr>
            <w:r>
              <w:rPr>
                <w:rFonts w:ascii="Arial" w:cs="Arial" w:eastAsia="Arial" w:hAnsi="Arial"/>
                <w:sz w:val="16"/>
                <w:szCs w:val="16"/>
                <w:color w:val="auto"/>
              </w:rPr>
              <w:t>Other</w:t>
            </w:r>
          </w:p>
        </w:tc>
        <w:tc>
          <w:tcPr>
            <w:tcW w:w="500" w:type="dxa"/>
            <w:vAlign w:val="bottom"/>
            <w:tcBorders>
              <w:top w:val="single" w:sz="8" w:color="0000FF"/>
            </w:tcBorders>
          </w:tcPr>
          <w:p>
            <w:pPr>
              <w:spacing w:after="0"/>
              <w:rPr>
                <w:sz w:val="17"/>
                <w:szCs w:val="17"/>
                <w:color w:val="auto"/>
              </w:rPr>
            </w:pPr>
          </w:p>
        </w:tc>
        <w:tc>
          <w:tcPr>
            <w:tcW w:w="24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7"/>
        </w:trPr>
        <w:tc>
          <w:tcPr>
            <w:tcW w:w="6440" w:type="dxa"/>
            <w:vAlign w:val="bottom"/>
            <w:gridSpan w:val="5"/>
          </w:tcPr>
          <w:p>
            <w:pPr>
              <w:ind w:left="220"/>
              <w:spacing w:after="0"/>
              <w:rPr>
                <w:sz w:val="20"/>
                <w:szCs w:val="20"/>
                <w:color w:val="auto"/>
              </w:rPr>
            </w:pPr>
            <w:r>
              <w:rPr>
                <w:rFonts w:ascii="Arial" w:cs="Arial" w:eastAsia="Arial" w:hAnsi="Arial"/>
                <w:sz w:val="16"/>
                <w:szCs w:val="16"/>
                <w:color w:val="auto"/>
              </w:rPr>
              <w:t>Accounts receivable, net</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644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Software development and intellectual property licenses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07"/>
        </w:trPr>
        <w:tc>
          <w:tcPr>
            <w:tcW w:w="6440" w:type="dxa"/>
            <w:vAlign w:val="bottom"/>
            <w:gridSpan w:val="5"/>
          </w:tcPr>
          <w:p>
            <w:pPr>
              <w:ind w:left="22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644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Deferred revenues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7"/>
        </w:trPr>
        <w:tc>
          <w:tcPr>
            <w:tcW w:w="6440" w:type="dxa"/>
            <w:vAlign w:val="bottom"/>
            <w:gridSpan w:val="5"/>
          </w:tcPr>
          <w:p>
            <w:pPr>
              <w:ind w:left="22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44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0"/>
        </w:trPr>
        <w:tc>
          <w:tcPr>
            <w:tcW w:w="6440" w:type="dxa"/>
            <w:vAlign w:val="bottom"/>
            <w:tcBorders>
              <w:bottom w:val="single" w:sz="8" w:color="CCEEFF"/>
            </w:tcBorders>
            <w:gridSpan w:val="5"/>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w:t>
            </w:r>
          </w:p>
        </w:tc>
      </w:tr>
      <w:tr>
        <w:trPr>
          <w:trHeight w:val="206"/>
        </w:trPr>
        <w:tc>
          <w:tcPr>
            <w:tcW w:w="64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Proceeds from maturities of available-for-sale investments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Proceeds from sale of available-for-sale investments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Purchases of available-for-sale investments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Other investing activities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6440" w:type="dxa"/>
            <w:vAlign w:val="bottom"/>
            <w:tcBorders>
              <w:top w:val="single" w:sz="8" w:color="CCEEFF"/>
            </w:tcBorders>
            <w:gridSpan w:val="5"/>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0"/>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to employees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Tax payment related to net share settlements on restricted stock units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Proceeds from debt issuances, net of discounts</w:t>
            </w:r>
          </w:p>
        </w:tc>
        <w:tc>
          <w:tcPr>
            <w:tcW w:w="9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Repayment of long-term debt</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Payment of financing costs</w:t>
            </w:r>
          </w:p>
        </w:tc>
        <w:tc>
          <w:tcPr>
            <w:tcW w:w="9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Premium payment for early redemption of note</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440" w:type="dxa"/>
            <w:vAlign w:val="bottom"/>
            <w:tcBorders>
              <w:bottom w:val="single" w:sz="8" w:color="CCEEFF"/>
            </w:tcBorders>
            <w:gridSpan w:val="5"/>
          </w:tcPr>
          <w:p>
            <w:pPr>
              <w:ind w:left="14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206"/>
        </w:trPr>
        <w:tc>
          <w:tcPr>
            <w:tcW w:w="64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6440" w:type="dxa"/>
            <w:vAlign w:val="bottom"/>
            <w:gridSpan w:val="5"/>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1,569</w:t>
            </w:r>
          </w:p>
        </w:tc>
      </w:tr>
      <w:tr>
        <w:trPr>
          <w:trHeight w:val="210"/>
        </w:trPr>
        <w:tc>
          <w:tcPr>
            <w:tcW w:w="64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4,229</w:t>
            </w:r>
          </w:p>
        </w:tc>
      </w:tr>
      <w:tr>
        <w:trPr>
          <w:trHeight w:val="206"/>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10,438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7"/>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644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3"/>
        </w:trPr>
        <w:tc>
          <w:tcPr>
            <w:tcW w:w="6440" w:type="dxa"/>
            <w:vAlign w:val="bottom"/>
            <w:gridSpan w:val="5"/>
          </w:tcPr>
          <w:p>
            <w:pPr>
              <w:ind w:left="140"/>
              <w:spacing w:after="0"/>
              <w:rPr>
                <w:sz w:val="20"/>
                <w:szCs w:val="20"/>
                <w:color w:val="auto"/>
              </w:rPr>
            </w:pPr>
            <w:r>
              <w:rPr>
                <w:rFonts w:ascii="Arial" w:cs="Arial" w:eastAsia="Arial" w:hAnsi="Arial"/>
                <w:sz w:val="16"/>
                <w:szCs w:val="16"/>
                <w:color w:val="auto"/>
              </w:rPr>
              <w:t>Cash paid for interest</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67"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 including liability awards accounted for under ASC 718.</w:t>
      </w:r>
    </w:p>
    <w:p>
      <w:pPr>
        <w:spacing w:after="0" w:line="8" w:lineRule="exact"/>
        <w:rPr>
          <w:rFonts w:ascii="Arial" w:cs="Arial" w:eastAsia="Arial" w:hAnsi="Arial"/>
          <w:sz w:val="14"/>
          <w:szCs w:val="14"/>
          <w:color w:val="auto"/>
        </w:rPr>
      </w:pPr>
    </w:p>
    <w:p>
      <w:pPr>
        <w:ind w:left="320" w:hanging="315"/>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 including liability awards accounted for under ASC 718.</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EQUITY</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For the Years Ended December 31, 2021, 2020, and 2019</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(Amounts and shares in millions,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80" w:type="dxa"/>
            <w:vAlign w:val="bottom"/>
            <w:vMerge w:val="restart"/>
          </w:tcPr>
          <w:p>
            <w:pPr>
              <w:jc w:val="center"/>
              <w:ind w:right="11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28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28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640" w:type="dxa"/>
            <w:vAlign w:val="bottom"/>
          </w:tcPr>
          <w:p>
            <w:pPr>
              <w:spacing w:after="0"/>
              <w:rPr>
                <w:sz w:val="8"/>
                <w:szCs w:val="8"/>
                <w:color w:val="auto"/>
              </w:rPr>
            </w:pPr>
          </w:p>
        </w:tc>
        <w:tc>
          <w:tcPr>
            <w:tcW w:w="12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0" w:lineRule="exact"/>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8"/>
                <w:szCs w:val="8"/>
                <w:color w:val="auto"/>
              </w:rPr>
            </w:pPr>
          </w:p>
        </w:tc>
        <w:tc>
          <w:tcPr>
            <w:tcW w:w="900" w:type="dxa"/>
            <w:vAlign w:val="bottom"/>
            <w:gridSpan w:val="2"/>
          </w:tcPr>
          <w:p>
            <w:pPr>
              <w:ind w:left="80"/>
              <w:spacing w:after="0" w:line="100" w:lineRule="exact"/>
              <w:rPr>
                <w:sz w:val="20"/>
                <w:szCs w:val="20"/>
                <w:color w:val="auto"/>
              </w:rPr>
            </w:pPr>
            <w:r>
              <w:rPr>
                <w:rFonts w:ascii="Arial" w:cs="Arial" w:eastAsia="Arial" w:hAnsi="Arial"/>
                <w:sz w:val="10"/>
                <w:szCs w:val="10"/>
                <w:b w:val="1"/>
                <w:bCs w:val="1"/>
                <w:color w:val="auto"/>
              </w:rPr>
              <w:t>Retained</w:t>
            </w:r>
          </w:p>
        </w:tc>
        <w:tc>
          <w:tcPr>
            <w:tcW w:w="1060" w:type="dxa"/>
            <w:vAlign w:val="bottom"/>
            <w:gridSpan w:val="3"/>
          </w:tcPr>
          <w:p>
            <w:pPr>
              <w:ind w:left="20"/>
              <w:spacing w:after="0" w:line="100" w:lineRule="exact"/>
              <w:rPr>
                <w:sz w:val="20"/>
                <w:szCs w:val="20"/>
                <w:color w:val="auto"/>
              </w:rPr>
            </w:pPr>
            <w:r>
              <w:rPr>
                <w:rFonts w:ascii="Arial" w:cs="Arial" w:eastAsia="Arial" w:hAnsi="Arial"/>
                <w:sz w:val="10"/>
                <w:szCs w:val="10"/>
                <w:b w:val="1"/>
                <w:bCs w:val="1"/>
                <w:color w:val="auto"/>
              </w:rPr>
              <w:t>Comprehensive</w:t>
            </w:r>
          </w:p>
        </w:tc>
        <w:tc>
          <w:tcPr>
            <w:tcW w:w="960" w:type="dxa"/>
            <w:vAlign w:val="bottom"/>
            <w:gridSpan w:val="2"/>
          </w:tcPr>
          <w:p>
            <w:pPr>
              <w:jc w:val="center"/>
              <w:spacing w:after="0" w:line="100"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Income (Loss)</w:t>
            </w:r>
          </w:p>
        </w:tc>
        <w:tc>
          <w:tcPr>
            <w:tcW w:w="180" w:type="dxa"/>
            <w:vAlign w:val="bottom"/>
          </w:tcPr>
          <w:p>
            <w:pPr>
              <w:spacing w:after="0"/>
              <w:rPr>
                <w:sz w:val="16"/>
                <w:szCs w:val="16"/>
                <w:color w:val="auto"/>
              </w:rPr>
            </w:pPr>
          </w:p>
        </w:tc>
        <w:tc>
          <w:tcPr>
            <w:tcW w:w="780" w:type="dxa"/>
            <w:vAlign w:val="bottom"/>
          </w:tcPr>
          <w:p>
            <w:pPr>
              <w:jc w:val="center"/>
              <w:ind w:right="11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10,963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11,392</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181"/>
        </w:trPr>
        <w:tc>
          <w:tcPr>
            <w:tcW w:w="464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1"/>
        </w:trPr>
        <w:tc>
          <w:tcPr>
            <w:tcW w:w="4640" w:type="dxa"/>
            <w:vAlign w:val="bottom"/>
          </w:tcPr>
          <w:p>
            <w:pPr>
              <w:ind w:left="20"/>
              <w:spacing w:after="0" w:line="131" w:lineRule="exact"/>
              <w:rPr>
                <w:sz w:val="20"/>
                <w:szCs w:val="20"/>
                <w:color w:val="auto"/>
              </w:rPr>
            </w:pPr>
            <w:r>
              <w:rPr>
                <w:rFonts w:ascii="Arial" w:cs="Arial" w:eastAsia="Arial" w:hAnsi="Arial"/>
                <w:sz w:val="14"/>
                <w:szCs w:val="14"/>
                <w:color w:val="auto"/>
                <w:w w:val="98"/>
              </w:rPr>
              <w:t>Share-based compensation expense related to employee stock options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1"/>
        </w:trPr>
        <w:tc>
          <w:tcPr>
            <w:tcW w:w="464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($0.37 per common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77"/>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1,197</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7,813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Cumulative impact from adoption of new credit loss standard</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181"/>
        </w:trPr>
        <w:tc>
          <w:tcPr>
            <w:tcW w:w="464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1"/>
        </w:trPr>
        <w:tc>
          <w:tcPr>
            <w:tcW w:w="4640" w:type="dxa"/>
            <w:vAlign w:val="bottom"/>
          </w:tcPr>
          <w:p>
            <w:pPr>
              <w:ind w:left="20"/>
              <w:spacing w:after="0" w:line="131" w:lineRule="exact"/>
              <w:rPr>
                <w:sz w:val="20"/>
                <w:szCs w:val="20"/>
                <w:color w:val="auto"/>
              </w:rPr>
            </w:pPr>
            <w:r>
              <w:rPr>
                <w:rFonts w:ascii="Arial" w:cs="Arial" w:eastAsia="Arial" w:hAnsi="Arial"/>
                <w:sz w:val="14"/>
                <w:szCs w:val="14"/>
                <w:color w:val="auto"/>
                <w:w w:val="98"/>
              </w:rPr>
              <w:t>Share-based compensation expense related to employee stock options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1"/>
        </w:trPr>
        <w:tc>
          <w:tcPr>
            <w:tcW w:w="464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($0.41 per common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50"/>
        </w:trPr>
        <w:tc>
          <w:tcPr>
            <w:tcW w:w="464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Balance at December 31, 2020</w:t>
            </w: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ind w:left="280"/>
              <w:spacing w:after="0" w:line="151" w:lineRule="exact"/>
              <w:rPr>
                <w:sz w:val="20"/>
                <w:szCs w:val="20"/>
                <w:color w:val="auto"/>
              </w:rPr>
            </w:pPr>
            <w:r>
              <w:rPr>
                <w:rFonts w:ascii="Arial" w:cs="Arial" w:eastAsia="Arial" w:hAnsi="Arial"/>
                <w:sz w:val="14"/>
                <w:szCs w:val="14"/>
                <w:b w:val="1"/>
                <w:bCs w:val="1"/>
                <w:color w:val="auto"/>
                <w:w w:val="91"/>
              </w:rPr>
              <w:t>(429)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9"/>
              </w:rPr>
              <w:t>(5,563)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11,531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9,691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(622)</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4"/>
              <w:spacing w:after="0" w:line="151"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15,037</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4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Components of comprehensive income:</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2,699</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4"/>
        </w:trPr>
        <w:tc>
          <w:tcPr>
            <w:tcW w:w="4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8"/>
              </w:rPr>
              <w:t>Share-based compensation expense related to employee stock options and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4"/>
        </w:trPr>
        <w:tc>
          <w:tcPr>
            <w:tcW w:w="4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Dividends ($0.47 per common share)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4"/>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17,599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6"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50" w:lineRule="exact"/>
        <w:rPr>
          <w:sz w:val="20"/>
          <w:szCs w:val="20"/>
          <w:color w:val="auto"/>
        </w:rPr>
      </w:pPr>
    </w:p>
    <w:p>
      <w:pPr>
        <w:ind w:right="80" w:firstLine="393"/>
        <w:spacing w:after="0" w:line="244"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50" w:lineRule="exact"/>
        <w:rPr>
          <w:sz w:val="20"/>
          <w:szCs w:val="20"/>
          <w:color w:val="auto"/>
        </w:rPr>
      </w:pPr>
    </w:p>
    <w:p>
      <w:pPr>
        <w:ind w:firstLine="393"/>
        <w:spacing w:after="0" w:line="200"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7"/>
          <w:szCs w:val="27"/>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Warcraft</w:t>
      </w:r>
      <w:r>
        <w:rPr>
          <w:rFonts w:ascii="Arial" w:cs="Arial" w:eastAsia="Arial" w:hAnsi="Arial"/>
          <w:sz w:val="27"/>
          <w:szCs w:val="27"/>
          <w:color w:val="auto"/>
          <w:vertAlign w:val="superscript"/>
        </w:rPr>
        <w:t>®</w:t>
      </w:r>
      <w:r>
        <w:rPr>
          <w:rFonts w:ascii="Arial" w:cs="Arial" w:eastAsia="Arial" w:hAnsi="Arial"/>
          <w:sz w:val="17"/>
          <w:szCs w:val="17"/>
          <w:color w:val="auto"/>
        </w:rPr>
        <w:t>, which includes World of Warcraft</w:t>
      </w:r>
      <w:r>
        <w:rPr>
          <w:rFonts w:ascii="Arial" w:cs="Arial" w:eastAsia="Arial" w:hAnsi="Arial"/>
          <w:sz w:val="27"/>
          <w:szCs w:val="27"/>
          <w:color w:val="auto"/>
          <w:vertAlign w:val="superscript"/>
        </w:rPr>
        <w:t>®</w:t>
      </w:r>
      <w:r>
        <w:rPr>
          <w:rFonts w:ascii="Arial" w:cs="Arial" w:eastAsia="Arial" w:hAnsi="Arial"/>
          <w:sz w:val="17"/>
          <w:szCs w:val="17"/>
          <w:color w:val="auto"/>
        </w:rPr>
        <w:t>, a subscription-based massive multi-player online role-playing game, and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franchise is Candy Crush™, a “match three” franchise.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50"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 U.S.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Certain reclassifications have been made to prior-year amounts to conform to the current period presentation.</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14" w:lineRule="exact"/>
        <w:rPr>
          <w:sz w:val="20"/>
          <w:szCs w:val="20"/>
          <w:color w:val="auto"/>
        </w:rPr>
      </w:pPr>
    </w:p>
    <w:p>
      <w:pPr>
        <w:ind w:right="600" w:firstLine="393"/>
        <w:spacing w:after="0" w:line="289" w:lineRule="auto"/>
        <w:rPr>
          <w:sz w:val="20"/>
          <w:szCs w:val="20"/>
          <w:color w:val="auto"/>
        </w:rPr>
      </w:pPr>
      <w:r>
        <w:rPr>
          <w:rFonts w:ascii="Arial" w:cs="Arial" w:eastAsia="Arial" w:hAnsi="Arial"/>
          <w:sz w:val="17"/>
          <w:szCs w:val="17"/>
          <w:color w:val="auto"/>
        </w:rPr>
        <w:t>The Company considers events or transactions that occur after the balance sheet date, but before the financial statements are issued, for additional evidence relative to certain estimates or to identify matters that require additional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50"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We consider all money market funds and highly liquid investments with original maturities of three months or less at the time of purchase to be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250" w:lineRule="exact"/>
        <w:rPr>
          <w:sz w:val="20"/>
          <w:szCs w:val="20"/>
          <w:color w:val="auto"/>
        </w:rPr>
      </w:pPr>
    </w:p>
    <w:p>
      <w:pPr>
        <w:ind w:right="460" w:firstLine="393"/>
        <w:spacing w:after="0" w:line="326" w:lineRule="auto"/>
        <w:rPr>
          <w:sz w:val="20"/>
          <w:szCs w:val="20"/>
          <w:color w:val="auto"/>
        </w:rPr>
      </w:pPr>
      <w:r>
        <w:rPr>
          <w:rFonts w:ascii="Arial" w:cs="Arial" w:eastAsia="Arial" w:hAnsi="Arial"/>
          <w:sz w:val="15"/>
          <w:szCs w:val="15"/>
          <w:color w:val="auto"/>
        </w:rPr>
        <w:t>Investments in debt securities designated as available-for-sale are carried at fair value, which is based on quoted market prices for such securities, if available, or is estimated on the basis of quoted market prices of financial instruments with similar characteristics. Unrealized gains and losses on the Company’s available-for-sale debt securities are excluded from earnings and are reported as a component of “Other comprehensive income (loss).”</w:t>
      </w:r>
    </w:p>
    <w:p>
      <w:pPr>
        <w:spacing w:after="0" w:line="163" w:lineRule="exact"/>
        <w:rPr>
          <w:sz w:val="20"/>
          <w:szCs w:val="20"/>
          <w:color w:val="auto"/>
        </w:rPr>
      </w:pPr>
    </w:p>
    <w:p>
      <w:pPr>
        <w:jc w:val="both"/>
        <w:ind w:right="100" w:firstLine="393"/>
        <w:spacing w:after="0" w:line="273" w:lineRule="auto"/>
        <w:rPr>
          <w:sz w:val="20"/>
          <w:szCs w:val="20"/>
          <w:color w:val="auto"/>
        </w:rPr>
      </w:pPr>
      <w:r>
        <w:rPr>
          <w:rFonts w:ascii="Arial" w:cs="Arial" w:eastAsia="Arial" w:hAnsi="Arial"/>
          <w:sz w:val="17"/>
          <w:szCs w:val="17"/>
          <w:color w:val="auto"/>
        </w:rPr>
        <w:t>Investments with original maturities greater than three months and remaining maturities of less than one year are classified within “Other current assets.” Investments with maturities beyond one year may be classified within “Other current assets” if they are highly liquid in nature and represent the investment of cash that is available for current operations.</w:t>
      </w:r>
    </w:p>
    <w:p>
      <w:pPr>
        <w:spacing w:after="0" w:line="198"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The specific identification method is used to determine the cost of securities disposed of, with realized gains and losses reflected in “Interest and other expense (income), net” in our consolidated statements of operations.</w:t>
      </w:r>
    </w:p>
    <w:p>
      <w:pPr>
        <w:spacing w:after="0" w:line="185" w:lineRule="exact"/>
        <w:rPr>
          <w:sz w:val="20"/>
          <w:szCs w:val="20"/>
          <w:color w:val="auto"/>
        </w:rPr>
      </w:pPr>
    </w:p>
    <w:p>
      <w:pPr>
        <w:ind w:right="140" w:firstLine="393"/>
        <w:spacing w:after="0" w:line="290" w:lineRule="auto"/>
        <w:rPr>
          <w:sz w:val="20"/>
          <w:szCs w:val="20"/>
          <w:color w:val="auto"/>
        </w:rPr>
      </w:pPr>
      <w:r>
        <w:rPr>
          <w:rFonts w:ascii="Arial" w:cs="Arial" w:eastAsia="Arial" w:hAnsi="Arial"/>
          <w:sz w:val="16"/>
          <w:szCs w:val="16"/>
          <w:color w:val="auto"/>
        </w:rPr>
        <w:t>Investments in equity securities which are not accounted for under the equity method and for which there is not a readily determinable fair value are carried at cost, less impairment, and adjusted for changes resulting from observable price changes in orderly transactions for identical or similar investment of the same issuer. Investments in equity securities with a readily determinable fair value are measured at fair value each reporting period, with unrealized gains and losses recorded within “Interest and other expense (income)” in our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250"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The carrying amounts of “Cash and cash equivalents,” “Accounts receivable, net of allowances,” “Accounts payable,” and “Accrued expenses and other liabilities” approximate fair value due to the short-term nature of these accounts. Our investments in U.S. treasuries, government agency securities, and corporate bonds, if any, are carried at fair value, which is based on quoted market prices for such securities, if available, or is estimated on the basis of quoted market prices of financial instruments with similar characteristics.</w:t>
      </w:r>
    </w:p>
    <w:p>
      <w:pPr>
        <w:spacing w:after="0" w:line="202"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transact business in various foreign currencies and have significant international sales and expenses denominated in foreign currencies, subjecting us to foreign currency risk. To mitigate our foreign currency risk resulting from our foreign currency-denominated monetary assets, liabilities,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6" w:lineRule="exact"/>
        <w:rPr>
          <w:sz w:val="20"/>
          <w:szCs w:val="20"/>
          <w:color w:val="auto"/>
        </w:rPr>
      </w:pPr>
    </w:p>
    <w:p>
      <w:pPr>
        <w:ind w:right="100" w:firstLine="393"/>
        <w:spacing w:after="0" w:line="290" w:lineRule="auto"/>
        <w:rPr>
          <w:sz w:val="20"/>
          <w:szCs w:val="20"/>
          <w:color w:val="auto"/>
        </w:rPr>
      </w:pPr>
      <w:r>
        <w:rPr>
          <w:rFonts w:ascii="Arial" w:cs="Arial" w:eastAsia="Arial" w:hAnsi="Arial"/>
          <w:sz w:val="16"/>
          <w:szCs w:val="16"/>
          <w:color w:val="auto"/>
        </w:rPr>
        <w:t>We assess the nature of these derivatives under Financial Accounting Standards Board (“FASB”) Accounting Standards Codification (“ASC”) Topic 815 to determine whether such derivatives should be designated as hedging instruments. The fair values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do not hold or purchase foreign currency forward contracts for trading or speculative purposes.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For foreign currency forward contracts which are not designated as hedging instruments under ASC 815, we record the changes in the estimated fair value of these derivatives within “General and administrative expenses” in our consolidated statements of operations, consistent with the nature of the underlying transactions.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For foreign currency forward contracts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changes in the estimated fair value of these derivatives in “Accumulated other comprehensive loss” and subsequently reclassifies the related amount of accumulated other comprehensive income (loss) to earnings within “General and administrative” or “Net revenues” when the hedged item impacts earnings, consistent with the nature and timing of the underlying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50"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Our concentration of credit risk relates to depositors holding the Company’s cash and cash equivalents and customers with significant accounts receivable balances.</w:t>
      </w:r>
    </w:p>
    <w:p>
      <w:pPr>
        <w:spacing w:after="0" w:line="185" w:lineRule="exact"/>
        <w:rPr>
          <w:sz w:val="20"/>
          <w:szCs w:val="20"/>
          <w:color w:val="auto"/>
        </w:rPr>
      </w:pPr>
    </w:p>
    <w:p>
      <w:pPr>
        <w:ind w:right="920" w:firstLine="393"/>
        <w:spacing w:after="0" w:line="289" w:lineRule="auto"/>
        <w:rPr>
          <w:sz w:val="20"/>
          <w:szCs w:val="20"/>
          <w:color w:val="auto"/>
        </w:rPr>
      </w:pPr>
      <w:r>
        <w:rPr>
          <w:rFonts w:ascii="Arial" w:cs="Arial" w:eastAsia="Arial" w:hAnsi="Arial"/>
          <w:sz w:val="17"/>
          <w:szCs w:val="17"/>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85"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Our customer base includes first party digital storefronts, retailers and distributors, including mass-market retailers, consumer electronics stores, discount warehouses, and game specialty stores in the U.S. and other countries worldwide. We perform ongoing credit evaluations of our customers and maintain allowances for potential credit losses. We generally do not require collateral or other security from our customers.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percentage of our consolidated net revenues by our most significant customers were as follows:</w:t>
      </w:r>
    </w:p>
    <w:p>
      <w:pPr>
        <w:spacing w:after="0" w:line="284"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For the Years Ended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Borders>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b w:val="1"/>
                <w:bCs w:val="1"/>
                <w:color w:val="auto"/>
                <w:w w:val="97"/>
              </w:rPr>
              <w:t>December 31, 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5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December 31, 2020</w:t>
            </w:r>
          </w:p>
        </w:tc>
        <w:tc>
          <w:tcPr>
            <w:tcW w:w="140" w:type="dxa"/>
            <w:vAlign w:val="bottom"/>
            <w:tcBorders>
              <w:top w:val="single" w:sz="8" w:color="auto"/>
              <w:bottom w:val="single" w:sz="8" w:color="CCEEFF"/>
            </w:tcBorders>
          </w:tcPr>
          <w:p>
            <w:pPr>
              <w:spacing w:after="0"/>
              <w:rPr>
                <w:sz w:val="18"/>
                <w:szCs w:val="18"/>
                <w:color w:val="auto"/>
              </w:rPr>
            </w:pPr>
          </w:p>
        </w:tc>
        <w:tc>
          <w:tcPr>
            <w:tcW w:w="25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December 31, 2019</w:t>
            </w: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Apple Inc.</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23"/>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Google Inc.</w:t>
            </w:r>
          </w:p>
        </w:tc>
        <w:tc>
          <w:tcPr>
            <w:tcW w:w="48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14 %</w:t>
            </w:r>
          </w:p>
        </w:tc>
        <w:tc>
          <w:tcPr>
            <w:tcW w:w="14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22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Sony Interactive Entertainment Inc.</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4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22"/>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Microsoft Corporation</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11 %</w:t>
            </w:r>
          </w:p>
        </w:tc>
        <w:tc>
          <w:tcPr>
            <w:tcW w:w="14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6"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Customer did not account for 10% or more of our consolidated net revenues for the noted period.</w:t>
      </w:r>
    </w:p>
    <w:p>
      <w:pPr>
        <w:spacing w:after="0" w:line="250" w:lineRule="exact"/>
        <w:rPr>
          <w:sz w:val="20"/>
          <w:szCs w:val="20"/>
          <w:color w:val="auto"/>
        </w:rPr>
      </w:pPr>
    </w:p>
    <w:p>
      <w:pPr>
        <w:ind w:right="20" w:firstLine="393"/>
        <w:spacing w:after="0" w:line="298" w:lineRule="auto"/>
        <w:rPr>
          <w:sz w:val="20"/>
          <w:szCs w:val="20"/>
          <w:color w:val="auto"/>
        </w:rPr>
      </w:pPr>
      <w:r>
        <w:rPr>
          <w:rFonts w:ascii="Arial" w:cs="Arial" w:eastAsia="Arial" w:hAnsi="Arial"/>
          <w:sz w:val="16"/>
          <w:szCs w:val="16"/>
          <w:color w:val="auto"/>
        </w:rPr>
        <w:t>No other customer accounted for 10% or more of our net revenues in the periods above. We had two customers—Microsoft Corporation (“Microsoft”) and Sony Interactive Entertainment Inc. (“Sony”)—who accounted for 20% and 22%, respectively, of consolidated gross receivables at December 31, 2021, and 28% and 21%, respectively, at December 31, 2020. No other customer accounted for 10% or more of our consolidated gross receivables in those periods.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 and Intellectual Property Licenses</w:t>
      </w:r>
    </w:p>
    <w:p>
      <w:pPr>
        <w:spacing w:after="0" w:line="250" w:lineRule="exact"/>
        <w:rPr>
          <w:sz w:val="20"/>
          <w:szCs w:val="20"/>
          <w:color w:val="auto"/>
        </w:rPr>
      </w:pPr>
    </w:p>
    <w:p>
      <w:pPr>
        <w:ind w:firstLine="393"/>
        <w:spacing w:after="0" w:line="299" w:lineRule="auto"/>
        <w:rPr>
          <w:sz w:val="20"/>
          <w:szCs w:val="20"/>
          <w:color w:val="auto"/>
        </w:rPr>
      </w:pPr>
      <w:r>
        <w:rPr>
          <w:rFonts w:ascii="Arial" w:cs="Arial" w:eastAsia="Arial" w:hAnsi="Arial"/>
          <w:sz w:val="15"/>
          <w:szCs w:val="15"/>
          <w:color w:val="auto"/>
        </w:rPr>
        <w:t>Software development costs include direct costs incurred for internally developed products, as well as payments made to independent software developers under development agreements. Software development costs are capitalized once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Significant management judgments and estimates are applied in assessing when capitalization commences for software development costs and the evaluation is performed on a product-by-product basis.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jc w:val="both"/>
        <w:ind w:right="120" w:firstLine="393"/>
        <w:spacing w:after="0" w:line="273" w:lineRule="auto"/>
        <w:rPr>
          <w:sz w:val="20"/>
          <w:szCs w:val="20"/>
          <w:color w:val="auto"/>
        </w:rPr>
      </w:pPr>
      <w:r>
        <w:rPr>
          <w:rFonts w:ascii="Arial" w:cs="Arial" w:eastAsia="Arial" w:hAnsi="Arial"/>
          <w:sz w:val="17"/>
          <w:szCs w:val="17"/>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98"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Intellectual property license costs represent license fees paid to intellectual property rights holders for use of their trademarks, copyrights, software, technology, music or other intellectual property or proprietary rights in the development of our products. Depending upon the agreement with the rights holder, we may obtain the right to use the intellectual property in multiple products or for a single product. Prior to a product’s release, if and when we believe capitalized costs are not recoverable, we expense the amounts as part of “Cost of revenues—software royalties, amortization, and intellectual property licenses.” Capitalized intellectual property costs for products that are canceled or are expected to be abandoned are charged to “Product development” in the period of cancellation.</w:t>
      </w:r>
    </w:p>
    <w:p>
      <w:pPr>
        <w:spacing w:after="0" w:line="205" w:lineRule="exact"/>
        <w:rPr>
          <w:sz w:val="20"/>
          <w:szCs w:val="20"/>
          <w:color w:val="auto"/>
        </w:rPr>
      </w:pPr>
    </w:p>
    <w:p>
      <w:pPr>
        <w:ind w:right="20" w:firstLine="393"/>
        <w:spacing w:after="0" w:line="314" w:lineRule="auto"/>
        <w:rPr>
          <w:sz w:val="20"/>
          <w:szCs w:val="20"/>
          <w:color w:val="auto"/>
        </w:rPr>
      </w:pPr>
      <w:r>
        <w:rPr>
          <w:rFonts w:ascii="Arial" w:cs="Arial" w:eastAsia="Arial" w:hAnsi="Arial"/>
          <w:sz w:val="15"/>
          <w:szCs w:val="15"/>
          <w:color w:val="auto"/>
        </w:rPr>
        <w:t>Commencing upon a product’s release, capitalized intellectual property license costs are amortized to “Cost of revenues—software royalties, amortization, and intellectual property licenses” based on the ratio of current revenues for the specific product to total projected revenues for all products in which the licensed property will be utilized. As intellectual property license contracts may extend for multiple years and can be used in multiple products to be released over a period beyond one year, the amortization of capitalized intellectual property license costs relating to such contracts may extend beyond one year.</w:t>
      </w:r>
    </w:p>
    <w:p>
      <w:pPr>
        <w:spacing w:after="0" w:line="173" w:lineRule="exact"/>
        <w:rPr>
          <w:sz w:val="20"/>
          <w:szCs w:val="20"/>
          <w:color w:val="auto"/>
        </w:rPr>
      </w:pPr>
    </w:p>
    <w:p>
      <w:pPr>
        <w:ind w:firstLine="393"/>
        <w:spacing w:after="0" w:line="305" w:lineRule="auto"/>
        <w:rPr>
          <w:sz w:val="20"/>
          <w:szCs w:val="20"/>
          <w:color w:val="auto"/>
        </w:rPr>
      </w:pPr>
      <w:r>
        <w:rPr>
          <w:rFonts w:ascii="Arial" w:cs="Arial" w:eastAsia="Arial" w:hAnsi="Arial"/>
          <w:sz w:val="15"/>
          <w:szCs w:val="15"/>
          <w:color w:val="auto"/>
        </w:rPr>
        <w:t>We evaluate the future recoverability of capitalized software development costs and intellectual property licenses on a quarterly basis. For products that have been released,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Additionally, criteria used to evaluate expected product performance may include, as appropriate: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80" w:lineRule="exact"/>
        <w:rPr>
          <w:sz w:val="20"/>
          <w:szCs w:val="20"/>
          <w:color w:val="auto"/>
        </w:rPr>
      </w:pPr>
    </w:p>
    <w:p>
      <w:pPr>
        <w:ind w:right="200" w:firstLine="393"/>
        <w:spacing w:after="0" w:line="286"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Recognized from Costs to Obtain a Contract with a Customer</w:t>
      </w:r>
    </w:p>
    <w:p>
      <w:pPr>
        <w:spacing w:after="0" w:line="250"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We apply the practical expedient to expense, as incurred, costs to obtain a contract with a customer when the amortization period would have been one year or less for certain similar contracts in which commissions are paid to internal personnel or third parties. We believe application of the practical expedient has a limited effect on the amount and timing of cost recognition. Total capitalized costs to obtain a contract were immaterial as of December 31, 2021 and 2020.</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Property and Equipment.</w:t>
      </w:r>
    </w:p>
    <w:p>
      <w:pPr>
        <w:spacing w:after="0" w:line="250"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Property and equipment are recorded at cost and depreciated on a straight-line basis over the estimated useful life of the asset (i.e</w:t>
      </w:r>
      <w:r>
        <w:rPr>
          <w:rFonts w:ascii="Arial" w:cs="Arial" w:eastAsia="Arial" w:hAnsi="Arial"/>
          <w:sz w:val="17"/>
          <w:szCs w:val="17"/>
          <w:i w:val="1"/>
          <w:iCs w:val="1"/>
          <w:color w:val="auto"/>
        </w:rPr>
        <w:t>.</w:t>
      </w:r>
      <w:r>
        <w:rPr>
          <w:rFonts w:ascii="Arial" w:cs="Arial" w:eastAsia="Arial" w:hAnsi="Arial"/>
          <w:sz w:val="17"/>
          <w:szCs w:val="17"/>
          <w:color w:val="auto"/>
        </w:rPr>
        <w:t>, 25 to 33 years for buildings, and 2 to 5 years for computer equipment, office furniture and other equipment).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Goodwill and Other Indefinite-Lived Assets.</w:t>
      </w:r>
    </w:p>
    <w:p>
      <w:pPr>
        <w:spacing w:after="0" w:line="250"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Goodwill is considered to have an indefinite life and is carried at cost. Acquired trade names are assessed as indefinite lived assets if there are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14" w:lineRule="exact"/>
        <w:rPr>
          <w:sz w:val="20"/>
          <w:szCs w:val="20"/>
          <w:color w:val="auto"/>
        </w:rPr>
      </w:pPr>
    </w:p>
    <w:p>
      <w:pPr>
        <w:ind w:right="20" w:firstLine="393"/>
        <w:spacing w:after="0" w:line="301" w:lineRule="auto"/>
        <w:rPr>
          <w:sz w:val="20"/>
          <w:szCs w:val="20"/>
          <w:color w:val="auto"/>
        </w:rPr>
      </w:pPr>
      <w:r>
        <w:rPr>
          <w:rFonts w:ascii="Arial" w:cs="Arial" w:eastAsia="Arial" w:hAnsi="Arial"/>
          <w:sz w:val="15"/>
          <w:szCs w:val="15"/>
          <w:color w:val="auto"/>
        </w:rPr>
        <w:t>Our annual goodwill impairment test is performed at the reporting unit level. As of December 31, 2021 and 2020, our reporting units were the same as our operating segments. We generally test goodwill for possible impairment first by performing a qualitative assessment to determine whether it is more likely than not that the fair value of a reporting unit is less than its carrying value. If a qualitative assessment is not used, or if the qualitative assessment is not conclusive, a quantitative impairment test is performed. If a quantitative test is performed, we determine the fair value of the related reporting unit and compare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an impairment charge is recorded for this amount under revised accounting guidance we adopted during the year ended December 31, 2020, and is applicable for future periods. Based on our annual impairment assessment, no impairments of goodwill were identified for the years ended December 31, 2021, 2020, and 2019.</w:t>
      </w:r>
    </w:p>
    <w:p>
      <w:pPr>
        <w:spacing w:after="0" w:line="184" w:lineRule="exact"/>
        <w:rPr>
          <w:sz w:val="20"/>
          <w:szCs w:val="20"/>
          <w:color w:val="auto"/>
        </w:rPr>
      </w:pPr>
    </w:p>
    <w:p>
      <w:pPr>
        <w:ind w:right="200" w:firstLine="393"/>
        <w:spacing w:after="0" w:line="326" w:lineRule="auto"/>
        <w:rPr>
          <w:sz w:val="20"/>
          <w:szCs w:val="20"/>
          <w:color w:val="auto"/>
        </w:rPr>
      </w:pPr>
      <w:r>
        <w:rPr>
          <w:rFonts w:ascii="Arial" w:cs="Arial" w:eastAsia="Arial" w:hAnsi="Arial"/>
          <w:sz w:val="15"/>
          <w:szCs w:val="15"/>
          <w:color w:val="auto"/>
        </w:rPr>
        <w:t>We test our acquired trade names for possible impairment by applying the same process as for goodwill. In the instance when a qualitative test is not performed or is inconclusive, a quantitative test is performed by using a discounted cash flow model to estimate fair value of our acquired trade names. Based on our annual impairment assessment, no impairments of our acquired trade names were identified for the years ended December 31, 2021, 2020, and 2019.</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our assumptions underlying our estimates could result in future impairment charges.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Amortizable Intangible and Other Long-lived Assets.</w:t>
      </w:r>
    </w:p>
    <w:p>
      <w:pPr>
        <w:spacing w:after="0" w:line="250"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Intangible assets subject to amortization are carried at cost less accumulated amortization, and amortized over the estimated useful life in proportion to the economic benefits received.</w:t>
      </w:r>
    </w:p>
    <w:p>
      <w:pPr>
        <w:spacing w:after="0" w:line="185"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We evaluate the recoverability of our definite-lived intangible assets and other long-lived assets when events or circumstances indicate a potential impairment exists. We consider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We did not record an impairment charge to our definite-lived intangible assets for the years ended December 31, 2021,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50"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 Included in the lease liability are future lease payments that are fixed, in-substance fixed, or are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right-of-use (“ROU”) asset also includes any lease payments made prior to the lease commencement date, initial direct costs incurred, and lease incentives received. As most of our leases do not provide an implicit rate, we generally use our incremental borrowing rate in determining the present value of future payments. The incremental borrowing rate represents an approximation of the rate that would be charged to borrow funds to purchase the leased asset over a similar term, and is based on the information available at the commencement date of the lease. For leased assets with similar lease terms and asset types, we applied a portfolio approach in determining a single incremental borrowing rate for the leased assets.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In determining our lease liability, the lease term includes options to extend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206" w:lineRule="exact"/>
        <w:rPr>
          <w:sz w:val="20"/>
          <w:szCs w:val="20"/>
          <w:color w:val="auto"/>
        </w:rPr>
      </w:pPr>
    </w:p>
    <w:p>
      <w:pPr>
        <w:ind w:right="540" w:firstLine="393"/>
        <w:spacing w:after="0" w:line="314" w:lineRule="auto"/>
        <w:rPr>
          <w:sz w:val="20"/>
          <w:szCs w:val="20"/>
          <w:color w:val="auto"/>
        </w:rPr>
      </w:pPr>
      <w:r>
        <w:rPr>
          <w:rFonts w:ascii="Arial" w:cs="Arial" w:eastAsia="Arial" w:hAnsi="Arial"/>
          <w:sz w:val="15"/>
          <w:szCs w:val="15"/>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73"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Operating lease ROU assets are presented in “Other assets” and operating lease liabilities are presented in “Accrued expenses and other current liabilities” and “Other liabilities” on our consolidated balance sheet.</w:t>
      </w:r>
    </w:p>
    <w:p>
      <w:pPr>
        <w:spacing w:after="0" w:line="185" w:lineRule="exact"/>
        <w:rPr>
          <w:sz w:val="20"/>
          <w:szCs w:val="20"/>
          <w:color w:val="auto"/>
        </w:rPr>
      </w:pPr>
    </w:p>
    <w:p>
      <w:pPr>
        <w:ind w:right="460" w:firstLine="393"/>
        <w:spacing w:after="0" w:line="289" w:lineRule="auto"/>
        <w:rPr>
          <w:sz w:val="20"/>
          <w:szCs w:val="20"/>
          <w:color w:val="auto"/>
        </w:rPr>
      </w:pPr>
      <w:r>
        <w:rPr>
          <w:rFonts w:ascii="Arial" w:cs="Arial" w:eastAsia="Arial" w:hAnsi="Arial"/>
          <w:sz w:val="17"/>
          <w:szCs w:val="17"/>
          <w:color w:val="auto"/>
        </w:rPr>
        <w:t>Finance lease ROU assets are presented in “Property and equipment, net” and finance lease liabilities are presented in “Accrued expenses and other current liabilities” and “Other liabilities” on our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ind w:right="300" w:firstLine="393"/>
        <w:spacing w:after="0" w:line="273" w:lineRule="auto"/>
        <w:rPr>
          <w:sz w:val="20"/>
          <w:szCs w:val="20"/>
          <w:color w:val="auto"/>
        </w:rPr>
      </w:pPr>
      <w:r>
        <w:rPr>
          <w:rFonts w:ascii="Arial" w:cs="Arial" w:eastAsia="Arial" w:hAnsi="Arial"/>
          <w:sz w:val="17"/>
          <w:szCs w:val="17"/>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198" w:lineRule="exact"/>
        <w:rPr>
          <w:sz w:val="20"/>
          <w:szCs w:val="20"/>
          <w:color w:val="auto"/>
        </w:rPr>
      </w:pPr>
    </w:p>
    <w:p>
      <w:pPr>
        <w:ind w:left="940" w:hanging="306"/>
        <w:spacing w:after="0"/>
        <w:tabs>
          <w:tab w:leader="none" w:pos="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premium full games, which typically provide access to main game content after purchase;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free-to-play offerings, which allows players to download the game and engage with the associated content for free;</w:t>
      </w:r>
    </w:p>
    <w:p>
      <w:pPr>
        <w:spacing w:after="0" w:line="250" w:lineRule="exact"/>
        <w:rPr>
          <w:rFonts w:ascii="Arial" w:cs="Arial" w:eastAsia="Arial" w:hAnsi="Arial"/>
          <w:sz w:val="17"/>
          <w:szCs w:val="17"/>
          <w:color w:val="auto"/>
        </w:rPr>
      </w:pPr>
    </w:p>
    <w:p>
      <w:pPr>
        <w:ind w:left="940" w:right="280" w:hanging="306"/>
        <w:spacing w:after="0" w:line="289"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in-game content for purchase to enhance gameplay (i.e., microtransactions and downloadable content) available within both our premium full-game and free-to-play offerings; and</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subscriptions to players in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that provide ongoing access to the game content.</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When control of the promised products and services is transferred to our customers, we recognize revenue in the amount that reflects the consideration we expect to receive in exchange for these products and services.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determine revenue recognition by:</w:t>
      </w:r>
    </w:p>
    <w:p>
      <w:pPr>
        <w:spacing w:after="0" w:line="250" w:lineRule="exact"/>
        <w:rPr>
          <w:sz w:val="20"/>
          <w:szCs w:val="20"/>
          <w:color w:val="auto"/>
        </w:rPr>
      </w:pPr>
    </w:p>
    <w:p>
      <w:pPr>
        <w:ind w:left="940" w:hanging="30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identifying the contract, or contracts, with a customer;</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identifying the performance obligations in each contract;</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determining the transaction price;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allocating the transaction price to the performance obligations in each contract;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recognizing revenue when, or as, we satisfy performance obligations by transferring the promised goods or services.</w:t>
      </w:r>
    </w:p>
    <w:p>
      <w:pPr>
        <w:spacing w:after="0" w:line="250" w:lineRule="exact"/>
        <w:rPr>
          <w:sz w:val="20"/>
          <w:szCs w:val="20"/>
          <w:color w:val="auto"/>
        </w:rPr>
      </w:pPr>
    </w:p>
    <w:p>
      <w:pPr>
        <w:ind w:right="60" w:firstLine="393"/>
        <w:spacing w:after="0" w:line="290"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Product Sales</w:t>
      </w:r>
    </w:p>
    <w:p>
      <w:pPr>
        <w:spacing w:after="0" w:line="250"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Product sales consist of sales of our games, including digital full-game downloads and physical products.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202"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98"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Products with Online Functionality</w:t>
      </w:r>
    </w:p>
    <w:p>
      <w:pPr>
        <w:spacing w:after="0" w:line="250"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For our software products that include both offline functionality (i.e., do not require an Internet connection to access) and significant online functionality, such as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215" w:lineRule="exact"/>
        <w:rPr>
          <w:sz w:val="20"/>
          <w:szCs w:val="20"/>
          <w:color w:val="auto"/>
        </w:rPr>
      </w:pPr>
    </w:p>
    <w:p>
      <w:pPr>
        <w:ind w:right="160" w:firstLine="393"/>
        <w:spacing w:after="0" w:line="28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software royalties, amortization, and intellectual property licenses, and excludes intangible asset amortization.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Online Hosted Software Arrangements</w:t>
      </w:r>
    </w:p>
    <w:p>
      <w:pPr>
        <w:spacing w:after="0" w:line="250"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For our online hosted software arrangements, such as titles for the Overwatch,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Subscription, and Other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In-game Revenues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In-game revenues primarily includes revenues from microtransactions and downloadable content. 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estimated service period.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Subscription Revenues</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 xml:space="preserve">Subscription revenue arrangements are mostly derived from </w:t>
      </w:r>
      <w:r>
        <w:rPr>
          <w:rFonts w:ascii="Arial" w:cs="Arial" w:eastAsia="Arial" w:hAnsi="Arial"/>
          <w:sz w:val="17"/>
          <w:szCs w:val="17"/>
          <w:i w:val="1"/>
          <w:iCs w:val="1"/>
          <w:color w:val="auto"/>
        </w:rPr>
        <w:t>World of Warcraft</w:t>
      </w:r>
      <w:r>
        <w:rPr>
          <w:rFonts w:ascii="Arial" w:cs="Arial" w:eastAsia="Arial" w:hAnsi="Arial"/>
          <w:sz w:val="17"/>
          <w:szCs w:val="17"/>
          <w:color w:val="auto"/>
        </w:rPr>
        <w:t>, which is only playable online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98" w:lineRule="exact"/>
        <w:rPr>
          <w:sz w:val="20"/>
          <w:szCs w:val="20"/>
          <w:color w:val="auto"/>
        </w:rPr>
      </w:pPr>
    </w:p>
    <w:p>
      <w:pPr>
        <w:ind w:right="500" w:firstLine="393"/>
        <w:spacing w:after="0" w:line="322" w:lineRule="auto"/>
        <w:rPr>
          <w:sz w:val="20"/>
          <w:szCs w:val="20"/>
          <w:color w:val="auto"/>
        </w:rPr>
      </w:pPr>
      <w:r>
        <w:rPr>
          <w:rFonts w:ascii="Arial" w:cs="Arial" w:eastAsia="Arial" w:hAnsi="Arial"/>
          <w:sz w:val="16"/>
          <w:szCs w:val="16"/>
          <w:color w:val="auto"/>
        </w:rPr>
        <w:t xml:space="preserve">Revenues attributable to the purchase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software by our customers, including expansion packs, are classified as “Product sales,” whereas revenues attributable to subscriptions and other in-game revenues are classified as “In-game, subscription, and other revenues.”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Other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revenues primarily include revenues from software licensing, licensing of intellectual property other than software, and advertising in our games.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revenues are recognized in "In-game, subscription, and other revenues" on our consolidated statement of operations.</w:t>
      </w:r>
    </w:p>
    <w:p>
      <w:pPr>
        <w:spacing w:after="0" w:line="238"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In certain countries we have software licensing arrangements where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207"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Revenues from the licensing of intellectual property other than software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Revenues from advertising arise primarily from contractual relationships with advertising networks, agencies, advertising brokers and directly with advertisers to display advertisements in our games. For all advertising arrangements, we are the principal and our performance obligation is to provide the inventory for advertisements to be displayed in our games. Our advertising arrangements are primarily impression-based and we recognize revenue from these in the contracted period in which the impressions are delivered. Impressions are considered delivered when an advertisement is displayed to users. The pricing and terms for all our advertising arrangements are governed by either a master contract or insertion order. The transaction price in advertising arrangements governed by a master contract is generally based on a revenue share percentage stated in the contract. The transaction price in advertising arrangements governed by an insertion order is generally the product of the number of advertising units delivered (e.g., impressions, videos viewed) and the contractually agreed upon price per advertising unit.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Significant Judgment around Revenue Arrangements with Multiple Deliverables</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97"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Estimated Service Period</w:t>
      </w:r>
    </w:p>
    <w:p>
      <w:pPr>
        <w:spacing w:after="0" w:line="250"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unique purchase or first day played online, and the time at which players become inactive and cease engaging with our content for a period of time. We also consider known online trends such as the cadence of content delivery in our games,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significant management judgment. The estimated service periods for players of our current games are less than 12 months.</w:t>
      </w:r>
    </w:p>
    <w:p>
      <w:pPr>
        <w:spacing w:after="0" w:line="211" w:lineRule="exact"/>
        <w:rPr>
          <w:sz w:val="20"/>
          <w:szCs w:val="20"/>
          <w:color w:val="auto"/>
        </w:rPr>
      </w:pPr>
    </w:p>
    <w:p>
      <w:pPr>
        <w:ind w:right="60" w:firstLine="393"/>
        <w:spacing w:after="0" w:line="286" w:lineRule="auto"/>
        <w:rPr>
          <w:sz w:val="20"/>
          <w:szCs w:val="20"/>
          <w:color w:val="auto"/>
        </w:rPr>
      </w:pPr>
      <w:r>
        <w:rPr>
          <w:rFonts w:ascii="Arial" w:cs="Arial" w:eastAsia="Arial" w:hAnsi="Arial"/>
          <w:sz w:val="16"/>
          <w:szCs w:val="16"/>
          <w:color w:val="auto"/>
        </w:rPr>
        <w:t>Historically, we have not observed significant variability in our estimated service period as the online content for our games has generally been comparable to previously released titles resulting in similar usage patterns. Future usage patterns could change from historical patterns as a result of various factors, including but not limited to, changes in our online content, frequency of content delivery, competitor’s offerings, and other changes that impact player’s engagement that we may not be able to reasonable predict at the time of deriving our estimate. If future usage patterns were to change significantly from historical patterns, in the future our estimated service period could change and materially impact our future consolidated net revenues and operating income.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Principal Agent Considerations</w:t>
      </w:r>
    </w:p>
    <w:p>
      <w:pPr>
        <w:spacing w:after="0" w:line="250" w:lineRule="exact"/>
        <w:rPr>
          <w:sz w:val="20"/>
          <w:szCs w:val="20"/>
          <w:color w:val="auto"/>
        </w:rPr>
      </w:pPr>
    </w:p>
    <w:p>
      <w:pPr>
        <w:jc w:val="both"/>
        <w:ind w:right="440" w:firstLine="393"/>
        <w:spacing w:after="0" w:line="298" w:lineRule="auto"/>
        <w:rPr>
          <w:sz w:val="20"/>
          <w:szCs w:val="20"/>
          <w:color w:val="auto"/>
        </w:rPr>
      </w:pPr>
      <w:r>
        <w:rPr>
          <w:rFonts w:ascii="Arial" w:cs="Arial" w:eastAsia="Arial" w:hAnsi="Arial"/>
          <w:sz w:val="16"/>
          <w:szCs w:val="16"/>
          <w:color w:val="auto"/>
        </w:rPr>
        <w:t>We evaluate sales of our products and content via third-party digital storefronts, such as Microsoft’s Xbox Games Store, Sony’s PSN, the Apple App Store, and the Google Play Store, to determine whether revenues should be reported gross or net of fees retained by the storefront. Key indicators that we evaluate in determining whether we are the principal in the sale (gross reporting) or an agent (net reporting) include, but are not limited to:</w:t>
      </w:r>
    </w:p>
    <w:p>
      <w:pPr>
        <w:spacing w:after="0" w:line="180" w:lineRule="exact"/>
        <w:rPr>
          <w:sz w:val="20"/>
          <w:szCs w:val="20"/>
          <w:color w:val="auto"/>
        </w:rPr>
      </w:pPr>
    </w:p>
    <w:p>
      <w:pPr>
        <w:ind w:left="940" w:hanging="306"/>
        <w:spacing w:after="0"/>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which party is primarily responsible for fulfilling the promise to provide the specified good or service;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ind w:left="940" w:hanging="306"/>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which party has discretion in establishing the price for the specified good or service.</w:t>
      </w:r>
    </w:p>
    <w:p>
      <w:pPr>
        <w:spacing w:after="0" w:line="2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Allowances for Returns and Price Protection</w:t>
      </w:r>
    </w:p>
    <w:p>
      <w:pPr>
        <w:spacing w:after="0" w:line="250" w:lineRule="exact"/>
        <w:rPr>
          <w:sz w:val="20"/>
          <w:szCs w:val="20"/>
          <w:color w:val="auto"/>
        </w:rPr>
      </w:pPr>
    </w:p>
    <w:p>
      <w:pPr>
        <w:ind w:right="160" w:firstLine="393"/>
        <w:spacing w:after="0" w:line="309" w:lineRule="auto"/>
        <w:rPr>
          <w:sz w:val="20"/>
          <w:szCs w:val="20"/>
          <w:color w:val="auto"/>
        </w:rPr>
      </w:pPr>
      <w:r>
        <w:rPr>
          <w:rFonts w:ascii="Arial" w:cs="Arial" w:eastAsia="Arial" w:hAnsi="Arial"/>
          <w:sz w:val="15"/>
          <w:szCs w:val="15"/>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delivery of sell-through reports to us. We may also consider the facilitation of slow-moving inventory and other market factors.</w:t>
      </w:r>
    </w:p>
    <w:p>
      <w:pPr>
        <w:spacing w:after="0" w:line="175" w:lineRule="exact"/>
        <w:rPr>
          <w:sz w:val="20"/>
          <w:szCs w:val="20"/>
          <w:color w:val="auto"/>
        </w:rPr>
      </w:pPr>
    </w:p>
    <w:p>
      <w:pPr>
        <w:ind w:right="60" w:firstLine="393"/>
        <w:spacing w:after="0" w:line="290" w:lineRule="auto"/>
        <w:rPr>
          <w:sz w:val="20"/>
          <w:szCs w:val="20"/>
          <w:color w:val="auto"/>
        </w:rPr>
      </w:pPr>
      <w:r>
        <w:rPr>
          <w:rFonts w:ascii="Arial" w:cs="Arial" w:eastAsia="Arial" w:hAnsi="Arial"/>
          <w:sz w:val="16"/>
          <w:szCs w:val="16"/>
          <w:color w:val="auto"/>
        </w:rPr>
        <w:t>Management uses judgment in estimates made with respect to potential future product returns and price protection related to current period product revenues and when establishing the allowance for returns and price protection. We estimate the amount of future returns and price protection for current period product revenues utilizing historical experience and information regarding inventory levels and the demand and acceptance of our products by the end consumer, and record revenue for the transferred products in the amount of consideration to which we expect to be entitled.</w:t>
      </w:r>
    </w:p>
    <w:p>
      <w:pPr>
        <w:spacing w:after="0" w:line="186"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Based upon historical experience, we believe that our estimates are reasonable. However, actual returns and price protection could vary from our</w:t>
      </w:r>
    </w:p>
    <w:p>
      <w:pPr>
        <w:spacing w:after="0" w:line="54"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allowance estimates and therefore impact the amount and timing of our revenues for any period if conditions change or if matters resolve in a manner that is inconsistent with management’s assumptions utilized in determining the allowances.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250"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We generally record a receivable related to revenue when we have an unconditional right to invoice and receive payment, and record deferred revenue when cash payments are received or due in advance of our performance, even if amounts are refundable.</w:t>
      </w:r>
    </w:p>
    <w:p>
      <w:pPr>
        <w:spacing w:after="0" w:line="185" w:lineRule="exact"/>
        <w:rPr>
          <w:sz w:val="20"/>
          <w:szCs w:val="20"/>
          <w:color w:val="auto"/>
        </w:rPr>
      </w:pPr>
    </w:p>
    <w:p>
      <w:pPr>
        <w:ind w:right="340" w:firstLine="393"/>
        <w:spacing w:after="0" w:line="265" w:lineRule="auto"/>
        <w:rPr>
          <w:sz w:val="20"/>
          <w:szCs w:val="20"/>
          <w:color w:val="auto"/>
        </w:rPr>
      </w:pPr>
      <w:r>
        <w:rPr>
          <w:rFonts w:ascii="Arial" w:cs="Arial" w:eastAsia="Arial" w:hAnsi="Arial"/>
          <w:sz w:val="17"/>
          <w:szCs w:val="17"/>
          <w:color w:val="auto"/>
        </w:rPr>
        <w:t>The allowance for doubtful accounts reflects our best estimate of expected credit losses inherent in our accounts receivable balance.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206"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Deferred revenue is comprised primarily of unearned revenue related to the sale of products with online functionality or online hosted arrangements. We typically invoice, and collect payment for, these sales at the beginning of the contract period and recognize revenue ratably over the estimated service period. Deferred revenue also includes payments for: product sales pending delivery or activation; subscription revenues; licensing revenues with fixed minimum guarantees; and other revenues for which we have been paid in advance and earn the revenue when we transfer control of the product or service.</w:t>
      </w:r>
    </w:p>
    <w:p>
      <w:pPr>
        <w:spacing w:after="0" w:line="186" w:lineRule="exact"/>
        <w:rPr>
          <w:sz w:val="20"/>
          <w:szCs w:val="20"/>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 xml:space="preserve">Refer to </w:t>
      </w:r>
      <w:hyperlink w:anchor="page92">
        <w:r>
          <w:rPr>
            <w:rFonts w:ascii="Arial" w:cs="Arial" w:eastAsia="Arial" w:hAnsi="Arial"/>
            <w:sz w:val="17"/>
            <w:szCs w:val="17"/>
            <w:u w:val="single" w:color="auto"/>
            <w:color w:val="0000FF"/>
          </w:rPr>
          <w:t>Note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information, including changes in deferred revenue during the period.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250"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Shipping and handling costs consist primarily of packaging and transportation charges incurred to move finished goods to customers. We recognize all shipping and handling costs as an expense in “Cost of revenues-product costs,” including those incurred when control of the product has already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cost of revenues consist of the following:</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revenues—product sales:</w:t>
      </w:r>
    </w:p>
    <w:p>
      <w:pPr>
        <w:spacing w:after="0" w:line="250" w:lineRule="exact"/>
        <w:rPr>
          <w:sz w:val="20"/>
          <w:szCs w:val="20"/>
          <w:color w:val="auto"/>
        </w:rPr>
      </w:pPr>
    </w:p>
    <w:p>
      <w:pPr>
        <w:jc w:val="both"/>
        <w:ind w:left="940" w:right="180" w:hanging="306"/>
        <w:spacing w:after="0" w:line="273" w:lineRule="auto"/>
        <w:tabs>
          <w:tab w:leader="none" w:pos="1004"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“Product costs”</w:t>
      </w:r>
      <w:r>
        <w:rPr>
          <w:rFonts w:ascii="Arial" w:cs="Arial" w:eastAsia="Arial" w:hAnsi="Arial"/>
          <w:sz w:val="17"/>
          <w:szCs w:val="17"/>
          <w:i w:val="1"/>
          <w:iCs w:val="1"/>
          <w:color w:val="auto"/>
        </w:rPr>
        <w:t>—</w:t>
      </w:r>
      <w:r>
        <w:rPr>
          <w:rFonts w:ascii="Arial" w:cs="Arial" w:eastAsia="Arial" w:hAnsi="Arial"/>
          <w:sz w:val="17"/>
          <w:szCs w:val="17"/>
          <w:color w:val="auto"/>
        </w:rPr>
        <w:t>includes the manufacturing costs of goods produced and sold. These generally include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198" w:lineRule="exact"/>
        <w:rPr>
          <w:rFonts w:ascii="Arial" w:cs="Arial" w:eastAsia="Arial" w:hAnsi="Arial"/>
          <w:sz w:val="17"/>
          <w:szCs w:val="17"/>
          <w:color w:val="auto"/>
        </w:rPr>
      </w:pPr>
    </w:p>
    <w:p>
      <w:pPr>
        <w:ind w:left="940" w:right="120" w:hanging="306"/>
        <w:spacing w:after="0" w:line="268" w:lineRule="auto"/>
        <w:tabs>
          <w:tab w:leader="none" w:pos="1004" w:val="left"/>
        </w:tabs>
        <w:numPr>
          <w:ilvl w:val="0"/>
          <w:numId w:val="47"/>
        </w:numPr>
        <w:rPr>
          <w:rFonts w:ascii="Arial" w:cs="Arial" w:eastAsia="Arial" w:hAnsi="Arial"/>
          <w:sz w:val="17"/>
          <w:szCs w:val="17"/>
          <w:color w:val="auto"/>
        </w:rPr>
      </w:pPr>
      <w:r>
        <w:rPr>
          <w:rFonts w:ascii="Arial" w:cs="Arial" w:eastAsia="Arial" w:hAnsi="Arial"/>
          <w:sz w:val="17"/>
          <w:szCs w:val="17"/>
          <w:color w:val="auto"/>
        </w:rPr>
        <w:t>“Software royalties, amortization, and intellectual property licenses”</w:t>
      </w:r>
      <w:r>
        <w:rPr>
          <w:rFonts w:ascii="Arial" w:cs="Arial" w:eastAsia="Arial" w:hAnsi="Arial"/>
          <w:sz w:val="17"/>
          <w:szCs w:val="17"/>
          <w:i w:val="1"/>
          <w:iCs w:val="1"/>
          <w:color w:val="auto"/>
        </w:rPr>
        <w:t>—</w:t>
      </w:r>
      <w:r>
        <w:rPr>
          <w:rFonts w:ascii="Arial" w:cs="Arial" w:eastAsia="Arial" w:hAnsi="Arial"/>
          <w:sz w:val="17"/>
          <w:szCs w:val="17"/>
          <w:color w:val="auto"/>
        </w:rPr>
        <w:t>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50" w:lineRule="exact"/>
        <w:rPr>
          <w:sz w:val="20"/>
          <w:szCs w:val="20"/>
          <w:color w:val="auto"/>
        </w:rPr>
      </w:pPr>
    </w:p>
    <w:p>
      <w:pPr>
        <w:ind w:left="940" w:right="240" w:hanging="306"/>
        <w:spacing w:after="0" w:line="289" w:lineRule="auto"/>
        <w:tabs>
          <w:tab w:leader="none" w:pos="10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“Game operations and distribution costs”</w:t>
      </w:r>
      <w:r>
        <w:rPr>
          <w:rFonts w:ascii="Arial" w:cs="Arial" w:eastAsia="Arial" w:hAnsi="Arial"/>
          <w:sz w:val="17"/>
          <w:szCs w:val="17"/>
          <w:i w:val="1"/>
          <w:iCs w:val="1"/>
          <w:color w:val="auto"/>
        </w:rPr>
        <w:t>—</w:t>
      </w:r>
      <w:r>
        <w:rPr>
          <w:rFonts w:ascii="Arial" w:cs="Arial" w:eastAsia="Arial" w:hAnsi="Arial"/>
          <w:sz w:val="17"/>
          <w:szCs w:val="17"/>
          <w:color w:val="auto"/>
        </w:rPr>
        <w:t>includes costs to operate our games, such as customer service, Internet bandwidth and server costs, platform provider fees, and payment provider fees, along with costs to associated with our esports activities.</w:t>
      </w:r>
    </w:p>
    <w:p>
      <w:pPr>
        <w:spacing w:after="0" w:line="184" w:lineRule="exact"/>
        <w:rPr>
          <w:rFonts w:ascii="Arial" w:cs="Arial" w:eastAsia="Arial" w:hAnsi="Arial"/>
          <w:sz w:val="17"/>
          <w:szCs w:val="17"/>
          <w:color w:val="auto"/>
        </w:rPr>
      </w:pPr>
    </w:p>
    <w:p>
      <w:pPr>
        <w:ind w:left="940" w:right="20" w:hanging="306"/>
        <w:spacing w:after="0" w:line="268" w:lineRule="auto"/>
        <w:tabs>
          <w:tab w:leader="none" w:pos="10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“Software royalties, amortization, and intellectual property licenses”</w:t>
      </w:r>
      <w:r>
        <w:rPr>
          <w:rFonts w:ascii="Arial" w:cs="Arial" w:eastAsia="Arial" w:hAnsi="Arial"/>
          <w:sz w:val="17"/>
          <w:szCs w:val="17"/>
          <w:i w:val="1"/>
          <w:iCs w:val="1"/>
          <w:color w:val="auto"/>
        </w:rPr>
        <w:t>—</w:t>
      </w:r>
      <w:r>
        <w:rPr>
          <w:rFonts w:ascii="Arial" w:cs="Arial" w:eastAsia="Arial" w:hAnsi="Arial"/>
          <w:sz w:val="17"/>
          <w:szCs w:val="17"/>
          <w:color w:val="auto"/>
        </w:rPr>
        <w:t>includes the amortization of capitalized software costs and royalties attributable to in-game, subscription, and other revenues. These are costs capitalized on the balance sheet until the respective games are released, at which time the capitalized costs are amortized. Also included is amortization of intangible assets recognized in purchase accounting attributable to in-game, subscription, and other 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Expenses</w:t>
      </w:r>
    </w:p>
    <w:p>
      <w:pPr>
        <w:spacing w:after="0" w:line="250" w:lineRule="exact"/>
        <w:rPr>
          <w:sz w:val="20"/>
          <w:szCs w:val="20"/>
          <w:color w:val="auto"/>
        </w:rPr>
      </w:pPr>
    </w:p>
    <w:p>
      <w:pPr>
        <w:jc w:val="both"/>
        <w:ind w:right="160" w:firstLine="393"/>
        <w:spacing w:after="0" w:line="298" w:lineRule="auto"/>
        <w:rPr>
          <w:sz w:val="20"/>
          <w:szCs w:val="20"/>
          <w:color w:val="auto"/>
        </w:rPr>
      </w:pPr>
      <w:r>
        <w:rPr>
          <w:rFonts w:ascii="Arial" w:cs="Arial" w:eastAsia="Arial" w:hAnsi="Arial"/>
          <w:sz w:val="16"/>
          <w:szCs w:val="16"/>
          <w:color w:val="auto"/>
        </w:rPr>
        <w:t>We expense advertising as incurred, except for production costs associated with media advertising, which are deferred and charged to expense when the related advertisement is run for the first time. Advertising expenses for the years ended December 31, 2021, 2020, and 2019 were $736 million, $746 million, and $587 million, respectively, and are included in “Sales and marketing” in the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97"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85" w:lineRule="exact"/>
        <w:rPr>
          <w:sz w:val="20"/>
          <w:szCs w:val="20"/>
          <w:color w:val="auto"/>
        </w:rPr>
      </w:pPr>
    </w:p>
    <w:p>
      <w:pPr>
        <w:ind w:right="560" w:firstLine="393"/>
        <w:spacing w:after="0" w:line="322" w:lineRule="auto"/>
        <w:rPr>
          <w:sz w:val="20"/>
          <w:szCs w:val="20"/>
          <w:color w:val="auto"/>
        </w:rPr>
      </w:pPr>
      <w:r>
        <w:rPr>
          <w:rFonts w:ascii="Arial" w:cs="Arial" w:eastAsia="Arial" w:hAnsi="Arial"/>
          <w:sz w:val="16"/>
          <w:szCs w:val="16"/>
          <w:color w:val="auto"/>
        </w:rPr>
        <w:t>On December 22, 2017, the U.S. enacted the Tax Cuts and Jobs Act which also created a new minimum tax that applies to certain foreign earnings (“GILTI”). We have elected to recognize deferred taxes for temporary basis differences expected to reverse as GILTI in future years.</w:t>
      </w:r>
    </w:p>
    <w:p>
      <w:pPr>
        <w:spacing w:after="0" w:line="162" w:lineRule="exact"/>
        <w:rPr>
          <w:sz w:val="20"/>
          <w:szCs w:val="20"/>
          <w:color w:val="auto"/>
        </w:rPr>
      </w:pPr>
    </w:p>
    <w:p>
      <w:pPr>
        <w:ind w:right="340" w:firstLine="393"/>
        <w:spacing w:after="0" w:line="322" w:lineRule="auto"/>
        <w:rPr>
          <w:sz w:val="20"/>
          <w:szCs w:val="20"/>
          <w:color w:val="auto"/>
        </w:rPr>
      </w:pPr>
      <w:r>
        <w:rPr>
          <w:rFonts w:ascii="Arial" w:cs="Arial" w:eastAsia="Arial" w:hAnsi="Arial"/>
          <w:sz w:val="16"/>
          <w:szCs w:val="16"/>
          <w:color w:val="auto"/>
        </w:rPr>
        <w:t>Excess tax benefits and tax deficiencies from share-based payments are recorded as an income tax expense or benefit in the consolidated statement of operations. The tax effects of exercised or vested equity awards are treated as discrete items in the reporting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(Loss) Per Common Share</w:t>
      </w:r>
    </w:p>
    <w:p>
      <w:pPr>
        <w:spacing w:after="0" w:line="250" w:lineRule="exact"/>
        <w:rPr>
          <w:sz w:val="20"/>
          <w:szCs w:val="20"/>
          <w:color w:val="auto"/>
        </w:rPr>
      </w:pPr>
    </w:p>
    <w:p>
      <w:pPr>
        <w:ind w:right="100" w:firstLine="393"/>
        <w:spacing w:after="0" w:line="264" w:lineRule="auto"/>
        <w:rPr>
          <w:sz w:val="20"/>
          <w:szCs w:val="20"/>
          <w:color w:val="auto"/>
        </w:rPr>
      </w:pPr>
      <w:r>
        <w:rPr>
          <w:rFonts w:ascii="Arial" w:cs="Arial" w:eastAsia="Arial" w:hAnsi="Arial"/>
          <w:sz w:val="17"/>
          <w:szCs w:val="17"/>
          <w:color w:val="auto"/>
        </w:rPr>
        <w:t>“Basic (loss) earnings per common share” is computed by dividing income (loss) available to common shareholders by the weighted-average number of common shares outstanding for the periods presented. “Diluted earnings (loss) per common share” is computed by dividing income (loss)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(loss) per common share calculation when inclusion of such shares would be anti-dilutive, such as in a period in which a net loss is recorded.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250" w:lineRule="exact"/>
        <w:rPr>
          <w:sz w:val="20"/>
          <w:szCs w:val="20"/>
          <w:color w:val="auto"/>
        </w:rPr>
      </w:pPr>
    </w:p>
    <w:p>
      <w:pPr>
        <w:jc w:val="both"/>
        <w:ind w:right="160" w:firstLine="393"/>
        <w:spacing w:after="0" w:line="268" w:lineRule="auto"/>
        <w:rPr>
          <w:sz w:val="20"/>
          <w:szCs w:val="20"/>
          <w:color w:val="auto"/>
        </w:rPr>
      </w:pPr>
      <w:r>
        <w:rPr>
          <w:rFonts w:ascii="Arial" w:cs="Arial" w:eastAsia="Arial" w:hAnsi="Arial"/>
          <w:sz w:val="17"/>
          <w:szCs w:val="17"/>
          <w:color w:val="auto"/>
        </w:rPr>
        <w:t>We account for share-based payments in accordance with ASC Subtopic 718-10.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202" w:lineRule="exact"/>
        <w:rPr>
          <w:sz w:val="20"/>
          <w:szCs w:val="20"/>
          <w:color w:val="auto"/>
        </w:rPr>
      </w:pPr>
    </w:p>
    <w:p>
      <w:pPr>
        <w:ind w:right="520" w:firstLine="393"/>
        <w:spacing w:after="0" w:line="273" w:lineRule="auto"/>
        <w:rPr>
          <w:sz w:val="20"/>
          <w:szCs w:val="20"/>
          <w:color w:val="auto"/>
        </w:rPr>
      </w:pPr>
      <w:r>
        <w:rPr>
          <w:rFonts w:ascii="Arial" w:cs="Arial" w:eastAsia="Arial" w:hAnsi="Arial"/>
          <w:sz w:val="17"/>
          <w:szCs w:val="17"/>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projected employee stock option exercise behaviors.</w:t>
      </w:r>
    </w:p>
    <w:p>
      <w:pPr>
        <w:spacing w:after="0" w:line="198"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We generally determine the fair value of restricted stock units based on the closing market price of the Company’s common stock on the date of grant, reduced by the present value of the estimated future dividends during the vesting period. Certain restricted stock units granted to our employees vest based on the achievement of pre-established performance conditions, including those that are market-based. For performance-based restricted stock units not subject to market conditions,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200"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For share-based compensation grants that are liability classified, if any, we update our grant date valuation at each reporting period and recognize a cumulative catch-up adjustment for changes in the value related to the requisite service already rendered. Additionally, any obligations that are based predominantly on fixed monetary amounts that are generally known at inception of the obligation, and are to be settled with a variable number of shares of our common stock, are liability classified with expense recognized ratably over the vesting period. Liability classified awards are subsequently reclassified to equity upon settlement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250" w:lineRule="exact"/>
        <w:rPr>
          <w:sz w:val="20"/>
          <w:szCs w:val="20"/>
          <w:color w:val="auto"/>
        </w:rPr>
      </w:pPr>
    </w:p>
    <w:p>
      <w:pPr>
        <w:ind w:firstLine="393"/>
        <w:spacing w:after="0" w:line="309" w:lineRule="auto"/>
        <w:rPr>
          <w:sz w:val="20"/>
          <w:szCs w:val="20"/>
          <w:color w:val="auto"/>
        </w:rPr>
      </w:pPr>
      <w:r>
        <w:rPr>
          <w:rFonts w:ascii="Arial" w:cs="Arial" w:eastAsia="Arial" w:hAnsi="Arial"/>
          <w:sz w:val="15"/>
          <w:szCs w:val="15"/>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(i.e., more than remote) that the outcomes of such litigation and other claims include potential material adverse impacts on 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Recently Issued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Simplifying the Accounting for Income Taxes</w:t>
      </w:r>
    </w:p>
    <w:p>
      <w:pPr>
        <w:spacing w:after="0" w:line="250"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212529"/>
        </w:rPr>
        <w:t>In December 2019, the Financial Accounting Standards Board (“FASB”) issued new guidance, which is intended to simplify various aspects associated with the accounting for income taxes by removing certain exceptions to the general principles in Topic 740 for recognizing deferred taxes for investments, performing an intra-period allocation, and calculating income taxes in interim periods. The amendment also clarifies and amends certain areas of existing guidance to reduce complexity and improve consistency in the application of Topic 740. Generally, the guidance must be applied prospectively upon adoption, with the exception of certain topics, which are required to be applied on a retrospective or modified retrospective basis. On January 1, 2021, we adopted this new accounting standard and applied the topics in the manner required by the standard. The adoption of this standard did not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Cash and Cash Equivalents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components of our cash and cash equivalents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7"/>
                <w:szCs w:val="17"/>
                <w:b w:val="1"/>
                <w:bCs w:val="1"/>
                <w:color w:val="auto"/>
              </w:rPr>
              <w:t>At December 31,</w:t>
            </w:r>
          </w:p>
        </w:tc>
        <w:tc>
          <w:tcPr>
            <w:tcW w:w="1440" w:type="dxa"/>
            <w:vAlign w:val="bottom"/>
            <w:tcBorders>
              <w:bottom w:val="single" w:sz="8" w:color="auto"/>
            </w:tcBorders>
          </w:tcPr>
          <w:p>
            <w:pPr>
              <w:spacing w:after="0"/>
              <w:rPr>
                <w:sz w:val="19"/>
                <w:szCs w:val="19"/>
                <w:color w:val="auto"/>
              </w:rPr>
            </w:pPr>
          </w:p>
        </w:tc>
      </w:tr>
      <w:tr>
        <w:trPr>
          <w:trHeight w:val="216"/>
        </w:trPr>
        <w:tc>
          <w:tcPr>
            <w:tcW w:w="6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3"/>
        </w:trPr>
        <w:tc>
          <w:tcPr>
            <w:tcW w:w="676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8,345</w:t>
            </w:r>
          </w:p>
        </w:tc>
      </w:tr>
      <w:tr>
        <w:trPr>
          <w:trHeight w:val="216"/>
        </w:trPr>
        <w:tc>
          <w:tcPr>
            <w:tcW w:w="67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40" w:type="dxa"/>
            <w:vAlign w:val="bottom"/>
            <w:tcBorders>
              <w:bottom w:val="single" w:sz="8" w:color="auto"/>
            </w:tcBorders>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10,423</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8,647</w:t>
            </w: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Software Development and Intellectual Property Licenses</w:t>
      </w:r>
    </w:p>
    <w:p>
      <w:pPr>
        <w:spacing w:after="0" w:line="256" w:lineRule="exact"/>
        <w:rPr>
          <w:sz w:val="20"/>
          <w:szCs w:val="20"/>
          <w:color w:val="auto"/>
        </w:rPr>
      </w:pPr>
    </w:p>
    <w:p>
      <w:pPr>
        <w:jc w:val="both"/>
        <w:ind w:right="540" w:firstLine="393"/>
        <w:spacing w:after="0" w:line="273" w:lineRule="auto"/>
        <w:rPr>
          <w:sz w:val="20"/>
          <w:szCs w:val="20"/>
          <w:color w:val="auto"/>
        </w:rPr>
      </w:pPr>
      <w:r>
        <w:rPr>
          <w:rFonts w:ascii="Arial" w:cs="Arial" w:eastAsia="Arial" w:hAnsi="Arial"/>
          <w:sz w:val="17"/>
          <w:szCs w:val="17"/>
          <w:color w:val="auto"/>
        </w:rPr>
        <w:t>Our total capitalized software development costs of $660 million and $512 million, as of December 31, 2021 and December 31, 2020, respectively, primarily relate to internal development costs. As of both December 31, 2021 and December 31, 2020, capitalized intellectual property licenses were not material.</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Amortization of capitalized software development costs and intellectual property licenses was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2"/>
              </w:rPr>
              <w:t>For the Years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51"/>
        </w:trPr>
        <w:tc>
          <w:tcPr>
            <w:tcW w:w="616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Amortization of capitalized software development costs and intellectual property</w:t>
            </w:r>
          </w:p>
        </w:tc>
        <w:tc>
          <w:tcPr>
            <w:tcW w:w="1120" w:type="dxa"/>
            <w:vAlign w:val="bottom"/>
            <w:vMerge w:val="restart"/>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11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20"/>
                <w:szCs w:val="20"/>
                <w:color w:val="auto"/>
              </w:rPr>
            </w:pPr>
            <w:r>
              <w:rPr>
                <w:rFonts w:ascii="Arial" w:cs="Arial" w:eastAsia="Arial" w:hAnsi="Arial"/>
                <w:sz w:val="17"/>
                <w:szCs w:val="17"/>
                <w:b w:val="1"/>
                <w:bCs w:val="1"/>
                <w:color w:val="auto"/>
              </w:rPr>
              <w:t>6. Property and Equipment, Net</w:t>
            </w: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46"/>
        </w:trPr>
        <w:tc>
          <w:tcPr>
            <w:tcW w:w="6760" w:type="dxa"/>
            <w:vAlign w:val="bottom"/>
          </w:tcPr>
          <w:p>
            <w:pPr>
              <w:ind w:left="400"/>
              <w:spacing w:after="0"/>
              <w:rPr>
                <w:sz w:val="20"/>
                <w:szCs w:val="20"/>
                <w:color w:val="auto"/>
              </w:rPr>
            </w:pPr>
            <w:r>
              <w:rPr>
                <w:rFonts w:ascii="Arial" w:cs="Arial" w:eastAsia="Arial" w:hAnsi="Arial"/>
                <w:sz w:val="17"/>
                <w:szCs w:val="17"/>
                <w:color w:val="auto"/>
              </w:rPr>
              <w:t>Property and equipment, net was comprised of the following (amounts in millions):</w:t>
            </w: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85"/>
        </w:trPr>
        <w:tc>
          <w:tcPr>
            <w:tcW w:w="67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7"/>
                <w:szCs w:val="17"/>
                <w:b w:val="1"/>
                <w:bCs w:val="1"/>
                <w:color w:val="auto"/>
              </w:rPr>
              <w:t>At December 31,</w:t>
            </w:r>
          </w:p>
        </w:tc>
        <w:tc>
          <w:tcPr>
            <w:tcW w:w="1440" w:type="dxa"/>
            <w:vAlign w:val="bottom"/>
            <w:tcBorders>
              <w:bottom w:val="single" w:sz="8" w:color="auto"/>
            </w:tcBorders>
          </w:tcPr>
          <w:p>
            <w:pPr>
              <w:spacing w:after="0"/>
              <w:rPr>
                <w:sz w:val="24"/>
                <w:szCs w:val="24"/>
                <w:color w:val="auto"/>
              </w:rPr>
            </w:pPr>
          </w:p>
        </w:tc>
      </w:tr>
      <w:tr>
        <w:trPr>
          <w:trHeight w:val="216"/>
        </w:trPr>
        <w:tc>
          <w:tcPr>
            <w:tcW w:w="6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67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23"/>
        </w:trPr>
        <w:tc>
          <w:tcPr>
            <w:tcW w:w="6760" w:type="dxa"/>
            <w:vAlign w:val="bottom"/>
          </w:tcPr>
          <w:p>
            <w:pPr>
              <w:ind w:left="20"/>
              <w:spacing w:after="0"/>
              <w:rPr>
                <w:sz w:val="20"/>
                <w:szCs w:val="20"/>
                <w:color w:val="auto"/>
              </w:rPr>
            </w:pPr>
            <w:r>
              <w:rPr>
                <w:rFonts w:ascii="Arial" w:cs="Arial" w:eastAsia="Arial" w:hAnsi="Arial"/>
                <w:sz w:val="17"/>
                <w:szCs w:val="17"/>
                <w:color w:val="auto"/>
              </w:rPr>
              <w:t>Computer equipment</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704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6"/>
        </w:trPr>
        <w:tc>
          <w:tcPr>
            <w:tcW w:w="6760" w:type="dxa"/>
            <w:vAlign w:val="bottom"/>
          </w:tcPr>
          <w:p>
            <w:pPr>
              <w:ind w:left="140"/>
              <w:spacing w:after="0"/>
              <w:rPr>
                <w:sz w:val="20"/>
                <w:szCs w:val="20"/>
                <w:color w:val="auto"/>
              </w:rPr>
            </w:pPr>
            <w:r>
              <w:rPr>
                <w:rFonts w:ascii="Arial" w:cs="Arial" w:eastAsia="Arial" w:hAnsi="Arial"/>
                <w:sz w:val="17"/>
                <w:szCs w:val="17"/>
                <w:color w:val="auto"/>
              </w:rPr>
              <w:t>Total cost of property and equipment</w:t>
            </w:r>
          </w:p>
        </w:tc>
        <w:tc>
          <w:tcPr>
            <w:tcW w:w="1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1,050</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w:t>
            </w:r>
          </w:p>
        </w:tc>
      </w:tr>
      <w:tr>
        <w:trPr>
          <w:trHeight w:val="216"/>
        </w:trPr>
        <w:tc>
          <w:tcPr>
            <w:tcW w:w="6760" w:type="dxa"/>
            <w:vAlign w:val="bottom"/>
          </w:tcPr>
          <w:p>
            <w:pPr>
              <w:ind w:left="140"/>
              <w:spacing w:after="0"/>
              <w:rPr>
                <w:sz w:val="20"/>
                <w:szCs w:val="20"/>
                <w:color w:val="auto"/>
              </w:rPr>
            </w:pPr>
            <w:r>
              <w:rPr>
                <w:rFonts w:ascii="Arial" w:cs="Arial" w:eastAsia="Arial" w:hAnsi="Arial"/>
                <w:sz w:val="17"/>
                <w:szCs w:val="17"/>
                <w:color w:val="auto"/>
              </w:rPr>
              <w:t>Property and equipment, net</w:t>
            </w:r>
          </w:p>
        </w:tc>
        <w:tc>
          <w:tcPr>
            <w:tcW w:w="1440" w:type="dxa"/>
            <w:vAlign w:val="bottom"/>
            <w:tcBorders>
              <w:bottom w:val="single" w:sz="8" w:color="auto"/>
            </w:tcBorders>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Depreciation expense for the years ended December 31, 2021, 2020, and 2019 was $105 million, $117 million, and $124 million,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Intangible Assets, Net</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December 31, 2021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9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Estimated</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40" w:type="dxa"/>
            <w:vAlign w:val="bottom"/>
          </w:tcPr>
          <w:p>
            <w:pPr>
              <w:jc w:val="center"/>
              <w:ind w:right="198"/>
              <w:spacing w:after="0" w:line="130"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9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useful</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4"/>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198"/>
              <w:spacing w:after="0" w:line="13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14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140"/>
              <w:spacing w:after="0"/>
              <w:rPr>
                <w:sz w:val="20"/>
                <w:szCs w:val="20"/>
                <w:color w:val="auto"/>
              </w:rPr>
            </w:pPr>
            <w:r>
              <w:rPr>
                <w:rFonts w:ascii="Arial" w:cs="Arial" w:eastAsia="Arial" w:hAnsi="Arial"/>
                <w:sz w:val="17"/>
                <w:szCs w:val="17"/>
                <w:color w:val="auto"/>
              </w:rPr>
              <w:t>Internally-developed franchises</w:t>
            </w:r>
          </w:p>
        </w:tc>
        <w:tc>
          <w:tcPr>
            <w:tcW w:w="1980" w:type="dxa"/>
            <w:vAlign w:val="bottom"/>
            <w:gridSpan w:val="2"/>
          </w:tcPr>
          <w:p>
            <w:pPr>
              <w:ind w:left="760"/>
              <w:spacing w:after="0"/>
              <w:rPr>
                <w:sz w:val="20"/>
                <w:szCs w:val="20"/>
                <w:color w:val="auto"/>
              </w:rPr>
            </w:pPr>
            <w:r>
              <w:rPr>
                <w:rFonts w:ascii="Arial" w:cs="Arial" w:eastAsia="Arial" w:hAnsi="Arial"/>
                <w:sz w:val="17"/>
                <w:szCs w:val="17"/>
                <w:color w:val="auto"/>
              </w:rPr>
              <w:t>3 - 11 years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Trade names and other</w:t>
            </w:r>
          </w:p>
        </w:tc>
        <w:tc>
          <w:tcPr>
            <w:tcW w:w="19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1 - 10 years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7"/>
                <w:szCs w:val="17"/>
                <w:color w:val="auto"/>
              </w:rPr>
              <w:t>Total definite-lived intangible assets (1)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20" w:firstLine="5"/>
        <w:spacing w:after="0" w:line="289" w:lineRule="auto"/>
        <w:tabs>
          <w:tab w:leader="none" w:pos="247" w:val="left"/>
        </w:tabs>
        <w:numPr>
          <w:ilvl w:val="0"/>
          <w:numId w:val="49"/>
        </w:numPr>
        <w:rPr>
          <w:rFonts w:ascii="Arial" w:cs="Arial" w:eastAsia="Arial" w:hAnsi="Arial"/>
          <w:sz w:val="17"/>
          <w:szCs w:val="17"/>
          <w:color w:val="auto"/>
        </w:rPr>
      </w:pPr>
      <w:r>
        <w:rPr>
          <w:rFonts w:ascii="Arial" w:cs="Arial" w:eastAsia="Arial" w:hAnsi="Arial"/>
          <w:sz w:val="17"/>
          <w:szCs w:val="17"/>
          <w:color w:val="auto"/>
        </w:rPr>
        <w:t>Beginning with the first quarter of 2021, the balances of the developed software intangible assets have been removed as such amounts were fully amortized in the prior year.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9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Estimated</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98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useful</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4"/>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200" w:type="dxa"/>
            <w:vAlign w:val="bottom"/>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w:t>
            </w:r>
          </w:p>
        </w:tc>
        <w:tc>
          <w:tcPr>
            <w:tcW w:w="8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140"/>
              <w:spacing w:after="0"/>
              <w:rPr>
                <w:sz w:val="20"/>
                <w:szCs w:val="20"/>
                <w:color w:val="auto"/>
              </w:rPr>
            </w:pPr>
            <w:r>
              <w:rPr>
                <w:rFonts w:ascii="Arial" w:cs="Arial" w:eastAsia="Arial" w:hAnsi="Arial"/>
                <w:sz w:val="17"/>
                <w:szCs w:val="17"/>
                <w:color w:val="auto"/>
              </w:rPr>
              <w:t>Internally-developed franchises</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100" w:type="dxa"/>
            <w:vAlign w:val="bottom"/>
            <w:gridSpan w:val="2"/>
          </w:tcPr>
          <w:p>
            <w:pPr>
              <w:ind w:left="20"/>
              <w:spacing w:after="0"/>
              <w:rPr>
                <w:sz w:val="20"/>
                <w:szCs w:val="20"/>
                <w:color w:val="auto"/>
              </w:rPr>
            </w:pPr>
            <w:r>
              <w:rPr>
                <w:rFonts w:ascii="Arial" w:cs="Arial" w:eastAsia="Arial" w:hAnsi="Arial"/>
                <w:sz w:val="17"/>
                <w:szCs w:val="17"/>
                <w:color w:val="auto"/>
              </w:rPr>
              <w:t>- 11 years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(1,151)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Developed software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- 5 years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Trade names and other</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w:t>
            </w:r>
          </w:p>
        </w:tc>
        <w:tc>
          <w:tcPr>
            <w:tcW w:w="1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- 10 years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definite-lived intangible assets</w:t>
            </w:r>
          </w:p>
        </w:tc>
        <w:tc>
          <w:tcPr>
            <w:tcW w:w="8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1,828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3"/>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8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8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color w:val="auto"/>
        </w:rPr>
        <w:t>Amortization expense of our intangible assets was $11 million, $80 million, and $204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carrying amount of goodwill by reportable segment at both December 31, 2021 and December 31, 2020, was as follows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7"/>
                <w:szCs w:val="17"/>
                <w:b w:val="1"/>
                <w:bCs w:val="1"/>
                <w:color w:val="auto"/>
              </w:rPr>
              <w:t>King</w:t>
            </w:r>
          </w:p>
        </w:tc>
        <w:tc>
          <w:tcPr>
            <w:tcW w:w="360" w:type="dxa"/>
            <w:vAlign w:val="bottom"/>
          </w:tcPr>
          <w:p>
            <w:pPr>
              <w:spacing w:after="0"/>
              <w:rPr>
                <w:sz w:val="19"/>
                <w:szCs w:val="19"/>
                <w:color w:val="auto"/>
              </w:rPr>
            </w:pPr>
          </w:p>
        </w:tc>
        <w:tc>
          <w:tcPr>
            <w:tcW w:w="1220" w:type="dxa"/>
            <w:vAlign w:val="bottom"/>
          </w:tcPr>
          <w:p>
            <w:pPr>
              <w:jc w:val="right"/>
              <w:ind w:right="51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6,898</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9,764</w:t>
            </w:r>
          </w:p>
        </w:tc>
        <w:tc>
          <w:tcPr>
            <w:tcW w:w="0" w:type="dxa"/>
            <w:vAlign w:val="bottom"/>
          </w:tcPr>
          <w:p>
            <w:pPr>
              <w:spacing w:after="0"/>
              <w:rPr>
                <w:sz w:val="1"/>
                <w:szCs w:val="1"/>
                <w:color w:val="auto"/>
              </w:rPr>
            </w:pPr>
          </w:p>
        </w:tc>
      </w:tr>
      <w:tr>
        <w:trPr>
          <w:trHeight w:val="223"/>
        </w:trPr>
        <w:tc>
          <w:tcPr>
            <w:tcW w:w="4640" w:type="dxa"/>
            <w:vAlign w:val="bottom"/>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Additions through acquisition (1)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4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5"/>
        <w:spacing w:after="0" w:line="289" w:lineRule="auto"/>
        <w:tabs>
          <w:tab w:leader="none" w:pos="3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 October 28, 2021 we acquired a mobile game developer, Digital Legends, that will operate as a studio under our Activision segment. The total net assets acquired were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Other Assets and Liabilities</w:t>
      </w:r>
    </w:p>
    <w:p>
      <w:pPr>
        <w:spacing w:after="0" w:line="256"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Included in “Accrued expenses and other liabilities” in our consolidated balance sheets are accrued payroll-related costs of $364 million and $406 million at December 31, 2021 and 2020, respectively, and the current portion of income taxes payable of $144 million and $100 million at December 31, 2021 and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256" w:lineRule="exact"/>
        <w:rPr>
          <w:sz w:val="20"/>
          <w:szCs w:val="20"/>
          <w:color w:val="auto"/>
        </w:rPr>
      </w:pPr>
    </w:p>
    <w:p>
      <w:pPr>
        <w:jc w:val="both"/>
        <w:ind w:right="240" w:firstLine="393"/>
        <w:spacing w:after="0" w:line="273" w:lineRule="auto"/>
        <w:rPr>
          <w:sz w:val="20"/>
          <w:szCs w:val="20"/>
          <w:color w:val="auto"/>
        </w:rPr>
      </w:pPr>
      <w:r>
        <w:rPr>
          <w:rFonts w:ascii="Arial" w:cs="Arial" w:eastAsia="Arial" w:hAnsi="Arial"/>
          <w:sz w:val="17"/>
          <w:szCs w:val="17"/>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98" w:lineRule="exact"/>
        <w:rPr>
          <w:sz w:val="20"/>
          <w:szCs w:val="20"/>
          <w:color w:val="auto"/>
        </w:rPr>
      </w:pPr>
    </w:p>
    <w:p>
      <w:pPr>
        <w:ind w:left="940" w:hanging="306"/>
        <w:spacing w:after="0"/>
        <w:tabs>
          <w:tab w:leader="none" w:pos="9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50" w:lineRule="exact"/>
        <w:rPr>
          <w:rFonts w:ascii="Arial" w:cs="Arial" w:eastAsia="Arial" w:hAnsi="Arial"/>
          <w:sz w:val="17"/>
          <w:szCs w:val="17"/>
          <w:color w:val="auto"/>
        </w:rPr>
      </w:pPr>
    </w:p>
    <w:p>
      <w:pPr>
        <w:ind w:left="940" w:right="80" w:hanging="306"/>
        <w:spacing w:after="0" w:line="289" w:lineRule="auto"/>
        <w:tabs>
          <w:tab w:leader="none" w:pos="9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84" w:lineRule="exact"/>
        <w:rPr>
          <w:rFonts w:ascii="Arial" w:cs="Arial" w:eastAsia="Arial" w:hAnsi="Arial"/>
          <w:sz w:val="17"/>
          <w:szCs w:val="17"/>
          <w:color w:val="auto"/>
        </w:rPr>
      </w:pPr>
    </w:p>
    <w:p>
      <w:pPr>
        <w:ind w:left="940" w:right="160" w:hanging="306"/>
        <w:spacing w:after="0" w:line="322" w:lineRule="auto"/>
        <w:tabs>
          <w:tab w:leader="none" w:pos="9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50" w:lineRule="exact"/>
        <w:rPr>
          <w:sz w:val="20"/>
          <w:szCs w:val="20"/>
          <w:color w:val="auto"/>
        </w:rPr>
      </w:pPr>
    </w:p>
    <w:p>
      <w:pPr>
        <w:ind w:right="420" w:firstLine="393"/>
        <w:spacing w:after="0" w:line="322" w:lineRule="auto"/>
        <w:rPr>
          <w:sz w:val="20"/>
          <w:szCs w:val="20"/>
          <w:color w:val="auto"/>
        </w:rPr>
      </w:pPr>
      <w:r>
        <w:rPr>
          <w:rFonts w:ascii="Arial" w:cs="Arial" w:eastAsia="Arial" w:hAnsi="Arial"/>
          <w:sz w:val="16"/>
          <w:szCs w:val="16"/>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Assets: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Recurring fair value measurements: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Money market funds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government treasury bills</w:t>
      </w:r>
    </w:p>
    <w:p>
      <w:pPr>
        <w:spacing w:after="0" w:line="27" w:lineRule="exact"/>
        <w:rPr>
          <w:sz w:val="20"/>
          <w:szCs w:val="20"/>
          <w:color w:val="auto"/>
        </w:rPr>
      </w:pPr>
    </w:p>
    <w:p>
      <w:pPr>
        <w:ind w:left="20"/>
        <w:spacing w:after="0" w:line="241" w:lineRule="auto"/>
        <w:rPr>
          <w:sz w:val="20"/>
          <w:szCs w:val="20"/>
          <w:color w:val="auto"/>
        </w:rPr>
      </w:pPr>
      <w:r>
        <w:rPr>
          <w:rFonts w:ascii="Arial" w:cs="Arial" w:eastAsia="Arial" w:hAnsi="Arial"/>
          <w:sz w:val="17"/>
          <w:szCs w:val="17"/>
          <w:color w:val="auto"/>
        </w:rPr>
        <w:t>U.S. treasuries and government agency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securities</w:t>
      </w:r>
    </w:p>
    <w:p>
      <w:pPr>
        <w:spacing w:after="0" w:line="27" w:lineRule="exact"/>
        <w:rPr>
          <w:sz w:val="20"/>
          <w:szCs w:val="20"/>
          <w:color w:val="auto"/>
        </w:rPr>
      </w:pPr>
    </w:p>
    <w:p>
      <w:pPr>
        <w:ind w:left="20" w:right="260"/>
        <w:spacing w:after="0" w:line="241" w:lineRule="auto"/>
        <w:rPr>
          <w:sz w:val="20"/>
          <w:szCs w:val="20"/>
          <w:color w:val="auto"/>
        </w:rPr>
      </w:pPr>
      <w:r>
        <w:rPr>
          <w:rFonts w:ascii="Arial" w:cs="Arial" w:eastAsia="Arial" w:hAnsi="Arial"/>
          <w:sz w:val="17"/>
          <w:szCs w:val="17"/>
          <w:color w:val="auto"/>
        </w:rPr>
        <w:t>Foreign currency forward contracts designated as hedges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Fair Value Measurements at December 31, 2021 Using</w:t>
            </w: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Quoted Prices in</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 Other</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Significant</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As of December 31,</w:t>
            </w:r>
          </w:p>
        </w:tc>
        <w:tc>
          <w:tcPr>
            <w:tcW w:w="142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4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1"/>
        </w:trPr>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14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Observable Inputs</w:t>
            </w:r>
          </w:p>
        </w:tc>
        <w:tc>
          <w:tcPr>
            <w:tcW w:w="14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Unobservable Inputs</w:t>
            </w: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5"/>
                <w:szCs w:val="15"/>
                <w:color w:val="auto"/>
              </w:rPr>
            </w:pPr>
          </w:p>
        </w:tc>
        <w:tc>
          <w:tcPr>
            <w:tcW w:w="24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-7620</wp:posOffset>
            </wp:positionV>
            <wp:extent cx="7136130"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283210</wp:posOffset>
            </wp:positionV>
            <wp:extent cx="7136130" cy="141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9"/>
                <w:szCs w:val="19"/>
                <w:color w:val="auto"/>
              </w:rPr>
            </w:pPr>
          </w:p>
        </w:tc>
        <w:tc>
          <w:tcPr>
            <w:tcW w:w="60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2700" w:type="dxa"/>
            <w:vAlign w:val="bottom"/>
            <w:gridSpan w:val="2"/>
          </w:tcPr>
          <w:p>
            <w:pPr>
              <w:ind w:left="480"/>
              <w:spacing w:after="0"/>
              <w:rPr>
                <w:sz w:val="20"/>
                <w:szCs w:val="20"/>
                <w:color w:val="auto"/>
              </w:rPr>
            </w:pPr>
            <w:r>
              <w:rPr>
                <w:rFonts w:ascii="Arial" w:cs="Arial" w:eastAsia="Arial" w:hAnsi="Arial"/>
                <w:sz w:val="17"/>
                <w:szCs w:val="17"/>
                <w:color w:val="auto"/>
                <w:w w:val="95"/>
              </w:rPr>
              <w:t>—  Cash and cash equivalents</w:t>
            </w:r>
          </w:p>
        </w:tc>
      </w:tr>
      <w:tr>
        <w:trPr>
          <w:trHeight w:val="223"/>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2700" w:type="dxa"/>
            <w:vAlign w:val="bottom"/>
            <w:gridSpan w:val="2"/>
          </w:tcPr>
          <w:p>
            <w:pPr>
              <w:ind w:left="480"/>
              <w:spacing w:after="0"/>
              <w:rPr>
                <w:sz w:val="20"/>
                <w:szCs w:val="20"/>
                <w:color w:val="auto"/>
              </w:rPr>
            </w:pPr>
            <w:r>
              <w:rPr>
                <w:rFonts w:ascii="Arial" w:cs="Arial" w:eastAsia="Arial" w:hAnsi="Arial"/>
                <w:sz w:val="17"/>
                <w:szCs w:val="17"/>
                <w:color w:val="auto"/>
                <w:w w:val="95"/>
              </w:rPr>
              <w:t>—  Cash and cash equivalents</w:t>
            </w:r>
          </w:p>
        </w:tc>
      </w:tr>
      <w:tr>
        <w:trPr>
          <w:trHeight w:val="393"/>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196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223"/>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196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394"/>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196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216"/>
        </w:trPr>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10,249</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960" w:type="dxa"/>
            <w:vAlign w:val="bottom"/>
          </w:tcPr>
          <w:p>
            <w:pPr>
              <w:spacing w:after="0"/>
              <w:rPr>
                <w:sz w:val="18"/>
                <w:szCs w:val="18"/>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-823595</wp:posOffset>
            </wp:positionV>
            <wp:extent cx="7136130" cy="2495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-432435</wp:posOffset>
            </wp:positionV>
            <wp:extent cx="7136130" cy="2495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6130" cy="249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360"/>
            <w:col w:w="8120"/>
          </w:cols>
          <w:pgMar w:left="320" w:top="127" w:right="33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79"/>
              <w:spacing w:after="0"/>
              <w:rPr>
                <w:sz w:val="20"/>
                <w:szCs w:val="20"/>
                <w:color w:val="auto"/>
              </w:rPr>
            </w:pPr>
            <w:r>
              <w:rPr>
                <w:rFonts w:ascii="Arial" w:cs="Arial" w:eastAsia="Arial" w:hAnsi="Arial"/>
                <w:sz w:val="14"/>
                <w:szCs w:val="14"/>
                <w:b w:val="1"/>
                <w:bCs w:val="1"/>
                <w:color w:val="auto"/>
                <w:w w:val="90"/>
              </w:rPr>
              <w:t>Fair Value Measurements at December 31, 2020 Using</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0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3"/>
          </w:tcPr>
          <w:p>
            <w:pPr>
              <w:jc w:val="center"/>
              <w:ind w:right="8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14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Observable Inputs</w:t>
            </w:r>
          </w:p>
        </w:tc>
        <w:tc>
          <w:tcPr>
            <w:tcW w:w="13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w w:val="90"/>
              </w:rPr>
              <w:t>Unobservable Inputs</w:t>
            </w:r>
          </w:p>
        </w:tc>
        <w:tc>
          <w:tcPr>
            <w:tcW w:w="1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ind w:left="8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U.S. treasuries and government agency</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Foreign currency forward contracts not</w:t>
            </w:r>
          </w:p>
        </w:tc>
        <w:tc>
          <w:tcPr>
            <w:tcW w:w="32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Accrued expenses and other</w:t>
            </w:r>
          </w:p>
        </w:tc>
        <w:tc>
          <w:tcPr>
            <w:tcW w:w="0" w:type="dxa"/>
            <w:vAlign w:val="bottom"/>
          </w:tcPr>
          <w:p>
            <w:pPr>
              <w:spacing w:after="0"/>
              <w:rPr>
                <w:sz w:val="1"/>
                <w:szCs w:val="1"/>
                <w:color w:val="auto"/>
              </w:rPr>
            </w:pP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3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line="172" w:lineRule="exact"/>
              <w:rPr>
                <w:sz w:val="20"/>
                <w:szCs w:val="20"/>
                <w:color w:val="auto"/>
              </w:rPr>
            </w:pPr>
            <w:r>
              <w:rPr>
                <w:rFonts w:ascii="Arial" w:cs="Arial" w:eastAsia="Arial" w:hAnsi="Arial"/>
                <w:sz w:val="17"/>
                <w:szCs w:val="17"/>
                <w:color w:val="auto"/>
              </w:rPr>
              <w:t>Foreign currency forward</w:t>
            </w: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60" w:type="dxa"/>
            <w:vAlign w:val="bottom"/>
          </w:tcPr>
          <w:p>
            <w:pPr>
              <w:ind w:left="20"/>
              <w:spacing w:after="0" w:line="172" w:lineRule="exact"/>
              <w:rPr>
                <w:sz w:val="20"/>
                <w:szCs w:val="20"/>
                <w:color w:val="auto"/>
              </w:rPr>
            </w:pPr>
            <w:r>
              <w:rPr>
                <w:rFonts w:ascii="Arial" w:cs="Arial" w:eastAsia="Arial" w:hAnsi="Arial"/>
                <w:sz w:val="17"/>
                <w:szCs w:val="17"/>
                <w:color w:val="auto"/>
              </w:rPr>
              <w:t>Accrued expenses and other</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contracts designated as hedges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1" w:name="page92"/>
    <w:bookmarkEnd w:id="9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50"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The total gross notional amounts and fair values of our Cash Flow Hedges, all of which had remaining maturities of 12 months or less as of December 31, 2021, are as follows (amounts in millions):</w:t>
      </w:r>
    </w:p>
    <w:p>
      <w:pPr>
        <w:sectPr>
          <w:pgSz w:w="11900" w:h="16838" w:orient="portrait"/>
          <w:cols w:equalWidth="0" w:num="1">
            <w:col w:w="11240"/>
          </w:cols>
          <w:pgMar w:left="320" w:top="127" w:right="339" w:bottom="1440" w:gutter="0" w:footer="0" w:header="0"/>
        </w:sect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20320</wp:posOffset>
            </wp:positionV>
            <wp:extent cx="22148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214880" cy="8255"/>
                    </a:xfrm>
                    <a:prstGeom prst="rect">
                      <a:avLst/>
                    </a:prstGeom>
                    <a:noFill/>
                  </pic:spPr>
                </pic:pic>
              </a:graphicData>
            </a:graphic>
          </wp:anchor>
        </w:drawing>
      </w:r>
    </w:p>
    <w:p>
      <w:pPr>
        <w:spacing w:after="0" w:line="16" w:lineRule="exact"/>
        <w:rPr>
          <w:sz w:val="20"/>
          <w:szCs w:val="20"/>
          <w:color w:val="auto"/>
        </w:rPr>
      </w:pPr>
    </w:p>
    <w:p>
      <w:pPr>
        <w:ind w:left="4360"/>
        <w:spacing w:after="0"/>
        <w:tabs>
          <w:tab w:leader="none" w:pos="59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20320</wp:posOffset>
            </wp:positionV>
            <wp:extent cx="22313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spacing w:after="0" w:line="16"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7" w:lineRule="exact"/>
        <w:rPr>
          <w:sz w:val="20"/>
          <w:szCs w:val="20"/>
          <w:color w:val="auto"/>
        </w:rPr>
      </w:pPr>
    </w:p>
    <w:p>
      <w:pPr>
        <w:sectPr>
          <w:pgSz w:w="11900" w:h="16838" w:orient="portrait"/>
          <w:cols w:equalWidth="0" w:num="2">
            <w:col w:w="7380" w:space="720"/>
            <w:col w:w="314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1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4000" w:val="left"/>
          <w:tab w:leader="none" w:pos="5380" w:val="left"/>
          <w:tab w:leader="none" w:pos="7220" w:val="left"/>
          <w:tab w:leader="none" w:pos="7720" w:val="left"/>
          <w:tab w:leader="none" w:pos="9140" w:val="left"/>
          <w:tab w:leader="none" w:pos="10900" w:val="left"/>
        </w:tabs>
        <w:rPr>
          <w:sz w:val="20"/>
          <w:szCs w:val="20"/>
          <w:color w:val="auto"/>
        </w:rPr>
      </w:pPr>
      <w:r>
        <w:rPr>
          <w:rFonts w:ascii="Arial" w:cs="Arial" w:eastAsia="Arial" w:hAnsi="Arial"/>
          <w:sz w:val="17"/>
          <w:szCs w:val="17"/>
          <w:color w:val="auto"/>
        </w:rPr>
        <w:t>Buy USD, Sell EUR</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382 $</w:t>
      </w:r>
      <w:r>
        <w:rPr>
          <w:sz w:val="20"/>
          <w:szCs w:val="20"/>
          <w:color w:val="auto"/>
        </w:rPr>
        <w:tab/>
      </w:r>
      <w:r>
        <w:rPr>
          <w:rFonts w:ascii="Arial" w:cs="Arial" w:eastAsia="Arial" w:hAnsi="Arial"/>
          <w:sz w:val="17"/>
          <w:szCs w:val="17"/>
          <w:color w:val="auto"/>
        </w:rPr>
        <w:t>20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542 $</w:t>
      </w:r>
      <w:r>
        <w:rPr>
          <w:sz w:val="20"/>
          <w:szCs w:val="20"/>
          <w:color w:val="auto"/>
        </w:rPr>
        <w:tab/>
      </w:r>
      <w:r>
        <w:rPr>
          <w:rFonts w:ascii="Arial" w:cs="Arial" w:eastAsia="Arial" w:hAnsi="Arial"/>
          <w:sz w:val="16"/>
          <w:szCs w:val="16"/>
          <w:color w:val="auto"/>
        </w:rPr>
        <w:t>(24)</w:t>
      </w:r>
    </w:p>
    <w:p>
      <w:pPr>
        <w:spacing w:after="0" w:line="342" w:lineRule="exact"/>
        <w:rPr>
          <w:sz w:val="20"/>
          <w:szCs w:val="20"/>
          <w:color w:val="auto"/>
        </w:rPr>
      </w:pPr>
    </w:p>
    <w:p>
      <w:pPr>
        <w:ind w:right="160" w:firstLine="393"/>
        <w:spacing w:after="0" w:line="289" w:lineRule="auto"/>
        <w:rPr>
          <w:sz w:val="20"/>
          <w:szCs w:val="20"/>
          <w:color w:val="auto"/>
        </w:rPr>
      </w:pPr>
      <w:r>
        <w:rPr>
          <w:rFonts w:ascii="Arial" w:cs="Arial" w:eastAsia="Arial" w:hAnsi="Arial"/>
          <w:sz w:val="17"/>
          <w:szCs w:val="17"/>
          <w:color w:val="auto"/>
        </w:rPr>
        <w:t>For the years ended December 31, 2021, 2020, and 2019, pre-tax net realized gains (losses) associated with our Cash Flow Hedges that were reclassified out of “Accumulated other comprehensive income (loss)” and into earnings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Not Designated as Hedges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gross notional amounts and fair values of our foreign currency forward contracts not designated as hedges are as follows (amounts in millions):</w:t>
      </w:r>
    </w:p>
    <w:p>
      <w:pPr>
        <w:sectPr>
          <w:pgSz w:w="11900" w:h="16838" w:orient="portrait"/>
          <w:cols w:equalWidth="0" w:num="1">
            <w:col w:w="11240"/>
          </w:cols>
          <w:pgMar w:left="320" w:top="127" w:right="339" w:bottom="1440" w:gutter="0" w:footer="0" w:header="0"/>
          <w:type w:val="continuous"/>
        </w:sectPr>
      </w:pPr>
    </w:p>
    <w:p>
      <w:pPr>
        <w:spacing w:after="0" w:line="291"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20320</wp:posOffset>
            </wp:positionV>
            <wp:extent cx="21564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156460" cy="8255"/>
                    </a:xfrm>
                    <a:prstGeom prst="rect">
                      <a:avLst/>
                    </a:prstGeom>
                    <a:noFill/>
                  </pic:spPr>
                </pic:pic>
              </a:graphicData>
            </a:graphic>
          </wp:anchor>
        </w:drawing>
      </w:r>
    </w:p>
    <w:p>
      <w:pPr>
        <w:spacing w:after="0" w:line="16" w:lineRule="exact"/>
        <w:rPr>
          <w:sz w:val="20"/>
          <w:szCs w:val="20"/>
          <w:color w:val="auto"/>
        </w:rPr>
      </w:pPr>
    </w:p>
    <w:p>
      <w:pPr>
        <w:ind w:left="4540"/>
        <w:spacing w:after="0"/>
        <w:tabs>
          <w:tab w:leader="none" w:pos="60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20320</wp:posOffset>
            </wp:positionV>
            <wp:extent cx="2181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181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7" w:lineRule="exact"/>
        <w:rPr>
          <w:sz w:val="20"/>
          <w:szCs w:val="20"/>
          <w:color w:val="auto"/>
        </w:rPr>
      </w:pPr>
    </w:p>
    <w:p>
      <w:pPr>
        <w:sectPr>
          <w:pgSz w:w="11900" w:h="16838" w:orient="portrait"/>
          <w:cols w:equalWidth="0" w:num="2">
            <w:col w:w="7440" w:space="720"/>
            <w:col w:w="308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1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4180" w:val="left"/>
          <w:tab w:leader="none" w:pos="5620" w:val="left"/>
          <w:tab w:leader="none" w:pos="7320" w:val="left"/>
          <w:tab w:leader="none" w:pos="7800" w:val="left"/>
          <w:tab w:leader="none" w:pos="9160" w:val="left"/>
          <w:tab w:leader="none" w:pos="11000" w:val="left"/>
        </w:tabs>
        <w:rPr>
          <w:sz w:val="20"/>
          <w:szCs w:val="20"/>
          <w:color w:val="auto"/>
        </w:rPr>
      </w:pPr>
      <w:r>
        <w:rPr>
          <w:rFonts w:ascii="Arial" w:cs="Arial" w:eastAsia="Arial" w:hAnsi="Arial"/>
          <w:sz w:val="17"/>
          <w:szCs w:val="17"/>
          <w:color w:val="auto"/>
        </w:rPr>
        <w:t>Buy USD, Sell GBP</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116 $</w:t>
      </w:r>
      <w:r>
        <w:rPr>
          <w:sz w:val="20"/>
          <w:szCs w:val="20"/>
          <w:color w:val="auto"/>
        </w:rPr>
        <w:tab/>
      </w:r>
      <w:r>
        <w:rPr>
          <w:rFonts w:ascii="Arial" w:cs="Arial" w:eastAsia="Arial" w:hAnsi="Arial"/>
          <w:sz w:val="16"/>
          <w:szCs w:val="16"/>
          <w:color w:val="auto"/>
        </w:rPr>
        <w:t>(2)</w:t>
      </w:r>
    </w:p>
    <w:p>
      <w:pPr>
        <w:spacing w:after="0" w:line="329"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For the years ended December 31, 2021, 2020, and 2019, pre-tax net gains (losses) associated with these forward contracts were recorded in “General and administrative expenses” and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Securities Fair Value Measurement</w:t>
      </w:r>
    </w:p>
    <w:p>
      <w:pPr>
        <w:spacing w:after="0" w:line="250" w:lineRule="exact"/>
        <w:rPr>
          <w:sz w:val="20"/>
          <w:szCs w:val="20"/>
          <w:color w:val="auto"/>
        </w:rPr>
      </w:pPr>
    </w:p>
    <w:p>
      <w:pPr>
        <w:ind w:right="240" w:firstLine="393"/>
        <w:spacing w:after="0" w:line="268" w:lineRule="auto"/>
        <w:rPr>
          <w:sz w:val="20"/>
          <w:szCs w:val="20"/>
          <w:color w:val="auto"/>
        </w:rPr>
      </w:pPr>
      <w:r>
        <w:rPr>
          <w:rFonts w:ascii="Arial" w:cs="Arial" w:eastAsia="Arial" w:hAnsi="Arial"/>
          <w:sz w:val="17"/>
          <w:szCs w:val="17"/>
          <w:color w:val="auto"/>
        </w:rPr>
        <w:t>At December 31, 2020, we held an investment in equity securities with a carrying value of $45 million. The investment did not have a readily-determinable fair value and was carried at cost, less impairment, and adjusted for changes resulting from observable price changes in orderly transactions for identical or similar investments in the same issuer. During June 2021, the investee completed a merger with a special purpose acquisition company (“SPAC”) and, as a result, our investment was converted into common shares of the publicly traded company.</w:t>
      </w:r>
    </w:p>
    <w:p>
      <w:pPr>
        <w:spacing w:after="0" w:line="202" w:lineRule="exact"/>
        <w:rPr>
          <w:sz w:val="20"/>
          <w:szCs w:val="20"/>
          <w:color w:val="auto"/>
        </w:rPr>
      </w:pPr>
    </w:p>
    <w:p>
      <w:pPr>
        <w:ind w:right="180" w:firstLine="393"/>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In connection with the SPAC transaction, we sold a portion of our investment for $22 million and recognized a realized gain of $16 million during the three months ended June 30, 2021. Our remaining investment is now measured at fair value at the end of each reporting period. As of December 31, 2021, the carrying value of the investment was $50 million and was classified within “Other current assets” in our consolidated balance sheets. The realized and unrealized gains were recorded within “Interest and other expense (income), net” in our consolidated statement of operations (refer to </w:t>
      </w:r>
      <w:hyperlink w:anchor="page110">
        <w:r>
          <w:rPr>
            <w:rFonts w:ascii="Arial" w:cs="Arial" w:eastAsia="Arial" w:hAnsi="Arial"/>
            <w:sz w:val="17"/>
            <w:szCs w:val="17"/>
            <w:u w:val="single" w:color="auto"/>
            <w:color w:val="0000FF"/>
          </w:rPr>
          <w:t>Note 18</w:t>
        </w:r>
      </w:hyperlink>
      <w:r>
        <w:rPr>
          <w:rFonts w:ascii="Arial" w:cs="Arial" w:eastAsia="Arial" w:hAnsi="Arial"/>
          <w:sz w:val="17"/>
          <w:szCs w:val="17"/>
          <w:color w:val="auto"/>
        </w:rPr>
        <w:t>) for the year ended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Deferred Revenues</w:t>
      </w:r>
    </w:p>
    <w:p>
      <w:pPr>
        <w:spacing w:after="0" w:line="256"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record deferred revenues when cash payments are received or due in advance of the fulfillment of our associated performance obligations. The aggregate of the current and non-current balances of deferred revenues as of December 31, 2021 and December 31, 2020, were $1.1 billion and $1.7 billion, respectively. For the year ended December 31, 2021,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years ended December 31, 2021, December 31, 2020, and December 31, 2019, $1.7 billion, $1.3 billion, and $1.5 billion of revenues, respectively, were recognized that were included in the deferred revenues balance at beginning of the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firstLine="393"/>
        <w:spacing w:after="0" w:line="286" w:lineRule="auto"/>
        <w:rPr>
          <w:sz w:val="20"/>
          <w:szCs w:val="20"/>
          <w:color w:val="auto"/>
        </w:rPr>
      </w:pPr>
      <w:r>
        <w:rPr>
          <w:rFonts w:ascii="Arial" w:cs="Arial" w:eastAsia="Arial" w:hAnsi="Arial"/>
          <w:sz w:val="16"/>
          <w:szCs w:val="16"/>
          <w:color w:val="auto"/>
        </w:rPr>
        <w:t>As of December 31, 2021, the aggregate amount of contracted revenues allocated to our unsatisfied performance obligations was $1.6 billion, which included our deferred revenues balances and amounts to be invoiced and recognized as revenue in future periods. We expect to recognize approximately $1.3 billion over the next 12 months, $0.1 billion in the subsequent 12-month period, and the remainder thereafter.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Leases</w:t>
      </w:r>
    </w:p>
    <w:p>
      <w:pPr>
        <w:spacing w:after="0" w:line="256"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Our lease arrangements are primarily for: (1) corporate, administrative, and development studio offices; and (2) data centers and server equipment. Our existing leases have remaining lease terms ranging from one to eight years. In certain instances, such leases include one or more options to renew, with renewal terms that generally extend the lease term by one to five years for each option. The exercise of lease renewal options is generally at our sole discretion. All of our existing leases are classified as operating leases.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Components of our lease costs are as follows (amounts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Ended December 31,</w:t>
            </w:r>
          </w:p>
        </w:tc>
        <w:tc>
          <w:tcPr>
            <w:tcW w:w="1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100" w:type="dxa"/>
            <w:vAlign w:val="bottom"/>
          </w:tcPr>
          <w:p>
            <w:pPr>
              <w:spacing w:after="0"/>
              <w:rPr>
                <w:sz w:val="16"/>
                <w:szCs w:val="16"/>
                <w:color w:val="auto"/>
              </w:rPr>
            </w:pPr>
          </w:p>
        </w:tc>
        <w:tc>
          <w:tcPr>
            <w:tcW w:w="2080" w:type="dxa"/>
            <w:vAlign w:val="bottom"/>
          </w:tcPr>
          <w:p>
            <w:pPr>
              <w:jc w:val="right"/>
              <w:ind w:right="33"/>
              <w:spacing w:after="0"/>
              <w:rPr>
                <w:sz w:val="20"/>
                <w:szCs w:val="20"/>
                <w:color w:val="auto"/>
              </w:rPr>
            </w:pPr>
            <w:r>
              <w:rPr>
                <w:rFonts w:ascii="Arial" w:cs="Arial" w:eastAsia="Arial" w:hAnsi="Arial"/>
                <w:sz w:val="17"/>
                <w:szCs w:val="17"/>
                <w:b w:val="1"/>
                <w:bCs w:val="1"/>
                <w:color w:val="auto"/>
                <w:w w:val="92"/>
              </w:rPr>
              <w:t>Year Ended December 31,</w:t>
            </w:r>
          </w:p>
        </w:tc>
      </w:tr>
      <w:tr>
        <w:trPr>
          <w:trHeight w:val="223"/>
        </w:trPr>
        <w:tc>
          <w:tcPr>
            <w:tcW w:w="45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2019</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7"/>
                <w:szCs w:val="17"/>
                <w:color w:val="auto"/>
              </w:rPr>
              <w:t>Operating lease costs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Variable lease costs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information related to our operating leases is as follows (amounts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2"/>
          </w:tcPr>
          <w:p>
            <w:pPr>
              <w:ind w:left="40"/>
              <w:spacing w:after="0"/>
              <w:rPr>
                <w:sz w:val="20"/>
                <w:szCs w:val="20"/>
                <w:color w:val="auto"/>
              </w:rPr>
            </w:pPr>
            <w:r>
              <w:rPr>
                <w:rFonts w:ascii="Arial" w:cs="Arial" w:eastAsia="Arial" w:hAnsi="Arial"/>
                <w:sz w:val="17"/>
                <w:szCs w:val="17"/>
                <w:b w:val="1"/>
                <w:bCs w:val="1"/>
                <w:color w:val="auto"/>
              </w:rPr>
              <w:t>Year Ended December 31,</w:t>
            </w:r>
          </w:p>
        </w:tc>
        <w:tc>
          <w:tcPr>
            <w:tcW w:w="120" w:type="dxa"/>
            <w:vAlign w:val="bottom"/>
          </w:tcPr>
          <w:p>
            <w:pPr>
              <w:spacing w:after="0"/>
              <w:rPr>
                <w:sz w:val="16"/>
                <w:szCs w:val="16"/>
                <w:color w:val="auto"/>
              </w:rPr>
            </w:pPr>
          </w:p>
        </w:tc>
        <w:tc>
          <w:tcPr>
            <w:tcW w:w="2240" w:type="dxa"/>
            <w:vAlign w:val="bottom"/>
            <w:gridSpan w:val="2"/>
          </w:tcPr>
          <w:p>
            <w:pPr>
              <w:ind w:left="40"/>
              <w:spacing w:after="0"/>
              <w:rPr>
                <w:sz w:val="20"/>
                <w:szCs w:val="20"/>
                <w:color w:val="auto"/>
              </w:rPr>
            </w:pPr>
            <w:r>
              <w:rPr>
                <w:rFonts w:ascii="Arial" w:cs="Arial" w:eastAsia="Arial" w:hAnsi="Arial"/>
                <w:sz w:val="17"/>
                <w:szCs w:val="17"/>
                <w:b w:val="1"/>
                <w:bCs w:val="1"/>
                <w:color w:val="auto"/>
              </w:rPr>
              <w:t>Year Ended December 31,</w:t>
            </w:r>
          </w:p>
        </w:tc>
        <w:tc>
          <w:tcPr>
            <w:tcW w:w="214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Operating Cash Flows Information</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380" w:type="dxa"/>
            <w:vAlign w:val="bottom"/>
          </w:tcPr>
          <w:p>
            <w:pPr>
              <w:ind w:left="140"/>
              <w:spacing w:after="0" w:line="172" w:lineRule="exact"/>
              <w:rPr>
                <w:sz w:val="20"/>
                <w:szCs w:val="20"/>
                <w:color w:val="auto"/>
              </w:rPr>
            </w:pPr>
            <w:r>
              <w:rPr>
                <w:rFonts w:ascii="Arial" w:cs="Arial" w:eastAsia="Arial" w:hAnsi="Arial"/>
                <w:sz w:val="17"/>
                <w:szCs w:val="17"/>
                <w:color w:val="auto"/>
              </w:rPr>
              <w:t>Cash paid for amounts included in the measurement of</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2140" w:type="dxa"/>
            <w:vAlign w:val="bottom"/>
            <w:vMerge w:val="restart"/>
          </w:tcPr>
          <w:p>
            <w:pPr>
              <w:jc w:val="right"/>
              <w:ind w:right="133"/>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2160" w:type="dxa"/>
            <w:vAlign w:val="bottom"/>
            <w:vMerge w:val="restart"/>
          </w:tcPr>
          <w:p>
            <w:pPr>
              <w:jc w:val="right"/>
              <w:ind w:right="133"/>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4"/>
                <w:szCs w:val="14"/>
                <w:color w:val="auto"/>
              </w:rPr>
            </w:pPr>
          </w:p>
        </w:tc>
        <w:tc>
          <w:tcPr>
            <w:tcW w:w="500" w:type="dxa"/>
            <w:vAlign w:val="bottom"/>
            <w:vMerge w:val="restart"/>
          </w:tcPr>
          <w:p>
            <w:pPr>
              <w:jc w:val="right"/>
              <w:ind w:right="293"/>
              <w:spacing w:after="0"/>
              <w:rPr>
                <w:sz w:val="20"/>
                <w:szCs w:val="20"/>
                <w:color w:val="auto"/>
              </w:rPr>
            </w:pPr>
            <w:r>
              <w:rPr>
                <w:rFonts w:ascii="Arial" w:cs="Arial" w:eastAsia="Arial" w:hAnsi="Arial"/>
                <w:sz w:val="17"/>
                <w:szCs w:val="17"/>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2"/>
        </w:trPr>
        <w:tc>
          <w:tcPr>
            <w:tcW w:w="4380" w:type="dxa"/>
            <w:vAlign w:val="bottom"/>
          </w:tcPr>
          <w:p>
            <w:pPr>
              <w:ind w:left="140"/>
              <w:spacing w:after="0"/>
              <w:rPr>
                <w:sz w:val="20"/>
                <w:szCs w:val="20"/>
                <w:color w:val="auto"/>
              </w:rPr>
            </w:pPr>
            <w:r>
              <w:rPr>
                <w:rFonts w:ascii="Arial" w:cs="Arial" w:eastAsia="Arial" w:hAnsi="Arial"/>
                <w:sz w:val="17"/>
                <w:szCs w:val="17"/>
                <w:color w:val="auto"/>
              </w:rPr>
              <w:t>lease liabilities</w:t>
            </w:r>
          </w:p>
        </w:tc>
        <w:tc>
          <w:tcPr>
            <w:tcW w:w="12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ROU assets obtained in exchange for new lease obligations</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19"/>
                <w:szCs w:val="19"/>
                <w:color w:val="auto"/>
              </w:rPr>
            </w:pPr>
          </w:p>
        </w:tc>
        <w:tc>
          <w:tcPr>
            <w:tcW w:w="2360" w:type="dxa"/>
            <w:vAlign w:val="bottom"/>
            <w:gridSpan w:val="2"/>
          </w:tcPr>
          <w:p>
            <w:pPr>
              <w:ind w:left="300"/>
              <w:spacing w:after="0"/>
              <w:rPr>
                <w:sz w:val="20"/>
                <w:szCs w:val="20"/>
                <w:color w:val="auto"/>
              </w:rPr>
            </w:pPr>
            <w:r>
              <w:rPr>
                <w:rFonts w:ascii="Arial" w:cs="Arial" w:eastAsia="Arial" w:hAnsi="Arial"/>
                <w:sz w:val="17"/>
                <w:szCs w:val="17"/>
                <w:b w:val="1"/>
                <w:bCs w:val="1"/>
                <w:color w:val="auto"/>
              </w:rPr>
              <w:t>At December 31, 2021</w:t>
            </w:r>
          </w:p>
        </w:tc>
        <w:tc>
          <w:tcPr>
            <w:tcW w:w="2280" w:type="dxa"/>
            <w:vAlign w:val="bottom"/>
          </w:tcPr>
          <w:p>
            <w:pPr>
              <w:jc w:val="right"/>
              <w:ind w:right="233"/>
              <w:spacing w:after="0"/>
              <w:rPr>
                <w:sz w:val="20"/>
                <w:szCs w:val="20"/>
                <w:color w:val="auto"/>
              </w:rPr>
            </w:pPr>
            <w:r>
              <w:rPr>
                <w:rFonts w:ascii="Arial" w:cs="Arial" w:eastAsia="Arial" w:hAnsi="Arial"/>
                <w:sz w:val="17"/>
                <w:szCs w:val="17"/>
                <w:b w:val="1"/>
                <w:bCs w:val="1"/>
                <w:color w:val="auto"/>
              </w:rPr>
              <w:t>At December 31, 2020</w:t>
            </w:r>
          </w:p>
        </w:tc>
      </w:tr>
      <w:tr>
        <w:trPr>
          <w:trHeight w:val="20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Lease terms and discount rates</w:t>
            </w:r>
          </w:p>
        </w:tc>
        <w:tc>
          <w:tcPr>
            <w:tcW w:w="2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r>
      <w:tr>
        <w:trPr>
          <w:trHeight w:val="223"/>
        </w:trPr>
        <w:tc>
          <w:tcPr>
            <w:tcW w:w="4380" w:type="dxa"/>
            <w:vAlign w:val="bottom"/>
          </w:tcPr>
          <w:p>
            <w:pPr>
              <w:ind w:left="140"/>
              <w:spacing w:after="0"/>
              <w:rPr>
                <w:sz w:val="20"/>
                <w:szCs w:val="20"/>
                <w:color w:val="auto"/>
              </w:rPr>
            </w:pPr>
            <w:r>
              <w:rPr>
                <w:rFonts w:ascii="Arial" w:cs="Arial" w:eastAsia="Arial" w:hAnsi="Arial"/>
                <w:sz w:val="17"/>
                <w:szCs w:val="17"/>
                <w:color w:val="auto"/>
              </w:rPr>
              <w:t>Remaining lease term</w:t>
            </w:r>
          </w:p>
        </w:tc>
        <w:tc>
          <w:tcPr>
            <w:tcW w:w="2360" w:type="dxa"/>
            <w:vAlign w:val="bottom"/>
            <w:gridSpan w:val="2"/>
          </w:tcPr>
          <w:p>
            <w:pPr>
              <w:jc w:val="right"/>
              <w:ind w:right="120"/>
              <w:spacing w:after="0"/>
              <w:rPr>
                <w:sz w:val="20"/>
                <w:szCs w:val="20"/>
                <w:color w:val="auto"/>
              </w:rPr>
            </w:pPr>
            <w:r>
              <w:rPr>
                <w:rFonts w:ascii="Arial" w:cs="Arial" w:eastAsia="Arial" w:hAnsi="Arial"/>
                <w:sz w:val="17"/>
                <w:szCs w:val="17"/>
                <w:color w:val="auto"/>
              </w:rPr>
              <w:t>4.10 years</w:t>
            </w:r>
          </w:p>
        </w:tc>
        <w:tc>
          <w:tcPr>
            <w:tcW w:w="2280" w:type="dxa"/>
            <w:vAlign w:val="bottom"/>
          </w:tcPr>
          <w:p>
            <w:pPr>
              <w:jc w:val="right"/>
              <w:spacing w:after="0"/>
              <w:rPr>
                <w:sz w:val="20"/>
                <w:szCs w:val="20"/>
                <w:color w:val="auto"/>
              </w:rPr>
            </w:pPr>
            <w:r>
              <w:rPr>
                <w:rFonts w:ascii="Arial" w:cs="Arial" w:eastAsia="Arial" w:hAnsi="Arial"/>
                <w:sz w:val="17"/>
                <w:szCs w:val="17"/>
                <w:color w:val="auto"/>
              </w:rPr>
              <w:t>4.48 years</w:t>
            </w:r>
          </w:p>
        </w:tc>
      </w:tr>
      <w:tr>
        <w:trPr>
          <w:trHeight w:val="223"/>
        </w:trPr>
        <w:tc>
          <w:tcPr>
            <w:tcW w:w="4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Discount rate</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3.40 %</w:t>
            </w: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undiscounted lease payments for our operating lease liabilities, and a reconciliation of these payments to our operating lease liabilities at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are as follows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years ending December 31,</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9060" w:type="dxa"/>
            <w:vAlign w:val="bottom"/>
          </w:tcPr>
          <w:p>
            <w:pPr>
              <w:ind w:left="140"/>
              <w:spacing w:after="0"/>
              <w:rPr>
                <w:sz w:val="20"/>
                <w:szCs w:val="20"/>
                <w:color w:val="auto"/>
              </w:rPr>
            </w:pPr>
            <w:r>
              <w:rPr>
                <w:rFonts w:ascii="Arial" w:cs="Arial" w:eastAsia="Arial" w:hAnsi="Arial"/>
                <w:sz w:val="17"/>
                <w:szCs w:val="17"/>
                <w:color w:val="auto"/>
              </w:rPr>
              <w:t>2022</w:t>
            </w: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2023</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3"/>
        </w:trPr>
        <w:tc>
          <w:tcPr>
            <w:tcW w:w="9060" w:type="dxa"/>
            <w:vAlign w:val="bottom"/>
          </w:tcPr>
          <w:p>
            <w:pPr>
              <w:ind w:left="140"/>
              <w:spacing w:after="0"/>
              <w:rPr>
                <w:sz w:val="20"/>
                <w:szCs w:val="20"/>
                <w:color w:val="auto"/>
              </w:rPr>
            </w:pPr>
            <w:r>
              <w:rPr>
                <w:rFonts w:ascii="Arial" w:cs="Arial" w:eastAsia="Arial" w:hAnsi="Arial"/>
                <w:sz w:val="17"/>
                <w:szCs w:val="17"/>
                <w:color w:val="auto"/>
              </w:rPr>
              <w:t>2024</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2025</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23"/>
        </w:trPr>
        <w:tc>
          <w:tcPr>
            <w:tcW w:w="9060" w:type="dxa"/>
            <w:vAlign w:val="bottom"/>
          </w:tcPr>
          <w:p>
            <w:pPr>
              <w:ind w:left="140"/>
              <w:spacing w:after="0"/>
              <w:rPr>
                <w:sz w:val="20"/>
                <w:szCs w:val="20"/>
                <w:color w:val="auto"/>
              </w:rPr>
            </w:pPr>
            <w:r>
              <w:rPr>
                <w:rFonts w:ascii="Arial" w:cs="Arial" w:eastAsia="Arial" w:hAnsi="Arial"/>
                <w:sz w:val="17"/>
                <w:szCs w:val="17"/>
                <w:color w:val="auto"/>
              </w:rPr>
              <w:t>2026</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future lease payments</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r>
      <w:tr>
        <w:trPr>
          <w:trHeight w:val="216"/>
        </w:trPr>
        <w:tc>
          <w:tcPr>
            <w:tcW w:w="9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9060" w:type="dxa"/>
            <w:vAlign w:val="bottom"/>
          </w:tcPr>
          <w:p>
            <w:pPr>
              <w:ind w:left="340"/>
              <w:spacing w:after="0"/>
              <w:rPr>
                <w:sz w:val="20"/>
                <w:szCs w:val="20"/>
                <w:color w:val="auto"/>
              </w:rPr>
            </w:pPr>
            <w:r>
              <w:rPr>
                <w:rFonts w:ascii="Arial" w:cs="Arial" w:eastAsia="Arial" w:hAnsi="Arial"/>
                <w:sz w:val="17"/>
                <w:szCs w:val="17"/>
                <w:color w:val="auto"/>
              </w:rPr>
              <w:t>Total lease liabilities</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r>
      <w:tr>
        <w:trPr>
          <w:trHeight w:val="20"/>
        </w:trPr>
        <w:tc>
          <w:tcPr>
            <w:tcW w:w="9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firstLine="393"/>
        <w:spacing w:after="0" w:line="289" w:lineRule="auto"/>
        <w:rPr>
          <w:sz w:val="20"/>
          <w:szCs w:val="20"/>
          <w:color w:val="auto"/>
        </w:rPr>
      </w:pPr>
      <w:r>
        <w:rPr>
          <w:rFonts w:ascii="Arial" w:cs="Arial" w:eastAsia="Arial" w:hAnsi="Arial"/>
          <w:sz w:val="17"/>
          <w:szCs w:val="17"/>
          <w:color w:val="auto"/>
        </w:rPr>
        <w:t>Operating lease ROU assets and liabilities recorded on our consolidated balance sheet as of December 31, 2021 and December 31, 2020, were as follows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100"/>
              <w:spacing w:after="0"/>
              <w:rPr>
                <w:sz w:val="20"/>
                <w:szCs w:val="20"/>
                <w:color w:val="auto"/>
              </w:rPr>
            </w:pPr>
            <w:r>
              <w:rPr>
                <w:rFonts w:ascii="Arial" w:cs="Arial" w:eastAsia="Arial" w:hAnsi="Arial"/>
                <w:sz w:val="17"/>
                <w:szCs w:val="17"/>
                <w:b w:val="1"/>
                <w:bCs w:val="1"/>
                <w:color w:val="auto"/>
              </w:rPr>
              <w:t>At December 31, 2021</w:t>
            </w:r>
          </w:p>
        </w:tc>
        <w:tc>
          <w:tcPr>
            <w:tcW w:w="180" w:type="dxa"/>
            <w:vAlign w:val="bottom"/>
          </w:tcPr>
          <w:p>
            <w:pPr>
              <w:spacing w:after="0"/>
              <w:rPr>
                <w:sz w:val="19"/>
                <w:szCs w:val="19"/>
                <w:color w:val="auto"/>
              </w:rPr>
            </w:pPr>
          </w:p>
        </w:tc>
        <w:tc>
          <w:tcPr>
            <w:tcW w:w="2100" w:type="dxa"/>
            <w:vAlign w:val="bottom"/>
            <w:gridSpan w:val="2"/>
          </w:tcPr>
          <w:p>
            <w:pPr>
              <w:ind w:left="80"/>
              <w:spacing w:after="0"/>
              <w:rPr>
                <w:sz w:val="20"/>
                <w:szCs w:val="20"/>
                <w:color w:val="auto"/>
              </w:rPr>
            </w:pPr>
            <w:r>
              <w:rPr>
                <w:rFonts w:ascii="Arial" w:cs="Arial" w:eastAsia="Arial" w:hAnsi="Arial"/>
                <w:sz w:val="17"/>
                <w:szCs w:val="17"/>
                <w:b w:val="1"/>
                <w:bCs w:val="1"/>
                <w:color w:val="auto"/>
              </w:rPr>
              <w:t>At December 31, 2020</w:t>
            </w:r>
          </w:p>
        </w:tc>
        <w:tc>
          <w:tcPr>
            <w:tcW w:w="4120" w:type="dxa"/>
            <w:vAlign w:val="bottom"/>
          </w:tcPr>
          <w:p>
            <w:pPr>
              <w:spacing w:after="0"/>
              <w:rPr>
                <w:sz w:val="20"/>
                <w:szCs w:val="20"/>
                <w:color w:val="auto"/>
              </w:rPr>
            </w:pPr>
            <w:r>
              <w:rPr>
                <w:rFonts w:ascii="Arial" w:cs="Arial" w:eastAsia="Arial" w:hAnsi="Arial"/>
                <w:sz w:val="17"/>
                <w:szCs w:val="17"/>
                <w:b w:val="1"/>
                <w:bCs w:val="1"/>
                <w:color w:val="auto"/>
              </w:rPr>
              <w:t>Balance Sheet Classification</w:t>
            </w:r>
          </w:p>
        </w:tc>
      </w:tr>
      <w:tr>
        <w:trPr>
          <w:trHeight w:val="21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136130" cy="141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Current lease liabilities</w:t>
            </w: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3"/>
        </w:trPr>
        <w:tc>
          <w:tcPr>
            <w:tcW w:w="2540" w:type="dxa"/>
            <w:vAlign w:val="bottom"/>
          </w:tcPr>
          <w:p>
            <w:pPr>
              <w:spacing w:after="0"/>
              <w:rPr>
                <w:sz w:val="20"/>
                <w:szCs w:val="20"/>
                <w:color w:val="auto"/>
              </w:rPr>
            </w:pPr>
            <w:r>
              <w:rPr>
                <w:rFonts w:ascii="Arial" w:cs="Arial" w:eastAsia="Arial" w:hAnsi="Arial"/>
                <w:sz w:val="17"/>
                <w:szCs w:val="17"/>
                <w:color w:val="auto"/>
              </w:rPr>
              <w:t>Non-current lease liabilities</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r>
      <w:tr>
        <w:trPr>
          <w:trHeight w:val="216"/>
        </w:trPr>
        <w:tc>
          <w:tcPr>
            <w:tcW w:w="2540" w:type="dxa"/>
            <w:vAlign w:val="bottom"/>
          </w:tcPr>
          <w:p>
            <w:pPr>
              <w:spacing w:after="0"/>
              <w:rPr>
                <w:sz w:val="18"/>
                <w:szCs w:val="18"/>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r>
      <w:tr>
        <w:trPr>
          <w:trHeight w:val="20"/>
        </w:trPr>
        <w:tc>
          <w:tcPr>
            <w:tcW w:w="2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6130" cy="166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920"/>
        <w:spacing w:after="0" w:line="297" w:lineRule="auto"/>
        <w:rPr>
          <w:sz w:val="20"/>
          <w:szCs w:val="20"/>
          <w:color w:val="auto"/>
        </w:rPr>
      </w:pPr>
      <w:r>
        <w:rPr>
          <w:rFonts w:ascii="Arial" w:cs="Arial" w:eastAsia="Arial" w:hAnsi="Arial"/>
          <w:sz w:val="17"/>
          <w:szCs w:val="17"/>
          <w:color w:val="auto"/>
        </w:rPr>
        <w:t>Accrued expenses and other current liabilities Other liabilities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Total lease liabilities</w:t>
      </w:r>
    </w:p>
    <w:p>
      <w:pPr>
        <w:spacing w:after="0" w:line="252" w:lineRule="exact"/>
        <w:rPr>
          <w:sz w:val="20"/>
          <w:szCs w:val="20"/>
          <w:color w:val="auto"/>
        </w:rPr>
      </w:pPr>
    </w:p>
    <w:p>
      <w:pPr>
        <w:sectPr>
          <w:pgSz w:w="11900" w:h="16838" w:orient="portrait"/>
          <w:cols w:equalWidth="0" w:num="2">
            <w:col w:w="7000" w:space="120"/>
            <w:col w:w="4120"/>
          </w:cols>
          <w:pgMar w:left="320" w:top="127" w:right="33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Debt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50" w:lineRule="exact"/>
        <w:rPr>
          <w:sz w:val="20"/>
          <w:szCs w:val="20"/>
          <w:color w:val="auto"/>
        </w:rPr>
      </w:pPr>
    </w:p>
    <w:p>
      <w:pPr>
        <w:ind w:right="360" w:firstLine="393"/>
        <w:spacing w:after="0" w:line="273" w:lineRule="auto"/>
        <w:rPr>
          <w:sz w:val="20"/>
          <w:szCs w:val="20"/>
          <w:color w:val="auto"/>
        </w:rPr>
      </w:pPr>
      <w:r>
        <w:rPr>
          <w:rFonts w:ascii="Arial" w:cs="Arial" w:eastAsia="Arial" w:hAnsi="Arial"/>
          <w:sz w:val="17"/>
          <w:szCs w:val="17"/>
          <w:color w:val="auto"/>
        </w:rPr>
        <w:t>As of December 31, 2021 and December 31, 2020, we had $1.5 billion available under a revolving credit facility (the “Revolver”) pursuant to a credit agreement entered into on October 11, 2013 (as amended thereafter and from time to time, the “Credit Agreement”). To date, we have not drawn on the Revolver.</w:t>
      </w:r>
    </w:p>
    <w:p>
      <w:pPr>
        <w:spacing w:after="0" w:line="198" w:lineRule="exact"/>
        <w:rPr>
          <w:sz w:val="20"/>
          <w:szCs w:val="20"/>
          <w:color w:val="auto"/>
        </w:rPr>
      </w:pPr>
    </w:p>
    <w:p>
      <w:pPr>
        <w:ind w:right="80" w:firstLine="393"/>
        <w:spacing w:after="0" w:line="283" w:lineRule="auto"/>
        <w:rPr>
          <w:sz w:val="20"/>
          <w:szCs w:val="20"/>
          <w:color w:val="auto"/>
        </w:rPr>
      </w:pPr>
      <w:r>
        <w:rPr>
          <w:rFonts w:ascii="Arial" w:cs="Arial" w:eastAsia="Arial" w:hAnsi="Arial"/>
          <w:sz w:val="16"/>
          <w:szCs w:val="16"/>
          <w:color w:val="auto"/>
        </w:rPr>
        <w:t>The Revolver is scheduled to mature on August 24, 2023. Borrowings under the Revolver will bear interest, at the Company’s option, at either (1) a base rate equal to the highest of (i) the federal funds rate, plus 0.5%, (ii) the prime commercial lending rate of Bank of America, N.A. and (iii) the London Interbank Offered Rate (“LIBOR”) for an interest period of one month beginning on such day plus 1.00%, or (2) LIBOR, in each case, plus an applicable interest margin. LIBOR will be subject to a floor of 0% and base rate will be subject to an effective floor of 1.00%. The applicable interest margin for borrowings under the Revolver will range from 0.875% to 1.375% for LIBOR borrowings and from 0% to 0.375% for base rate borrowings and will be determined by reference to a pricing grid based on the Company’s credit ratings. Up to $50 million of the Revolver may be used for letters of credit.</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Under the Credit Agreement, we are subject to a financial covenant requiring the Company’s Consolidated Total Net</w:t>
      </w:r>
    </w:p>
    <w:p>
      <w:pPr>
        <w:spacing w:after="0" w:line="2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Debt Ratio (as defined in the Credit Agreement) not to exceed 3.75:1.00 (or, at the Company’s option and for a limited period of time upon the consummation of a Qualifying Acquisition (as defined in the Credit Agreement), 4.25:1.00). The Credit Agreement contains covenants customary for transactions of this type for issuers with similar credit ratings. These include those restricting liens, debt of non-guarantor subsidiaries and certain fundamental changes, in each case with exceptions, including exceptions for secured debt and debt of non-guarantor subsidiaries of the Company, in each case up to an amount not exceeding 7.5% of Total Assets (as defined in the Credit Agreement). We were in compliance with the terms of the Credit Agreement as of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50" w:lineRule="exact"/>
        <w:rPr>
          <w:sz w:val="20"/>
          <w:szCs w:val="20"/>
          <w:color w:val="auto"/>
        </w:rPr>
      </w:pPr>
    </w:p>
    <w:p>
      <w:pPr>
        <w:ind w:right="560" w:firstLine="393"/>
        <w:spacing w:after="0" w:line="289" w:lineRule="auto"/>
        <w:rPr>
          <w:sz w:val="20"/>
          <w:szCs w:val="20"/>
          <w:color w:val="auto"/>
        </w:rPr>
      </w:pPr>
      <w:r>
        <w:rPr>
          <w:rFonts w:ascii="Arial" w:cs="Arial" w:eastAsia="Arial" w:hAnsi="Arial"/>
          <w:sz w:val="17"/>
          <w:szCs w:val="17"/>
          <w:color w:val="auto"/>
        </w:rPr>
        <w:t>As of December 31, 2021 and December 31, 2020, we had $3.7 billion of gross unsecured senior notes outstanding. A summary of our outstanding unsecured senior notes is as follows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December 31, 2021</w:t>
            </w:r>
          </w:p>
        </w:tc>
        <w:tc>
          <w:tcPr>
            <w:tcW w:w="160" w:type="dxa"/>
            <w:vAlign w:val="bottom"/>
          </w:tcPr>
          <w:p>
            <w:pPr>
              <w:spacing w:after="0"/>
              <w:rPr>
                <w:sz w:val="16"/>
                <w:szCs w:val="16"/>
                <w:color w:val="auto"/>
              </w:rPr>
            </w:pPr>
          </w:p>
        </w:tc>
        <w:tc>
          <w:tcPr>
            <w:tcW w:w="19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31"/>
        </w:trPr>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Unsecured Senior Notes</w:t>
            </w:r>
          </w:p>
        </w:tc>
        <w:tc>
          <w:tcPr>
            <w:tcW w:w="100" w:type="dxa"/>
            <w:vAlign w:val="bottom"/>
            <w:vMerge w:val="restart"/>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00" w:type="dxa"/>
            <w:vAlign w:val="bottom"/>
            <w:vMerge w:val="restart"/>
          </w:tcPr>
          <w:p>
            <w:pPr>
              <w:spacing w:after="0"/>
              <w:rPr>
                <w:sz w:val="11"/>
                <w:szCs w:val="11"/>
                <w:color w:val="auto"/>
              </w:rPr>
            </w:pPr>
          </w:p>
        </w:tc>
        <w:tc>
          <w:tcPr>
            <w:tcW w:w="20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Semi-Annual Interest</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8"/>
              <w:spacing w:after="0" w:line="131" w:lineRule="exact"/>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8"/>
              <w:spacing w:after="0" w:line="131"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 Due On</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7"/>
        </w:trPr>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Sept. 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23"/>
        </w:trPr>
        <w:tc>
          <w:tcPr>
            <w:tcW w:w="27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2027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Jun. 15 &amp; Dec. 15</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2027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1.35%</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23"/>
        </w:trPr>
        <w:tc>
          <w:tcPr>
            <w:tcW w:w="27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2047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Jun. 15 &amp; Dec. 15</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2047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gross long-term debt</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7"/>
              </w:rPr>
              <w:t>Unamortized discount and deferred financing costs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Total net carrying amount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4" w:name="page95"/>
    <w:bookmarkEnd w:id="9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firstLine="393"/>
        <w:spacing w:after="0" w:line="257" w:lineRule="auto"/>
        <w:rPr>
          <w:sz w:val="20"/>
          <w:szCs w:val="20"/>
          <w:color w:val="auto"/>
        </w:rPr>
      </w:pPr>
      <w:r>
        <w:rPr>
          <w:rFonts w:ascii="Arial" w:cs="Arial" w:eastAsia="Arial" w:hAnsi="Arial"/>
          <w:sz w:val="17"/>
          <w:szCs w:val="17"/>
          <w:color w:val="auto"/>
        </w:rPr>
        <w:t>We may redeem some or all of each class of the unsecured senior notes. Any such redemption will be at a price equal to 100% of the aggregate principal amount thereof plus accrued and unpaid interest as well as, for a redemption prior to the permitted redemption date for that class of notes, a “make-whole” premium.</w:t>
      </w:r>
    </w:p>
    <w:p>
      <w:pPr>
        <w:spacing w:after="0" w:line="198"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Upon the occurrence of certain change of control events, we will be required to offer to repurchase the notes outstanding at a purchase price equal to 101% of the principal amount thereof, plus accrued and unpaid interest. These repurchase requirements are considered clearly and closely related to the unsecured notes and are not accounted for separately upon issuance.</w:t>
      </w:r>
    </w:p>
    <w:p>
      <w:pPr>
        <w:spacing w:after="0" w:line="198"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The outstanding notes are general senior obligations of the Company and rank pari passu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The notes contain customary covenants that place restrictions in certain circumstances on, among other things, the incurrence of secured debt, entry into sale or leaseback transactions, and certain merger or consolidation transactions. We were in compliance with the terms of the notes outstanding as of December 31, 2021.</w:t>
      </w:r>
    </w:p>
    <w:p>
      <w:pPr>
        <w:spacing w:after="0" w:line="189" w:lineRule="exact"/>
        <w:rPr>
          <w:sz w:val="20"/>
          <w:szCs w:val="20"/>
          <w:color w:val="auto"/>
        </w:rPr>
      </w:pPr>
    </w:p>
    <w:p>
      <w:pPr>
        <w:ind w:right="620" w:firstLine="393"/>
        <w:spacing w:after="0" w:line="273" w:lineRule="auto"/>
        <w:rPr>
          <w:sz w:val="20"/>
          <w:szCs w:val="20"/>
          <w:color w:val="auto"/>
        </w:rPr>
      </w:pPr>
      <w:r>
        <w:rPr>
          <w:rFonts w:ascii="Arial" w:cs="Arial" w:eastAsia="Arial" w:hAnsi="Arial"/>
          <w:sz w:val="17"/>
          <w:szCs w:val="17"/>
          <w:color w:val="auto"/>
        </w:rPr>
        <w:t>As of December 31, 2021, with the exception of our 2026 Notes, which are scheduled to mature in September 2026, no other contractual principal repayments of our long-term debt were due within the next five years.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Income (Loss)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 Ended December 31, 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40"/>
              <w:spacing w:after="0" w:line="130"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into earnings</w:t>
            </w: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 Ended December 31,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Operating Segments and Geographic Regions</w:t>
      </w:r>
    </w:p>
    <w:p>
      <w:pPr>
        <w:spacing w:after="0" w:line="256"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The Company has been reviewing its overall compensation structure and philosophy and began implementing changes to its compensation payments for 2021, primarily to enhance equity ownership for employees and bring our employee equity compensation more in line with the current industry practice. As an aspect of this change, the Company determined to settle amounts not yet paid as of December 31, 2021 under its annual performance plans in stock as opposed to cash and further to provide such incentives, to eligible employees, at no less than target performance without regard to whether target performance was achieved, resulting in a year-end share-based compensation liability of $194 million. In addition, going forward, to the extent certain of our previously cash-based bonus programs are instead issued as time-based equity or settled via equity, such amounts will be recorded as share-based compensation and will be excluded from segment operating income.</w:t>
      </w:r>
    </w:p>
    <w:p>
      <w:pPr>
        <w:spacing w:after="0" w:line="211"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Information on reportable segment net revenues and operating income are presented below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Year Ended December 31, 2021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2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3,478</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1,733</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2,580</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7,791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3,478</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1,827</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2,580</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7,885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
        </w:trPr>
        <w:tc>
          <w:tcPr>
            <w:tcW w:w="4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1,667</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698</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1,140</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3,505</w:t>
            </w:r>
          </w:p>
        </w:tc>
      </w:tr>
      <w:tr>
        <w:trPr>
          <w:trHeight w:val="262"/>
        </w:trPr>
        <w:tc>
          <w:tcPr>
            <w:tcW w:w="4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Year Ended December 31, 2020</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2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3,942</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1,794</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2,164</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7,900</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3,942</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1,905</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8,011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
        </w:trPr>
        <w:tc>
          <w:tcPr>
            <w:tcW w:w="4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1,868</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693</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857</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3,418</w:t>
            </w:r>
          </w:p>
        </w:tc>
      </w:tr>
      <w:tr>
        <w:trPr>
          <w:trHeight w:val="262"/>
        </w:trPr>
        <w:tc>
          <w:tcPr>
            <w:tcW w:w="4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Year Ended December 31, 2019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2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2,219</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1,676</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2,031</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5,926</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2,219</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1,719</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2,031</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5,969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
        </w:trPr>
        <w:tc>
          <w:tcPr>
            <w:tcW w:w="4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8"/>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850</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464</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740</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2,054</w:t>
            </w:r>
          </w:p>
        </w:tc>
      </w:tr>
    </w:tbl>
    <w:p>
      <w:pPr>
        <w:spacing w:after="0" w:line="232" w:lineRule="exact"/>
        <w:rPr>
          <w:sz w:val="20"/>
          <w:szCs w:val="20"/>
          <w:color w:val="auto"/>
        </w:rPr>
      </w:pPr>
    </w:p>
    <w:p>
      <w:pPr>
        <w:ind w:left="320" w:hanging="315"/>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rPr>
              <w:t>Years Ended December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Segment net revenues</w:t>
            </w:r>
          </w:p>
        </w:tc>
        <w:tc>
          <w:tcPr>
            <w:tcW w:w="1080" w:type="dxa"/>
            <w:vAlign w:val="bottom"/>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7,885</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8,011</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5,969</w:t>
            </w:r>
          </w:p>
        </w:tc>
        <w:tc>
          <w:tcPr>
            <w:tcW w:w="0" w:type="dxa"/>
            <w:vAlign w:val="bottom"/>
          </w:tcPr>
          <w:p>
            <w:pPr>
              <w:spacing w:after="0"/>
              <w:rPr>
                <w:sz w:val="1"/>
                <w:szCs w:val="1"/>
                <w:color w:val="auto"/>
              </w:rPr>
            </w:pPr>
          </w:p>
        </w:tc>
      </w:tr>
      <w:tr>
        <w:trPr>
          <w:trHeight w:val="22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23"/>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Consolidated net revenues</w:t>
            </w: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20" w:type="dxa"/>
            <w:vAlign w:val="bottom"/>
            <w:gridSpan w:val="3"/>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223"/>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71"/>
        </w:trPr>
        <w:tc>
          <w:tcPr>
            <w:tcW w:w="612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7"/>
                <w:szCs w:val="17"/>
                <w:color w:val="auto"/>
              </w:rPr>
              <w:t>Net effect from recognition (deferral) of deferred net revenues and related cost of</w:t>
            </w:r>
          </w:p>
        </w:tc>
        <w:tc>
          <w:tcPr>
            <w:tcW w:w="10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2"/>
        </w:trPr>
        <w:tc>
          <w:tcPr>
            <w:tcW w:w="61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revenues (2)</w:t>
            </w:r>
          </w:p>
        </w:tc>
        <w:tc>
          <w:tcPr>
            <w:tcW w:w="10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Share-based compensation expense (4)</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2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93"/>
        </w:trPr>
        <w:tc>
          <w:tcPr>
            <w:tcW w:w="6120" w:type="dxa"/>
            <w:vAlign w:val="bottom"/>
            <w:gridSpan w:val="3"/>
          </w:tcPr>
          <w:p>
            <w:pPr>
              <w:ind w:left="20"/>
              <w:spacing w:after="0" w:line="184" w:lineRule="exact"/>
              <w:rPr>
                <w:rFonts w:ascii="Arial" w:cs="Arial" w:eastAsia="Arial" w:hAnsi="Arial"/>
                <w:sz w:val="17"/>
                <w:szCs w:val="17"/>
                <w:color w:val="auto"/>
              </w:rPr>
            </w:pPr>
            <w:r>
              <w:rPr>
                <w:rFonts w:ascii="Arial" w:cs="Arial" w:eastAsia="Arial" w:hAnsi="Arial"/>
                <w:sz w:val="17"/>
                <w:szCs w:val="17"/>
                <w:color w:val="auto"/>
              </w:rPr>
              <w:t>Restructuring and related costs (</w:t>
            </w:r>
            <w:hyperlink w:anchor="page108">
              <w:r>
                <w:rPr>
                  <w:rFonts w:ascii="Arial" w:cs="Arial" w:eastAsia="Arial" w:hAnsi="Arial"/>
                  <w:sz w:val="17"/>
                  <w:szCs w:val="17"/>
                  <w:color w:val="0000FF"/>
                </w:rPr>
                <w:t>Note 17</w:t>
              </w:r>
            </w:hyperlink>
            <w:r>
              <w:rPr>
                <w:rFonts w:ascii="Arial" w:cs="Arial" w:eastAsia="Arial" w:hAnsi="Arial"/>
                <w:sz w:val="17"/>
                <w:szCs w:val="17"/>
                <w:color w:val="auto"/>
              </w:rPr>
              <w:t>)</w:t>
            </w:r>
          </w:p>
        </w:tc>
        <w:tc>
          <w:tcPr>
            <w:tcW w:w="1080" w:type="dxa"/>
            <w:vAlign w:val="bottom"/>
          </w:tcPr>
          <w:p>
            <w:pPr>
              <w:spacing w:after="0"/>
              <w:rPr>
                <w:sz w:val="16"/>
                <w:szCs w:val="16"/>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7"/>
                <w:szCs w:val="17"/>
                <w:color w:val="auto"/>
              </w:rPr>
              <w:t>(77)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Arial" w:cs="Arial" w:eastAsia="Arial" w:hAnsi="Arial"/>
                <w:sz w:val="17"/>
                <w:szCs w:val="17"/>
                <w:color w:val="auto"/>
              </w:rPr>
              <w:t>(94)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Discrete tax-related items (5)</w:t>
            </w:r>
          </w:p>
        </w:tc>
        <w:tc>
          <w:tcPr>
            <w:tcW w:w="560" w:type="dxa"/>
            <w:vAlign w:val="bottom"/>
            <w:tcBorders>
              <w:top w:val="single" w:sz="8" w:color="0000FF"/>
            </w:tcBorders>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Consolidated operating income</w:t>
            </w: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2,734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1,607</w:t>
            </w:r>
          </w:p>
        </w:tc>
        <w:tc>
          <w:tcPr>
            <w:tcW w:w="0" w:type="dxa"/>
            <w:vAlign w:val="bottom"/>
          </w:tcPr>
          <w:p>
            <w:pPr>
              <w:spacing w:after="0"/>
              <w:rPr>
                <w:sz w:val="1"/>
                <w:szCs w:val="1"/>
                <w:color w:val="auto"/>
              </w:rPr>
            </w:pPr>
          </w:p>
        </w:tc>
      </w:tr>
      <w:tr>
        <w:trPr>
          <w:trHeight w:val="22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3"/>
        </w:trPr>
        <w:tc>
          <w:tcPr>
            <w:tcW w:w="6120" w:type="dxa"/>
            <w:vAlign w:val="bottom"/>
            <w:gridSpan w:val="3"/>
          </w:tcPr>
          <w:p>
            <w:pPr>
              <w:ind w:left="20"/>
              <w:spacing w:after="0"/>
              <w:rPr>
                <w:sz w:val="20"/>
                <w:szCs w:val="20"/>
                <w:color w:val="auto"/>
              </w:rPr>
            </w:pPr>
            <w:r>
              <w:rPr>
                <w:rFonts w:ascii="Arial" w:cs="Arial" w:eastAsia="Arial" w:hAnsi="Arial"/>
                <w:sz w:val="17"/>
                <w:szCs w:val="17"/>
                <w:color w:val="auto"/>
              </w:rPr>
              <w:t>Loss on extinguishment of debt</w:t>
            </w:r>
          </w:p>
        </w:tc>
        <w:tc>
          <w:tcPr>
            <w:tcW w:w="10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61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700" w:hanging="315"/>
        <w:spacing w:after="0" w:line="289" w:lineRule="auto"/>
        <w:tabs>
          <w:tab w:leader="none" w:pos="314"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Includes other income and expenses outside of our reportable segments, including our Distribution business and unallocated corporate income and expenses.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61" w:lineRule="exact"/>
        <w:rPr>
          <w:rFonts w:ascii="Arial" w:cs="Arial" w:eastAsia="Arial" w:hAnsi="Arial"/>
          <w:sz w:val="16"/>
          <w:szCs w:val="16"/>
          <w:color w:val="auto"/>
        </w:rPr>
      </w:pPr>
    </w:p>
    <w:p>
      <w:pPr>
        <w:ind w:left="320" w:hanging="315"/>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Expenses related to share-based compensation, including liability awards accounted for under ASC 718. Refer to </w:t>
      </w:r>
      <w:hyperlink w:anchor="page104">
        <w:r>
          <w:rPr>
            <w:rFonts w:ascii="Arial" w:cs="Arial" w:eastAsia="Arial" w:hAnsi="Arial"/>
            <w:sz w:val="17"/>
            <w:szCs w:val="17"/>
            <w:u w:val="single" w:color="auto"/>
            <w:color w:val="0000FF"/>
          </w:rPr>
          <w:t>Note 16</w:t>
        </w:r>
      </w:hyperlink>
      <w:r>
        <w:rPr>
          <w:rFonts w:ascii="Arial" w:cs="Arial" w:eastAsia="Arial" w:hAnsi="Arial"/>
          <w:sz w:val="17"/>
          <w:szCs w:val="17"/>
          <w:color w:val="auto"/>
        </w:rPr>
        <w:t>.</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Reflects the impact of other unusual or unique tax-related items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revenues by distribution channel, including a reconciliation to each of our reportable segment’s revenues, were as follows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2021</w:t>
            </w: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20" w:type="dxa"/>
            <w:vAlign w:val="bottom"/>
          </w:tcPr>
          <w:p>
            <w:pPr>
              <w:spacing w:after="0"/>
              <w:rPr>
                <w:sz w:val="14"/>
                <w:szCs w:val="14"/>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7,663</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3,023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7,242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2020</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20" w:type="dxa"/>
            <w:vAlign w:val="bottom"/>
          </w:tcPr>
          <w:p>
            <w:pPr>
              <w:spacing w:after="0"/>
              <w:rPr>
                <w:sz w:val="14"/>
                <w:szCs w:val="14"/>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6,658</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7,122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3"/>
        </w:trPr>
        <w:tc>
          <w:tcPr>
            <w:tcW w:w="1240" w:type="dxa"/>
            <w:vAlign w:val="bottom"/>
            <w:tcBorders>
              <w:top w:val="single" w:sz="8" w:color="0000FF"/>
            </w:tcBorders>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2019</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20" w:type="dxa"/>
            <w:vAlign w:val="bottom"/>
          </w:tcPr>
          <w:p>
            <w:pPr>
              <w:spacing w:after="0"/>
              <w:rPr>
                <w:sz w:val="14"/>
                <w:szCs w:val="14"/>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53"/>
              <w:spacing w:after="0"/>
              <w:rPr>
                <w:sz w:val="20"/>
                <w:szCs w:val="20"/>
                <w:color w:val="auto"/>
              </w:rPr>
            </w:pPr>
            <w:r>
              <w:rPr>
                <w:rFonts w:ascii="Arial" w:cs="Arial" w:eastAsia="Arial" w:hAnsi="Arial"/>
                <w:sz w:val="17"/>
                <w:szCs w:val="17"/>
                <w:color w:val="auto"/>
                <w:w w:val="92"/>
              </w:rPr>
              <w:t>(43)</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4,932</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center"/>
              <w:ind w:left="953"/>
              <w:spacing w:after="0"/>
              <w:rPr>
                <w:sz w:val="20"/>
                <w:szCs w:val="20"/>
                <w:color w:val="auto"/>
              </w:rPr>
            </w:pPr>
            <w:r>
              <w:rPr>
                <w:rFonts w:ascii="Arial" w:cs="Arial" w:eastAsia="Arial" w:hAnsi="Arial"/>
                <w:sz w:val="17"/>
                <w:szCs w:val="17"/>
                <w:color w:val="auto"/>
                <w:w w:val="92"/>
              </w:rPr>
              <w:t>(43)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7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53"/>
              <w:spacing w:after="0"/>
              <w:rPr>
                <w:sz w:val="20"/>
                <w:szCs w:val="20"/>
                <w:color w:val="auto"/>
              </w:rPr>
            </w:pPr>
            <w:r>
              <w:rPr>
                <w:rFonts w:ascii="Arial" w:cs="Arial" w:eastAsia="Arial" w:hAnsi="Arial"/>
                <w:sz w:val="17"/>
                <w:szCs w:val="17"/>
                <w:color w:val="auto"/>
                <w:w w:val="92"/>
              </w:rPr>
              <w:t>(43)</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4,928</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center"/>
              <w:ind w:left="953"/>
              <w:spacing w:after="0"/>
              <w:rPr>
                <w:sz w:val="20"/>
                <w:szCs w:val="20"/>
                <w:color w:val="auto"/>
              </w:rPr>
            </w:pPr>
            <w:r>
              <w:rPr>
                <w:rFonts w:ascii="Arial" w:cs="Arial" w:eastAsia="Arial" w:hAnsi="Arial"/>
                <w:sz w:val="17"/>
                <w:szCs w:val="17"/>
                <w:color w:val="auto"/>
                <w:w w:val="92"/>
              </w:rPr>
              <w:t>(43)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500" w:hanging="315"/>
        <w:spacing w:after="0" w:line="289" w:lineRule="auto"/>
        <w:tabs>
          <w:tab w:leader="none" w:pos="31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Net revenues from “Other” include revenues from our Distribution business, the Overwatch League, and the Call of Duty League.</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93"/>
        <w:spacing w:after="0" w:line="289" w:lineRule="auto"/>
        <w:rPr>
          <w:sz w:val="20"/>
          <w:szCs w:val="20"/>
          <w:color w:val="auto"/>
        </w:rPr>
      </w:pPr>
      <w:r>
        <w:rPr>
          <w:rFonts w:ascii="Arial" w:cs="Arial" w:eastAsia="Arial" w:hAnsi="Arial"/>
          <w:sz w:val="17"/>
          <w:szCs w:val="17"/>
          <w:color w:val="auto"/>
        </w:rPr>
        <w:t>Geographic information presented below is based on the location of the paying customer. Net revenues by geographic region, including a reconciliation to each of our reportable segment’s net revenues, were as follows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5"/>
              </w:rPr>
              <w:t>Year Ended December 31, 2021</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6"/>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(2)</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4,931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5"/>
              </w:rPr>
              <w:t>Year Ended December 31, 2020</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6"/>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(2)</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4,434</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4,719</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5"/>
        </w:trPr>
        <w:tc>
          <w:tcPr>
            <w:tcW w:w="378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3"/>
        </w:trPr>
        <w:tc>
          <w:tcPr>
            <w:tcW w:w="1240" w:type="dxa"/>
            <w:vAlign w:val="bottom"/>
            <w:tcBorders>
              <w:top w:val="single" w:sz="8" w:color="0000FF"/>
            </w:tcBorders>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5"/>
              </w:rPr>
              <w:t>Year Ended December 31, 2019</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6"/>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(2)</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3,341</w:t>
            </w: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41"/>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3,297</w:t>
            </w: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41"/>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80" w:hanging="375"/>
        <w:spacing w:after="0"/>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45" w:lineRule="exact"/>
        <w:rPr>
          <w:rFonts w:ascii="Arial" w:cs="Arial" w:eastAsia="Arial" w:hAnsi="Arial"/>
          <w:sz w:val="17"/>
          <w:szCs w:val="17"/>
          <w:color w:val="auto"/>
        </w:rPr>
      </w:pPr>
    </w:p>
    <w:p>
      <w:pPr>
        <w:ind w:left="380" w:hanging="375"/>
        <w:spacing w:after="0"/>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15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The Company’s net revenues in the U.S. were 49%, 48%, and 46% of consolidated net revenues for the years ended December 31, 2021, 2020, and 2019, respectively. The Company’s net revenues in the United Kingdom (“U.K.”) were 11%, 12%, and 12% of consolidated net revenues for the years ended December 31, 2021, 2020, and 2019, respectively. No other country’s net revenues exceeded 10% of consolidated net revenues for the years ended December 31, 2021,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Net revenues by platform, including a reconciliation to each of our reportable segment’s net revenues, were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2021</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2,637</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99"/>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913"/>
              <w:spacing w:after="0"/>
              <w:rPr>
                <w:sz w:val="20"/>
                <w:szCs w:val="20"/>
                <w:color w:val="auto"/>
              </w:rPr>
            </w:pPr>
            <w:r>
              <w:rPr>
                <w:rFonts w:ascii="Arial" w:cs="Arial" w:eastAsia="Arial" w:hAnsi="Arial"/>
                <w:sz w:val="17"/>
                <w:szCs w:val="17"/>
                <w:color w:val="auto"/>
                <w:w w:val="99"/>
              </w:rPr>
              <w:t>(94)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5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2,383</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99"/>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3,201</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913"/>
              <w:spacing w:after="0"/>
              <w:rPr>
                <w:sz w:val="20"/>
                <w:szCs w:val="20"/>
                <w:color w:val="auto"/>
              </w:rPr>
            </w:pPr>
            <w:r>
              <w:rPr>
                <w:rFonts w:ascii="Arial" w:cs="Arial" w:eastAsia="Arial" w:hAnsi="Arial"/>
                <w:sz w:val="17"/>
                <w:szCs w:val="17"/>
                <w:color w:val="auto"/>
                <w:w w:val="99"/>
              </w:rPr>
              <w:t>(94)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3"/>
        </w:trPr>
        <w:tc>
          <w:tcPr>
            <w:tcW w:w="1240" w:type="dxa"/>
            <w:vAlign w:val="bottom"/>
            <w:tcBorders>
              <w:top w:val="single" w:sz="8" w:color="0000FF"/>
            </w:tcBorders>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2020</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2,784</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2,559</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8,086</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24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2,916</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2019</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2,203</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24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2,211</w:t>
            </w: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F-36</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right="740" w:hanging="315"/>
        <w:spacing w:after="0" w:line="289" w:lineRule="auto"/>
        <w:tabs>
          <w:tab w:leader="none" w:pos="314"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 specific game-related revenues, such as standalone sales of physical merchandise and accessories.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Pr>
          <w:p>
            <w:pPr>
              <w:ind w:left="400"/>
              <w:spacing w:after="0"/>
              <w:rPr>
                <w:sz w:val="20"/>
                <w:szCs w:val="20"/>
                <w:color w:val="auto"/>
              </w:rPr>
            </w:pPr>
            <w:r>
              <w:rPr>
                <w:rFonts w:ascii="Arial" w:cs="Arial" w:eastAsia="Arial" w:hAnsi="Arial"/>
                <w:sz w:val="17"/>
                <w:szCs w:val="17"/>
                <w:color w:val="auto"/>
              </w:rPr>
              <w:t>Long-lived assets by geographic region were as follows (amounts in millions):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85"/>
        </w:trPr>
        <w:tc>
          <w:tcPr>
            <w:tcW w:w="6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At 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6"/>
        </w:trPr>
        <w:tc>
          <w:tcPr>
            <w:tcW w:w="67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2019</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 by geographic region:</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7"/>
                <w:szCs w:val="17"/>
                <w:color w:val="auto"/>
              </w:rPr>
              <w:t>Americas</w:t>
            </w:r>
          </w:p>
        </w:tc>
        <w:tc>
          <w:tcPr>
            <w:tcW w:w="1000" w:type="dxa"/>
            <w:vAlign w:val="bottom"/>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322</w:t>
            </w:r>
          </w:p>
        </w:tc>
      </w:tr>
      <w:tr>
        <w:trPr>
          <w:trHeight w:val="223"/>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EMEA</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Asia Pacific</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right="20" w:hanging="315"/>
        <w:spacing w:after="0" w:line="289" w:lineRule="auto"/>
        <w:tabs>
          <w:tab w:leader="none" w:pos="26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185" w:lineRule="exact"/>
        <w:rPr>
          <w:sz w:val="20"/>
          <w:szCs w:val="20"/>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 xml:space="preserve">For information regarding significant customers, see “Concentration of Credit Risk” in </w:t>
      </w:r>
      <w:hyperlink w:anchor="page75">
        <w:r>
          <w:rPr>
            <w:rFonts w:ascii="Arial" w:cs="Arial" w:eastAsia="Arial" w:hAnsi="Arial"/>
            <w:sz w:val="17"/>
            <w:szCs w:val="17"/>
            <w:u w:val="single" w:color="auto"/>
            <w:color w:val="0000FF"/>
          </w:rPr>
          <w:t>Note 2</w:t>
        </w:r>
      </w:hyperlink>
      <w:r>
        <w:rPr>
          <w:rFonts w:ascii="Arial" w:cs="Arial" w:eastAsia="Arial" w:hAnsi="Arial"/>
          <w:sz w:val="17"/>
          <w:szCs w:val="17"/>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Payments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Activision Blizzard Equity Incentive Plans</w:t>
      </w:r>
    </w:p>
    <w:p>
      <w:pPr>
        <w:spacing w:after="0" w:line="250" w:lineRule="exact"/>
        <w:rPr>
          <w:sz w:val="20"/>
          <w:szCs w:val="20"/>
          <w:color w:val="auto"/>
        </w:rPr>
      </w:pPr>
    </w:p>
    <w:p>
      <w:pPr>
        <w:ind w:right="80" w:firstLine="393"/>
        <w:spacing w:after="0" w:line="286" w:lineRule="auto"/>
        <w:rPr>
          <w:sz w:val="20"/>
          <w:szCs w:val="20"/>
          <w:color w:val="auto"/>
        </w:rPr>
      </w:pPr>
      <w:r>
        <w:rPr>
          <w:rFonts w:ascii="Arial" w:cs="Arial" w:eastAsia="Arial" w:hAnsi="Arial"/>
          <w:sz w:val="16"/>
          <w:szCs w:val="16"/>
          <w:color w:val="auto"/>
        </w:rPr>
        <w:t>On June 5, 2014, the Activision Blizzard, Inc. 2014 Incentive Plan (the “2014 Plan”) became effective. Under the 2014 Plan, the Compensation Committee of our Board of Directors is authorized to provide share-based compensation in the form of stock options, share appreciation rights, restricted stock, restricted stock units, performance shares, and other performance- or value-based awards structured by the Compensation Committee within parameters set forth in the 2014 Plan. As of the effective date of the 2014 Plan, we had ceased making awards under our prior equity incentive plans (collectively, the “Prior Plans”), although such plans remain in effect to the extent that they continue to govern outstanding awards.</w:t>
      </w:r>
    </w:p>
    <w:p>
      <w:pPr>
        <w:spacing w:after="0" w:line="189" w:lineRule="exact"/>
        <w:rPr>
          <w:sz w:val="20"/>
          <w:szCs w:val="20"/>
          <w:color w:val="auto"/>
        </w:rPr>
      </w:pPr>
    </w:p>
    <w:p>
      <w:pPr>
        <w:ind w:firstLine="393"/>
        <w:spacing w:after="0" w:line="299" w:lineRule="auto"/>
        <w:rPr>
          <w:sz w:val="20"/>
          <w:szCs w:val="20"/>
          <w:color w:val="auto"/>
        </w:rPr>
      </w:pPr>
      <w:r>
        <w:rPr>
          <w:rFonts w:ascii="Arial" w:cs="Arial" w:eastAsia="Arial" w:hAnsi="Arial"/>
          <w:sz w:val="15"/>
          <w:szCs w:val="15"/>
          <w:color w:val="auto"/>
        </w:rPr>
        <w:t>While the Compensation Committee has broad discretion to create equity incentives, our current share-based compensation program generally utilizes a combination of options and restricted stock units. The majority of our options have time-based vesting schedules, generally vesting annually over a period of three years to five years, and expire 10 years from the grant date. In addition, under the terms of the 2014 Plan, the exercise price for the options must be equal to or greater than the closing price per share of our common stock on the date the award is granted, as reported on Nasdaq. Restricted stock units have time-based vesting schedules, generally vesting in their entirety on an anniversary of the date of grant, or vest annually over a period of three years to five years, and may also be contingent on the achievement of specified performance measures, including those which are market-based. Achievement against such performance measures typically results in vesting of amounts that are different than the target shares at grant based on over- or under-achievement against the performance targets. Typically, performance-based RSUs provide for vesting up to 125% of the grant date target shares if performance targets are sufficiently overachieved (and will be cancelled without the vesting of any shares if the threshold level of performance measures is not met), but in certain instances some of our unvested performance-based RSUs can vest up to 250% of the grant date target amount based on achievement against the performance targets.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393"/>
        <w:spacing w:after="0" w:line="279" w:lineRule="auto"/>
        <w:rPr>
          <w:sz w:val="20"/>
          <w:szCs w:val="20"/>
          <w:color w:val="auto"/>
        </w:rPr>
      </w:pPr>
      <w:r>
        <w:rPr>
          <w:rFonts w:ascii="Arial" w:cs="Arial" w:eastAsia="Arial" w:hAnsi="Arial"/>
          <w:sz w:val="16"/>
          <w:szCs w:val="16"/>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(1) the number of shares relating to awards outstanding under any Prior Plan that: (i) expire, or are forfeited, terminated or canceled, without the issuance of shares; (ii) are settled in cash in lieu of shares; or (iii) are exchanged, prior to the issuance of shares of our common stock, for awards not involving our common stock; (2)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(3) if a share appreciation right is exercised and settled in shares, a number of shares equal to the difference between the total number of shares with respect to which the award is exercised and the number of shares actually issued or transferred. As of December 31, 2021, we had approximately 13 million shares of our common stock reserved for future issuance under the 2014 Plan. Shares issued in connection with awards made under the 2014 Plan are generally issued as new stock issuances.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Valuation Assumptions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Stock Options</w:t>
      </w:r>
    </w:p>
    <w:p>
      <w:pPr>
        <w:spacing w:after="0" w:line="250" w:lineRule="exact"/>
        <w:rPr>
          <w:sz w:val="20"/>
          <w:szCs w:val="20"/>
          <w:color w:val="auto"/>
        </w:rPr>
      </w:pPr>
    </w:p>
    <w:p>
      <w:pPr>
        <w:jc w:val="both"/>
        <w:ind w:right="20" w:firstLine="393"/>
        <w:spacing w:after="0" w:line="273" w:lineRule="auto"/>
        <w:rPr>
          <w:sz w:val="20"/>
          <w:szCs w:val="20"/>
          <w:color w:val="auto"/>
        </w:rPr>
      </w:pPr>
      <w:r>
        <w:rPr>
          <w:rFonts w:ascii="Arial" w:cs="Arial" w:eastAsia="Arial" w:hAnsi="Arial"/>
          <w:sz w:val="17"/>
          <w:szCs w:val="17"/>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 exercise, and post-vesting termination behavior.</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weighted-average assumptions, weighted average grant date fair value, and the range of expected stock price volatility: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Employee Stock Options</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1"/>
        </w:trPr>
        <w:tc>
          <w:tcPr>
            <w:tcW w:w="51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w w:val="89"/>
              </w:rPr>
              <w:t>For the Years Ended December 31,</w:t>
            </w:r>
          </w:p>
        </w:tc>
        <w:tc>
          <w:tcPr>
            <w:tcW w:w="1580" w:type="dxa"/>
            <w:vAlign w:val="bottom"/>
            <w:tcBorders>
              <w:bottom w:val="single" w:sz="8" w:color="auto"/>
            </w:tcBorders>
          </w:tcPr>
          <w:p>
            <w:pPr>
              <w:spacing w:after="0"/>
              <w:rPr>
                <w:sz w:val="15"/>
                <w:szCs w:val="15"/>
                <w:color w:val="auto"/>
              </w:rPr>
            </w:pPr>
          </w:p>
        </w:tc>
      </w:tr>
      <w:tr>
        <w:trPr>
          <w:trHeight w:val="177"/>
        </w:trPr>
        <w:tc>
          <w:tcPr>
            <w:tcW w:w="5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2019</w:t>
            </w:r>
          </w:p>
        </w:tc>
      </w:tr>
      <w:tr>
        <w:trPr>
          <w:trHeight w:val="217"/>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r>
      <w:tr>
        <w:trPr>
          <w:trHeight w:val="223"/>
        </w:trPr>
        <w:tc>
          <w:tcPr>
            <w:tcW w:w="514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31.06 %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30.89 %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30.00 %</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1.90 %</w:t>
            </w:r>
          </w:p>
        </w:tc>
      </w:tr>
      <w:tr>
        <w:trPr>
          <w:trHeight w:val="223"/>
        </w:trPr>
        <w:tc>
          <w:tcPr>
            <w:tcW w:w="51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0.51 %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0.53 %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0.76 %</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 date fair value</w:t>
            </w: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25.93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17.12</w:t>
            </w:r>
          </w:p>
        </w:tc>
      </w:tr>
      <w:tr>
        <w:trPr>
          <w:trHeight w:val="223"/>
        </w:trPr>
        <w:tc>
          <w:tcPr>
            <w:tcW w:w="5140" w:type="dxa"/>
            <w:vAlign w:val="bottom"/>
          </w:tcPr>
          <w:p>
            <w:pPr>
              <w:ind w:left="20"/>
              <w:spacing w:after="0"/>
              <w:rPr>
                <w:sz w:val="20"/>
                <w:szCs w:val="20"/>
                <w:color w:val="auto"/>
              </w:rPr>
            </w:pPr>
            <w:r>
              <w:rPr>
                <w:rFonts w:ascii="Arial" w:cs="Arial" w:eastAsia="Arial" w:hAnsi="Arial"/>
                <w:sz w:val="17"/>
                <w:szCs w:val="17"/>
                <w:color w:val="auto"/>
              </w:rPr>
              <w:t>Stock price volatility range:</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3"/>
        </w:trPr>
        <w:tc>
          <w:tcPr>
            <w:tcW w:w="5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Low</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r>
      <w:tr>
        <w:trPr>
          <w:trHeight w:val="222"/>
        </w:trPr>
        <w:tc>
          <w:tcPr>
            <w:tcW w:w="5140" w:type="dxa"/>
            <w:vAlign w:val="bottom"/>
          </w:tcPr>
          <w:p>
            <w:pPr>
              <w:ind w:left="220"/>
              <w:spacing w:after="0"/>
              <w:rPr>
                <w:sz w:val="20"/>
                <w:szCs w:val="20"/>
                <w:color w:val="auto"/>
              </w:rPr>
            </w:pPr>
            <w:r>
              <w:rPr>
                <w:rFonts w:ascii="Arial" w:cs="Arial" w:eastAsia="Arial" w:hAnsi="Arial"/>
                <w:sz w:val="17"/>
                <w:szCs w:val="17"/>
                <w:color w:val="auto"/>
              </w:rPr>
              <w:t>High</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39.00 %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38.17 %</w:t>
            </w:r>
          </w:p>
        </w:tc>
      </w:tr>
    </w:tbl>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Expected life</w:t>
      </w:r>
    </w:p>
    <w:p>
      <w:pPr>
        <w:spacing w:after="0" w:line="250"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The expected life of employee stock options is a derived output of the binomial-lattice model and represents the weighted-average period the stock options are expected to remain outstanding. A binomial-lattice model assumes that employees will exercise their options when the stock price equals or exceeds an exercise multiple. The exercise multiple is based on historical employee exercise behaviors.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Volatility</w:t>
      </w:r>
    </w:p>
    <w:p>
      <w:pPr>
        <w:spacing w:after="0" w:line="250"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To estimate volatility for the binomial-lattice model, we consider the implied volatility of exchange-traded options on our stock to estimate short-term volatility, the historical volatility of our common shares during the option’s contractual term to estimate long-term volatility, and a statistical model to estimate the transition from short-term volatility to long-term volatility.</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Risk-free interest rate</w:t>
      </w:r>
    </w:p>
    <w:p>
      <w:pPr>
        <w:spacing w:after="0" w:line="250"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As is the case for volatility, the risk-free interest rate is assumed to change during the option’s contractual term. The risk-free interest rate, which is based on U.S. Treasury yield curves, reflects the expected movement in the interest rate from one time period to the next.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Dividend yield</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expected dividend yield assumption is based on our historical and expected future amount of dividend payouts.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Share-based compensation expense recognized is based on awards ultimately expected to vest and therefore has been reduced for estimated forfeitures. Forfeitures are estimated at the time of grant based on historical experience and revised, if necessary, in subsequent periods if actual forfeitures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Restricted Stock Units (“RSUs”)</w:t>
      </w:r>
    </w:p>
    <w:p>
      <w:pPr>
        <w:spacing w:after="0" w:line="250"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The fair value of the Company’s RSU awards granted are generally based upon the closing price of the Company’s common stock on the date of grant reduced by the present value of dividends expected to be paid on our common stock prior to vesting. We also grant market-based RSU awards, from time to time, the fair value of which is determined using a Monte Carlo simulation. Such market-based RSU awards include performance conditions based on our own stock price and may also include performance conditions that compare our stock price performance to an index, such as the S&amp;P 500 Total Shareholder Return index. The valuation assumptions utilized in the Monte Carlo model are generally consistent with the inputs discussed in the valuation of stock options above. The weighted average risk free interest rate, volatility, and dividend yield utilized in the Monte Carlo model for market-based RSU awards in 2020 were 0.11%, 37.39%, and 0.47%, respectively.</w:t>
      </w:r>
    </w:p>
    <w:p>
      <w:pPr>
        <w:spacing w:after="0" w:line="211" w:lineRule="exact"/>
        <w:rPr>
          <w:sz w:val="20"/>
          <w:szCs w:val="20"/>
          <w:color w:val="auto"/>
        </w:rPr>
      </w:pPr>
    </w:p>
    <w:p>
      <w:pPr>
        <w:ind w:right="40" w:firstLine="393"/>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On December 14, 2021, we granted approximately 1.6 million RSU awards which were valued at approximately $70.00 per share rather than the closing share price on the date of grant of $59.52. None of these awards were granted to named executive officers of the Company. While these grants were not made in contemplation of the Company’s recent announcement of the merger agreement (see </w:t>
      </w:r>
      <w:hyperlink w:anchor="page117">
        <w:r>
          <w:rPr>
            <w:rFonts w:ascii="Arial" w:cs="Arial" w:eastAsia="Arial" w:hAnsi="Arial"/>
            <w:sz w:val="17"/>
            <w:szCs w:val="17"/>
            <w:u w:val="single" w:color="auto"/>
            <w:color w:val="0000FF"/>
          </w:rPr>
          <w:t>Note 23</w:t>
        </w:r>
      </w:hyperlink>
      <w:r>
        <w:rPr>
          <w:rFonts w:ascii="Arial" w:cs="Arial" w:eastAsia="Arial" w:hAnsi="Arial"/>
          <w:sz w:val="17"/>
          <w:szCs w:val="17"/>
          <w:color w:val="auto"/>
        </w:rPr>
        <w:t>) entered into with Microsoft, in light of the proximity to when the Company became aware of a potential merger, and date of the merger agreement, the Company has determined the fair value for these awards should consider potential subsequent value appreciation that would be expected from the market upon announcement of the merger. In determining the adjustment to the closing share price to estimate the fair value of these awards, the Company considered various factors such as, observable share prices before and after announcement of a merger in recent transactions, the offer price range known at time of the grants being made, the final merger per share consideration, the actual increase in share price seen after announcement of the merger, industry practices in applying liquidity discounts and probability of the merger being entered into. The awards vest over their requisite service period and do not provide for any accelerated vesting or other features as a result of entering into or upon closing of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Accuracy of Fair Value Estimates</w:t>
      </w:r>
    </w:p>
    <w:p>
      <w:pPr>
        <w:spacing w:after="0" w:line="250"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10 years into the future. Although the fair value of employee stock options is determined using an option-pricing model, the estimates that are produced by this model may not be indicative of the fair value observed between a willing buyer and a willing seller as there are not current active markets for the trading of employee stock options and other share-based instruments.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 option activity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Weighted-average</w:t>
            </w:r>
          </w:p>
        </w:tc>
        <w:tc>
          <w:tcPr>
            <w:tcW w:w="120" w:type="dxa"/>
            <w:vAlign w:val="bottom"/>
          </w:tcPr>
          <w:p>
            <w:pPr>
              <w:spacing w:after="0"/>
              <w:rPr>
                <w:sz w:val="14"/>
                <w:szCs w:val="14"/>
                <w:color w:val="auto"/>
              </w:rPr>
            </w:pPr>
          </w:p>
        </w:tc>
        <w:tc>
          <w:tcPr>
            <w:tcW w:w="12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Number of shares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exercise price per</w:t>
            </w:r>
          </w:p>
        </w:tc>
        <w:tc>
          <w:tcPr>
            <w:tcW w:w="14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contractual term (in</w:t>
            </w:r>
          </w:p>
        </w:tc>
        <w:tc>
          <w:tcPr>
            <w:tcW w:w="120" w:type="dxa"/>
            <w:vAlign w:val="bottom"/>
          </w:tcPr>
          <w:p>
            <w:pPr>
              <w:spacing w:after="0"/>
              <w:rPr>
                <w:sz w:val="11"/>
                <w:szCs w:val="11"/>
                <w:color w:val="auto"/>
              </w:rPr>
            </w:pPr>
          </w:p>
        </w:tc>
        <w:tc>
          <w:tcPr>
            <w:tcW w:w="1200" w:type="dxa"/>
            <w:vAlign w:val="bottom"/>
          </w:tcPr>
          <w:p>
            <w:pPr>
              <w:jc w:val="center"/>
              <w:ind w:right="41"/>
              <w:spacing w:after="0" w:line="131" w:lineRule="exact"/>
              <w:rPr>
                <w:sz w:val="20"/>
                <w:szCs w:val="20"/>
                <w:color w:val="auto"/>
              </w:rPr>
            </w:pPr>
            <w:r>
              <w:rPr>
                <w:rFonts w:ascii="Arial" w:cs="Arial" w:eastAsia="Arial" w:hAnsi="Arial"/>
                <w:sz w:val="14"/>
                <w:szCs w:val="14"/>
                <w:b w:val="1"/>
                <w:bCs w:val="1"/>
                <w:color w:val="auto"/>
                <w:w w:val="90"/>
              </w:rPr>
              <w:t>intrinsic value (in</w:t>
            </w:r>
          </w:p>
        </w:tc>
        <w:tc>
          <w:tcPr>
            <w:tcW w:w="0" w:type="dxa"/>
            <w:vAlign w:val="bottom"/>
          </w:tcPr>
          <w:p>
            <w:pPr>
              <w:spacing w:after="0"/>
              <w:rPr>
                <w:sz w:val="1"/>
                <w:szCs w:val="1"/>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stock option</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7"/>
                <w:szCs w:val="17"/>
                <w:color w:val="auto"/>
              </w:rPr>
              <w:t>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754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92.56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00" w:type="dxa"/>
            <w:vAlign w:val="bottom"/>
          </w:tcPr>
          <w:p>
            <w:pPr>
              <w:jc w:val="right"/>
              <w:spacing w:after="0"/>
              <w:rPr>
                <w:sz w:val="20"/>
                <w:szCs w:val="20"/>
                <w:color w:val="auto"/>
              </w:rPr>
            </w:pPr>
            <w:r>
              <w:rPr>
                <w:rFonts w:ascii="Arial" w:cs="Arial" w:eastAsia="Arial" w:hAnsi="Arial"/>
                <w:sz w:val="17"/>
                <w:szCs w:val="17"/>
                <w:color w:val="auto"/>
              </w:rPr>
              <w:t>(866)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65.23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7"/>
                <w:szCs w:val="17"/>
                <w:color w:val="auto"/>
              </w:rPr>
              <w:t>Outstanding stock options at December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57.77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Exercisable at December 31, 2021</w:t>
            </w:r>
          </w:p>
        </w:tc>
        <w:tc>
          <w:tcPr>
            <w:tcW w:w="1300" w:type="dxa"/>
            <w:vAlign w:val="bottom"/>
          </w:tcPr>
          <w:p>
            <w:pPr>
              <w:jc w:val="right"/>
              <w:spacing w:after="0"/>
              <w:rPr>
                <w:sz w:val="20"/>
                <w:szCs w:val="20"/>
                <w:color w:val="auto"/>
              </w:rPr>
            </w:pPr>
            <w:r>
              <w:rPr>
                <w:rFonts w:ascii="Arial" w:cs="Arial" w:eastAsia="Arial" w:hAnsi="Arial"/>
                <w:sz w:val="17"/>
                <w:szCs w:val="17"/>
                <w:color w:val="auto"/>
              </w:rPr>
              <w:t>5,711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48.90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60" w:firstLine="393"/>
        <w:spacing w:after="0" w:line="264" w:lineRule="auto"/>
        <w:rPr>
          <w:sz w:val="20"/>
          <w:szCs w:val="20"/>
          <w:color w:val="auto"/>
        </w:rPr>
      </w:pPr>
      <w:r>
        <w:rPr>
          <w:rFonts w:ascii="Arial" w:cs="Arial" w:eastAsia="Arial" w:hAnsi="Arial"/>
          <w:sz w:val="17"/>
          <w:szCs w:val="17"/>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 The total intrinsic value of options actually exercised was $88 million, $174 million, and $80 million for the years ended December 31, 2021, 2020, and 2019, respectively. The total grant date fair value of options that vested during the years ended December 31, 2021, 2020, and 2019 was $57 million, $62 million, and $94 million, respectively.</w:t>
      </w:r>
    </w:p>
    <w:p>
      <w:pPr>
        <w:spacing w:after="0" w:line="205"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At December 31, 2021, $32 million of total unrecognized compensation cost related to stock options is expected to be recognized over a weighted-average period of 1.14 years.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RSU Activity</w:t>
      </w:r>
    </w:p>
    <w:p>
      <w:pPr>
        <w:spacing w:after="0" w:line="250" w:lineRule="exact"/>
        <w:rPr>
          <w:sz w:val="20"/>
          <w:szCs w:val="20"/>
          <w:color w:val="auto"/>
        </w:rPr>
      </w:pPr>
    </w:p>
    <w:p>
      <w:pPr>
        <w:jc w:val="both"/>
        <w:ind w:right="60" w:firstLine="393"/>
        <w:spacing w:after="0" w:line="265" w:lineRule="auto"/>
        <w:rPr>
          <w:sz w:val="20"/>
          <w:szCs w:val="20"/>
          <w:color w:val="auto"/>
        </w:rPr>
      </w:pPr>
      <w:r>
        <w:rPr>
          <w:rFonts w:ascii="Arial" w:cs="Arial" w:eastAsia="Arial" w:hAnsi="Arial"/>
          <w:sz w:val="17"/>
          <w:szCs w:val="17"/>
          <w:color w:val="auto"/>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206"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1"/>
        </w:trPr>
        <w:tc>
          <w:tcPr>
            <w:tcW w:w="8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40"/>
              <w:spacing w:after="0" w:line="131"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31"/>
        </w:trPr>
        <w:tc>
          <w:tcPr>
            <w:tcW w:w="8280" w:type="dxa"/>
            <w:vAlign w:val="bottom"/>
          </w:tcPr>
          <w:p>
            <w:pPr>
              <w:spacing w:after="0"/>
              <w:rPr>
                <w:sz w:val="11"/>
                <w:szCs w:val="11"/>
                <w:color w:val="auto"/>
              </w:rPr>
            </w:pPr>
          </w:p>
        </w:tc>
        <w:tc>
          <w:tcPr>
            <w:tcW w:w="14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40"/>
              <w:spacing w:after="0" w:line="131" w:lineRule="exact"/>
              <w:rPr>
                <w:sz w:val="20"/>
                <w:szCs w:val="20"/>
                <w:color w:val="auto"/>
              </w:rPr>
            </w:pPr>
            <w:r>
              <w:rPr>
                <w:rFonts w:ascii="Arial" w:cs="Arial" w:eastAsia="Arial" w:hAnsi="Arial"/>
                <w:sz w:val="14"/>
                <w:szCs w:val="14"/>
                <w:b w:val="1"/>
                <w:bCs w:val="1"/>
                <w:color w:val="auto"/>
                <w:w w:val="91"/>
              </w:rPr>
              <w:t>date fair value per</w:t>
            </w:r>
          </w:p>
        </w:tc>
        <w:tc>
          <w:tcPr>
            <w:tcW w:w="0" w:type="dxa"/>
            <w:vAlign w:val="bottom"/>
          </w:tcPr>
          <w:p>
            <w:pPr>
              <w:spacing w:after="0"/>
              <w:rPr>
                <w:sz w:val="1"/>
                <w:szCs w:val="1"/>
                <w:color w:val="auto"/>
              </w:rPr>
            </w:pPr>
          </w:p>
        </w:tc>
      </w:tr>
      <w:tr>
        <w:trPr>
          <w:trHeight w:val="183"/>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RSU</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10,856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77.17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96.58</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75.73</w:t>
            </w:r>
          </w:p>
        </w:tc>
        <w:tc>
          <w:tcPr>
            <w:tcW w:w="0" w:type="dxa"/>
            <w:vAlign w:val="bottom"/>
          </w:tcPr>
          <w:p>
            <w:pPr>
              <w:spacing w:after="0"/>
              <w:rPr>
                <w:sz w:val="1"/>
                <w:szCs w:val="1"/>
                <w:color w:val="auto"/>
              </w:rPr>
            </w:pP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firstLine="393"/>
        <w:spacing w:after="0" w:line="286" w:lineRule="auto"/>
        <w:rPr>
          <w:sz w:val="20"/>
          <w:szCs w:val="20"/>
          <w:color w:val="auto"/>
        </w:rPr>
      </w:pPr>
      <w:r>
        <w:rPr>
          <w:rFonts w:ascii="Arial" w:cs="Arial" w:eastAsia="Arial" w:hAnsi="Arial"/>
          <w:sz w:val="16"/>
          <w:szCs w:val="16"/>
          <w:color w:val="auto"/>
        </w:rPr>
        <w:t>Certain of our performance-based RSUs did not have an accounting grant date as of December 31, 2021, as for each such grant there is not a mutual understanding between the Company and the employee of the performance terms. Generally, these performance terms relate to operating income performance for future years, the goals for which have yet to be set. As of December 31, 2021, based on the target potential shares that could be earned, there were 2.0 million performance-based RSUs outstanding for which the accounting grant date had not been set, of which 1.3 million were 2021 grants. Accordingly, no grant date fair value was established and the weighted average grant date fair values calculated above excludes these RSUs.</w:t>
      </w:r>
    </w:p>
    <w:p>
      <w:pPr>
        <w:spacing w:after="0" w:line="18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At December 31, 2021, approximately $505 million of total unrecognized compensation cost was related to RSUs and is expected to be recognized over a weighted-average period of 1.79 years. Of the total unrecognized compensation cost, $62 million was related to performance-based RSUs, which is expected to be recognized over a weighted-average period of 1.00 year. The total grant date fair value of RSUs that vested during the years ended December 31, 2021, 2020, and 2019 was $306 million, $82 million, and $147 million, respectively.</w:t>
      </w:r>
    </w:p>
    <w:p>
      <w:pPr>
        <w:spacing w:after="0" w:line="202" w:lineRule="exact"/>
        <w:rPr>
          <w:sz w:val="20"/>
          <w:szCs w:val="20"/>
          <w:color w:val="auto"/>
        </w:rPr>
      </w:pPr>
    </w:p>
    <w:p>
      <w:pPr>
        <w:ind w:right="260" w:firstLine="433"/>
        <w:spacing w:after="0" w:line="289" w:lineRule="auto"/>
        <w:rPr>
          <w:sz w:val="20"/>
          <w:szCs w:val="20"/>
          <w:color w:val="auto"/>
        </w:rPr>
      </w:pPr>
      <w:r>
        <w:rPr>
          <w:rFonts w:ascii="Arial" w:cs="Arial" w:eastAsia="Arial" w:hAnsi="Arial"/>
          <w:sz w:val="17"/>
          <w:szCs w:val="17"/>
          <w:color w:val="auto"/>
        </w:rPr>
        <w:t>The income tax benefit from stock option exercises and RSU vestings was $70 million, $61 million, and $47 million for the years ended December 31, 2021,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total share-based compensation expense included in our consolidated statements of operations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For the Years Ended 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w w:val="95"/>
              </w:rPr>
              <w:t>2019</w:t>
            </w:r>
          </w:p>
        </w:tc>
        <w:tc>
          <w:tcPr>
            <w:tcW w:w="0" w:type="dxa"/>
            <w:vAlign w:val="bottom"/>
          </w:tcPr>
          <w:p>
            <w:pPr>
              <w:spacing w:after="0"/>
              <w:rPr>
                <w:sz w:val="1"/>
                <w:szCs w:val="1"/>
                <w:color w:val="auto"/>
              </w:rPr>
            </w:pPr>
          </w:p>
        </w:tc>
      </w:tr>
      <w:tr>
        <w:trPr>
          <w:trHeight w:val="151"/>
        </w:trPr>
        <w:tc>
          <w:tcPr>
            <w:tcW w:w="674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w w:val="98"/>
              </w:rPr>
              <w:t>Cost of revenues—product sales: Software royalties, amortization, and intellectual property</w:t>
            </w:r>
          </w:p>
        </w:tc>
        <w:tc>
          <w:tcPr>
            <w:tcW w:w="920" w:type="dxa"/>
            <w:vAlign w:val="bottom"/>
            <w:vMerge w:val="restart"/>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92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w w:val="95"/>
              </w:rPr>
              <w:t>Cost of revenues—in-game, subscription, and other: Game Operations and Distribution Costs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1"/>
        </w:trPr>
        <w:tc>
          <w:tcPr>
            <w:tcW w:w="67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9"/>
              </w:rPr>
              <w:t>Cost of revenues—in-game, subscription, and other: Software royalties, amortization, and</w:t>
            </w:r>
          </w:p>
        </w:tc>
        <w:tc>
          <w:tcPr>
            <w:tcW w:w="9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intellectual property licenses</w:t>
            </w:r>
          </w:p>
        </w:tc>
        <w:tc>
          <w:tcPr>
            <w:tcW w:w="9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3"/>
        </w:trPr>
        <w:tc>
          <w:tcPr>
            <w:tcW w:w="6740" w:type="dxa"/>
            <w:vAlign w:val="bottom"/>
            <w:shd w:val="clear" w:color="auto" w:fill="BFE4FF"/>
          </w:tcPr>
          <w:p>
            <w:pPr>
              <w:ind w:left="2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6"/>
        </w:trPr>
        <w:tc>
          <w:tcPr>
            <w:tcW w:w="6740" w:type="dxa"/>
            <w:vAlign w:val="bottom"/>
            <w:shd w:val="clear" w:color="auto" w:fill="BFE4FF"/>
          </w:tcPr>
          <w:p>
            <w:pPr>
              <w:ind w:left="20"/>
              <w:spacing w:after="0"/>
              <w:rPr>
                <w:sz w:val="20"/>
                <w:szCs w:val="20"/>
                <w:color w:val="auto"/>
              </w:rPr>
            </w:pPr>
            <w:r>
              <w:rPr>
                <w:rFonts w:ascii="Arial" w:cs="Arial" w:eastAsia="Arial" w:hAnsi="Arial"/>
                <w:sz w:val="17"/>
                <w:szCs w:val="17"/>
                <w:color w:val="auto"/>
              </w:rPr>
              <w:t>Share-based compensation expense before income taxes</w:t>
            </w:r>
          </w:p>
        </w:tc>
        <w:tc>
          <w:tcPr>
            <w:tcW w:w="920" w:type="dxa"/>
            <w:vAlign w:val="bottom"/>
            <w:shd w:val="clear" w:color="auto" w:fill="BFE4FF"/>
          </w:tcPr>
          <w:p>
            <w:pPr>
              <w:spacing w:after="0"/>
              <w:rPr>
                <w:sz w:val="18"/>
                <w:szCs w:val="18"/>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508</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218</w:t>
            </w:r>
          </w:p>
        </w:tc>
        <w:tc>
          <w:tcPr>
            <w:tcW w:w="12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Income tax benefit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1"/>
        </w:trPr>
        <w:tc>
          <w:tcPr>
            <w:tcW w:w="6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share-based compensation expense, net of income tax benefit</w:t>
            </w:r>
          </w:p>
        </w:tc>
        <w:tc>
          <w:tcPr>
            <w:tcW w:w="920" w:type="dxa"/>
            <w:vAlign w:val="bottom"/>
            <w:tcBorders>
              <w:bottom w:val="single" w:sz="8" w:color="auto"/>
            </w:tcBorders>
            <w:shd w:val="clear" w:color="auto" w:fill="BFE4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auto"/>
            </w:tcBorders>
            <w:shd w:val="clear" w:color="auto" w:fill="BFE4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674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Share-based compensation expense for the year ended December 31, 2021 includes $194 million, inclusive of $20 million of expense that was capitalized as part of software development, for liability awards accounted for under ASC 718. The liability awards primarily relate to recent changes to the Company’s compensation payments for 2021 for which the Company determined to settle amounts not yet paid as of December 31, 2021 under its annual performance plans in stock as opposed to cash and further to provide such incentives, to eligible employees, at no less than target performance without regard to whether target performance was achieved.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Restructuring</w:t>
      </w:r>
    </w:p>
    <w:p>
      <w:pPr>
        <w:spacing w:after="0" w:line="256" w:lineRule="exact"/>
        <w:rPr>
          <w:sz w:val="20"/>
          <w:szCs w:val="20"/>
          <w:color w:val="auto"/>
        </w:rPr>
      </w:pPr>
    </w:p>
    <w:p>
      <w:pPr>
        <w:ind w:right="800" w:firstLine="393"/>
        <w:spacing w:after="0" w:line="289"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from certain parts of our business. We have been:</w:t>
      </w:r>
    </w:p>
    <w:p>
      <w:pPr>
        <w:spacing w:after="0" w:line="185" w:lineRule="exact"/>
        <w:rPr>
          <w:sz w:val="20"/>
          <w:szCs w:val="20"/>
          <w:color w:val="auto"/>
        </w:rPr>
      </w:pPr>
    </w:p>
    <w:p>
      <w:pPr>
        <w:ind w:left="940" w:right="400" w:hanging="306"/>
        <w:spacing w:after="0" w:line="289" w:lineRule="auto"/>
        <w:tabs>
          <w:tab w:leader="none" w:pos="9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increasing our investment in development for our largest, internally-owned franchises—across upfront releases, in-game content, mobile, and geographic expansion;</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reducing certain non-development and administrative-related costs across our business; and</w:t>
      </w:r>
    </w:p>
    <w:p>
      <w:pPr>
        <w:spacing w:after="0" w:line="250" w:lineRule="exact"/>
        <w:rPr>
          <w:rFonts w:ascii="Arial" w:cs="Arial" w:eastAsia="Arial" w:hAnsi="Arial"/>
          <w:sz w:val="17"/>
          <w:szCs w:val="17"/>
          <w:color w:val="auto"/>
        </w:rPr>
      </w:pPr>
    </w:p>
    <w:p>
      <w:pPr>
        <w:ind w:left="940" w:right="80" w:hanging="306"/>
        <w:spacing w:after="0" w:line="289" w:lineRule="auto"/>
        <w:tabs>
          <w:tab w:leader="none" w:pos="9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integrating our global and regional sales and “go-to-market,” partnerships, and sponsorship capabilities across the business, which we believe will enable us to provide better opportunities for talent and greater expertise and scale on behalf of our business units.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80" w:firstLine="393"/>
        <w:spacing w:after="0" w:line="289" w:lineRule="auto"/>
        <w:rPr>
          <w:sz w:val="20"/>
          <w:szCs w:val="20"/>
          <w:color w:val="auto"/>
        </w:rPr>
      </w:pPr>
      <w:r>
        <w:rPr>
          <w:rFonts w:ascii="Arial" w:cs="Arial" w:eastAsia="Arial" w:hAnsi="Arial"/>
          <w:sz w:val="17"/>
          <w:szCs w:val="17"/>
          <w:color w:val="auto"/>
        </w:rPr>
        <w:t>We have substantially completed all actions under our plan and have accrued for these costs accordingly. The remaining activity under the plan is primarily related to cash outlays to be made to impacted personnel.</w:t>
      </w:r>
    </w:p>
    <w:p>
      <w:pPr>
        <w:spacing w:after="0" w:line="185"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and “Other liabilities” in our consolidated balance sheet and the cumulative charges incurred (amounts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7"/>
                <w:szCs w:val="17"/>
                <w:b w:val="1"/>
                <w:bCs w:val="1"/>
                <w:color w:val="auto"/>
              </w:rPr>
              <w:t>Severance and</w:t>
            </w:r>
          </w:p>
        </w:tc>
        <w:tc>
          <w:tcPr>
            <w:tcW w:w="1860" w:type="dxa"/>
            <w:vAlign w:val="bottom"/>
            <w:gridSpan w:val="3"/>
          </w:tcPr>
          <w:p>
            <w:pPr>
              <w:ind w:left="100"/>
              <w:spacing w:after="0"/>
              <w:rPr>
                <w:sz w:val="20"/>
                <w:szCs w:val="20"/>
                <w:color w:val="auto"/>
              </w:rPr>
            </w:pPr>
            <w:r>
              <w:rPr>
                <w:rFonts w:ascii="Arial" w:cs="Arial" w:eastAsia="Arial" w:hAnsi="Arial"/>
                <w:sz w:val="17"/>
                <w:szCs w:val="17"/>
                <w:b w:val="1"/>
                <w:bCs w:val="1"/>
                <w:color w:val="auto"/>
              </w:rPr>
              <w:t>Facilities and related</w:t>
            </w:r>
          </w:p>
        </w:tc>
        <w:tc>
          <w:tcPr>
            <w:tcW w:w="280" w:type="dxa"/>
            <w:vAlign w:val="bottom"/>
          </w:tcPr>
          <w:p>
            <w:pPr>
              <w:spacing w:after="0"/>
              <w:rPr>
                <w:sz w:val="16"/>
                <w:szCs w:val="16"/>
                <w:color w:val="auto"/>
              </w:rPr>
            </w:pPr>
          </w:p>
        </w:tc>
        <w:tc>
          <w:tcPr>
            <w:tcW w:w="1480" w:type="dxa"/>
            <w:vAlign w:val="bottom"/>
            <w:vMerge w:val="restart"/>
          </w:tcPr>
          <w:p>
            <w:pPr>
              <w:jc w:val="right"/>
              <w:ind w:right="373"/>
              <w:spacing w:after="0"/>
              <w:rPr>
                <w:sz w:val="20"/>
                <w:szCs w:val="20"/>
                <w:color w:val="auto"/>
              </w:rPr>
            </w:pPr>
            <w:r>
              <w:rPr>
                <w:rFonts w:ascii="Arial" w:cs="Arial" w:eastAsia="Arial" w:hAnsi="Arial"/>
                <w:sz w:val="17"/>
                <w:szCs w:val="17"/>
                <w:b w:val="1"/>
                <w:bCs w:val="1"/>
                <w:color w:val="auto"/>
              </w:rPr>
              <w:t>Other costs</w:t>
            </w:r>
          </w:p>
        </w:tc>
        <w:tc>
          <w:tcPr>
            <w:tcW w:w="100" w:type="dxa"/>
            <w:vAlign w:val="bottom"/>
            <w:vMerge w:val="restart"/>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restart"/>
          </w:tcPr>
          <w:p>
            <w:pPr>
              <w:jc w:val="right"/>
              <w:ind w:right="5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89"/>
              </w:rPr>
              <w:t>employee related costs</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costs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Costs charged to expense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Non-cash charge adjustment (1)</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Costs charged to expense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Non-cash charge adjustment (1)</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9"/>
              </w:rPr>
              <w:t>Cumulative charges incurred through December 31,</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22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right="100" w:hanging="315"/>
        <w:spacing w:after="0" w:line="289" w:lineRule="auto"/>
        <w:tabs>
          <w:tab w:leader="none" w:pos="314"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Adjustments primarily relate to non-cash charges included in “Costs charged to expense” for write-down of assets for our lease facilities, inclusive of lease right-of-use assets and associated fixed assets, that were vacated.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restructuring and related costs by segment are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Years Ended</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16"/>
        </w:trPr>
        <w:tc>
          <w:tcPr>
            <w:tcW w:w="404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December 31, 2021</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December 31, 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December 31, 2019</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980" w:type="dxa"/>
            <w:vAlign w:val="bottom"/>
            <w:shd w:val="clear" w:color="auto" w:fill="CCEEFF"/>
          </w:tcPr>
          <w:p>
            <w:pPr>
              <w:jc w:val="right"/>
              <w:ind w:right="1793"/>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4040" w:type="dxa"/>
            <w:vAlign w:val="bottom"/>
          </w:tcPr>
          <w:p>
            <w:pPr>
              <w:ind w:left="20"/>
              <w:spacing w:after="0"/>
              <w:rPr>
                <w:sz w:val="20"/>
                <w:szCs w:val="20"/>
                <w:color w:val="auto"/>
              </w:rPr>
            </w:pPr>
            <w:r>
              <w:rPr>
                <w:rFonts w:ascii="Arial" w:cs="Arial" w:eastAsia="Arial" w:hAnsi="Arial"/>
                <w:sz w:val="17"/>
                <w:szCs w:val="17"/>
                <w:color w:val="auto"/>
              </w:rPr>
              <w:t>Blizzard</w:t>
            </w:r>
          </w:p>
        </w:tc>
        <w:tc>
          <w:tcPr>
            <w:tcW w:w="1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segments (1)</w:t>
            </w:r>
          </w:p>
        </w:tc>
        <w:tc>
          <w:tcPr>
            <w:tcW w:w="1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4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980" w:type="dxa"/>
            <w:vAlign w:val="bottom"/>
            <w:tcBorders>
              <w:bottom w:val="single" w:sz="8" w:color="auto"/>
            </w:tcBorders>
            <w:shd w:val="clear" w:color="auto" w:fill="CCEEFF"/>
          </w:tcPr>
          <w:p>
            <w:pPr>
              <w:jc w:val="right"/>
              <w:ind w:right="179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79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(1) Includes charges outside of our reportable segments, including charges for our corporate and administrative functions.</w:t>
      </w:r>
    </w:p>
    <w:p>
      <w:pPr>
        <w:spacing w:after="0" w:line="250"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During the years ended December 31, 2021 and 2020, we incurred additional restructuring charges and adjustments that are not included in the plan discussed above. Such amounts were not material.</w:t>
      </w:r>
    </w:p>
    <w:p>
      <w:pPr>
        <w:spacing w:after="0" w:line="185" w:lineRule="exact"/>
        <w:rPr>
          <w:sz w:val="20"/>
          <w:szCs w:val="20"/>
          <w:color w:val="auto"/>
        </w:rPr>
      </w:pPr>
    </w:p>
    <w:p>
      <w:pPr>
        <w:ind w:right="80" w:firstLine="393"/>
        <w:spacing w:after="0" w:line="305" w:lineRule="auto"/>
        <w:rPr>
          <w:sz w:val="20"/>
          <w:szCs w:val="20"/>
          <w:color w:val="auto"/>
        </w:rPr>
      </w:pPr>
      <w:r>
        <w:rPr>
          <w:rFonts w:ascii="Arial" w:cs="Arial" w:eastAsia="Arial" w:hAnsi="Arial"/>
          <w:sz w:val="15"/>
          <w:szCs w:val="15"/>
          <w:color w:val="auto"/>
        </w:rPr>
        <w:t>We have substantially completed our accruals for all actions under the plan. The charges associated with the plan primarily relate to severance and employee-related costs (approximately 62% of the aggregate charge), facilities and related costs (approximately 17% of the aggregate charge), and other costs (approximately 21% of the aggregate charge), including charges for restructuring-related fees and the write-down of assets. A substantial majority (approximately 77%) of the total pre-tax charge associated with the restructuring is expected to be paid in cash using amounts on hand, and such cash outlays are largely expected to be completed within the next 12 months. We do not expect to realize significant net savings in our total operating expenses as a result of our plan, as cost reductions in our selling, general, and administrative activities are expected to be offset by increased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firstLine="393"/>
        <w:spacing w:after="0" w:line="322" w:lineRule="auto"/>
        <w:rPr>
          <w:sz w:val="20"/>
          <w:szCs w:val="20"/>
          <w:color w:val="auto"/>
        </w:rPr>
      </w:pPr>
      <w:r>
        <w:rPr>
          <w:rFonts w:ascii="Arial" w:cs="Arial" w:eastAsia="Arial" w:hAnsi="Arial"/>
          <w:sz w:val="16"/>
          <w:szCs w:val="16"/>
          <w:color w:val="auto"/>
        </w:rPr>
        <w:t>The total charges incurred through December 31, 2021, which represent our total expected pre-tax restructuring charges related to the plan, by segment, inclusive of amounts already incurred and inclusive of certain inventory write-downs in prior years, are presented below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tcPr>
          <w:p>
            <w:pPr>
              <w:jc w:val="right"/>
              <w:ind w:right="273"/>
              <w:spacing w:after="0"/>
              <w:rPr>
                <w:sz w:val="20"/>
                <w:szCs w:val="20"/>
                <w:color w:val="auto"/>
              </w:rPr>
            </w:pPr>
            <w:r>
              <w:rPr>
                <w:rFonts w:ascii="Arial" w:cs="Arial" w:eastAsia="Arial" w:hAnsi="Arial"/>
                <w:sz w:val="17"/>
                <w:szCs w:val="17"/>
                <w:b w:val="1"/>
                <w:bCs w:val="1"/>
                <w:color w:val="auto"/>
                <w:w w:val="96"/>
              </w:rPr>
              <w:t>Total charges incurred through</w:t>
            </w:r>
          </w:p>
        </w:tc>
      </w:tr>
      <w:tr>
        <w:trPr>
          <w:trHeight w:val="223"/>
        </w:trPr>
        <w:tc>
          <w:tcPr>
            <w:tcW w:w="8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December 31, 2021</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2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Blizzard</w:t>
            </w:r>
          </w:p>
        </w:tc>
        <w:tc>
          <w:tcPr>
            <w:tcW w:w="24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214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24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segments (1)</w:t>
            </w: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(1) Includes charges outside of our reportable segments, including charges for our corporate and administrative functions.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Interest and Other Expense (Income), Net</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Interest and other expense (income), net is comprised of the following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353"/>
              <w:spacing w:after="0"/>
              <w:rPr>
                <w:sz w:val="20"/>
                <w:szCs w:val="20"/>
                <w:color w:val="auto"/>
              </w:rPr>
            </w:pPr>
            <w:r>
              <w:rPr>
                <w:rFonts w:ascii="Arial" w:cs="Arial" w:eastAsia="Arial" w:hAnsi="Arial"/>
                <w:sz w:val="17"/>
                <w:szCs w:val="17"/>
                <w:b w:val="1"/>
                <w:bCs w:val="1"/>
                <w:color w:val="auto"/>
              </w:rPr>
              <w:t>For the Years Ended December 31,</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560" w:type="dxa"/>
            <w:vAlign w:val="bottom"/>
            <w:shd w:val="clear" w:color="auto" w:fill="CCEEFF"/>
          </w:tcPr>
          <w:p>
            <w:pPr>
              <w:jc w:val="right"/>
              <w:ind w:right="13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1"/>
        </w:trPr>
        <w:tc>
          <w:tcPr>
            <w:tcW w:w="4420" w:type="dxa"/>
            <w:vAlign w:val="bottom"/>
            <w:gridSpan w:val="3"/>
          </w:tcPr>
          <w:p>
            <w:pPr>
              <w:ind w:left="20"/>
              <w:spacing w:after="0" w:line="172" w:lineRule="exact"/>
              <w:rPr>
                <w:sz w:val="20"/>
                <w:szCs w:val="20"/>
                <w:color w:val="auto"/>
              </w:rPr>
            </w:pPr>
            <w:r>
              <w:rPr>
                <w:rFonts w:ascii="Arial" w:cs="Arial" w:eastAsia="Arial" w:hAnsi="Arial"/>
                <w:sz w:val="17"/>
                <w:szCs w:val="17"/>
                <w:color w:val="auto"/>
                <w:w w:val="95"/>
              </w:rPr>
              <w:t>Interest expense from debt and amortization of debt discount</w:t>
            </w:r>
          </w:p>
        </w:tc>
        <w:tc>
          <w:tcPr>
            <w:tcW w:w="15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and deferred financing costs</w:t>
            </w:r>
          </w:p>
        </w:tc>
        <w:tc>
          <w:tcPr>
            <w:tcW w:w="15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42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7"/>
                <w:szCs w:val="17"/>
                <w:color w:val="auto"/>
              </w:rPr>
              <w:t>Realized and unrealized loss (gain) on equity investment</w:t>
            </w:r>
          </w:p>
        </w:tc>
        <w:tc>
          <w:tcPr>
            <w:tcW w:w="15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3"/>
        </w:trPr>
        <w:tc>
          <w:tcPr>
            <w:tcW w:w="4420" w:type="dxa"/>
            <w:vAlign w:val="bottom"/>
            <w:gridSpan w:val="3"/>
            <w:shd w:val="clear" w:color="auto" w:fill="CCEEFF"/>
          </w:tcPr>
          <w:p>
            <w:pPr>
              <w:ind w:left="20"/>
              <w:spacing w:after="0" w:line="183" w:lineRule="exact"/>
              <w:rPr>
                <w:rFonts w:ascii="Arial" w:cs="Arial" w:eastAsia="Arial" w:hAnsi="Arial"/>
                <w:sz w:val="17"/>
                <w:szCs w:val="17"/>
                <w:color w:val="auto"/>
              </w:rPr>
            </w:pPr>
            <w:r>
              <w:rPr>
                <w:rFonts w:ascii="Arial" w:cs="Arial" w:eastAsia="Arial" w:hAnsi="Arial"/>
                <w:sz w:val="17"/>
                <w:szCs w:val="17"/>
                <w:color w:val="auto"/>
              </w:rPr>
              <w:t>(</w:t>
            </w:r>
            <w:hyperlink w:anchor="page90">
              <w:r>
                <w:rPr>
                  <w:rFonts w:ascii="Arial" w:cs="Arial" w:eastAsia="Arial" w:hAnsi="Arial"/>
                  <w:sz w:val="17"/>
                  <w:szCs w:val="17"/>
                  <w:color w:val="0000FF"/>
                </w:rPr>
                <w:t>Note 10</w:t>
              </w:r>
            </w:hyperlink>
            <w:r>
              <w:rPr>
                <w:rFonts w:ascii="Arial" w:cs="Arial" w:eastAsia="Arial" w:hAnsi="Arial"/>
                <w:sz w:val="17"/>
                <w:szCs w:val="17"/>
                <w:color w:val="auto"/>
              </w:rPr>
              <w:t>)</w:t>
            </w:r>
          </w:p>
        </w:tc>
        <w:tc>
          <w:tcPr>
            <w:tcW w:w="15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expense (income), net</w:t>
            </w:r>
          </w:p>
        </w:tc>
        <w:tc>
          <w:tcPr>
            <w:tcW w:w="1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56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Income Taxes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Domestic and foreign income (loss) before income taxes and details of the income tax expense (benefit) are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For the Years Ended December 31,</w:t>
            </w:r>
          </w:p>
        </w:tc>
        <w:tc>
          <w:tcPr>
            <w:tcW w:w="920" w:type="dxa"/>
            <w:vAlign w:val="bottom"/>
            <w:tcBorders>
              <w:bottom w:val="single" w:sz="8" w:color="auto"/>
            </w:tcBorders>
          </w:tcPr>
          <w:p>
            <w:pPr>
              <w:spacing w:after="0"/>
              <w:rPr>
                <w:sz w:val="19"/>
                <w:szCs w:val="19"/>
                <w:color w:val="auto"/>
              </w:rPr>
            </w:pPr>
          </w:p>
        </w:tc>
      </w:tr>
      <w:tr>
        <w:trPr>
          <w:trHeight w:val="216"/>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w w:val="95"/>
              </w:rPr>
              <w:t>2019</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7"/>
                <w:szCs w:val="17"/>
                <w:color w:val="auto"/>
              </w:rPr>
              <w:t>Domestic</w:t>
            </w:r>
          </w:p>
        </w:tc>
        <w:tc>
          <w:tcPr>
            <w:tcW w:w="920" w:type="dxa"/>
            <w:vAlign w:val="bottom"/>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1,451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23"/>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1,305</w:t>
            </w:r>
          </w:p>
        </w:tc>
      </w:tr>
      <w:tr>
        <w:trPr>
          <w:trHeight w:val="216"/>
        </w:trPr>
        <w:tc>
          <w:tcPr>
            <w:tcW w:w="6740" w:type="dxa"/>
            <w:vAlign w:val="bottom"/>
          </w:tcPr>
          <w:p>
            <w:pPr>
              <w:spacing w:after="0"/>
              <w:rPr>
                <w:sz w:val="18"/>
                <w:szCs w:val="18"/>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3,164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9"/>
        </w:trPr>
        <w:tc>
          <w:tcPr>
            <w:tcW w:w="6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Income tax expense (benefit):</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7"/>
                <w:szCs w:val="17"/>
                <w:color w:val="auto"/>
              </w:rPr>
              <w:t>Current:</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23"/>
        </w:trPr>
        <w:tc>
          <w:tcPr>
            <w:tcW w:w="6740" w:type="dxa"/>
            <w:vAlign w:val="bottom"/>
          </w:tcPr>
          <w:p>
            <w:pPr>
              <w:ind w:left="340"/>
              <w:spacing w:after="0"/>
              <w:rPr>
                <w:sz w:val="20"/>
                <w:szCs w:val="20"/>
                <w:color w:val="auto"/>
              </w:rPr>
            </w:pPr>
            <w:r>
              <w:rPr>
                <w:rFonts w:ascii="Arial" w:cs="Arial" w:eastAsia="Arial" w:hAnsi="Arial"/>
                <w:sz w:val="17"/>
                <w:szCs w:val="17"/>
                <w:color w:val="auto"/>
              </w:rPr>
              <w:t>State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16"/>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current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w:t>
            </w:r>
          </w:p>
        </w:tc>
      </w:tr>
      <w:tr>
        <w:trPr>
          <w:trHeight w:val="203"/>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3"/>
        </w:trPr>
        <w:tc>
          <w:tcPr>
            <w:tcW w:w="6740" w:type="dxa"/>
            <w:vAlign w:val="bottom"/>
          </w:tcPr>
          <w:p>
            <w:pPr>
              <w:ind w:left="340"/>
              <w:spacing w:after="0"/>
              <w:rPr>
                <w:sz w:val="20"/>
                <w:szCs w:val="20"/>
                <w:color w:val="auto"/>
              </w:rPr>
            </w:pPr>
            <w:r>
              <w:rPr>
                <w:rFonts w:ascii="Arial" w:cs="Arial" w:eastAsia="Arial" w:hAnsi="Arial"/>
                <w:sz w:val="17"/>
                <w:szCs w:val="17"/>
                <w:color w:val="auto"/>
              </w:rPr>
              <w:t>Federal</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781</w:t>
            </w: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w:t>
            </w: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r>
      <w:tr>
        <w:trPr>
          <w:trHeight w:val="242"/>
        </w:trPr>
        <w:tc>
          <w:tcPr>
            <w:tcW w:w="67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items accounting for the difference between income taxes computed at the U.S. federal statutory income tax rate and the income tax expense (benefit)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at the effective tax rate for each of the years are as follows (amounts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89"/>
              </w:rPr>
              <w:t>For the Years Ended December 31,</w:t>
            </w: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1"/>
        </w:trPr>
        <w:tc>
          <w:tcPr>
            <w:tcW w:w="5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w w:val="89"/>
              </w:rPr>
              <w:t>2019</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income tax provision at statutory rate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43</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1</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12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12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(2)</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Foreign earnings taxed at different rates</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(93)</w:t>
            </w:r>
          </w:p>
        </w:tc>
        <w:tc>
          <w:tcPr>
            <w:tcW w:w="1120" w:type="dxa"/>
            <w:vAlign w:val="bottom"/>
            <w:gridSpan w:val="3"/>
          </w:tcPr>
          <w:p>
            <w:pPr>
              <w:jc w:val="right"/>
              <w:ind w:right="9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(118)</w:t>
            </w:r>
          </w:p>
        </w:tc>
        <w:tc>
          <w:tcPr>
            <w:tcW w:w="1120" w:type="dxa"/>
            <w:vAlign w:val="bottom"/>
            <w:gridSpan w:val="3"/>
          </w:tcPr>
          <w:p>
            <w:pPr>
              <w:jc w:val="right"/>
              <w:ind w:right="73"/>
              <w:spacing w:after="0"/>
              <w:rPr>
                <w:sz w:val="20"/>
                <w:szCs w:val="20"/>
                <w:color w:val="auto"/>
              </w:rPr>
            </w:pPr>
            <w:r>
              <w:rPr>
                <w:rFonts w:ascii="Arial" w:cs="Arial" w:eastAsia="Arial" w:hAnsi="Arial"/>
                <w:sz w:val="17"/>
                <w:szCs w:val="17"/>
                <w:color w:val="auto"/>
              </w:rPr>
              <w:t>(7)</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Foreign-derived intangible income</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12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Change in tax reserves</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60</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96</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6</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Audit settlements</w:t>
            </w: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12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3</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Change in Tax Legislation</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w:t>
            </w:r>
          </w:p>
        </w:tc>
        <w:tc>
          <w:tcPr>
            <w:tcW w:w="1120" w:type="dxa"/>
            <w:vAlign w:val="bottom"/>
            <w:gridSpan w:val="3"/>
          </w:tcPr>
          <w:p>
            <w:pPr>
              <w:jc w:val="right"/>
              <w:ind w:right="9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12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Intra-entity IP Transfer</w:t>
            </w:r>
          </w:p>
        </w:tc>
        <w:tc>
          <w:tcPr>
            <w:tcW w:w="26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(31)</w:t>
            </w:r>
          </w:p>
        </w:tc>
        <w:tc>
          <w:tcPr>
            <w:tcW w:w="1120" w:type="dxa"/>
            <w:vAlign w:val="bottom"/>
            <w:gridSpan w:val="3"/>
          </w:tcPr>
          <w:p>
            <w:pPr>
              <w:jc w:val="right"/>
              <w:ind w:right="9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(230)</w:t>
            </w:r>
          </w:p>
        </w:tc>
        <w:tc>
          <w:tcPr>
            <w:tcW w:w="1120" w:type="dxa"/>
            <w:vAlign w:val="bottom"/>
            <w:gridSpan w:val="3"/>
          </w:tcPr>
          <w:p>
            <w:pPr>
              <w:jc w:val="right"/>
              <w:ind w:right="73"/>
              <w:spacing w:after="0"/>
              <w:rPr>
                <w:sz w:val="20"/>
                <w:szCs w:val="20"/>
                <w:color w:val="auto"/>
              </w:rPr>
            </w:pPr>
            <w:r>
              <w:rPr>
                <w:rFonts w:ascii="Arial" w:cs="Arial" w:eastAsia="Arial" w:hAnsi="Arial"/>
                <w:sz w:val="17"/>
                <w:szCs w:val="17"/>
                <w:color w:val="auto"/>
              </w:rPr>
              <w:t>(14)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16"/>
        </w:trPr>
        <w:tc>
          <w:tcPr>
            <w:tcW w:w="52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15 %</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419</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130</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8 %</w:t>
            </w: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The Company’s tax rate is affected by the tax rates in the jurisdictions in which the Company operates, some of which have a statutory tax rate less than the U.S. rate and the relative amount of income earned in each jurisdiction.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93"/>
        <w:spacing w:after="0" w:line="278" w:lineRule="auto"/>
        <w:rPr>
          <w:sz w:val="20"/>
          <w:szCs w:val="20"/>
          <w:color w:val="auto"/>
        </w:rPr>
      </w:pPr>
      <w:r>
        <w:rPr>
          <w:rFonts w:ascii="Arial" w:cs="Arial" w:eastAsia="Arial" w:hAnsi="Arial"/>
          <w:sz w:val="16"/>
          <w:szCs w:val="16"/>
          <w:color w:val="auto"/>
        </w:rPr>
        <w:t>In October 2019, we completed an intra-entity transfer of certain intellectual property rights to one of our subsidiaries in the U.K., aligning the ownership of these rights with our evolving business. The transfer did not result in a taxable gain; however, our U.K. subsidiary received a step-up in tax basis based on the fair value of the transferred intellectual property rights. Such fair value was determined based on our expectations of future cash flows, long-term growth rates, and discount rates. We recorded a one-time benefit of $230 million in the quarter ended December 31, 2019 for the recognition of a $1.1 billion deferred tax asset in the U.K. related to the amortizable tax basis in the transferred intellectual property, net of uncertain tax positions and a valuation allowance, partially offset by a related $920 million deferred tax liability for U.S. taxes on foreign earnings. The U.K. amortizable tax basis will be recovered over a period of three years to 25 years and the related deferred tax asset was measured using the enacted U.K. corporate tax rates for the years in which the amortization will be realized. We recorded a valuation allowance of $110 million in 2019 for the portion of the deferred tax asset for which it is more-likely-than-not that a benefit will not be realized. During the year ended December 31, 2021, we recognized a one-time net benefit of $53 million from remeasuring this deferred tax asset due to the enactment of a change in the UK corporate tax rate. We will update the measurement and realizability analysis going forward and record the impact from any change in determination in the period of the change.</w:t>
      </w:r>
    </w:p>
    <w:p>
      <w:pPr>
        <w:spacing w:after="0" w:line="200"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During the year ended December 31, 2020, we completed an intra-entity transfer of certain intellectual property rights to the U.S. to better align the profits related to these rights with our evolving business activities. As a result, a significant portion of these earnings began qualifying for preferential treatment as foreign-derived intangible income during 2020. The transfer resulted in a one-time benefit of $31 million in connection with the remeasurement of a U.S. deferred tax asset related to foreign earnings.</w:t>
      </w:r>
    </w:p>
    <w:p>
      <w:pPr>
        <w:spacing w:after="0" w:line="202" w:lineRule="exact"/>
        <w:rPr>
          <w:sz w:val="20"/>
          <w:szCs w:val="20"/>
          <w:color w:val="auto"/>
        </w:rPr>
      </w:pPr>
    </w:p>
    <w:p>
      <w:pPr>
        <w:ind w:right="220" w:firstLine="393"/>
        <w:spacing w:after="0" w:line="298" w:lineRule="auto"/>
        <w:rPr>
          <w:sz w:val="20"/>
          <w:szCs w:val="20"/>
          <w:color w:val="auto"/>
        </w:rPr>
      </w:pPr>
      <w:r>
        <w:rPr>
          <w:rFonts w:ascii="Arial" w:cs="Arial" w:eastAsia="Arial" w:hAnsi="Arial"/>
          <w:sz w:val="16"/>
          <w:szCs w:val="16"/>
          <w:color w:val="auto"/>
        </w:rPr>
        <w:t>Income tax expense for 2021 reflects the impact of certain tax elections and comparable changes the Company intends to include in its 2021 income tax returns and related statutory filings. To take these actions, the Merger Agreement requires Microsoft’s approval (which may not be unreasonably withheld, conditioned, or delayed), subject to certain exceptions. Failure to obtain this approval could have an adverse effect on our income tax expense.</w:t>
      </w:r>
    </w:p>
    <w:p>
      <w:pPr>
        <w:spacing w:after="0" w:line="180" w:lineRule="exact"/>
        <w:rPr>
          <w:sz w:val="20"/>
          <w:szCs w:val="20"/>
          <w:color w:val="auto"/>
        </w:rPr>
      </w:pPr>
    </w:p>
    <w:p>
      <w:pPr>
        <w:ind w:right="300" w:firstLine="393"/>
        <w:spacing w:after="0" w:line="322" w:lineRule="auto"/>
        <w:rPr>
          <w:sz w:val="20"/>
          <w:szCs w:val="20"/>
          <w:color w:val="auto"/>
        </w:rPr>
      </w:pPr>
      <w:r>
        <w:rPr>
          <w:rFonts w:ascii="Arial" w:cs="Arial" w:eastAsia="Arial" w:hAnsi="Arial"/>
          <w:sz w:val="16"/>
          <w:szCs w:val="16"/>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880" w:type="dxa"/>
            <w:vAlign w:val="bottom"/>
            <w:tcBorders>
              <w:bottom w:val="single" w:sz="8" w:color="auto"/>
            </w:tcBorders>
          </w:tcPr>
          <w:p>
            <w:pPr>
              <w:spacing w:after="0"/>
              <w:rPr>
                <w:sz w:val="16"/>
                <w:szCs w:val="16"/>
                <w:color w:val="auto"/>
              </w:rPr>
            </w:pPr>
          </w:p>
        </w:tc>
      </w:tr>
      <w:tr>
        <w:trPr>
          <w:trHeight w:val="181"/>
        </w:trPr>
        <w:tc>
          <w:tcPr>
            <w:tcW w:w="8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Deferred revenue</w:t>
            </w:r>
          </w:p>
        </w:tc>
        <w:tc>
          <w:tcPr>
            <w:tcW w:w="880" w:type="dxa"/>
            <w:vAlign w:val="bottom"/>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274</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attributes carryforwards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Capitalized software development expenses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16"/>
        </w:trPr>
        <w:tc>
          <w:tcPr>
            <w:tcW w:w="8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assets, net of valuation allowance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1,688</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Intangibles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Capitalized software development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U.S. deferred taxes on foreign earnings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liabilities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As of December 31, 2021, we had gross tax credit carryforwards of $263 million for state purposes. The tax credit carryforwards are included in deferred tax assets net of unrealized tax benefits that would apply upon the realization of uncertain tax positions. In addition, we had foreign net operating loss carryforwards of $11 million at December 31, 2021, most of which carry forward indefinitely.</w:t>
      </w:r>
    </w:p>
    <w:p>
      <w:pPr>
        <w:spacing w:after="0" w:line="198"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evaluate deferred tax assets each period for recoverability. We record a valuation allowance for assets that do not meet the threshold of “more likely than not” to be realized in the future. To make that determination, we evaluate the likelihood of realization based on the weight of all positive and negative evidence available. As of December 31, 2021 and December 31, 2020, we maintained a valuation allowance related to our California research and development credit carryforwards of $118 million and $107 million, respectively. We will reassess this determination quarterly and record a tax benefit if and when future evidence allows for a partial or full release of this valuation allowance.</w:t>
      </w:r>
    </w:p>
    <w:p>
      <w:pPr>
        <w:spacing w:after="0" w:line="206"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In addition, we remeasured the U.K. deferred tax asset related to previously transferred intellectual property rights and corresponding U.S. deferred tax liability due to the change in the U.K.'s corporate income tax rate during 2021. As of December 31, 2021, the U.K. deferred tax asset net of valuation allowance is $1.2 billion and the corresponding U.S. deferred tax liability is $989 million.</w:t>
      </w:r>
    </w:p>
    <w:p>
      <w:pPr>
        <w:spacing w:after="0" w:line="198"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Activision Blizzard’s tax years after 2008 remain open to examination by certain major taxing jurisdictions to which we are subject. The Internal Revenue Service is currently examining our federal tax returns for the 2012 through 2019 tax years.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93"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2021, we had $1.3 billion of gross unrecognized tax benefits, $784 million of which would affect our effective tax rate, if recognized.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total gross unrecognized tax benefits is as follows (amounts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181"/>
        </w:trPr>
        <w:tc>
          <w:tcPr>
            <w:tcW w:w="67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Gross increase for tax positions taken during a prior year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 for tax positions taken during a prior year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Gross increase for tax positions taken during the current year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 with taxing authorities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Lapse of statute of limitations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20" w:firstLine="393"/>
        <w:spacing w:after="0" w:line="273" w:lineRule="auto"/>
        <w:rPr>
          <w:sz w:val="20"/>
          <w:szCs w:val="20"/>
          <w:color w:val="auto"/>
        </w:rPr>
      </w:pPr>
      <w:r>
        <w:rPr>
          <w:rFonts w:ascii="Arial" w:cs="Arial" w:eastAsia="Arial" w:hAnsi="Arial"/>
          <w:sz w:val="17"/>
          <w:szCs w:val="17"/>
          <w:color w:val="auto"/>
        </w:rPr>
        <w:t>As of December 31, 2021, 2020, and 2019, we had approximately $102 million, $93 million, and $72 million, respectively, of accrued interest and penalties related to uncertain tax positions. For the years ended December 31, 2021, 2020, and 2019, we recorded $11 million, $19 million, and $14 million, respectively, of interest expense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Computation of Basic/Diluted Earnings Per Common Share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6"/>
              </w:rPr>
              <w:t>For the Years Ended 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7"/>
                <w:szCs w:val="17"/>
                <w:color w:val="auto"/>
              </w:rPr>
              <w:t>Consolidated net income</w:t>
            </w:r>
          </w:p>
        </w:tc>
        <w:tc>
          <w:tcPr>
            <w:tcW w:w="1000" w:type="dxa"/>
            <w:vAlign w:val="bottom"/>
          </w:tcPr>
          <w:p>
            <w:pPr>
              <w:jc w:val="right"/>
              <w:ind w:right="81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2,197</w:t>
            </w:r>
          </w:p>
        </w:tc>
        <w:tc>
          <w:tcPr>
            <w:tcW w:w="10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1,503</w:t>
            </w:r>
          </w:p>
        </w:tc>
        <w:tc>
          <w:tcPr>
            <w:tcW w:w="0" w:type="dxa"/>
            <w:vAlign w:val="bottom"/>
          </w:tcPr>
          <w:p>
            <w:pPr>
              <w:spacing w:after="0"/>
              <w:rPr>
                <w:sz w:val="1"/>
                <w:szCs w:val="1"/>
                <w:color w:val="auto"/>
              </w:rPr>
            </w:pPr>
          </w:p>
        </w:tc>
      </w:tr>
      <w:tr>
        <w:trPr>
          <w:trHeight w:val="262"/>
        </w:trPr>
        <w:tc>
          <w:tcPr>
            <w:tcW w:w="6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w w:val="94"/>
              </w:rPr>
              <w:t>Denominator for basic earnings per common share—weighted-average common shares</w:t>
            </w:r>
          </w:p>
        </w:tc>
        <w:tc>
          <w:tcPr>
            <w:tcW w:w="10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22"/>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w:t>
            </w:r>
          </w:p>
        </w:tc>
        <w:tc>
          <w:tcPr>
            <w:tcW w:w="10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Effect of dilutive stock options and awards under the treasury stock method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51"/>
        </w:trPr>
        <w:tc>
          <w:tcPr>
            <w:tcW w:w="640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w w:val="94"/>
              </w:rPr>
              <w:t>Denominator for diluted earnings per common share—weighted-average common shares</w:t>
            </w:r>
          </w:p>
        </w:tc>
        <w:tc>
          <w:tcPr>
            <w:tcW w:w="10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outstanding plus dilutive common shares under the treasury stock method</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22"/>
        </w:trPr>
        <w:tc>
          <w:tcPr>
            <w:tcW w:w="640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1000" w:type="dxa"/>
            <w:vAlign w:val="bottom"/>
          </w:tcPr>
          <w:p>
            <w:pPr>
              <w:jc w:val="right"/>
              <w:ind w:right="81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40" w:firstLine="393"/>
        <w:spacing w:after="0" w:line="268" w:lineRule="auto"/>
        <w:rPr>
          <w:sz w:val="20"/>
          <w:szCs w:val="20"/>
          <w:color w:val="auto"/>
        </w:rPr>
      </w:pPr>
      <w:r>
        <w:rPr>
          <w:rFonts w:ascii="Arial" w:cs="Arial" w:eastAsia="Arial" w:hAnsi="Arial"/>
          <w:sz w:val="17"/>
          <w:szCs w:val="17"/>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Weighted-average shares excluded from the computation of diluted earnings per share were as follows (amounts in millions):</w:t>
      </w:r>
    </w:p>
    <w:p>
      <w:pPr>
        <w:spacing w:after="0" w:line="284"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auto"/>
        </w:rPr>
        <w:t>For the 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7"/>
                <w:szCs w:val="17"/>
                <w:b w:val="1"/>
                <w:bCs w:val="1"/>
                <w:color w:val="auto"/>
              </w:rPr>
              <w:t>2020</w:t>
            </w: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2019</w:t>
            </w:r>
          </w:p>
        </w:tc>
      </w:tr>
      <w:tr>
        <w:trPr>
          <w:trHeight w:val="216"/>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with performance measures not yet met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7560" w:type="dxa"/>
            <w:vAlign w:val="bottom"/>
            <w:gridSpan w:val="2"/>
          </w:tcPr>
          <w:p>
            <w:pPr>
              <w:ind w:left="20"/>
              <w:spacing w:after="0"/>
              <w:rPr>
                <w:sz w:val="20"/>
                <w:szCs w:val="20"/>
                <w:color w:val="auto"/>
              </w:rPr>
            </w:pPr>
            <w:r>
              <w:rPr>
                <w:rFonts w:ascii="Arial" w:cs="Arial" w:eastAsia="Arial" w:hAnsi="Arial"/>
                <w:sz w:val="17"/>
                <w:szCs w:val="17"/>
                <w:color w:val="auto"/>
              </w:rPr>
              <w:t>Anti-dilutive employee stock options</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860" w:type="dxa"/>
            <w:vAlign w:val="bottom"/>
          </w:tcPr>
          <w:p>
            <w:pPr>
              <w:jc w:val="right"/>
              <w:ind w:right="293"/>
              <w:spacing w:after="0"/>
              <w:rPr>
                <w:sz w:val="20"/>
                <w:szCs w:val="20"/>
                <w:color w:val="auto"/>
              </w:rPr>
            </w:pPr>
            <w:r>
              <w:rPr>
                <w:rFonts w:ascii="Arial" w:cs="Arial" w:eastAsia="Arial" w:hAnsi="Arial"/>
                <w:sz w:val="17"/>
                <w:szCs w:val="17"/>
                <w:color w:val="auto"/>
              </w:rPr>
              <w:t>1</w:t>
            </w:r>
          </w:p>
        </w:tc>
        <w:tc>
          <w:tcPr>
            <w:tcW w:w="1340" w:type="dxa"/>
            <w:vAlign w:val="bottom"/>
          </w:tcPr>
          <w:p>
            <w:pPr>
              <w:jc w:val="right"/>
              <w:spacing w:after="0"/>
              <w:rPr>
                <w:sz w:val="20"/>
                <w:szCs w:val="20"/>
                <w:color w:val="auto"/>
              </w:rPr>
            </w:pPr>
            <w:r>
              <w:rPr>
                <w:rFonts w:ascii="Arial" w:cs="Arial" w:eastAsia="Arial" w:hAnsi="Arial"/>
                <w:sz w:val="17"/>
                <w:szCs w:val="17"/>
                <w:color w:val="auto"/>
              </w:rPr>
              <w:t>6</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Capital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50" w:lineRule="exact"/>
        <w:rPr>
          <w:sz w:val="20"/>
          <w:szCs w:val="20"/>
          <w:color w:val="auto"/>
        </w:rPr>
      </w:pPr>
    </w:p>
    <w:p>
      <w:pPr>
        <w:ind w:right="100" w:firstLine="393"/>
        <w:spacing w:after="0" w:line="290" w:lineRule="auto"/>
        <w:rPr>
          <w:sz w:val="20"/>
          <w:szCs w:val="20"/>
          <w:color w:val="auto"/>
        </w:rPr>
      </w:pPr>
      <w:r>
        <w:rPr>
          <w:rFonts w:ascii="Arial" w:cs="Arial" w:eastAsia="Arial" w:hAnsi="Arial"/>
          <w:sz w:val="16"/>
          <w:szCs w:val="16"/>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As of December 31, 2021, we had not repurchased any shares under this program and are restricted from making any such repurchases during the period between the execution of the Merger Agreement with Microsoft and the effective time of the Merger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50" w:lineRule="exact"/>
        <w:rPr>
          <w:sz w:val="20"/>
          <w:szCs w:val="20"/>
          <w:color w:val="auto"/>
        </w:rPr>
      </w:pPr>
    </w:p>
    <w:p>
      <w:pPr>
        <w:ind w:right="820" w:firstLine="393"/>
        <w:spacing w:after="0" w:line="289" w:lineRule="auto"/>
        <w:rPr>
          <w:sz w:val="20"/>
          <w:szCs w:val="20"/>
          <w:color w:val="auto"/>
        </w:rPr>
      </w:pPr>
      <w:r>
        <w:rPr>
          <w:rFonts w:ascii="Arial" w:cs="Arial" w:eastAsia="Arial" w:hAnsi="Arial"/>
          <w:sz w:val="17"/>
          <w:szCs w:val="17"/>
          <w:color w:val="auto"/>
        </w:rPr>
        <w:t>On February 3, 2022, our Board of Directors declared a cash dividend of $0.47 per common share. Such dividend is payable on May 6, 2022 to shareholders of record at the close of business on April 15, 2022.</w:t>
      </w:r>
    </w:p>
    <w:p>
      <w:pPr>
        <w:spacing w:after="0" w:line="185"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85"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On February 6, 2020, our Board of Directors declared a cash dividend of $0.41 per common share. On May 6, 2020, we made an aggregate cash dividend payment of $316 million to shareholders of record at the close of business on April 15, 2020.</w:t>
      </w:r>
    </w:p>
    <w:p>
      <w:pPr>
        <w:spacing w:after="0" w:line="185"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Obligations</w:t>
      </w:r>
    </w:p>
    <w:p>
      <w:pPr>
        <w:spacing w:after="0" w:line="250" w:lineRule="exact"/>
        <w:rPr>
          <w:sz w:val="20"/>
          <w:szCs w:val="20"/>
          <w:color w:val="auto"/>
        </w:rPr>
      </w:pPr>
    </w:p>
    <w:p>
      <w:pPr>
        <w:ind w:right="60" w:firstLine="393"/>
        <w:spacing w:after="0" w:line="301" w:lineRule="auto"/>
        <w:rPr>
          <w:sz w:val="20"/>
          <w:szCs w:val="20"/>
          <w:color w:val="auto"/>
        </w:rPr>
      </w:pPr>
      <w:r>
        <w:rPr>
          <w:rFonts w:ascii="Arial" w:cs="Arial" w:eastAsia="Arial" w:hAnsi="Arial"/>
          <w:sz w:val="15"/>
          <w:szCs w:val="15"/>
          <w:color w:val="auto"/>
        </w:rPr>
        <w:t>In the normal course of business, we enter into contractual arrangements with third parties for non-cancelable operating lease agreements for our offices, for the development of products which may include obtaining rights to intellectual property, and for hosting services to support our games and our administrative functions. Under these agreements, we commit to provide specified payments to a lessor, developer, or hosting provider, as the case may be, based upon contractual arrangements. The payments to third-party developers are generally conditioned upon the achievement by the developers of contractually specified development milestones. Further, these payments to third-party developers typically are deemed to be advances and, as such, are recoupable against future royalties earned by the developer based on sales of the related game. Additionally, we also enter into arrangements in which we commit to spend specified amounts for marketing to support and promote our content and services. Assuming all contractual provisions are met, the total future minimum commitments for these and other contractual arrangements in place at December 31, 2021, are scheduled to be paid as follows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Contractual Obligations (1)</w:t>
            </w:r>
          </w:p>
        </w:tc>
        <w:tc>
          <w:tcPr>
            <w:tcW w:w="1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3"/>
              </w:rPr>
              <w:t>Facility and</w:t>
            </w:r>
          </w:p>
        </w:tc>
        <w:tc>
          <w:tcPr>
            <w:tcW w:w="180" w:type="dxa"/>
            <w:vAlign w:val="bottom"/>
          </w:tcPr>
          <w:p>
            <w:pPr>
              <w:spacing w:after="0"/>
              <w:rPr>
                <w:sz w:val="11"/>
                <w:szCs w:val="11"/>
                <w:color w:val="auto"/>
              </w:rPr>
            </w:pPr>
          </w:p>
        </w:tc>
        <w:tc>
          <w:tcPr>
            <w:tcW w:w="11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5"/>
              </w:rPr>
              <w:t>Developer and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Long-Term Debt</w:t>
            </w: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3"/>
              </w:rPr>
              <w:t>Equipment</w:t>
            </w: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Marketing</w:t>
            </w:r>
          </w:p>
        </w:tc>
        <w:tc>
          <w:tcPr>
            <w:tcW w:w="1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180" w:type="dxa"/>
            <w:vAlign w:val="bottom"/>
          </w:tcPr>
          <w:p>
            <w:pPr>
              <w:spacing w:after="0"/>
              <w:rPr>
                <w:sz w:val="15"/>
                <w:szCs w:val="15"/>
                <w:color w:val="auto"/>
              </w:rPr>
            </w:pP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rPr>
              <w:t>Hosting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Obligations (2)</w:t>
            </w: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 the years ending December 31,</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7"/>
                <w:szCs w:val="17"/>
                <w:color w:val="auto"/>
              </w:rPr>
              <w:t>2022</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149</w:t>
            </w:r>
          </w:p>
        </w:tc>
        <w:tc>
          <w:tcPr>
            <w:tcW w:w="4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7"/>
                <w:szCs w:val="17"/>
                <w:color w:val="auto"/>
              </w:rPr>
              <w:t>2026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955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4,102</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w:t>
            </w:r>
          </w:p>
        </w:tc>
        <w:tc>
          <w:tcPr>
            <w:tcW w:w="0" w:type="dxa"/>
            <w:vAlign w:val="bottom"/>
          </w:tcPr>
          <w:p>
            <w:pPr>
              <w:spacing w:after="0"/>
              <w:rPr>
                <w:sz w:val="1"/>
                <w:szCs w:val="1"/>
                <w:color w:val="auto"/>
              </w:rPr>
            </w:pPr>
          </w:p>
        </w:tc>
      </w:tr>
      <w:tr>
        <w:trPr>
          <w:trHeight w:val="216"/>
        </w:trPr>
        <w:tc>
          <w:tcPr>
            <w:tcW w:w="4020" w:type="dxa"/>
            <w:vAlign w:val="bottom"/>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265</w:t>
            </w:r>
          </w:p>
        </w:tc>
        <w:tc>
          <w:tcPr>
            <w:tcW w:w="4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5,477</w:t>
            </w:r>
          </w:p>
        </w:tc>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140" w:hanging="315"/>
        <w:spacing w:after="0" w:line="268" w:lineRule="auto"/>
        <w:tabs>
          <w:tab w:leader="none" w:pos="314"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2021, we had $483 million of net unrecognized tax benefits included in “Other liabilities,” in our consolidated balance sheet.</w:t>
      </w:r>
    </w:p>
    <w:p>
      <w:pPr>
        <w:spacing w:after="0" w:line="202" w:lineRule="exact"/>
        <w:rPr>
          <w:rFonts w:ascii="Arial" w:cs="Arial" w:eastAsia="Arial" w:hAnsi="Arial"/>
          <w:sz w:val="17"/>
          <w:szCs w:val="17"/>
          <w:color w:val="auto"/>
        </w:rPr>
      </w:pPr>
    </w:p>
    <w:p>
      <w:pPr>
        <w:ind w:left="320" w:right="580"/>
        <w:spacing w:after="0" w:line="322" w:lineRule="auto"/>
        <w:rPr>
          <w:rFonts w:ascii="Arial" w:cs="Arial" w:eastAsia="Arial" w:hAnsi="Arial"/>
          <w:sz w:val="17"/>
          <w:szCs w:val="17"/>
          <w:color w:val="auto"/>
        </w:rPr>
      </w:pPr>
      <w:r>
        <w:rPr>
          <w:rFonts w:ascii="Arial" w:cs="Arial" w:eastAsia="Arial" w:hAnsi="Arial"/>
          <w:sz w:val="16"/>
          <w:szCs w:val="16"/>
          <w:color w:val="auto"/>
        </w:rPr>
        <w:t>Additionally, at December 31, 2021, we have a remaining net Transition Tax liability of $142 million associated with the U.S. Tax Reform Act. The remaining Transition Tax liability is payable over the next five years and is not reflected in our Contractual Obligations table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20" w:right="160" w:hanging="315"/>
        <w:spacing w:after="0" w:line="268" w:lineRule="auto"/>
        <w:tabs>
          <w:tab w:leader="none" w:pos="314" w:val="left"/>
        </w:tabs>
        <w:numPr>
          <w:ilvl w:val="0"/>
          <w:numId w:val="61"/>
        </w:numPr>
        <w:rPr>
          <w:rFonts w:ascii="Arial" w:cs="Arial" w:eastAsia="Arial" w:hAnsi="Arial"/>
          <w:sz w:val="17"/>
          <w:szCs w:val="17"/>
          <w:color w:val="0000FF"/>
        </w:rPr>
      </w:pPr>
      <w:r>
        <w:rPr>
          <w:rFonts w:ascii="Arial" w:cs="Arial" w:eastAsia="Arial" w:hAnsi="Arial"/>
          <w:sz w:val="17"/>
          <w:szCs w:val="17"/>
          <w:color w:val="auto"/>
        </w:rPr>
        <w:t xml:space="preserve">Long-term debt obligations represent our obligations related to the contractual principal repayments and interest payments for our outstanding unsecured notes, which are subject to fixed interest rates, as of December 31, 2021. There was no outstanding balance under our Revolver as of December 31, 2021. We have calculated the expected interest obligation based on the outstanding principal balance and interest rate applicable at December 31, 2021. Refer to </w:t>
      </w:r>
      <w:hyperlink w:anchor="page94">
        <w:r>
          <w:rPr>
            <w:rFonts w:ascii="Arial" w:cs="Arial" w:eastAsia="Arial" w:hAnsi="Arial"/>
            <w:sz w:val="17"/>
            <w:szCs w:val="17"/>
            <w:u w:val="single" w:color="auto"/>
            <w:color w:val="0000FF"/>
          </w:rPr>
          <w:t>Note 13</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additional information on our debt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Pending EEOC Settlement</w:t>
      </w:r>
    </w:p>
    <w:p>
      <w:pPr>
        <w:spacing w:after="0" w:line="250"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In September 2021, we entered into a proposed consent decree with the U.S. Equal Employment Opportunity Commission (the “EEOC”) to settle claims regarding certain employment practices. The consent decree is subject to approval by the United States District Court, Central District of California, and,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whose findings will be regularly reported to our Board of Directors as well as the EEOC. There can be no assurance that the consent decree will be approved by the court. The California Department of Fair Employment and Housing (the “DFEH”) filed a motion to intervene in the matter, seeking to object to the consent decree, including the amount of the settlement fund; that motion was denied. The DFEH filed a notice of appeal of the order denying the DFEH’s motion to intervene. The DFEH filed a motion to stay the matter pending appeal; that motion was denied.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Pending Employment-Related Matters</w:t>
      </w:r>
    </w:p>
    <w:p>
      <w:pPr>
        <w:spacing w:after="0" w:line="250"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On July 20, 2021, the DFEH filed a complaint (the “DFEH Matter”) in the Los Angeles County Superior Court of the State of California against Activision Blizzard, Blizzard Entertainment and Activision Publishing (together, the “Defendants”) alleging violations of the California Fair Employment and Housing Act and the California Equal Pay Act. The DFEH filed a First Amended Complaint in the DFEH Matter on August 23, 2021. The Defendants moved to dismiss the First Amended Complaint; the motion was heard on February 15, 2022. The Defendants’ motion was denied in part and granted in part, with the DFEH having leave to further amend with respect to the granted portion. In addition, the Company’s Board of Directors recently received notice of an investigation by the DFEH and investigatory subpoenas.</w:t>
      </w:r>
    </w:p>
    <w:p>
      <w:pPr>
        <w:spacing w:after="0" w:line="205" w:lineRule="exact"/>
        <w:rPr>
          <w:sz w:val="20"/>
          <w:szCs w:val="20"/>
          <w:color w:val="auto"/>
        </w:rPr>
      </w:pPr>
    </w:p>
    <w:p>
      <w:pPr>
        <w:ind w:right="60" w:firstLine="393"/>
        <w:spacing w:after="0" w:line="278" w:lineRule="auto"/>
        <w:rPr>
          <w:sz w:val="20"/>
          <w:szCs w:val="20"/>
          <w:color w:val="auto"/>
        </w:rPr>
      </w:pPr>
      <w:r>
        <w:rPr>
          <w:rFonts w:ascii="Arial" w:cs="Arial" w:eastAsia="Arial" w:hAnsi="Arial"/>
          <w:sz w:val="16"/>
          <w:szCs w:val="16"/>
          <w:color w:val="auto"/>
        </w:rPr>
        <w:t xml:space="preserve">On August 3, 2021, a putative class action was filed in the United States District Court, Central District of California, entitled </w:t>
      </w:r>
      <w:r>
        <w:rPr>
          <w:rFonts w:ascii="Arial" w:cs="Arial" w:eastAsia="Arial" w:hAnsi="Arial"/>
          <w:sz w:val="16"/>
          <w:szCs w:val="16"/>
          <w:i w:val="1"/>
          <w:iCs w:val="1"/>
          <w:color w:val="auto"/>
        </w:rPr>
        <w:t>Gary Cheng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 et al.</w:t>
      </w:r>
      <w:r>
        <w:rPr>
          <w:rFonts w:ascii="Arial" w:cs="Arial" w:eastAsia="Arial" w:hAnsi="Arial"/>
          <w:sz w:val="16"/>
          <w:szCs w:val="16"/>
          <w:color w:val="auto"/>
        </w:rPr>
        <w:t>, Case No. 2:21-cv-06240-PA-JEM. Plaintiffs purport to represent a class of Activision shareholders who purchased stock between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28, 2017 and November 16, 2021, and assert claims under Sections 10(b) and 20(a) of the Securities Exchange Act of 1934 (the “Exchange Act”) against the Company and five current or former officers. Beginning on August 6, 2021, three putative shareholder derivative actions were filed in California Superior Court, County of Los Angeles, and those cases have now been consolidated in an action entitled </w:t>
      </w:r>
      <w:r>
        <w:rPr>
          <w:rFonts w:ascii="Arial" w:cs="Arial" w:eastAsia="Arial" w:hAnsi="Arial"/>
          <w:sz w:val="16"/>
          <w:szCs w:val="16"/>
          <w:i w:val="1"/>
          <w:iCs w:val="1"/>
          <w:color w:val="auto"/>
        </w:rPr>
        <w:t>York County on Behalf of County of York Retirement Fund v.</w:t>
      </w:r>
      <w:r>
        <w:rPr>
          <w:rFonts w:ascii="Arial" w:cs="Arial" w:eastAsia="Arial" w:hAnsi="Arial"/>
          <w:sz w:val="16"/>
          <w:szCs w:val="16"/>
          <w:color w:val="auto"/>
        </w:rPr>
        <w:t xml:space="preserve"> </w:t>
      </w:r>
      <w:r>
        <w:rPr>
          <w:rFonts w:ascii="Arial" w:cs="Arial" w:eastAsia="Arial" w:hAnsi="Arial"/>
          <w:sz w:val="16"/>
          <w:szCs w:val="16"/>
          <w:i w:val="1"/>
          <w:iCs w:val="1"/>
          <w:color w:val="auto"/>
        </w:rPr>
        <w:t>Robert A. Kotick, et al.</w:t>
      </w:r>
      <w:r>
        <w:rPr>
          <w:rFonts w:ascii="Arial" w:cs="Arial" w:eastAsia="Arial" w:hAnsi="Arial"/>
          <w:sz w:val="16"/>
          <w:szCs w:val="16"/>
          <w:color w:val="auto"/>
        </w:rPr>
        <w:t>, Case No. 21STCV28949. On November 15, 2021, a putative shareholder derivative action was filed in the United States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Central District of California, entitled </w:t>
      </w:r>
      <w:r>
        <w:rPr>
          <w:rFonts w:ascii="Arial" w:cs="Arial" w:eastAsia="Arial" w:hAnsi="Arial"/>
          <w:sz w:val="16"/>
          <w:szCs w:val="16"/>
          <w:i w:val="1"/>
          <w:iCs w:val="1"/>
          <w:color w:val="auto"/>
        </w:rPr>
        <w:t>Luke Kahnert v. Robert A. Kotick, et al</w:t>
      </w:r>
      <w:r>
        <w:rPr>
          <w:rFonts w:ascii="Arial" w:cs="Arial" w:eastAsia="Arial" w:hAnsi="Arial"/>
          <w:sz w:val="16"/>
          <w:szCs w:val="16"/>
          <w:color w:val="auto"/>
        </w:rPr>
        <w:t xml:space="preserve">., Case No. 2:21-cv-08968-PA-JEM. The putative derivative actions collectively assert claims on the Company’s behalf against thirteen current or former officers and directors for breach of fiduciary duty, corporate waste, unjust enrichment, misappropriation, contribution, and alleged violation of Section 14(a) of the Exchange Act based on allegations similar to those in the DFEH Matter and in the securities class action. The Company is named as a nominal defendant. In addition, the plaintiffs in the </w:t>
      </w:r>
      <w:r>
        <w:rPr>
          <w:rFonts w:ascii="Arial" w:cs="Arial" w:eastAsia="Arial" w:hAnsi="Arial"/>
          <w:sz w:val="16"/>
          <w:szCs w:val="16"/>
          <w:i w:val="1"/>
          <w:iCs w:val="1"/>
          <w:color w:val="auto"/>
        </w:rPr>
        <w:t>Kahnert</w:t>
      </w:r>
      <w:r>
        <w:rPr>
          <w:rFonts w:ascii="Arial" w:cs="Arial" w:eastAsia="Arial" w:hAnsi="Arial"/>
          <w:sz w:val="16"/>
          <w:szCs w:val="16"/>
          <w:color w:val="auto"/>
        </w:rPr>
        <w:t xml:space="preserve"> action have sought leave to amend their complaint to assert putative class claims for breach of fiduciary duty against the Company’s directors in connection with the proposed acquisition by Microsoft, along with an aiding and abetting claim against Microsoft.</w:t>
      </w:r>
    </w:p>
    <w:p>
      <w:pPr>
        <w:spacing w:after="0" w:line="196" w:lineRule="exact"/>
        <w:rPr>
          <w:sz w:val="20"/>
          <w:szCs w:val="20"/>
          <w:color w:val="auto"/>
        </w:rPr>
      </w:pPr>
    </w:p>
    <w:p>
      <w:pPr>
        <w:jc w:val="both"/>
        <w:ind w:right="180" w:firstLine="393"/>
        <w:spacing w:after="0" w:line="273" w:lineRule="auto"/>
        <w:rPr>
          <w:sz w:val="20"/>
          <w:szCs w:val="20"/>
          <w:color w:val="auto"/>
        </w:rPr>
      </w:pPr>
      <w:r>
        <w:rPr>
          <w:rFonts w:ascii="Arial" w:cs="Arial" w:eastAsia="Arial" w:hAnsi="Arial"/>
          <w:sz w:val="17"/>
          <w:szCs w:val="17"/>
          <w:color w:val="auto"/>
        </w:rPr>
        <w:t>The Company is cooperating with an investigation by the U.S. Securities and Exchange Commission (the “SEC”) regarding disclosures on employment matters and related issues including responding to subpoenas from the SEC. The SEC has also issued subpoenas to a number of current and former executives and other employees in connection with this matter.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are unable to predict the impact of the above matters on our business, financial condition, results of operations, or liquidity at this time.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 Regarding the Merger</w:t>
      </w:r>
    </w:p>
    <w:p>
      <w:pPr>
        <w:spacing w:after="0" w:line="250" w:lineRule="exact"/>
        <w:rPr>
          <w:sz w:val="20"/>
          <w:szCs w:val="20"/>
          <w:color w:val="auto"/>
        </w:rPr>
      </w:pPr>
    </w:p>
    <w:p>
      <w:pPr>
        <w:ind w:right="60" w:firstLine="393"/>
        <w:spacing w:after="0" w:line="279" w:lineRule="auto"/>
        <w:rPr>
          <w:sz w:val="20"/>
          <w:szCs w:val="20"/>
          <w:color w:val="auto"/>
        </w:rPr>
      </w:pPr>
      <w:r>
        <w:rPr>
          <w:rFonts w:ascii="Arial" w:cs="Arial" w:eastAsia="Arial" w:hAnsi="Arial"/>
          <w:sz w:val="16"/>
          <w:szCs w:val="16"/>
          <w:color w:val="auto"/>
        </w:rPr>
        <w:t>On February 24, 2022, one complaint was filed in the United States District Court for the Southern District of New York and one complaint was filed in the United States District Court for the Central District of California, each against the Company and its directors: Stein v. Activision Blizzard, Inc. et al., No. 1:22-cv-01560 (S.D.N.Y.); and Watson v. Activision Blizzard, Inc. et al., No. 2:22-cv-01268 (C.D. Cal.). The complaints each assert violations of Section 14(a) and Section 20(a) of the Exchange Act and allege that the preliminary proxy statement filed in connection with the proposed transaction between the Company and Microsoft omitted certain purportedly material information which rendered the preliminary proxy statement incomplete and misleading. Specifically, the complaints allege that the preliminary proxy statement failed to disclose material information regarding the sales process, the Company’s projections and the financial analyses of the Company’s financial advisor. Each complaint seeks, among other things, an order to enjoin the transaction unless and until additional disclosures are issued; and, if the transaction closes, damages. It is possible additional lawsuits against the Company, our Board of Directors or the Company’s officers may be filed prior to the consummation of the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250" w:lineRule="exact"/>
        <w:rPr>
          <w:sz w:val="20"/>
          <w:szCs w:val="20"/>
          <w:color w:val="auto"/>
        </w:rPr>
      </w:pPr>
    </w:p>
    <w:p>
      <w:pPr>
        <w:ind w:right="60" w:firstLine="393"/>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As described in </w:t>
      </w:r>
      <w:hyperlink w:anchor="page94">
        <w:r>
          <w:rPr>
            <w:rFonts w:ascii="Arial" w:cs="Arial" w:eastAsia="Arial" w:hAnsi="Arial"/>
            <w:sz w:val="17"/>
            <w:szCs w:val="17"/>
            <w:u w:val="single" w:color="auto"/>
            <w:color w:val="0000FF"/>
          </w:rPr>
          <w:t>Note 13</w:t>
        </w:r>
      </w:hyperlink>
      <w:r>
        <w:rPr>
          <w:rFonts w:ascii="Arial" w:cs="Arial" w:eastAsia="Arial" w:hAnsi="Arial"/>
          <w:sz w:val="17"/>
          <w:szCs w:val="17"/>
          <w:color w:val="auto"/>
        </w:rPr>
        <w:t>, a portion of our Revolver can be used to issue letters of credit of up to $50 million, subject to the availability of the Revolver. At December 31, 2021, we did not have any letters of credit issued or outstanding under the Revolver.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On January 18, 2022, we entered into an Agreement and Plan of Merger (the “Merger Agreement”) with Microsoft and Anchorage Merger Sub Inc. (“Merger Sub”), a wholly owned subsidiary of Microsoft, in which we agreed to be acquired for $95.00 in cash per issued and outstanding share of our common stock, par value $0.000001 per share (the “Shares”) in an all-cash transaction. Pursuant to the terms of the Merger Agreement, our acquisition will be accomplished through the merger of Merger Sub with and into the Company (the “Merger”), with the Company surviving the Merger as a wholly owned subsidiary of Microsoft.</w:t>
      </w:r>
    </w:p>
    <w:p>
      <w:pPr>
        <w:spacing w:after="0" w:line="206"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Pursuant to the terms of the Merger Agreement, and subject to the terms and conditions set forth therein, at the effective time of the Merger (the “Effective Time”), each Share (other than Shares (1) held by the Company as treasury stock (excluding certain Shares held by a wholly owned subsidiary of the Company, which shares will remain outstanding and unaffected by the Merger), (2) owned by Microsoft or Merger Sub, (3) owned by any direct or indirect wholly owned subsidiary of Microsoft or Merger Sub or (4) held by stockholders who have neither voted in favor of adoption of the Merger Agreement nor consented thereto in writing and who have properly and validly exercised their statutory rights of appraisal in respect of such Shares in accordance with Section 262 of the Delaware General Corporation Law, in each case immediately prior to the Effective Time) issued and outstanding immediately prior to the Effective Time will be cancelled and automatically converted into the right to receive $95.00 in cash, without interest. We have agreed to various customary covenants and agreements, including, among others, agreements to conduct our business in the ordinary course during the period between the execution of the Merger Agreement and the Effective Time. We do not believe these restrictions will prevent us from meeting our debt service obligations, ongoing costs of operations, working capital needs or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7" w:name="page118"/>
    <w:bookmarkEnd w:id="1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If the Merger Agreement is terminated under certain specified circumstances, we or Microsoft will be required to pay a termination. We will be required to pay Microsoft a termination fee of approximately $2.27 billion under specified circumstances, including termination of the Merger Agreement in connection with our entry into an agreement with respect to a Superior Proposal (as defined in the Merger Agreement) prior to us receiving stockholder approval of the Merger, or termination by Microsoft upon a Company Board Recommendation Change (as defined in the Merger Agreement), in each case, if certain other conditions are met.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(1) $2.0 billion if the termination notice is provided prior to January 18, 2023, (2) $2.5 billion if the termination notice is provided after January 18, 2023, and prior to April 18, 2023, or (3) $3.0 billion if the termination notice is provided at any time after April 18, 2023.</w:t>
      </w:r>
    </w:p>
    <w:p>
      <w:pPr>
        <w:spacing w:after="0" w:line="211"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The consummation of the Merger is subject to customary closing conditions, including, among others, (1) the approval and adoption of the Merger Agreement by our stockholders, (2) the absence of any court order or law prohibiting (or seeking to prohibit) the consummation of the Merger, (3) the termination or expiration of any applicable waiting period or periods under the Hart-Scott-Rodino Antitrust Improvements Act of 1976 (as amended) and specified approvals under certain other antitrust and foreign investment laws, subject to certain limitations, (4) compliance by us and Microsoft in all material respects with our respective obligations under the Merger Agreement, and (5) subject to specified exceptions and qualifications for materiality, the accuracy of representations and warranties made by us and Microsoft, respectively, as of the signing date and the closing date.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SCHEDULE II</w:t>
            </w:r>
          </w:p>
        </w:tc>
        <w:tc>
          <w:tcPr>
            <w:tcW w:w="0" w:type="dxa"/>
            <w:vAlign w:val="bottom"/>
          </w:tcPr>
          <w:p>
            <w:pPr>
              <w:spacing w:after="0"/>
              <w:rPr>
                <w:sz w:val="1"/>
                <w:szCs w:val="1"/>
                <w:color w:val="auto"/>
              </w:rPr>
            </w:pPr>
          </w:p>
        </w:tc>
      </w:tr>
      <w:tr>
        <w:trPr>
          <w:trHeight w:val="446"/>
        </w:trPr>
        <w:tc>
          <w:tcPr>
            <w:tcW w:w="8280" w:type="dxa"/>
            <w:vAlign w:val="bottom"/>
            <w:gridSpan w:val="8"/>
          </w:tcPr>
          <w:p>
            <w:pPr>
              <w:jc w:val="center"/>
              <w:ind w:left="2874"/>
              <w:spacing w:after="0"/>
              <w:rPr>
                <w:sz w:val="20"/>
                <w:szCs w:val="20"/>
                <w:color w:val="auto"/>
              </w:rPr>
            </w:pPr>
            <w:r>
              <w:rPr>
                <w:rFonts w:ascii="Arial" w:cs="Arial" w:eastAsia="Arial" w:hAnsi="Arial"/>
                <w:sz w:val="17"/>
                <w:szCs w:val="17"/>
                <w:b w:val="1"/>
                <w:bCs w:val="1"/>
                <w:color w:val="auto"/>
              </w:rPr>
              <w:t>ACTIVISION BLIZZARD, INC. AND SUBSIDIARIES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80" w:type="dxa"/>
            <w:vAlign w:val="bottom"/>
            <w:gridSpan w:val="8"/>
          </w:tcPr>
          <w:p>
            <w:pPr>
              <w:jc w:val="center"/>
              <w:ind w:left="2894"/>
              <w:spacing w:after="0"/>
              <w:rPr>
                <w:sz w:val="20"/>
                <w:szCs w:val="20"/>
                <w:color w:val="auto"/>
              </w:rPr>
            </w:pPr>
            <w:r>
              <w:rPr>
                <w:rFonts w:ascii="Arial" w:cs="Arial" w:eastAsia="Arial" w:hAnsi="Arial"/>
                <w:sz w:val="17"/>
                <w:szCs w:val="17"/>
                <w:b w:val="1"/>
                <w:bCs w:val="1"/>
                <w:color w:val="auto"/>
              </w:rPr>
              <w:t>VALUATION AND QUALIFYING ACCOUNTS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40" w:type="dxa"/>
            <w:vAlign w:val="bottom"/>
            <w:gridSpan w:val="5"/>
          </w:tcPr>
          <w:p>
            <w:pPr>
              <w:jc w:val="center"/>
              <w:ind w:left="4434"/>
              <w:spacing w:after="0"/>
              <w:rPr>
                <w:sz w:val="20"/>
                <w:szCs w:val="20"/>
                <w:color w:val="auto"/>
              </w:rPr>
            </w:pPr>
            <w:r>
              <w:rPr>
                <w:rFonts w:ascii="Arial" w:cs="Arial" w:eastAsia="Arial" w:hAnsi="Arial"/>
                <w:sz w:val="17"/>
                <w:szCs w:val="17"/>
                <w:b w:val="1"/>
                <w:bCs w:val="1"/>
                <w:color w:val="auto"/>
                <w:w w:val="93"/>
              </w:rPr>
              <w:t>(Amounts in millions)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 B</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5"/>
              </w:rPr>
              <w:t>Col. E</w:t>
            </w: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88"/>
              </w:rPr>
              <w:t>Balance at</w:t>
            </w:r>
          </w:p>
        </w:tc>
        <w:tc>
          <w:tcPr>
            <w:tcW w:w="220" w:type="dxa"/>
            <w:vAlign w:val="bottom"/>
          </w:tcPr>
          <w:p>
            <w:pPr>
              <w:spacing w:after="0"/>
              <w:rPr>
                <w:sz w:val="11"/>
                <w:szCs w:val="11"/>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Col. C</w:t>
            </w:r>
          </w:p>
        </w:tc>
        <w:tc>
          <w:tcPr>
            <w:tcW w:w="200" w:type="dxa"/>
            <w:vAlign w:val="bottom"/>
          </w:tcPr>
          <w:p>
            <w:pPr>
              <w:spacing w:after="0"/>
              <w:rPr>
                <w:sz w:val="11"/>
                <w:szCs w:val="11"/>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Col. D</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Col. A Description</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8"/>
              </w:rPr>
              <w:t>Beginning of</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8"/>
              <w:spacing w:after="0" w:line="131" w:lineRule="exact"/>
              <w:rPr>
                <w:sz w:val="20"/>
                <w:szCs w:val="20"/>
                <w:color w:val="auto"/>
              </w:rPr>
            </w:pPr>
            <w:r>
              <w:rPr>
                <w:rFonts w:ascii="Arial" w:cs="Arial" w:eastAsia="Arial" w:hAnsi="Arial"/>
                <w:sz w:val="14"/>
                <w:szCs w:val="14"/>
                <w:b w:val="1"/>
                <w:bCs w:val="1"/>
                <w:color w:val="auto"/>
                <w:w w:val="89"/>
              </w:rPr>
              <w:t>Balance at End</w:t>
            </w: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Additions(A)</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Deductions(B)</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8"/>
              </w:rPr>
              <w:t>of Period</w:t>
            </w:r>
          </w:p>
        </w:tc>
        <w:tc>
          <w:tcPr>
            <w:tcW w:w="0" w:type="dxa"/>
            <w:vAlign w:val="bottom"/>
          </w:tcPr>
          <w:p>
            <w:pPr>
              <w:spacing w:after="0"/>
              <w:rPr>
                <w:sz w:val="1"/>
                <w:szCs w:val="1"/>
                <w:color w:val="auto"/>
              </w:rPr>
            </w:pPr>
          </w:p>
        </w:tc>
      </w:tr>
      <w:tr>
        <w:trPr>
          <w:trHeight w:val="217"/>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 December 31, 2021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7"/>
                <w:szCs w:val="17"/>
                <w:color w:val="auto"/>
                <w:w w:val="95"/>
              </w:rPr>
              <w:t>Allowances for sales returns and price protection and other allowances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At December 31, 2020</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Allowances for sales returns and price protection and other allowances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 December 31, 2019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7"/>
                <w:szCs w:val="17"/>
                <w:color w:val="auto"/>
                <w:w w:val="95"/>
              </w:rPr>
              <w:t>Allowances for sales returns and price protection and other allowances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right="260" w:hanging="315"/>
        <w:spacing w:after="0" w:line="289" w:lineRule="auto"/>
        <w:tabs>
          <w:tab w:leader="none" w:pos="313"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increases and reversals of allowances for sales returns, price protection, and valuation allowance for deferred tax assets due to normal reserving terms.</w:t>
      </w:r>
    </w:p>
    <w:p>
      <w:pPr>
        <w:spacing w:after="0" w:line="184" w:lineRule="exact"/>
        <w:rPr>
          <w:rFonts w:ascii="Arial" w:cs="Arial" w:eastAsia="Arial" w:hAnsi="Arial"/>
          <w:sz w:val="17"/>
          <w:szCs w:val="17"/>
          <w:color w:val="auto"/>
        </w:rPr>
      </w:pPr>
    </w:p>
    <w:p>
      <w:pPr>
        <w:ind w:left="320" w:right="440" w:hanging="315"/>
        <w:spacing w:after="0" w:line="289" w:lineRule="auto"/>
        <w:tabs>
          <w:tab w:leader="none" w:pos="317"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actual write-offs and utilization of allowances for sales returns, price protection, and releases of income tax valuation allowances and foreign currency translation and other adjustments.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INDEX</w:t>
      </w:r>
    </w:p>
    <w:p>
      <w:pPr>
        <w:spacing w:after="0" w:line="23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(1) may have been qualified by disclosures made to such other party or parties, (2) were made only as of the date of such agreements or such other date(s) as may be specified in such agreements and are subject to more recent developments, which may not be fully reflected in the Company’s public disclosure, (3) may reflect the allocation of risk among the parties to such agreements, and (4)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240" w:lineRule="exact"/>
        <w:rPr>
          <w:sz w:val="20"/>
          <w:szCs w:val="20"/>
          <w:color w:val="auto"/>
        </w:rPr>
      </w:pPr>
    </w:p>
    <w:p>
      <w:pPr>
        <w:ind w:left="280"/>
        <w:spacing w:after="0"/>
        <w:tabs>
          <w:tab w:leader="none" w:pos="62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20320</wp:posOffset>
            </wp:positionV>
            <wp:extent cx="6036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036945" cy="8255"/>
                    </a:xfrm>
                    <a:prstGeom prst="rect">
                      <a:avLst/>
                    </a:prstGeom>
                    <a:noFill/>
                  </pic:spPr>
                </pic:pic>
              </a:graphicData>
            </a:graphic>
          </wp:anchor>
        </w:drawing>
      </w:r>
    </w:p>
    <w:p>
      <w:pPr>
        <w:spacing w:after="0" w:line="13" w:lineRule="exact"/>
        <w:rPr>
          <w:sz w:val="20"/>
          <w:szCs w:val="20"/>
          <w:color w:val="auto"/>
        </w:rPr>
      </w:pPr>
    </w:p>
    <w:p>
      <w:pPr>
        <w:ind w:left="1760" w:right="200" w:hanging="462"/>
        <w:spacing w:after="0" w:line="265" w:lineRule="auto"/>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2.1</w:t>
      </w:r>
      <w:r>
        <w:rPr>
          <w:sz w:val="20"/>
          <w:szCs w:val="20"/>
          <w:color w:val="auto"/>
        </w:rPr>
        <w:tab/>
      </w:r>
      <w:hyperlink r:id="rId149">
        <w:r>
          <w:rPr>
            <w:rFonts w:ascii="Arial" w:cs="Arial" w:eastAsia="Arial" w:hAnsi="Arial"/>
            <w:sz w:val="16"/>
            <w:szCs w:val="16"/>
            <w:u w:val="single" w:color="auto"/>
            <w:color w:val="0000FF"/>
          </w:rPr>
          <w:t>Agreement and Plan of Merger, dated as of January 18, 2022, by and among Microsoft Corporation, Anchorage Merger Sub Inc. and</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Activision Blizzard, Inc. (incorporated by reference to Exhibit 2.1 of the Company’s Form 8-K, filed January 19, 2022).</w:t>
        </w:r>
      </w:hyperlink>
    </w:p>
    <w:p>
      <w:pPr>
        <w:ind w:left="1760" w:right="4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3.1</w:t>
      </w:r>
      <w:r>
        <w:rPr>
          <w:sz w:val="20"/>
          <w:szCs w:val="20"/>
          <w:color w:val="auto"/>
        </w:rPr>
        <w:tab/>
      </w:r>
      <w:hyperlink r:id="rId150">
        <w:r>
          <w:rPr>
            <w:rFonts w:ascii="Arial" w:cs="Arial" w:eastAsia="Arial" w:hAnsi="Arial"/>
            <w:sz w:val="17"/>
            <w:szCs w:val="17"/>
            <w:u w:val="single" w:color="auto"/>
            <w:color w:val="0000FF"/>
          </w:rPr>
          <w:t>Third Amended and Restated Certificate of Incorporation of Activision Blizzard, Inc., dated June 5, 2014 (incorporated by reference to</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Exhibit 3.1 of the Company’s Form 8-K, filed June 6, 2014).</w:t>
        </w:r>
      </w:hyperlink>
    </w:p>
    <w:p>
      <w:pPr>
        <w:ind w:left="130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3.2</w:t>
      </w:r>
      <w:r>
        <w:rPr>
          <w:sz w:val="20"/>
          <w:szCs w:val="20"/>
          <w:color w:val="auto"/>
        </w:rPr>
        <w:tab/>
      </w:r>
      <w:hyperlink r:id="rId151">
        <w:r>
          <w:rPr>
            <w:rFonts w:ascii="Arial" w:cs="Arial" w:eastAsia="Arial" w:hAnsi="Arial"/>
            <w:sz w:val="16"/>
            <w:szCs w:val="16"/>
            <w:u w:val="single" w:color="auto"/>
            <w:color w:val="0000FF"/>
          </w:rPr>
          <w:t>Fifth Amended and Restated Bylaws of Activision Blizzard, Inc., adopted as of January 17, 2022 (incorporated by reference to Exhibit</w:t>
        </w:r>
      </w:hyperlink>
    </w:p>
    <w:p>
      <w:pPr>
        <w:ind w:left="1760"/>
        <w:spacing w:after="0"/>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3.1 of the Company’s Form 8-K, filed January 19, 2022).</w:t>
        </w:r>
      </w:hyperlink>
    </w:p>
    <w:p>
      <w:pPr>
        <w:spacing w:after="0" w:line="13" w:lineRule="exact"/>
        <w:rPr>
          <w:sz w:val="20"/>
          <w:szCs w:val="20"/>
          <w:color w:val="auto"/>
        </w:rPr>
      </w:pPr>
    </w:p>
    <w:p>
      <w:pPr>
        <w:ind w:left="1760" w:right="60" w:hanging="462"/>
        <w:spacing w:after="0" w:line="326" w:lineRule="auto"/>
        <w:tabs>
          <w:tab w:leader="none" w:pos="1740" w:val="left"/>
        </w:tabs>
        <w:rPr>
          <w:rFonts w:ascii="Arial" w:cs="Arial" w:eastAsia="Arial" w:hAnsi="Arial"/>
          <w:sz w:val="15"/>
          <w:szCs w:val="15"/>
          <w:u w:val="single" w:color="auto"/>
          <w:color w:val="0000FF"/>
        </w:rPr>
      </w:pPr>
      <w:r>
        <w:rPr>
          <w:rFonts w:ascii="Arial" w:cs="Arial" w:eastAsia="Arial" w:hAnsi="Arial"/>
          <w:sz w:val="17"/>
          <w:szCs w:val="17"/>
          <w:color w:val="auto"/>
        </w:rPr>
        <w:t>4.1</w:t>
      </w:r>
      <w:r>
        <w:rPr>
          <w:sz w:val="20"/>
          <w:szCs w:val="20"/>
          <w:color w:val="auto"/>
        </w:rPr>
        <w:tab/>
      </w:r>
      <w:hyperlink r:id="rId152">
        <w:r>
          <w:rPr>
            <w:rFonts w:ascii="Arial" w:cs="Arial" w:eastAsia="Arial" w:hAnsi="Arial"/>
            <w:sz w:val="15"/>
            <w:szCs w:val="15"/>
            <w:u w:val="single" w:color="auto"/>
            <w:color w:val="0000FF"/>
          </w:rPr>
          <w:t>Indenture, dated as of September 19, 2016, among Activision Blizzard, Inc., the guarantors named therein and Wells Fargo Bank,</w:t>
        </w:r>
      </w:hyperlink>
      <w:r>
        <w:rPr>
          <w:rFonts w:ascii="Arial" w:cs="Arial" w:eastAsia="Arial" w:hAnsi="Arial"/>
          <w:sz w:val="15"/>
          <w:szCs w:val="15"/>
          <w:u w:val="single" w:color="auto"/>
          <w:color w:val="0000FF"/>
        </w:rPr>
        <w:t xml:space="preserve"> </w:t>
      </w:r>
      <w:hyperlink r:id="rId152">
        <w:r>
          <w:rPr>
            <w:rFonts w:ascii="Arial" w:cs="Arial" w:eastAsia="Arial" w:hAnsi="Arial"/>
            <w:sz w:val="15"/>
            <w:szCs w:val="15"/>
            <w:u w:val="single" w:color="auto"/>
            <w:color w:val="0000FF"/>
          </w:rPr>
          <w:t>National Association, as trustee, with respect to the Company’s 2.300% Unsecured Senior Notes due 2021 and the Company’s 3.400%</w:t>
        </w:r>
      </w:hyperlink>
      <w:r>
        <w:rPr>
          <w:rFonts w:ascii="Arial" w:cs="Arial" w:eastAsia="Arial" w:hAnsi="Arial"/>
          <w:sz w:val="15"/>
          <w:szCs w:val="15"/>
          <w:u w:val="single" w:color="auto"/>
          <w:color w:val="0000FF"/>
        </w:rPr>
        <w:t xml:space="preserve"> </w:t>
      </w:r>
      <w:hyperlink r:id="rId152">
        <w:r>
          <w:rPr>
            <w:rFonts w:ascii="Arial" w:cs="Arial" w:eastAsia="Arial" w:hAnsi="Arial"/>
            <w:sz w:val="15"/>
            <w:szCs w:val="15"/>
            <w:u w:val="single" w:color="auto"/>
            <w:color w:val="0000FF"/>
          </w:rPr>
          <w:t>Unsecured Senior Notes due 2026 (incorporated by reference to Exhibit 4.1 of the Company’s Form 8-K, filed September 19, 2016).</w:t>
        </w:r>
      </w:hyperlink>
    </w:p>
    <w:p>
      <w:pPr>
        <w:spacing w:after="0" w:line="150" w:lineRule="exact"/>
        <w:rPr>
          <w:rFonts w:ascii="Arial" w:cs="Arial" w:eastAsia="Arial" w:hAnsi="Arial"/>
          <w:sz w:val="15"/>
          <w:szCs w:val="15"/>
          <w:u w:val="single" w:color="auto"/>
          <w:color w:val="0000FF"/>
        </w:rPr>
      </w:pPr>
    </w:p>
    <w:p>
      <w:pPr>
        <w:ind w:left="1760" w:right="24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4.2</w:t>
      </w:r>
      <w:r>
        <w:rPr>
          <w:sz w:val="20"/>
          <w:szCs w:val="20"/>
          <w:color w:val="auto"/>
        </w:rPr>
        <w:tab/>
      </w:r>
      <w:hyperlink r:id="rId153">
        <w:r>
          <w:rPr>
            <w:rFonts w:ascii="Arial" w:cs="Arial" w:eastAsia="Arial" w:hAnsi="Arial"/>
            <w:sz w:val="17"/>
            <w:szCs w:val="17"/>
            <w:u w:val="single" w:color="auto"/>
            <w:color w:val="0000FF"/>
          </w:rPr>
          <w:t>Base Indenture, dated as of May 26, 2017, between Activision Blizzard, Inc. and Wells Fargo Bank, National Association, as trustee</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(incorporated by reference to Exhibit 4.1 of the Company’s Form 8-K, filed May 26, 2017).</w:t>
        </w:r>
      </w:hyperlink>
    </w:p>
    <w:p>
      <w:pPr>
        <w:spacing w:after="0" w:line="1" w:lineRule="exact"/>
        <w:rPr>
          <w:sz w:val="20"/>
          <w:szCs w:val="20"/>
          <w:color w:val="auto"/>
        </w:rPr>
      </w:pPr>
    </w:p>
    <w:p>
      <w:pPr>
        <w:ind w:left="1760" w:right="60" w:hanging="462"/>
        <w:spacing w:after="0" w:line="225"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4.3</w:t>
      </w:r>
      <w:r>
        <w:rPr>
          <w:sz w:val="20"/>
          <w:szCs w:val="20"/>
          <w:color w:val="auto"/>
        </w:rPr>
        <w:tab/>
      </w:r>
      <w:hyperlink r:id="rId154">
        <w:r>
          <w:rPr>
            <w:rFonts w:ascii="Arial" w:cs="Arial" w:eastAsia="Arial" w:hAnsi="Arial"/>
            <w:sz w:val="17"/>
            <w:szCs w:val="17"/>
            <w:u w:val="single" w:color="auto"/>
            <w:color w:val="0000FF"/>
          </w:rPr>
          <w:t>First Supplemental Indenture, dated as of May 26, 2017, between Activision Blizzard, Inc. and Wells Fargo Bank, National</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Association, as trustee, with respect to the Company’s 2.600% Unsecured Senior Notes due 2022, the Company’s 3.400% Unsecured</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Senior Notes due September 2027 and the Company’s 4.500% Unsecured Senior Notes due 2047 (incorporated by reference to Exhibit</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4.2 of the Company’s Form 8-K, filed May 26, 2017).</w:t>
        </w:r>
      </w:hyperlink>
    </w:p>
    <w:p>
      <w:pPr>
        <w:spacing w:after="0" w:line="1" w:lineRule="exact"/>
        <w:rPr>
          <w:rFonts w:ascii="Arial" w:cs="Arial" w:eastAsia="Arial" w:hAnsi="Arial"/>
          <w:sz w:val="17"/>
          <w:szCs w:val="17"/>
          <w:u w:val="single" w:color="auto"/>
          <w:color w:val="0000FF"/>
        </w:rPr>
      </w:pPr>
    </w:p>
    <w:p>
      <w:pPr>
        <w:ind w:left="1760" w:right="420" w:hanging="462"/>
        <w:spacing w:after="0" w:line="261" w:lineRule="auto"/>
        <w:tabs>
          <w:tab w:leader="none" w:pos="1740" w:val="left"/>
        </w:tabs>
        <w:rPr>
          <w:rFonts w:ascii="Arial" w:cs="Arial" w:eastAsia="Arial" w:hAnsi="Arial"/>
          <w:sz w:val="15"/>
          <w:szCs w:val="15"/>
          <w:u w:val="single" w:color="auto"/>
          <w:color w:val="0000FF"/>
        </w:rPr>
      </w:pPr>
      <w:r>
        <w:rPr>
          <w:rFonts w:ascii="Arial" w:cs="Arial" w:eastAsia="Arial" w:hAnsi="Arial"/>
          <w:sz w:val="17"/>
          <w:szCs w:val="17"/>
          <w:color w:val="auto"/>
        </w:rPr>
        <w:t>4.4</w:t>
      </w:r>
      <w:r>
        <w:rPr>
          <w:sz w:val="20"/>
          <w:szCs w:val="20"/>
          <w:color w:val="auto"/>
        </w:rPr>
        <w:tab/>
      </w:r>
      <w:hyperlink r:id="rId155">
        <w:r>
          <w:rPr>
            <w:rFonts w:ascii="Arial" w:cs="Arial" w:eastAsia="Arial" w:hAnsi="Arial"/>
            <w:sz w:val="15"/>
            <w:szCs w:val="15"/>
            <w:u w:val="single" w:color="auto"/>
            <w:color w:val="0000FF"/>
          </w:rPr>
          <w:t>Second Supplemental Indenture, dated August 10, 2020, between Activision Blizzard, Inc. and Wells Fargo Bank, National</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Association, as trustee, with respect to the Company’s 1.350% Unsecured Senior Notes due 2030, and the Company’s 2.500%</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Unsecured Senior Notes Due 2050 (incorporated by reference to Exhibit 4.2 of the Company’s Form 8-K, filed August 10, 2020).</w:t>
        </w:r>
      </w:hyperlink>
    </w:p>
    <w:p>
      <w:pPr>
        <w:spacing w:after="0" w:line="1" w:lineRule="exact"/>
        <w:rPr>
          <w:rFonts w:ascii="Arial" w:cs="Arial" w:eastAsia="Arial" w:hAnsi="Arial"/>
          <w:sz w:val="15"/>
          <w:szCs w:val="15"/>
          <w:u w:val="single" w:color="auto"/>
          <w:color w:val="0000FF"/>
        </w:rPr>
      </w:pPr>
    </w:p>
    <w:p>
      <w:pPr>
        <w:ind w:left="1760" w:right="48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4.5</w:t>
      </w:r>
      <w:r>
        <w:rPr>
          <w:sz w:val="20"/>
          <w:szCs w:val="20"/>
          <w:color w:val="auto"/>
        </w:rPr>
        <w:tab/>
      </w:r>
      <w:hyperlink r:id="rId152">
        <w:r>
          <w:rPr>
            <w:rFonts w:ascii="Arial" w:cs="Arial" w:eastAsia="Arial" w:hAnsi="Arial"/>
            <w:sz w:val="17"/>
            <w:szCs w:val="17"/>
            <w:u w:val="single" w:color="auto"/>
            <w:color w:val="0000FF"/>
          </w:rPr>
          <w:t>Form of certificate for the Company’s 3.400% Unsecured Senior Notes due 2026 (incorporated by reference to Exhibit 4.1 of the</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Company’s Form 8-K, filed September 19, 2016).</w:t>
        </w:r>
      </w:hyperlink>
    </w:p>
    <w:p>
      <w:pPr>
        <w:spacing w:after="0" w:line="1" w:lineRule="exact"/>
        <w:rPr>
          <w:sz w:val="20"/>
          <w:szCs w:val="20"/>
          <w:color w:val="auto"/>
        </w:rPr>
      </w:pPr>
    </w:p>
    <w:p>
      <w:pPr>
        <w:ind w:left="1760" w:right="48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4.6</w:t>
      </w:r>
      <w:r>
        <w:rPr>
          <w:sz w:val="20"/>
          <w:szCs w:val="20"/>
          <w:color w:val="auto"/>
        </w:rPr>
        <w:tab/>
      </w:r>
      <w:hyperlink r:id="rId154">
        <w:r>
          <w:rPr>
            <w:rFonts w:ascii="Arial" w:cs="Arial" w:eastAsia="Arial" w:hAnsi="Arial"/>
            <w:sz w:val="17"/>
            <w:szCs w:val="17"/>
            <w:u w:val="single" w:color="auto"/>
            <w:color w:val="0000FF"/>
          </w:rPr>
          <w:t>Form of certificate for the Company’s 3.400% Unsecured Senior Notes due 2027 (incorporated by reference to Exhibit 4.2 of the</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Company’s Form 8-K, filed May 26, 2017).</w:t>
        </w:r>
      </w:hyperlink>
    </w:p>
    <w:p>
      <w:pPr>
        <w:spacing w:after="0" w:line="1" w:lineRule="exact"/>
        <w:rPr>
          <w:sz w:val="20"/>
          <w:szCs w:val="20"/>
          <w:color w:val="auto"/>
        </w:rPr>
      </w:pPr>
    </w:p>
    <w:p>
      <w:pPr>
        <w:ind w:left="1760" w:right="48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4.7</w:t>
      </w:r>
      <w:r>
        <w:rPr>
          <w:sz w:val="20"/>
          <w:szCs w:val="20"/>
          <w:color w:val="auto"/>
        </w:rPr>
        <w:tab/>
      </w:r>
      <w:hyperlink r:id="rId155">
        <w:r>
          <w:rPr>
            <w:rFonts w:ascii="Arial" w:cs="Arial" w:eastAsia="Arial" w:hAnsi="Arial"/>
            <w:sz w:val="17"/>
            <w:szCs w:val="17"/>
            <w:u w:val="single" w:color="auto"/>
            <w:color w:val="0000FF"/>
          </w:rPr>
          <w:t>Form of certificate for the Company’s 1.350% Unsecured Senior Notes due 2030 (incorporated by reference to Exhibit 4.2 of the</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Company’s Form 8-K, filed August 10, 2020).</w:t>
        </w:r>
      </w:hyperlink>
    </w:p>
    <w:p>
      <w:pPr>
        <w:spacing w:after="0" w:line="1" w:lineRule="exact"/>
        <w:rPr>
          <w:sz w:val="20"/>
          <w:szCs w:val="20"/>
          <w:color w:val="auto"/>
        </w:rPr>
      </w:pPr>
    </w:p>
    <w:p>
      <w:pPr>
        <w:ind w:left="1760" w:right="48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4.8</w:t>
      </w:r>
      <w:r>
        <w:rPr>
          <w:sz w:val="20"/>
          <w:szCs w:val="20"/>
          <w:color w:val="auto"/>
        </w:rPr>
        <w:tab/>
      </w:r>
      <w:hyperlink r:id="rId154">
        <w:r>
          <w:rPr>
            <w:rFonts w:ascii="Arial" w:cs="Arial" w:eastAsia="Arial" w:hAnsi="Arial"/>
            <w:sz w:val="17"/>
            <w:szCs w:val="17"/>
            <w:u w:val="single" w:color="auto"/>
            <w:color w:val="0000FF"/>
          </w:rPr>
          <w:t>Form of certificate for the Company’s 4.500% Unsecured Senior Notes due 2047 (incorporated by reference to Exhibit 4.2 of the</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Company’s Form 8-K, filed May 26, 2017).</w:t>
        </w:r>
      </w:hyperlink>
    </w:p>
    <w:p>
      <w:pPr>
        <w:spacing w:after="0" w:line="1" w:lineRule="exact"/>
        <w:rPr>
          <w:sz w:val="20"/>
          <w:szCs w:val="20"/>
          <w:color w:val="auto"/>
        </w:rPr>
      </w:pPr>
    </w:p>
    <w:p>
      <w:pPr>
        <w:ind w:left="1760" w:right="440" w:hanging="462"/>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4.9</w:t>
      </w:r>
      <w:r>
        <w:rPr>
          <w:sz w:val="20"/>
          <w:szCs w:val="20"/>
          <w:color w:val="auto"/>
        </w:rPr>
        <w:tab/>
      </w:r>
      <w:hyperlink r:id="rId155">
        <w:r>
          <w:rPr>
            <w:rFonts w:ascii="Arial" w:cs="Arial" w:eastAsia="Arial" w:hAnsi="Arial"/>
            <w:sz w:val="17"/>
            <w:szCs w:val="17"/>
            <w:u w:val="single" w:color="auto"/>
            <w:color w:val="0000FF"/>
          </w:rPr>
          <w:t>Form of certificate for the Company’s 2.500% Unsecured Senior Notes Due 2050 (incorporated by reference to Exhibit 4.2 of the</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Company’s Form 8-K, filed August 10, 2020).</w:t>
        </w:r>
      </w:hyperlink>
    </w:p>
    <w:p>
      <w:pPr>
        <w:spacing w:after="0" w:line="1" w:lineRule="exact"/>
        <w:rPr>
          <w:sz w:val="20"/>
          <w:szCs w:val="20"/>
          <w:color w:val="auto"/>
        </w:rPr>
      </w:pPr>
    </w:p>
    <w:p>
      <w:pPr>
        <w:ind w:left="120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4.10</w:t>
      </w:r>
      <w:r>
        <w:rPr>
          <w:sz w:val="20"/>
          <w:szCs w:val="20"/>
          <w:color w:val="auto"/>
        </w:rPr>
        <w:tab/>
      </w:r>
      <w:hyperlink w:anchor="page125">
        <w:r>
          <w:rPr>
            <w:rFonts w:ascii="Arial" w:cs="Arial" w:eastAsia="Arial" w:hAnsi="Arial"/>
            <w:sz w:val="16"/>
            <w:szCs w:val="16"/>
            <w:u w:val="single" w:color="auto"/>
            <w:color w:val="0000FF"/>
          </w:rPr>
          <w:t>Description of Securities.</w:t>
        </w:r>
      </w:hyperlink>
    </w:p>
    <w:p>
      <w:pPr>
        <w:spacing w:after="0" w:line="27" w:lineRule="exact"/>
        <w:rPr>
          <w:sz w:val="20"/>
          <w:szCs w:val="20"/>
          <w:color w:val="auto"/>
        </w:rPr>
      </w:pPr>
    </w:p>
    <w:p>
      <w:pPr>
        <w:ind w:left="1760" w:right="520" w:hanging="637"/>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156">
        <w:r>
          <w:rPr>
            <w:rFonts w:ascii="Arial" w:cs="Arial" w:eastAsia="Arial" w:hAnsi="Arial"/>
            <w:sz w:val="17"/>
            <w:szCs w:val="17"/>
            <w:u w:val="single" w:color="auto"/>
            <w:color w:val="0000FF"/>
          </w:rPr>
          <w:t>Activision Blizzard, Inc. Amended and Restated 2008 Incentive Plan, as amended and restated on June 7, 2012 (incorporated by</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reference to Exhibit 10.1 of the Company’s Form 8-K filed June 12, 2012).</w:t>
        </w:r>
      </w:hyperlink>
    </w:p>
    <w:p>
      <w:pPr>
        <w:spacing w:after="0" w:line="1" w:lineRule="exact"/>
        <w:rPr>
          <w:sz w:val="20"/>
          <w:szCs w:val="20"/>
          <w:color w:val="auto"/>
        </w:rPr>
      </w:pPr>
    </w:p>
    <w:p>
      <w:pPr>
        <w:ind w:left="1760" w:right="400" w:hanging="637"/>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10.2*</w:t>
      </w:r>
      <w:r>
        <w:rPr>
          <w:sz w:val="20"/>
          <w:szCs w:val="20"/>
          <w:color w:val="auto"/>
        </w:rPr>
        <w:tab/>
      </w:r>
      <w:hyperlink r:id="rId157">
        <w:r>
          <w:rPr>
            <w:rFonts w:ascii="Arial" w:cs="Arial" w:eastAsia="Arial" w:hAnsi="Arial"/>
            <w:sz w:val="17"/>
            <w:szCs w:val="17"/>
            <w:u w:val="single" w:color="auto"/>
            <w:color w:val="0000FF"/>
          </w:rPr>
          <w:t>Amended and Restated Activision Blizzard, Inc. 2014 Incentive Plan (incorporated by reference to Exhibit 10.1 of the Company's</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Form 10-Q filed May 4, 2017).</w:t>
        </w:r>
      </w:hyperlink>
    </w:p>
    <w:p>
      <w:pPr>
        <w:spacing w:after="0" w:line="1" w:lineRule="exact"/>
        <w:rPr>
          <w:sz w:val="20"/>
          <w:szCs w:val="20"/>
          <w:color w:val="auto"/>
        </w:rPr>
      </w:pPr>
    </w:p>
    <w:p>
      <w:pPr>
        <w:ind w:left="1760" w:right="100" w:hanging="637"/>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10.3*</w:t>
      </w:r>
      <w:r>
        <w:rPr>
          <w:sz w:val="20"/>
          <w:szCs w:val="20"/>
          <w:color w:val="auto"/>
        </w:rPr>
        <w:tab/>
      </w:r>
      <w:hyperlink r:id="rId158">
        <w:r>
          <w:rPr>
            <w:rFonts w:ascii="Arial" w:cs="Arial" w:eastAsia="Arial" w:hAnsi="Arial"/>
            <w:sz w:val="17"/>
            <w:szCs w:val="17"/>
            <w:u w:val="single" w:color="auto"/>
            <w:color w:val="0000FF"/>
          </w:rPr>
          <w:t>Activision Blizzard, Inc. KDE Equity Incentive Plan, amended as of November 1, 2016 (incorporated by reference to Exhibit 10.14 of</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the Company’s Form 10-K for the year ended December 31, 2016).</w:t>
        </w:r>
      </w:hyperlink>
    </w:p>
    <w:p>
      <w:pPr>
        <w:spacing w:after="0" w:line="1" w:lineRule="exact"/>
        <w:rPr>
          <w:sz w:val="20"/>
          <w:szCs w:val="20"/>
          <w:color w:val="auto"/>
        </w:rPr>
      </w:pPr>
    </w:p>
    <w:p>
      <w:pPr>
        <w:ind w:left="1760" w:right="60" w:hanging="637"/>
        <w:spacing w:after="0" w:line="230"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10.4*</w:t>
      </w:r>
      <w:r>
        <w:rPr>
          <w:sz w:val="20"/>
          <w:szCs w:val="20"/>
          <w:color w:val="auto"/>
        </w:rPr>
        <w:tab/>
      </w:r>
      <w:hyperlink r:id="rId159">
        <w:r>
          <w:rPr>
            <w:rFonts w:ascii="Arial" w:cs="Arial" w:eastAsia="Arial" w:hAnsi="Arial"/>
            <w:sz w:val="17"/>
            <w:szCs w:val="17"/>
            <w:u w:val="single" w:color="auto"/>
            <w:color w:val="0000FF"/>
          </w:rPr>
          <w:t>Form of Notice of Stock Option Award for grants to unaffiliated directors pursuant to the Activision Blizzard, Inc. 2008 Incentive Plan</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(effective as of November 12, 2008) (incorporated by reference to Exhibit 10.44 of the Company’s Form 10-K for the year ended</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December 31, 2008).</w:t>
        </w:r>
      </w:hyperlink>
    </w:p>
    <w:p>
      <w:pPr>
        <w:spacing w:after="0" w:line="2" w:lineRule="exact"/>
        <w:rPr>
          <w:rFonts w:ascii="Arial" w:cs="Arial" w:eastAsia="Arial" w:hAnsi="Arial"/>
          <w:sz w:val="17"/>
          <w:szCs w:val="17"/>
          <w:u w:val="single" w:color="auto"/>
          <w:color w:val="0000FF"/>
        </w:rPr>
      </w:pPr>
    </w:p>
    <w:p>
      <w:pPr>
        <w:ind w:left="1760" w:right="60" w:hanging="637"/>
        <w:spacing w:after="0" w:line="230"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10.5*</w:t>
      </w:r>
      <w:r>
        <w:rPr>
          <w:sz w:val="20"/>
          <w:szCs w:val="20"/>
          <w:color w:val="auto"/>
        </w:rPr>
        <w:tab/>
      </w:r>
      <w:hyperlink r:id="rId160">
        <w:r>
          <w:rPr>
            <w:rFonts w:ascii="Arial" w:cs="Arial" w:eastAsia="Arial" w:hAnsi="Arial"/>
            <w:sz w:val="17"/>
            <w:szCs w:val="17"/>
            <w:u w:val="single" w:color="auto"/>
            <w:color w:val="0000FF"/>
          </w:rPr>
          <w:t>Form of Notice of Stock Option Award for grants to unaffiliated directors pursuant to the Activision Blizzard, Inc. 2008 Incentive Plan</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(effective as of March 6, 2013) (incorporated by reference to Exhibit 10.5 of the Company’s Form 10-Q for the quarter ended March</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31, 2013).</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8"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Arial" w:cs="Arial" w:eastAsia="Arial" w:hAnsi="Arial"/>
          <w:sz w:val="17"/>
          <w:szCs w:val="17"/>
          <w:color w:val="auto"/>
        </w:rPr>
        <w:t>E-1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tabs>
          <w:tab w:leader="none" w:pos="62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20320</wp:posOffset>
            </wp:positionV>
            <wp:extent cx="60369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6036945" cy="8255"/>
                    </a:xfrm>
                    <a:prstGeom prst="rect">
                      <a:avLst/>
                    </a:prstGeom>
                    <a:noFill/>
                  </pic:spPr>
                </pic:pic>
              </a:graphicData>
            </a:graphic>
          </wp:anchor>
        </w:drawing>
      </w:r>
    </w:p>
    <w:p>
      <w:pPr>
        <w:spacing w:after="0" w:line="13" w:lineRule="exact"/>
        <w:rPr>
          <w:sz w:val="20"/>
          <w:szCs w:val="20"/>
          <w:color w:val="auto"/>
        </w:rPr>
      </w:pPr>
    </w:p>
    <w:p>
      <w:pPr>
        <w:ind w:left="1760" w:right="240" w:hanging="637"/>
        <w:spacing w:after="0" w:line="230"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10.6*</w:t>
      </w:r>
      <w:r>
        <w:rPr>
          <w:sz w:val="20"/>
          <w:szCs w:val="20"/>
          <w:color w:val="auto"/>
        </w:rPr>
        <w:tab/>
      </w:r>
      <w:hyperlink r:id="rId163">
        <w:r>
          <w:rPr>
            <w:rFonts w:ascii="Arial" w:cs="Arial" w:eastAsia="Arial" w:hAnsi="Arial"/>
            <w:sz w:val="17"/>
            <w:szCs w:val="17"/>
            <w:u w:val="single" w:color="auto"/>
            <w:color w:val="0000FF"/>
          </w:rPr>
          <w:t>Form of Notice of Restricted Share Unit Award for grants to persons other than non-affiliated directors pursuant to the Activision</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Blizzard, Inc. 2014 Incentive Plan (effective as of July 29, 2014) (incorporated by reference to Exhibit 10.1 of the Company’s Form</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10-Q for the quarter ended September 30, 2014).</w:t>
        </w:r>
      </w:hyperlink>
    </w:p>
    <w:p>
      <w:pPr>
        <w:spacing w:after="0" w:line="15" w:lineRule="exact"/>
        <w:rPr>
          <w:rFonts w:ascii="Arial" w:cs="Arial" w:eastAsia="Arial" w:hAnsi="Arial"/>
          <w:sz w:val="17"/>
          <w:szCs w:val="17"/>
          <w:u w:val="single" w:color="auto"/>
          <w:color w:val="0000FF"/>
        </w:rPr>
      </w:pPr>
    </w:p>
    <w:p>
      <w:pPr>
        <w:ind w:left="1760" w:right="180" w:hanging="637"/>
        <w:spacing w:after="0" w:line="230"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164">
        <w:r>
          <w:rPr>
            <w:rFonts w:ascii="Arial" w:cs="Arial" w:eastAsia="Arial" w:hAnsi="Arial"/>
            <w:sz w:val="17"/>
            <w:szCs w:val="17"/>
            <w:u w:val="single" w:color="auto"/>
            <w:color w:val="0000FF"/>
          </w:rPr>
          <w:t>Form of Notice of Restricted Share Unit Award for grants to non-affiliated directors pursuant to the Activision Blizzard, Inc. 2014</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Incentive Plan (effective as of July 29, 2014) (incorporated by reference to Exhibit 10.2 of the Company’s Form 10-Q for the quarter</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ended September 30, 2014).</w:t>
        </w:r>
      </w:hyperlink>
    </w:p>
    <w:p>
      <w:pPr>
        <w:ind w:left="112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10.8*</w:t>
      </w:r>
      <w:r>
        <w:rPr>
          <w:sz w:val="20"/>
          <w:szCs w:val="20"/>
          <w:color w:val="auto"/>
        </w:rPr>
        <w:tab/>
      </w:r>
      <w:hyperlink r:id="rId165">
        <w:r>
          <w:rPr>
            <w:rFonts w:ascii="Arial" w:cs="Arial" w:eastAsia="Arial" w:hAnsi="Arial"/>
            <w:sz w:val="16"/>
            <w:szCs w:val="16"/>
            <w:u w:val="single" w:color="auto"/>
            <w:color w:val="0000FF"/>
          </w:rPr>
          <w:t>Form of Notice of Stock Option Award for grants pursuant to the Activision Blizzard, Inc. 2014 Incentive Plan (effective as of March</w:t>
        </w:r>
      </w:hyperlink>
    </w:p>
    <w:p>
      <w:pPr>
        <w:ind w:left="1760"/>
        <w:spacing w:after="0"/>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2, 2017) (incorporated by reference to Exhibit 10.2 of the Company’s Form 10-Q for the quarter ended March 31, 2017).</w:t>
        </w:r>
      </w:hyperlink>
    </w:p>
    <w:p>
      <w:pPr>
        <w:spacing w:after="0" w:line="13" w:lineRule="exact"/>
        <w:rPr>
          <w:rFonts w:ascii="Arial" w:cs="Arial" w:eastAsia="Arial" w:hAnsi="Arial"/>
          <w:sz w:val="17"/>
          <w:szCs w:val="17"/>
          <w:u w:val="single" w:color="auto"/>
          <w:color w:val="0000FF"/>
        </w:rPr>
      </w:pPr>
    </w:p>
    <w:p>
      <w:pPr>
        <w:ind w:left="1760" w:right="100" w:hanging="637"/>
        <w:spacing w:after="0" w:line="230"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10.9*</w:t>
      </w:r>
      <w:r>
        <w:rPr>
          <w:sz w:val="20"/>
          <w:szCs w:val="20"/>
          <w:color w:val="auto"/>
        </w:rPr>
        <w:tab/>
      </w:r>
      <w:hyperlink r:id="rId166">
        <w:r>
          <w:rPr>
            <w:rFonts w:ascii="Arial" w:cs="Arial" w:eastAsia="Arial" w:hAnsi="Arial"/>
            <w:sz w:val="17"/>
            <w:szCs w:val="17"/>
            <w:u w:val="single" w:color="auto"/>
            <w:color w:val="0000FF"/>
          </w:rPr>
          <w:t>Form of Notice of Performance-Vesting Restricted Share Unit Award for grants pursuant to the Activision Blizzard, Inc. 2014</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Incentive Plan (effective as of March 2, 2017) (incorporated by reference to Exhibit 10.3 of the Company’s Form 10-Q for the quarter</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ended March 31, 2017).</w:t>
        </w:r>
      </w:hyperlink>
    </w:p>
    <w:p>
      <w:pPr>
        <w:jc w:val="center"/>
        <w:ind w:left="960"/>
        <w:spacing w:after="0"/>
        <w:tabs>
          <w:tab w:leader="none" w:pos="240" w:val="left"/>
        </w:tabs>
        <w:rPr>
          <w:rFonts w:ascii="Arial" w:cs="Arial" w:eastAsia="Arial" w:hAnsi="Arial"/>
          <w:sz w:val="16"/>
          <w:szCs w:val="16"/>
          <w:u w:val="single" w:color="auto"/>
          <w:color w:val="0000FF"/>
        </w:rPr>
      </w:pPr>
      <w:r>
        <w:rPr>
          <w:rFonts w:ascii="Arial" w:cs="Arial" w:eastAsia="Arial" w:hAnsi="Arial"/>
          <w:sz w:val="17"/>
          <w:szCs w:val="17"/>
          <w:color w:val="auto"/>
        </w:rPr>
        <w:t>10.10*</w:t>
      </w:r>
      <w:r>
        <w:rPr>
          <w:sz w:val="20"/>
          <w:szCs w:val="20"/>
          <w:color w:val="auto"/>
        </w:rPr>
        <w:tab/>
      </w:r>
      <w:hyperlink r:id="rId167">
        <w:r>
          <w:rPr>
            <w:rFonts w:ascii="Arial" w:cs="Arial" w:eastAsia="Arial" w:hAnsi="Arial"/>
            <w:sz w:val="16"/>
            <w:szCs w:val="16"/>
            <w:u w:val="single" w:color="auto"/>
            <w:color w:val="0000FF"/>
          </w:rPr>
          <w:t>Form of Notice of Stock Option Award for grants pursuant to the Activision Blizzard, Inc. 2014 Incentive Plan (effective as of October</w:t>
        </w:r>
      </w:hyperlink>
    </w:p>
    <w:p>
      <w:pPr>
        <w:jc w:val="center"/>
        <w:ind w:left="940"/>
        <w:spacing w:after="0"/>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26, 2018) (incorporated by reference to Exhibit 10.21 of the Company’s Form 10-K for the year ended December 31, 2018).</w:t>
        </w:r>
      </w:hyperlink>
    </w:p>
    <w:p>
      <w:pPr>
        <w:spacing w:after="0" w:line="13" w:lineRule="exact"/>
        <w:rPr>
          <w:rFonts w:ascii="Arial" w:cs="Arial" w:eastAsia="Arial" w:hAnsi="Arial"/>
          <w:sz w:val="17"/>
          <w:szCs w:val="17"/>
          <w:u w:val="single" w:color="auto"/>
          <w:color w:val="0000FF"/>
        </w:rPr>
      </w:pPr>
    </w:p>
    <w:p>
      <w:pPr>
        <w:ind w:left="1760" w:right="100" w:hanging="718"/>
        <w:spacing w:after="0" w:line="273" w:lineRule="auto"/>
        <w:tabs>
          <w:tab w:leader="none" w:pos="1740" w:val="left"/>
        </w:tabs>
        <w:rPr>
          <w:rFonts w:ascii="Arial" w:cs="Arial" w:eastAsia="Arial" w:hAnsi="Arial"/>
          <w:sz w:val="15"/>
          <w:szCs w:val="15"/>
          <w:u w:val="single" w:color="auto"/>
          <w:color w:val="0000FF"/>
        </w:rPr>
      </w:pPr>
      <w:r>
        <w:rPr>
          <w:rFonts w:ascii="Arial" w:cs="Arial" w:eastAsia="Arial" w:hAnsi="Arial"/>
          <w:sz w:val="17"/>
          <w:szCs w:val="17"/>
          <w:color w:val="auto"/>
        </w:rPr>
        <w:t>10.11*</w:t>
      </w:r>
      <w:r>
        <w:rPr>
          <w:sz w:val="20"/>
          <w:szCs w:val="20"/>
          <w:color w:val="auto"/>
        </w:rPr>
        <w:tab/>
      </w:r>
      <w:hyperlink r:id="rId168">
        <w:r>
          <w:rPr>
            <w:rFonts w:ascii="Arial" w:cs="Arial" w:eastAsia="Arial" w:hAnsi="Arial"/>
            <w:sz w:val="15"/>
            <w:szCs w:val="15"/>
            <w:u w:val="single" w:color="auto"/>
            <w:color w:val="0000FF"/>
          </w:rPr>
          <w:t>Form of Notice of Stock Option Award for grants pursuant to the Activision Blizzard, Inc. 2014 Incentive Plan (effective as of</w:t>
        </w:r>
      </w:hyperlink>
      <w:r>
        <w:rPr>
          <w:rFonts w:ascii="Arial" w:cs="Arial" w:eastAsia="Arial" w:hAnsi="Arial"/>
          <w:sz w:val="15"/>
          <w:szCs w:val="15"/>
          <w:u w:val="single" w:color="auto"/>
          <w:color w:val="0000FF"/>
        </w:rPr>
        <w:t xml:space="preserve"> </w:t>
      </w:r>
      <w:hyperlink r:id="rId168">
        <w:r>
          <w:rPr>
            <w:rFonts w:ascii="Arial" w:cs="Arial" w:eastAsia="Arial" w:hAnsi="Arial"/>
            <w:sz w:val="15"/>
            <w:szCs w:val="15"/>
            <w:u w:val="single" w:color="auto"/>
            <w:color w:val="0000FF"/>
          </w:rPr>
          <w:t>November 4, 2019) (incorporated by reference to Exhibit 10.22 to the Company’s Form 10-K for the year ended December 31, 2019).</w:t>
        </w:r>
      </w:hyperlink>
    </w:p>
    <w:p>
      <w:pPr>
        <w:sectPr>
          <w:pgSz w:w="11900" w:h="16838" w:orient="portrait"/>
          <w:cols w:equalWidth="0" w:num="1">
            <w:col w:w="11220"/>
          </w:cols>
          <w:pgMar w:left="320" w:top="127" w:right="359" w:bottom="1440" w:gutter="0" w:footer="0" w:header="0"/>
        </w:sectPr>
      </w:pP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10.12*</w:t>
      </w:r>
    </w:p>
    <w:p>
      <w:pPr>
        <w:spacing w:after="0" w:line="38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10.13*</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10.15*</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10.16*</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10.17*</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10.18*</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10.19*</w:t>
      </w:r>
    </w:p>
    <w:p>
      <w:pPr>
        <w:spacing w:after="0" w:line="20" w:lineRule="exact"/>
        <w:rPr>
          <w:sz w:val="20"/>
          <w:szCs w:val="20"/>
          <w:color w:val="auto"/>
        </w:rPr>
      </w:pPr>
      <w:r>
        <w:rPr>
          <w:sz w:val="20"/>
          <w:szCs w:val="20"/>
          <w:color w:val="auto"/>
        </w:rPr>
        <w:br w:type="column"/>
      </w:r>
    </w:p>
    <w:p>
      <w:pPr>
        <w:ind w:right="280"/>
        <w:spacing w:after="0" w:line="230" w:lineRule="auto"/>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Form of Notice of Performance-Vesting Restricted Share Unit Award for grants pursuant to the Activision Blizzard, Inc. 2014</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Incentive Plan (effective as of November 4, 2019) (incorporated by reference to Exhibit 10.23 to the Company’s Form 10-K for the</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year ended December 31, 2019).</w:t>
        </w:r>
      </w:hyperlink>
    </w:p>
    <w:p>
      <w:pPr>
        <w:spacing w:after="0" w:line="15" w:lineRule="exact"/>
        <w:rPr>
          <w:rFonts w:ascii="Arial" w:cs="Arial" w:eastAsia="Arial" w:hAnsi="Arial"/>
          <w:sz w:val="17"/>
          <w:szCs w:val="17"/>
          <w:u w:val="single" w:color="auto"/>
          <w:color w:val="0000FF"/>
        </w:rPr>
      </w:pPr>
    </w:p>
    <w:p>
      <w:pPr>
        <w:spacing w:after="0" w:line="310" w:lineRule="auto"/>
        <w:rPr>
          <w:rFonts w:ascii="Arial" w:cs="Arial" w:eastAsia="Arial" w:hAnsi="Arial"/>
          <w:sz w:val="15"/>
          <w:szCs w:val="15"/>
          <w:u w:val="single" w:color="auto"/>
          <w:color w:val="0000FF"/>
        </w:rPr>
      </w:pPr>
      <w:hyperlink r:id="rId170">
        <w:r>
          <w:rPr>
            <w:rFonts w:ascii="Arial" w:cs="Arial" w:eastAsia="Arial" w:hAnsi="Arial"/>
            <w:sz w:val="15"/>
            <w:szCs w:val="15"/>
            <w:u w:val="single" w:color="auto"/>
            <w:color w:val="0000FF"/>
          </w:rPr>
          <w:t>Form of Notice of Stock Option Awards for grants pursuant to the Activision Blizzard, Inc. 2014 Incentive Plan (effective as of</w:t>
        </w:r>
      </w:hyperlink>
      <w:r>
        <w:rPr>
          <w:rFonts w:ascii="Arial" w:cs="Arial" w:eastAsia="Arial" w:hAnsi="Arial"/>
          <w:sz w:val="15"/>
          <w:szCs w:val="15"/>
          <w:u w:val="single" w:color="auto"/>
          <w:color w:val="0000FF"/>
        </w:rPr>
        <w:t xml:space="preserve"> </w:t>
      </w:r>
      <w:hyperlink r:id="rId170">
        <w:r>
          <w:rPr>
            <w:rFonts w:ascii="Arial" w:cs="Arial" w:eastAsia="Arial" w:hAnsi="Arial"/>
            <w:sz w:val="15"/>
            <w:szCs w:val="15"/>
            <w:u w:val="single" w:color="auto"/>
            <w:color w:val="0000FF"/>
          </w:rPr>
          <w:t>November 18, 2020) (incorporated by reference to Exhibit 10.24 of the Company’s Form 10-K for the year ended December 31, 2020).</w:t>
        </w:r>
      </w:hyperlink>
    </w:p>
    <w:p>
      <w:pPr>
        <w:ind w:right="300"/>
        <w:spacing w:after="0" w:line="257" w:lineRule="auto"/>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Form of Notice of Performance-Vesting Restricted Share Unit Award for grants pursuant to the Activision Blizzard, Inc. 2014</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Incentive Plan (effective as of December 4, 2020) (incorporated by reference to Exhibit 10.25 of the Company’s Form 10-K for the</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year ended December 31, 2020).</w:t>
        </w:r>
      </w:hyperlink>
    </w:p>
    <w:p>
      <w:pPr>
        <w:spacing w:after="0" w:line="15" w:lineRule="exact"/>
        <w:rPr>
          <w:rFonts w:ascii="Arial" w:cs="Arial" w:eastAsia="Arial" w:hAnsi="Arial"/>
          <w:sz w:val="17"/>
          <w:szCs w:val="17"/>
          <w:u w:val="single" w:color="auto"/>
          <w:color w:val="0000FF"/>
        </w:rPr>
      </w:pPr>
    </w:p>
    <w:p>
      <w:pPr>
        <w:ind w:right="560"/>
        <w:spacing w:after="0" w:line="273" w:lineRule="auto"/>
        <w:rPr>
          <w:rFonts w:ascii="Arial" w:cs="Arial" w:eastAsia="Arial" w:hAnsi="Arial"/>
          <w:sz w:val="17"/>
          <w:szCs w:val="17"/>
          <w:u w:val="single" w:color="auto"/>
          <w:color w:val="0000FF"/>
        </w:rPr>
      </w:pPr>
      <w:hyperlink w:anchor="page127">
        <w:r>
          <w:rPr>
            <w:rFonts w:ascii="Arial" w:cs="Arial" w:eastAsia="Arial" w:hAnsi="Arial"/>
            <w:sz w:val="17"/>
            <w:szCs w:val="17"/>
            <w:u w:val="single" w:color="auto"/>
            <w:color w:val="0000FF"/>
          </w:rPr>
          <w:t>Form of Notice of Stock Option Awards for grants pursuant to the Activision Blizzard, Inc. 2014 Incentive Plan (effective as of</w:t>
        </w:r>
      </w:hyperlink>
      <w:r>
        <w:rPr>
          <w:rFonts w:ascii="Arial" w:cs="Arial" w:eastAsia="Arial" w:hAnsi="Arial"/>
          <w:sz w:val="17"/>
          <w:szCs w:val="17"/>
          <w:u w:val="single" w:color="auto"/>
          <w:color w:val="0000FF"/>
        </w:rPr>
        <w:t xml:space="preserve"> </w:t>
      </w:r>
      <w:hyperlink w:anchor="page127">
        <w:r>
          <w:rPr>
            <w:rFonts w:ascii="Arial" w:cs="Arial" w:eastAsia="Arial" w:hAnsi="Arial"/>
            <w:sz w:val="17"/>
            <w:szCs w:val="17"/>
            <w:u w:val="single" w:color="auto"/>
            <w:color w:val="0000FF"/>
          </w:rPr>
          <w:t>October 29, 2021).</w:t>
        </w:r>
      </w:hyperlink>
    </w:p>
    <w:p>
      <w:pPr>
        <w:spacing w:after="0" w:line="1" w:lineRule="exact"/>
        <w:rPr>
          <w:sz w:val="20"/>
          <w:szCs w:val="20"/>
          <w:color w:val="auto"/>
        </w:rPr>
      </w:pPr>
    </w:p>
    <w:p>
      <w:pPr>
        <w:ind w:right="420"/>
        <w:spacing w:after="0" w:line="273" w:lineRule="auto"/>
        <w:rPr>
          <w:rFonts w:ascii="Arial" w:cs="Arial" w:eastAsia="Arial" w:hAnsi="Arial"/>
          <w:sz w:val="17"/>
          <w:szCs w:val="17"/>
          <w:u w:val="single" w:color="auto"/>
          <w:color w:val="0000FF"/>
        </w:rPr>
      </w:pPr>
      <w:hyperlink w:anchor="page178">
        <w:r>
          <w:rPr>
            <w:rFonts w:ascii="Arial" w:cs="Arial" w:eastAsia="Arial" w:hAnsi="Arial"/>
            <w:sz w:val="17"/>
            <w:szCs w:val="17"/>
            <w:u w:val="single" w:color="auto"/>
            <w:color w:val="0000FF"/>
          </w:rPr>
          <w:t>Form of Notice of Restricted Share Unit Award for grants to persons other than non-affiliated directors pursuant to the Activision</w:t>
        </w:r>
      </w:hyperlink>
      <w:r>
        <w:rPr>
          <w:rFonts w:ascii="Arial" w:cs="Arial" w:eastAsia="Arial" w:hAnsi="Arial"/>
          <w:sz w:val="17"/>
          <w:szCs w:val="17"/>
          <w:u w:val="single" w:color="auto"/>
          <w:color w:val="0000FF"/>
        </w:rPr>
        <w:t xml:space="preserve"> </w:t>
      </w:r>
      <w:hyperlink w:anchor="page178">
        <w:r>
          <w:rPr>
            <w:rFonts w:ascii="Arial" w:cs="Arial" w:eastAsia="Arial" w:hAnsi="Arial"/>
            <w:sz w:val="17"/>
            <w:szCs w:val="17"/>
            <w:u w:val="single" w:color="auto"/>
            <w:color w:val="0000FF"/>
          </w:rPr>
          <w:t>Blizzard, Inc. 2014 Incentive Plan (effective as of October 29, 2021).</w:t>
        </w:r>
      </w:hyperlink>
    </w:p>
    <w:p>
      <w:pPr>
        <w:spacing w:after="0" w:line="1" w:lineRule="exact"/>
        <w:rPr>
          <w:sz w:val="20"/>
          <w:szCs w:val="20"/>
          <w:color w:val="auto"/>
        </w:rPr>
      </w:pPr>
    </w:p>
    <w:p>
      <w:pPr>
        <w:ind w:right="360"/>
        <w:spacing w:after="0" w:line="273" w:lineRule="auto"/>
        <w:rPr>
          <w:rFonts w:ascii="Arial" w:cs="Arial" w:eastAsia="Arial" w:hAnsi="Arial"/>
          <w:sz w:val="17"/>
          <w:szCs w:val="17"/>
          <w:u w:val="single" w:color="auto"/>
          <w:color w:val="0000FF"/>
        </w:rPr>
      </w:pPr>
      <w:hyperlink w:anchor="page187">
        <w:r>
          <w:rPr>
            <w:rFonts w:ascii="Arial" w:cs="Arial" w:eastAsia="Arial" w:hAnsi="Arial"/>
            <w:sz w:val="17"/>
            <w:szCs w:val="17"/>
            <w:u w:val="single" w:color="auto"/>
            <w:color w:val="0000FF"/>
          </w:rPr>
          <w:t>Form of Notice of Restricted Share Unit Award for grants to non-affiliated directors pursuant to the Activision Blizzard, Inc. 2014</w:t>
        </w:r>
      </w:hyperlink>
      <w:r>
        <w:rPr>
          <w:rFonts w:ascii="Arial" w:cs="Arial" w:eastAsia="Arial" w:hAnsi="Arial"/>
          <w:sz w:val="17"/>
          <w:szCs w:val="17"/>
          <w:u w:val="single" w:color="auto"/>
          <w:color w:val="0000FF"/>
        </w:rPr>
        <w:t xml:space="preserve"> </w:t>
      </w:r>
      <w:hyperlink w:anchor="page187">
        <w:r>
          <w:rPr>
            <w:rFonts w:ascii="Arial" w:cs="Arial" w:eastAsia="Arial" w:hAnsi="Arial"/>
            <w:sz w:val="17"/>
            <w:szCs w:val="17"/>
            <w:u w:val="single" w:color="auto"/>
            <w:color w:val="0000FF"/>
          </w:rPr>
          <w:t>Incentive Plan (effective as of October 29, 2021).</w:t>
        </w:r>
      </w:hyperlink>
    </w:p>
    <w:p>
      <w:pPr>
        <w:spacing w:after="0" w:line="1" w:lineRule="exact"/>
        <w:rPr>
          <w:sz w:val="20"/>
          <w:szCs w:val="20"/>
          <w:color w:val="auto"/>
        </w:rPr>
      </w:pPr>
    </w:p>
    <w:p>
      <w:pPr>
        <w:ind w:right="20"/>
        <w:spacing w:after="0" w:line="265" w:lineRule="auto"/>
        <w:rPr>
          <w:rFonts w:ascii="Arial" w:cs="Arial" w:eastAsia="Arial" w:hAnsi="Arial"/>
          <w:sz w:val="17"/>
          <w:szCs w:val="17"/>
          <w:u w:val="single" w:color="auto"/>
          <w:color w:val="0000FF"/>
        </w:rPr>
      </w:pPr>
      <w:hyperlink w:anchor="page238">
        <w:r>
          <w:rPr>
            <w:rFonts w:ascii="Arial" w:cs="Arial" w:eastAsia="Arial" w:hAnsi="Arial"/>
            <w:sz w:val="17"/>
            <w:szCs w:val="17"/>
            <w:u w:val="single" w:color="auto"/>
            <w:color w:val="0000FF"/>
          </w:rPr>
          <w:t>Form of Notice of Performance-Vesting Restricted Share unit Award for grants pursuant to the Activision Blizzard, Inc. 2014 Incentive</w:t>
        </w:r>
      </w:hyperlink>
      <w:r>
        <w:rPr>
          <w:rFonts w:ascii="Arial" w:cs="Arial" w:eastAsia="Arial" w:hAnsi="Arial"/>
          <w:sz w:val="17"/>
          <w:szCs w:val="17"/>
          <w:u w:val="single" w:color="auto"/>
          <w:color w:val="0000FF"/>
        </w:rPr>
        <w:t xml:space="preserve"> </w:t>
      </w:r>
      <w:hyperlink w:anchor="page238">
        <w:r>
          <w:rPr>
            <w:rFonts w:ascii="Arial" w:cs="Arial" w:eastAsia="Arial" w:hAnsi="Arial"/>
            <w:sz w:val="17"/>
            <w:szCs w:val="17"/>
            <w:u w:val="single" w:color="auto"/>
            <w:color w:val="0000FF"/>
          </w:rPr>
          <w:t>Plan (effective as of October 29, 2021).</w:t>
        </w:r>
      </w:hyperlink>
    </w:p>
    <w:p>
      <w:pPr>
        <w:spacing w:after="0" w:line="1" w:lineRule="exact"/>
        <w:rPr>
          <w:sz w:val="20"/>
          <w:szCs w:val="20"/>
          <w:color w:val="auto"/>
        </w:rPr>
      </w:pPr>
    </w:p>
    <w:p>
      <w:pPr>
        <w:ind w:right="300"/>
        <w:spacing w:after="0" w:line="241" w:lineRule="auto"/>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Amended and Restated CEO Recognition Program (incorporated by reference to Exhibit 10.6 of the Company’s Form 10-Q for the</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quarter ended June 30, 2014).</w:t>
        </w:r>
      </w:hyperlink>
    </w:p>
    <w:p>
      <w:pPr>
        <w:spacing w:after="0" w:line="1" w:lineRule="exact"/>
        <w:rPr>
          <w:sz w:val="20"/>
          <w:szCs w:val="20"/>
          <w:color w:val="auto"/>
        </w:rPr>
      </w:pPr>
    </w:p>
    <w:p>
      <w:pPr>
        <w:sectPr>
          <w:pgSz w:w="11900" w:h="16838" w:orient="portrait"/>
          <w:cols w:equalWidth="0" w:num="2">
            <w:col w:w="1500" w:space="260"/>
            <w:col w:w="9460"/>
          </w:cols>
          <w:pgMar w:left="320" w:top="127" w:right="359" w:bottom="1440" w:gutter="0" w:footer="0" w:header="0"/>
          <w:type w:val="continuous"/>
        </w:sectPr>
      </w:pPr>
    </w:p>
    <w:p>
      <w:pPr>
        <w:ind w:left="1760" w:right="60" w:hanging="724"/>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10.20*</w:t>
      </w:r>
      <w:r>
        <w:rPr>
          <w:sz w:val="20"/>
          <w:szCs w:val="20"/>
          <w:color w:val="auto"/>
        </w:rPr>
        <w:tab/>
      </w:r>
      <w:hyperlink r:id="rId173">
        <w:r>
          <w:rPr>
            <w:rFonts w:ascii="Arial" w:cs="Arial" w:eastAsia="Arial" w:hAnsi="Arial"/>
            <w:sz w:val="17"/>
            <w:szCs w:val="17"/>
            <w:u w:val="single" w:color="auto"/>
            <w:color w:val="0000FF"/>
          </w:rPr>
          <w:t>Activision Blizzard, Inc. Corporate Annual Incentive Plan (incorporated by reference to Exhibit 10.1 of the Company’s Form 10-Q for</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the quarter ended September 30, 2015).</w:t>
        </w:r>
      </w:hyperlink>
    </w:p>
    <w:p>
      <w:pPr>
        <w:spacing w:after="0" w:line="1" w:lineRule="exact"/>
        <w:rPr>
          <w:sz w:val="20"/>
          <w:szCs w:val="20"/>
          <w:color w:val="auto"/>
        </w:rPr>
      </w:pPr>
    </w:p>
    <w:p>
      <w:pPr>
        <w:ind w:left="1760" w:right="440" w:hanging="724"/>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10.21*</w:t>
      </w:r>
      <w:r>
        <w:rPr>
          <w:sz w:val="20"/>
          <w:szCs w:val="20"/>
          <w:color w:val="auto"/>
        </w:rPr>
        <w:tab/>
      </w:r>
      <w:hyperlink r:id="rId174">
        <w:r>
          <w:rPr>
            <w:rFonts w:ascii="Arial" w:cs="Arial" w:eastAsia="Arial" w:hAnsi="Arial"/>
            <w:sz w:val="17"/>
            <w:szCs w:val="17"/>
            <w:u w:val="single" w:color="auto"/>
            <w:color w:val="0000FF"/>
          </w:rPr>
          <w:t>Employment Agreement, dated as of October 1, 2016, between Robert A. Kotick and the Company (incorporated by reference to</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Exhibit 10.1 of the Company’s Form 8-K, filed November 25, 2016).</w:t>
        </w:r>
      </w:hyperlink>
    </w:p>
    <w:p>
      <w:pPr>
        <w:ind w:left="1020"/>
        <w:spacing w:after="0"/>
        <w:tabs>
          <w:tab w:leader="none" w:pos="1740" w:val="left"/>
        </w:tabs>
        <w:rPr>
          <w:rFonts w:ascii="Arial" w:cs="Arial" w:eastAsia="Arial" w:hAnsi="Arial"/>
          <w:sz w:val="15"/>
          <w:szCs w:val="15"/>
          <w:u w:val="single" w:color="auto"/>
          <w:color w:val="0000FF"/>
        </w:rPr>
      </w:pPr>
      <w:r>
        <w:rPr>
          <w:rFonts w:ascii="Arial" w:cs="Arial" w:eastAsia="Arial" w:hAnsi="Arial"/>
          <w:sz w:val="17"/>
          <w:szCs w:val="17"/>
          <w:color w:val="auto"/>
        </w:rPr>
        <w:t>10.22*</w:t>
      </w:r>
      <w:r>
        <w:rPr>
          <w:sz w:val="20"/>
          <w:szCs w:val="20"/>
          <w:color w:val="auto"/>
        </w:rPr>
        <w:tab/>
      </w:r>
      <w:hyperlink r:id="rId175">
        <w:r>
          <w:rPr>
            <w:rFonts w:ascii="Arial" w:cs="Arial" w:eastAsia="Arial" w:hAnsi="Arial"/>
            <w:sz w:val="15"/>
            <w:szCs w:val="15"/>
            <w:u w:val="single" w:color="auto"/>
            <w:color w:val="0000FF"/>
          </w:rPr>
          <w:t>Extension Amendment, dated as of April 28, 2021, between Robert A. Kotick and the Company (incorporated by reference to Exhibit</w:t>
        </w:r>
      </w:hyperlink>
    </w:p>
    <w:p>
      <w:pPr>
        <w:ind w:left="1760"/>
        <w:spacing w:after="0"/>
        <w:rPr>
          <w:rFonts w:ascii="Arial" w:cs="Arial" w:eastAsia="Arial" w:hAnsi="Arial"/>
          <w:sz w:val="17"/>
          <w:szCs w:val="17"/>
          <w:u w:val="single" w:color="auto"/>
          <w:color w:val="0000FF"/>
        </w:rPr>
      </w:pPr>
      <w:hyperlink r:id="rId175">
        <w:r>
          <w:rPr>
            <w:rFonts w:ascii="Arial" w:cs="Arial" w:eastAsia="Arial" w:hAnsi="Arial"/>
            <w:sz w:val="17"/>
            <w:szCs w:val="17"/>
            <w:u w:val="single" w:color="auto"/>
            <w:color w:val="0000FF"/>
          </w:rPr>
          <w:t>10.1 of the Company’s Form 8-K filed April 29, 2021).</w:t>
        </w:r>
      </w:hyperlink>
    </w:p>
    <w:p>
      <w:pPr>
        <w:spacing w:after="0" w:line="2" w:lineRule="exact"/>
        <w:rPr>
          <w:sz w:val="20"/>
          <w:szCs w:val="20"/>
          <w:color w:val="auto"/>
        </w:rPr>
      </w:pPr>
    </w:p>
    <w:p>
      <w:pPr>
        <w:ind w:left="102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10.23*</w:t>
      </w:r>
      <w:r>
        <w:rPr>
          <w:sz w:val="20"/>
          <w:szCs w:val="20"/>
          <w:color w:val="auto"/>
        </w:rPr>
        <w:tab/>
      </w:r>
      <w:hyperlink r:id="rId176">
        <w:r>
          <w:rPr>
            <w:rFonts w:ascii="Arial" w:cs="Arial" w:eastAsia="Arial" w:hAnsi="Arial"/>
            <w:sz w:val="16"/>
            <w:szCs w:val="16"/>
            <w:u w:val="single" w:color="auto"/>
            <w:color w:val="0000FF"/>
          </w:rPr>
          <w:t>Form of Notice of 2018 Stock Option Award to Robert A. Kotick (incorporated by reference to Exhibit 10.27 of the Company’s Form</w:t>
        </w:r>
      </w:hyperlink>
    </w:p>
    <w:p>
      <w:pPr>
        <w:ind w:left="1760"/>
        <w:spacing w:after="0"/>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10-K for the year ended December 31, 2018).</w:t>
        </w:r>
      </w:hyperlink>
    </w:p>
    <w:p>
      <w:pPr>
        <w:spacing w:after="0" w:line="2" w:lineRule="exact"/>
        <w:rPr>
          <w:sz w:val="20"/>
          <w:szCs w:val="20"/>
          <w:color w:val="auto"/>
        </w:rPr>
      </w:pPr>
    </w:p>
    <w:p>
      <w:pPr>
        <w:ind w:left="102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10.24*</w:t>
      </w:r>
      <w:r>
        <w:rPr>
          <w:sz w:val="20"/>
          <w:szCs w:val="20"/>
          <w:color w:val="auto"/>
        </w:rPr>
        <w:tab/>
      </w:r>
      <w:hyperlink r:id="rId177">
        <w:r>
          <w:rPr>
            <w:rFonts w:ascii="Arial" w:cs="Arial" w:eastAsia="Arial" w:hAnsi="Arial"/>
            <w:sz w:val="16"/>
            <w:szCs w:val="16"/>
            <w:u w:val="single" w:color="auto"/>
            <w:color w:val="0000FF"/>
          </w:rPr>
          <w:t>Form of Notice of 2019 Stock Option Award to Robert A. Kotick (incorporated by reference to Exhibit 10.31 to the Company’s Form</w:t>
        </w:r>
      </w:hyperlink>
    </w:p>
    <w:p>
      <w:pPr>
        <w:ind w:left="1760"/>
        <w:spacing w:after="0"/>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10-K for the year ended December 31, 2019).</w:t>
        </w:r>
      </w:hyperlink>
    </w:p>
    <w:p>
      <w:pPr>
        <w:spacing w:after="0" w:line="13" w:lineRule="exact"/>
        <w:rPr>
          <w:sz w:val="20"/>
          <w:szCs w:val="20"/>
          <w:color w:val="auto"/>
        </w:rPr>
      </w:pPr>
    </w:p>
    <w:p>
      <w:pPr>
        <w:ind w:left="1760" w:right="320" w:hanging="724"/>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10.25*</w:t>
      </w:r>
      <w:r>
        <w:rPr>
          <w:sz w:val="20"/>
          <w:szCs w:val="20"/>
          <w:color w:val="auto"/>
        </w:rPr>
        <w:tab/>
      </w:r>
      <w:hyperlink r:id="rId178">
        <w:r>
          <w:rPr>
            <w:rFonts w:ascii="Arial" w:cs="Arial" w:eastAsia="Arial" w:hAnsi="Arial"/>
            <w:sz w:val="17"/>
            <w:szCs w:val="17"/>
            <w:u w:val="single" w:color="auto"/>
            <w:color w:val="0000FF"/>
          </w:rPr>
          <w:t>Corrected Employment Agreement, dated as of April 1, 2021, between Activision Blizzard, Inc. and Armin Zerza (incorporated by</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reference to Exhibit 10.1 of the Company’s Form 10-Q for the quarter ended September 30, 2021).</w:t>
        </w:r>
      </w:hyperlink>
    </w:p>
    <w:p>
      <w:pPr>
        <w:spacing w:after="0" w:line="1" w:lineRule="exact"/>
        <w:rPr>
          <w:sz w:val="20"/>
          <w:szCs w:val="20"/>
          <w:color w:val="auto"/>
        </w:rPr>
      </w:pPr>
    </w:p>
    <w:p>
      <w:pPr>
        <w:ind w:left="1760" w:right="460" w:hanging="724"/>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10.26*</w:t>
      </w:r>
      <w:r>
        <w:rPr>
          <w:sz w:val="20"/>
          <w:szCs w:val="20"/>
          <w:color w:val="auto"/>
        </w:rPr>
        <w:tab/>
      </w:r>
      <w:hyperlink r:id="rId179">
        <w:r>
          <w:rPr>
            <w:rFonts w:ascii="Arial" w:cs="Arial" w:eastAsia="Arial" w:hAnsi="Arial"/>
            <w:sz w:val="17"/>
            <w:szCs w:val="17"/>
            <w:u w:val="single" w:color="auto"/>
            <w:color w:val="0000FF"/>
          </w:rPr>
          <w:t>Employment Agreement, dated as of February 25, 2019, between Dennis Durkin and the Company (incorporated by reference to</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Exhibit 10.24 of the Company’s Form 10-K for the year ended December 31, 2018).</w:t>
        </w:r>
      </w:hyperlink>
    </w:p>
    <w:p>
      <w:pPr>
        <w:spacing w:after="0" w:line="1" w:lineRule="exact"/>
        <w:rPr>
          <w:sz w:val="20"/>
          <w:szCs w:val="20"/>
          <w:color w:val="auto"/>
        </w:rPr>
      </w:pPr>
    </w:p>
    <w:p>
      <w:pPr>
        <w:ind w:left="1760" w:right="380" w:hanging="724"/>
        <w:spacing w:after="0" w:line="241" w:lineRule="auto"/>
        <w:tabs>
          <w:tab w:leader="none" w:pos="1740" w:val="left"/>
        </w:tabs>
        <w:rPr>
          <w:rFonts w:ascii="Arial" w:cs="Arial" w:eastAsia="Arial" w:hAnsi="Arial"/>
          <w:sz w:val="17"/>
          <w:szCs w:val="17"/>
          <w:u w:val="single" w:color="auto"/>
          <w:color w:val="0000FF"/>
        </w:rPr>
      </w:pPr>
      <w:r>
        <w:rPr>
          <w:rFonts w:ascii="Arial" w:cs="Arial" w:eastAsia="Arial" w:hAnsi="Arial"/>
          <w:sz w:val="17"/>
          <w:szCs w:val="17"/>
          <w:color w:val="auto"/>
        </w:rPr>
        <w:t>10.27*</w:t>
      </w:r>
      <w:r>
        <w:rPr>
          <w:sz w:val="20"/>
          <w:szCs w:val="20"/>
          <w:color w:val="auto"/>
        </w:rPr>
        <w:tab/>
      </w:r>
      <w:hyperlink r:id="rId180">
        <w:r>
          <w:rPr>
            <w:rFonts w:ascii="Arial" w:cs="Arial" w:eastAsia="Arial" w:hAnsi="Arial"/>
            <w:sz w:val="17"/>
            <w:szCs w:val="17"/>
            <w:u w:val="single" w:color="auto"/>
            <w:color w:val="0000FF"/>
          </w:rPr>
          <w:t>Employment Agreement, dated March 9, 2020, between Activision Blizzard, Inc. and Daniel Alegre (incorporated by reference to</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Exhibit 10.1 of the Company’s Form 8-K, filed March 11, 2020).</w:t>
        </w:r>
      </w:hyperlink>
    </w:p>
    <w:p>
      <w:pPr>
        <w:spacing w:after="0" w:line="1" w:lineRule="exact"/>
        <w:rPr>
          <w:sz w:val="20"/>
          <w:szCs w:val="20"/>
          <w:color w:val="auto"/>
        </w:rPr>
      </w:pPr>
    </w:p>
    <w:p>
      <w:pPr>
        <w:ind w:left="102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10.28*</w:t>
      </w:r>
      <w:r>
        <w:rPr>
          <w:sz w:val="20"/>
          <w:szCs w:val="20"/>
          <w:color w:val="auto"/>
        </w:rPr>
        <w:tab/>
      </w:r>
      <w:hyperlink w:anchor="page290">
        <w:r>
          <w:rPr>
            <w:rFonts w:ascii="Arial" w:cs="Arial" w:eastAsia="Arial" w:hAnsi="Arial"/>
            <w:sz w:val="16"/>
            <w:szCs w:val="16"/>
            <w:u w:val="single" w:color="auto"/>
            <w:color w:val="0000FF"/>
          </w:rPr>
          <w:t>Employment Agreement, dated as of February 1, 2021, between Activision Blizzard, Inc. and Brian Bulatao.</w:t>
        </w:r>
      </w:hyperlink>
    </w:p>
    <w:p>
      <w:pPr>
        <w:spacing w:after="0" w:line="27" w:lineRule="exact"/>
        <w:rPr>
          <w:sz w:val="20"/>
          <w:szCs w:val="20"/>
          <w:color w:val="auto"/>
        </w:rPr>
      </w:pPr>
    </w:p>
    <w:p>
      <w:pPr>
        <w:ind w:left="1020"/>
        <w:spacing w:after="0"/>
        <w:tabs>
          <w:tab w:leader="none" w:pos="1740" w:val="left"/>
        </w:tabs>
        <w:rPr>
          <w:rFonts w:ascii="Arial" w:cs="Arial" w:eastAsia="Arial" w:hAnsi="Arial"/>
          <w:sz w:val="16"/>
          <w:szCs w:val="16"/>
          <w:u w:val="single" w:color="auto"/>
          <w:color w:val="0000FF"/>
        </w:rPr>
      </w:pPr>
      <w:r>
        <w:rPr>
          <w:rFonts w:ascii="Arial" w:cs="Arial" w:eastAsia="Arial" w:hAnsi="Arial"/>
          <w:sz w:val="17"/>
          <w:szCs w:val="17"/>
          <w:color w:val="auto"/>
        </w:rPr>
        <w:t>10.29*</w:t>
      </w:r>
      <w:r>
        <w:rPr>
          <w:sz w:val="20"/>
          <w:szCs w:val="20"/>
          <w:color w:val="auto"/>
        </w:rPr>
        <w:tab/>
      </w:r>
      <w:hyperlink w:anchor="page316">
        <w:r>
          <w:rPr>
            <w:rFonts w:ascii="Arial" w:cs="Arial" w:eastAsia="Arial" w:hAnsi="Arial"/>
            <w:sz w:val="16"/>
            <w:szCs w:val="16"/>
            <w:u w:val="single" w:color="auto"/>
            <w:color w:val="0000FF"/>
          </w:rPr>
          <w:t>Employment Agreement, dated as of May 17, 2021, between Activision Blizzard, Inc. and Grant Dixton.</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21" w:name="page122"/>
    <w:bookmarkEnd w:id="1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jc w:val="right"/>
              <w:ind w:right="393"/>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gridSpan w:val="33"/>
          </w:tcPr>
          <w:p>
            <w:pPr>
              <w:ind w:left="1140"/>
              <w:spacing w:after="0"/>
              <w:rPr>
                <w:sz w:val="20"/>
                <w:szCs w:val="20"/>
                <w:color w:val="auto"/>
              </w:rPr>
            </w:pPr>
            <w:r>
              <w:rPr>
                <w:rFonts w:ascii="Arial" w:cs="Arial" w:eastAsia="Arial" w:hAnsi="Arial"/>
                <w:sz w:val="14"/>
                <w:szCs w:val="14"/>
                <w:b w:val="1"/>
                <w:bCs w:val="1"/>
                <w:color w:val="auto"/>
              </w:rPr>
              <w:t>Exhibit</w:t>
            </w:r>
          </w:p>
        </w:tc>
      </w:tr>
      <w:tr>
        <w:trPr>
          <w:trHeight w:val="184"/>
        </w:trPr>
        <w:tc>
          <w:tcPr>
            <w:tcW w:w="1740" w:type="dxa"/>
            <w:vAlign w:val="bottom"/>
          </w:tcPr>
          <w:p>
            <w:pPr>
              <w:jc w:val="right"/>
              <w:ind w:right="153"/>
              <w:spacing w:after="0" w:line="184" w:lineRule="exact"/>
              <w:rPr>
                <w:sz w:val="20"/>
                <w:szCs w:val="20"/>
                <w:color w:val="auto"/>
              </w:rPr>
            </w:pPr>
            <w:r>
              <w:rPr>
                <w:rFonts w:ascii="Arial" w:cs="Arial" w:eastAsia="Arial" w:hAnsi="Arial"/>
                <w:sz w:val="17"/>
                <w:szCs w:val="17"/>
                <w:color w:val="auto"/>
              </w:rPr>
              <w:t>10.30*</w:t>
            </w:r>
          </w:p>
        </w:tc>
        <w:tc>
          <w:tcPr>
            <w:tcW w:w="20" w:type="dxa"/>
            <w:vAlign w:val="bottom"/>
          </w:tcPr>
          <w:p>
            <w:pPr>
              <w:spacing w:after="0"/>
              <w:rPr>
                <w:sz w:val="15"/>
                <w:szCs w:val="15"/>
                <w:color w:val="auto"/>
              </w:rPr>
            </w:pPr>
          </w:p>
        </w:tc>
        <w:tc>
          <w:tcPr>
            <w:tcW w:w="9500" w:type="dxa"/>
            <w:vAlign w:val="bottom"/>
            <w:gridSpan w:val="41"/>
          </w:tcPr>
          <w:p>
            <w:pPr>
              <w:spacing w:after="0" w:line="184" w:lineRule="exact"/>
              <w:rPr>
                <w:rFonts w:ascii="Arial" w:cs="Arial" w:eastAsia="Arial" w:hAnsi="Arial"/>
                <w:sz w:val="17"/>
                <w:szCs w:val="17"/>
                <w:color w:val="0000FF"/>
                <w:w w:val="97"/>
              </w:rPr>
            </w:pPr>
            <w:hyperlink r:id="rId182">
              <w:r>
                <w:rPr>
                  <w:rFonts w:ascii="Arial" w:cs="Arial" w:eastAsia="Arial" w:hAnsi="Arial"/>
                  <w:sz w:val="17"/>
                  <w:szCs w:val="17"/>
                  <w:color w:val="0000FF"/>
                  <w:w w:val="97"/>
                </w:rPr>
                <w:t>Employment Agreement, dated as of July 24, 2019, between Claudine Naughton and the Company (incorporated by reference to</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24"/>
          </w:tcPr>
          <w:p>
            <w:pPr>
              <w:spacing w:after="0" w:line="150" w:lineRule="exact"/>
              <w:rPr>
                <w:rFonts w:ascii="Arial" w:cs="Arial" w:eastAsia="Arial" w:hAnsi="Arial"/>
                <w:sz w:val="17"/>
                <w:szCs w:val="17"/>
                <w:color w:val="0000FF"/>
              </w:rPr>
            </w:pPr>
            <w:hyperlink r:id="rId182">
              <w:r>
                <w:rPr>
                  <w:rFonts w:ascii="Arial" w:cs="Arial" w:eastAsia="Arial" w:hAnsi="Arial"/>
                  <w:sz w:val="17"/>
                  <w:szCs w:val="17"/>
                  <w:color w:val="0000FF"/>
                </w:rPr>
                <w:t>Exhibit 10.33 of the Company’s Form 10-K for the year ended December 31, 2019).</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10.31*</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rPr>
            </w:pPr>
            <w:hyperlink r:id="rId183">
              <w:r>
                <w:rPr>
                  <w:rFonts w:ascii="Arial" w:cs="Arial" w:eastAsia="Arial" w:hAnsi="Arial"/>
                  <w:sz w:val="17"/>
                  <w:szCs w:val="17"/>
                  <w:color w:val="0000FF"/>
                </w:rPr>
                <w:t>Separation Agreement with Reaffirmation between Claudine Naughton and Activision Blizzard, Inc. dated September 10, 2021</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15"/>
          </w:tcPr>
          <w:p>
            <w:pPr>
              <w:spacing w:after="0" w:line="150" w:lineRule="exact"/>
              <w:rPr>
                <w:rFonts w:ascii="Arial" w:cs="Arial" w:eastAsia="Arial" w:hAnsi="Arial"/>
                <w:sz w:val="17"/>
                <w:szCs w:val="17"/>
                <w:color w:val="0000FF"/>
                <w:w w:val="94"/>
              </w:rPr>
            </w:pPr>
            <w:hyperlink r:id="rId183">
              <w:r>
                <w:rPr>
                  <w:rFonts w:ascii="Arial" w:cs="Arial" w:eastAsia="Arial" w:hAnsi="Arial"/>
                  <w:sz w:val="17"/>
                  <w:szCs w:val="17"/>
                  <w:color w:val="0000FF"/>
                  <w:w w:val="94"/>
                </w:rPr>
                <w:t>(incorporated by reference to Exhibit 10.1 of the Company’s Form 8-K filed September 14, 2021).</w:t>
              </w:r>
            </w:hyperlink>
          </w:p>
        </w:tc>
        <w:tc>
          <w:tcPr>
            <w:tcW w:w="20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10.32*</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6"/>
              </w:rPr>
            </w:pPr>
            <w:hyperlink r:id="rId184">
              <w:r>
                <w:rPr>
                  <w:rFonts w:ascii="Arial" w:cs="Arial" w:eastAsia="Arial" w:hAnsi="Arial"/>
                  <w:sz w:val="17"/>
                  <w:szCs w:val="17"/>
                  <w:color w:val="0000FF"/>
                  <w:w w:val="96"/>
                </w:rPr>
                <w:t>Employment Agreement, dated as of November 1, 2016, between Chris B. Walther and the Company (incorporated by reference to</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1"/>
          </w:tcPr>
          <w:p>
            <w:pPr>
              <w:spacing w:after="0" w:line="150" w:lineRule="exact"/>
              <w:rPr>
                <w:rFonts w:ascii="Arial" w:cs="Arial" w:eastAsia="Arial" w:hAnsi="Arial"/>
                <w:sz w:val="17"/>
                <w:szCs w:val="17"/>
                <w:color w:val="0000FF"/>
                <w:w w:val="93"/>
              </w:rPr>
            </w:pPr>
            <w:hyperlink r:id="rId184">
              <w:r>
                <w:rPr>
                  <w:rFonts w:ascii="Arial" w:cs="Arial" w:eastAsia="Arial" w:hAnsi="Arial"/>
                  <w:sz w:val="17"/>
                  <w:szCs w:val="17"/>
                  <w:color w:val="0000FF"/>
                  <w:w w:val="93"/>
                </w:rPr>
                <w:t>Exhibit 10.2 of the Company’s Form 10-Q for the quartered ended March 31, 2019).</w:t>
              </w:r>
            </w:hyperlink>
          </w:p>
        </w:tc>
        <w:tc>
          <w:tcPr>
            <w:tcW w:w="32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10.33*</w:t>
            </w:r>
          </w:p>
        </w:tc>
        <w:tc>
          <w:tcPr>
            <w:tcW w:w="20" w:type="dxa"/>
            <w:vAlign w:val="bottom"/>
          </w:tcPr>
          <w:p>
            <w:pPr>
              <w:spacing w:after="0"/>
              <w:rPr>
                <w:sz w:val="17"/>
                <w:szCs w:val="17"/>
                <w:color w:val="auto"/>
              </w:rPr>
            </w:pPr>
          </w:p>
        </w:tc>
        <w:tc>
          <w:tcPr>
            <w:tcW w:w="9300" w:type="dxa"/>
            <w:vAlign w:val="bottom"/>
            <w:tcBorders>
              <w:bottom w:val="single" w:sz="8" w:color="0000FF"/>
            </w:tcBorders>
            <w:gridSpan w:val="32"/>
          </w:tcPr>
          <w:p>
            <w:pPr>
              <w:spacing w:after="0"/>
              <w:rPr>
                <w:rFonts w:ascii="Arial" w:cs="Arial" w:eastAsia="Arial" w:hAnsi="Arial"/>
                <w:sz w:val="17"/>
                <w:szCs w:val="17"/>
                <w:color w:val="0000FF"/>
                <w:w w:val="93"/>
              </w:rPr>
            </w:pPr>
            <w:hyperlink w:anchor="page338">
              <w:r>
                <w:rPr>
                  <w:rFonts w:ascii="Arial" w:cs="Arial" w:eastAsia="Arial" w:hAnsi="Arial"/>
                  <w:sz w:val="17"/>
                  <w:szCs w:val="17"/>
                  <w:color w:val="0000FF"/>
                  <w:w w:val="93"/>
                </w:rPr>
                <w:t>Non-Affiliated Director Compensation Program and Stock Ownership Guidelines, as amended and restated as of December 3, 2021.</w:t>
              </w:r>
            </w:hyperlink>
          </w:p>
        </w:tc>
        <w:tc>
          <w:tcPr>
            <w:tcW w:w="200" w:type="dxa"/>
            <w:vAlign w:val="bottom"/>
            <w:gridSpan w:val="9"/>
          </w:tcPr>
          <w:p>
            <w:pPr>
              <w:spacing w:after="0"/>
              <w:rPr>
                <w:sz w:val="17"/>
                <w:szCs w:val="17"/>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10.34</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2"/>
              </w:rPr>
            </w:pPr>
            <w:hyperlink r:id="rId185">
              <w:r>
                <w:rPr>
                  <w:rFonts w:ascii="Arial" w:cs="Arial" w:eastAsia="Arial" w:hAnsi="Arial"/>
                  <w:sz w:val="17"/>
                  <w:szCs w:val="17"/>
                  <w:color w:val="0000FF"/>
                  <w:w w:val="92"/>
                </w:rPr>
                <w:t>Credit Agreement, dated as of October 11, 2013, among the Company, as borrower, certain subsidiaries of the Company, as guarantors,</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9"/>
          </w:tcPr>
          <w:p>
            <w:pPr>
              <w:spacing w:after="0" w:line="150" w:lineRule="exact"/>
              <w:rPr>
                <w:rFonts w:ascii="Arial" w:cs="Arial" w:eastAsia="Arial" w:hAnsi="Arial"/>
                <w:sz w:val="17"/>
                <w:szCs w:val="17"/>
                <w:color w:val="0000FF"/>
                <w:w w:val="93"/>
              </w:rPr>
            </w:pPr>
            <w:hyperlink r:id="rId185">
              <w:r>
                <w:rPr>
                  <w:rFonts w:ascii="Arial" w:cs="Arial" w:eastAsia="Arial" w:hAnsi="Arial"/>
                  <w:sz w:val="17"/>
                  <w:szCs w:val="17"/>
                  <w:color w:val="0000FF"/>
                  <w:w w:val="93"/>
                </w:rPr>
                <w:t>a group of lenders, Bank of America, N.A., as administrative agent and collateral agent for the lenders, J.P. Morgan Securities LLC,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36"/>
          </w:tcPr>
          <w:p>
            <w:pPr>
              <w:spacing w:after="0" w:line="150" w:lineRule="exact"/>
              <w:rPr>
                <w:rFonts w:ascii="Arial" w:cs="Arial" w:eastAsia="Arial" w:hAnsi="Arial"/>
                <w:sz w:val="17"/>
                <w:szCs w:val="17"/>
                <w:color w:val="0000FF"/>
                <w:w w:val="94"/>
              </w:rPr>
            </w:pPr>
            <w:hyperlink r:id="rId185">
              <w:r>
                <w:rPr>
                  <w:rFonts w:ascii="Arial" w:cs="Arial" w:eastAsia="Arial" w:hAnsi="Arial"/>
                  <w:sz w:val="17"/>
                  <w:szCs w:val="17"/>
                  <w:color w:val="0000FF"/>
                  <w:w w:val="94"/>
                </w:rPr>
                <w:t>syndication agent, Bank of America Merrill Lynch and J.P. Morgan Securities LLC, as joint lead arrangers and joint bookrunners,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3"/>
          </w:tcPr>
          <w:p>
            <w:pPr>
              <w:spacing w:after="0" w:line="150" w:lineRule="exact"/>
              <w:rPr>
                <w:rFonts w:ascii="Arial" w:cs="Arial" w:eastAsia="Arial" w:hAnsi="Arial"/>
                <w:sz w:val="17"/>
                <w:szCs w:val="17"/>
                <w:color w:val="0000FF"/>
                <w:w w:val="99"/>
              </w:rPr>
            </w:pPr>
            <w:hyperlink r:id="rId185">
              <w:r>
                <w:rPr>
                  <w:rFonts w:ascii="Arial" w:cs="Arial" w:eastAsia="Arial" w:hAnsi="Arial"/>
                  <w:sz w:val="17"/>
                  <w:szCs w:val="17"/>
                  <w:color w:val="0000FF"/>
                  <w:w w:val="99"/>
                </w:rPr>
                <w:t>Goldman Sachs &amp; Co., HSBC Securities (USA) Inc., Mitsubishi UFJ Securities (USA), Inc., Mizuho Securities USA Inc., RBC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23"/>
          </w:tcPr>
          <w:p>
            <w:pPr>
              <w:spacing w:after="0" w:line="150" w:lineRule="exact"/>
              <w:rPr>
                <w:rFonts w:ascii="Arial" w:cs="Arial" w:eastAsia="Arial" w:hAnsi="Arial"/>
                <w:sz w:val="17"/>
                <w:szCs w:val="17"/>
                <w:color w:val="0000FF"/>
                <w:w w:val="93"/>
              </w:rPr>
            </w:pPr>
            <w:hyperlink r:id="rId185">
              <w:r>
                <w:rPr>
                  <w:rFonts w:ascii="Arial" w:cs="Arial" w:eastAsia="Arial" w:hAnsi="Arial"/>
                  <w:sz w:val="17"/>
                  <w:szCs w:val="17"/>
                  <w:color w:val="0000FF"/>
                  <w:w w:val="93"/>
                </w:rPr>
                <w:t>Capital Markets, SunTrust Bank and U.S. Bank National Association, as co-documentation agents (incorporated by reference to</w:t>
              </w:r>
            </w:hyperlink>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9"/>
          </w:tcPr>
          <w:p>
            <w:pPr>
              <w:spacing w:after="0" w:line="150" w:lineRule="exact"/>
              <w:rPr>
                <w:rFonts w:ascii="Arial" w:cs="Arial" w:eastAsia="Arial" w:hAnsi="Arial"/>
                <w:sz w:val="17"/>
                <w:szCs w:val="17"/>
                <w:color w:val="0000FF"/>
                <w:w w:val="94"/>
              </w:rPr>
            </w:pPr>
            <w:hyperlink r:id="rId185">
              <w:r>
                <w:rPr>
                  <w:rFonts w:ascii="Arial" w:cs="Arial" w:eastAsia="Arial" w:hAnsi="Arial"/>
                  <w:sz w:val="17"/>
                  <w:szCs w:val="17"/>
                  <w:color w:val="0000FF"/>
                  <w:w w:val="94"/>
                </w:rPr>
                <w:t>Exhibit 10.1 of the Company’s Form 8-K, filed October 18, 2013).</w:t>
              </w:r>
            </w:hyperlink>
          </w:p>
        </w:tc>
        <w:tc>
          <w:tcPr>
            <w:tcW w:w="4300" w:type="dxa"/>
            <w:vAlign w:val="bottom"/>
            <w:tcBorders>
              <w:top w:val="single" w:sz="8" w:color="0000FF"/>
            </w:tcBorders>
            <w:gridSpan w:val="13"/>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10.35</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5"/>
              </w:rPr>
            </w:pPr>
            <w:hyperlink r:id="rId186">
              <w:r>
                <w:rPr>
                  <w:rFonts w:ascii="Arial" w:cs="Arial" w:eastAsia="Arial" w:hAnsi="Arial"/>
                  <w:sz w:val="17"/>
                  <w:szCs w:val="17"/>
                  <w:color w:val="0000FF"/>
                  <w:w w:val="95"/>
                </w:rPr>
                <w:t>First Amendment to the Credit Agreement, dated as of October 11, 2013, by and among Activision Blizzard, Inc., the guarantors from</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4"/>
          </w:tcPr>
          <w:p>
            <w:pPr>
              <w:spacing w:after="0" w:line="150" w:lineRule="exact"/>
              <w:rPr>
                <w:rFonts w:ascii="Arial" w:cs="Arial" w:eastAsia="Arial" w:hAnsi="Arial"/>
                <w:sz w:val="17"/>
                <w:szCs w:val="17"/>
                <w:color w:val="0000FF"/>
                <w:w w:val="95"/>
              </w:rPr>
            </w:pPr>
            <w:hyperlink r:id="rId186">
              <w:r>
                <w:rPr>
                  <w:rFonts w:ascii="Arial" w:cs="Arial" w:eastAsia="Arial" w:hAnsi="Arial"/>
                  <w:sz w:val="17"/>
                  <w:szCs w:val="17"/>
                  <w:color w:val="0000FF"/>
                  <w:w w:val="95"/>
                </w:rPr>
                <w:t>time to time party thereto, the lenders from time to time party thereto, Bank of America, N.A., as administrative agent and collateral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9"/>
          </w:tcPr>
          <w:p>
            <w:pPr>
              <w:spacing w:after="0" w:line="150" w:lineRule="exact"/>
              <w:rPr>
                <w:rFonts w:ascii="Arial" w:cs="Arial" w:eastAsia="Arial" w:hAnsi="Arial"/>
                <w:sz w:val="17"/>
                <w:szCs w:val="17"/>
                <w:color w:val="0000FF"/>
                <w:w w:val="98"/>
              </w:rPr>
            </w:pPr>
            <w:hyperlink r:id="rId186">
              <w:r>
                <w:rPr>
                  <w:rFonts w:ascii="Arial" w:cs="Arial" w:eastAsia="Arial" w:hAnsi="Arial"/>
                  <w:sz w:val="17"/>
                  <w:szCs w:val="17"/>
                  <w:color w:val="0000FF"/>
                  <w:w w:val="98"/>
                </w:rPr>
                <w:t>agent, and the several other agents party thereto (incorporated by reference to Exhibit 10.1 of the Company’s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r:id="rId186">
              <w:r>
                <w:rPr>
                  <w:rFonts w:ascii="Arial" w:cs="Arial" w:eastAsia="Arial" w:hAnsi="Arial"/>
                  <w:sz w:val="17"/>
                  <w:szCs w:val="17"/>
                  <w:color w:val="0000FF"/>
                </w:rPr>
                <w:t>November 3, 2015).</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10.36</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6"/>
              </w:rPr>
            </w:pPr>
            <w:hyperlink r:id="rId187">
              <w:r>
                <w:rPr>
                  <w:rFonts w:ascii="Arial" w:cs="Arial" w:eastAsia="Arial" w:hAnsi="Arial"/>
                  <w:sz w:val="17"/>
                  <w:szCs w:val="17"/>
                  <w:color w:val="0000FF"/>
                  <w:w w:val="96"/>
                </w:rPr>
                <w:t>Second Amendment to the Credit Agreement, dated as of October 11, 2013, by and among Activision Blizzard, Inc., the guarantors</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7"/>
          </w:tcPr>
          <w:p>
            <w:pPr>
              <w:spacing w:after="0" w:line="150" w:lineRule="exact"/>
              <w:rPr>
                <w:rFonts w:ascii="Arial" w:cs="Arial" w:eastAsia="Arial" w:hAnsi="Arial"/>
                <w:sz w:val="17"/>
                <w:szCs w:val="17"/>
                <w:color w:val="0000FF"/>
                <w:w w:val="96"/>
              </w:rPr>
            </w:pPr>
            <w:hyperlink r:id="rId187">
              <w:r>
                <w:rPr>
                  <w:rFonts w:ascii="Arial" w:cs="Arial" w:eastAsia="Arial" w:hAnsi="Arial"/>
                  <w:sz w:val="17"/>
                  <w:szCs w:val="17"/>
                  <w:color w:val="0000FF"/>
                  <w:w w:val="96"/>
                </w:rPr>
                <w:t>from time to time party thereto, the lenders from time to time party thereto, Bank of America, N.A., as administrative agent and</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0" w:lineRule="exact"/>
              <w:rPr>
                <w:rFonts w:ascii="Arial" w:cs="Arial" w:eastAsia="Arial" w:hAnsi="Arial"/>
                <w:sz w:val="17"/>
                <w:szCs w:val="17"/>
                <w:color w:val="0000FF"/>
                <w:w w:val="92"/>
              </w:rPr>
            </w:pPr>
            <w:hyperlink r:id="rId187">
              <w:r>
                <w:rPr>
                  <w:rFonts w:ascii="Arial" w:cs="Arial" w:eastAsia="Arial" w:hAnsi="Arial"/>
                  <w:sz w:val="17"/>
                  <w:szCs w:val="17"/>
                  <w:color w:val="0000FF"/>
                  <w:w w:val="92"/>
                </w:rPr>
                <w:t>collateral agent, and the several other agents party thereto (incorporated by reference to Exhibit 10.1 of the Company’s Form 8-</w:t>
              </w:r>
            </w:hyperlink>
          </w:p>
        </w:tc>
        <w:tc>
          <w:tcPr>
            <w:tcW w:w="580" w:type="dxa"/>
            <w:vAlign w:val="bottom"/>
            <w:gridSpan w:val="21"/>
          </w:tcPr>
          <w:p>
            <w:pPr>
              <w:spacing w:after="0" w:line="150" w:lineRule="exact"/>
              <w:rPr>
                <w:rFonts w:ascii="Arial" w:cs="Arial" w:eastAsia="Arial" w:hAnsi="Arial"/>
                <w:sz w:val="17"/>
                <w:szCs w:val="17"/>
                <w:color w:val="0000FF"/>
              </w:rPr>
            </w:pPr>
            <w:hyperlink r:id="rId187">
              <w:r>
                <w:rPr>
                  <w:rFonts w:ascii="Arial" w:cs="Arial" w:eastAsia="Arial" w:hAnsi="Arial"/>
                  <w:sz w:val="17"/>
                  <w:szCs w:val="17"/>
                  <w:color w:val="0000FF"/>
                </w:rPr>
                <w:t>K, filed</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40"/>
          </w:tcPr>
          <w:p>
            <w:pPr>
              <w:spacing w:after="0" w:line="150" w:lineRule="exact"/>
              <w:rPr>
                <w:rFonts w:ascii="Arial" w:cs="Arial" w:eastAsia="Arial" w:hAnsi="Arial"/>
                <w:sz w:val="17"/>
                <w:szCs w:val="17"/>
                <w:color w:val="0000FF"/>
              </w:rPr>
            </w:pPr>
            <w:hyperlink r:id="rId187">
              <w:r>
                <w:rPr>
                  <w:rFonts w:ascii="Arial" w:cs="Arial" w:eastAsia="Arial" w:hAnsi="Arial"/>
                  <w:sz w:val="17"/>
                  <w:szCs w:val="17"/>
                  <w:color w:val="0000FF"/>
                </w:rPr>
                <w:t>November 17, 2015).</w:t>
              </w:r>
            </w:hyperlink>
          </w:p>
        </w:tc>
        <w:tc>
          <w:tcPr>
            <w:tcW w:w="2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10.37</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4"/>
              </w:rPr>
            </w:pPr>
            <w:hyperlink r:id="rId188">
              <w:r>
                <w:rPr>
                  <w:rFonts w:ascii="Arial" w:cs="Arial" w:eastAsia="Arial" w:hAnsi="Arial"/>
                  <w:sz w:val="17"/>
                  <w:szCs w:val="17"/>
                  <w:color w:val="0000FF"/>
                  <w:w w:val="94"/>
                </w:rPr>
                <w:t>Third Amendment to the Credit Agreement, dated as of October 11, 2013, by and among Activision Blizzard, Inc., the guarantors from</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8"/>
          </w:tcPr>
          <w:p>
            <w:pPr>
              <w:spacing w:after="0" w:line="150" w:lineRule="exact"/>
              <w:rPr>
                <w:rFonts w:ascii="Arial" w:cs="Arial" w:eastAsia="Arial" w:hAnsi="Arial"/>
                <w:sz w:val="17"/>
                <w:szCs w:val="17"/>
                <w:color w:val="0000FF"/>
                <w:w w:val="96"/>
              </w:rPr>
            </w:pPr>
            <w:hyperlink r:id="rId188">
              <w:r>
                <w:rPr>
                  <w:rFonts w:ascii="Arial" w:cs="Arial" w:eastAsia="Arial" w:hAnsi="Arial"/>
                  <w:sz w:val="17"/>
                  <w:szCs w:val="17"/>
                  <w:color w:val="0000FF"/>
                  <w:w w:val="96"/>
                </w:rPr>
                <w:t>time to time party thereto, the lenders from time to time party thereto, Bank of America, N.A., as administrative agent and collateral</w:t>
              </w:r>
            </w:hyperlink>
          </w:p>
        </w:tc>
        <w:tc>
          <w:tcPr>
            <w:tcW w:w="60" w:type="dxa"/>
            <w:vAlign w:val="bottom"/>
            <w:gridSpan w:val="3"/>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9"/>
          </w:tcPr>
          <w:p>
            <w:pPr>
              <w:spacing w:after="0" w:line="150" w:lineRule="exact"/>
              <w:rPr>
                <w:rFonts w:ascii="Arial" w:cs="Arial" w:eastAsia="Arial" w:hAnsi="Arial"/>
                <w:sz w:val="17"/>
                <w:szCs w:val="17"/>
                <w:color w:val="0000FF"/>
                <w:w w:val="98"/>
              </w:rPr>
            </w:pPr>
            <w:hyperlink r:id="rId188">
              <w:r>
                <w:rPr>
                  <w:rFonts w:ascii="Arial" w:cs="Arial" w:eastAsia="Arial" w:hAnsi="Arial"/>
                  <w:sz w:val="17"/>
                  <w:szCs w:val="17"/>
                  <w:color w:val="0000FF"/>
                  <w:w w:val="98"/>
                </w:rPr>
                <w:t>agent, and the several other agents party thereto (incorporated by reference to Exhibit 10.1 of the Company’s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7"/>
          </w:tcPr>
          <w:p>
            <w:pPr>
              <w:spacing w:after="0" w:line="150" w:lineRule="exact"/>
              <w:rPr>
                <w:rFonts w:ascii="Arial" w:cs="Arial" w:eastAsia="Arial" w:hAnsi="Arial"/>
                <w:sz w:val="17"/>
                <w:szCs w:val="17"/>
                <w:color w:val="0000FF"/>
              </w:rPr>
            </w:pPr>
            <w:hyperlink r:id="rId188">
              <w:r>
                <w:rPr>
                  <w:rFonts w:ascii="Arial" w:cs="Arial" w:eastAsia="Arial" w:hAnsi="Arial"/>
                  <w:sz w:val="17"/>
                  <w:szCs w:val="17"/>
                  <w:color w:val="0000FF"/>
                </w:rPr>
                <w:t>December 14, 2015).</w:t>
              </w:r>
            </w:hyperlink>
          </w:p>
        </w:tc>
        <w:tc>
          <w:tcPr>
            <w:tcW w:w="24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10.38</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7"/>
              </w:rPr>
            </w:pPr>
            <w:hyperlink r:id="rId189">
              <w:r>
                <w:rPr>
                  <w:rFonts w:ascii="Arial" w:cs="Arial" w:eastAsia="Arial" w:hAnsi="Arial"/>
                  <w:sz w:val="17"/>
                  <w:szCs w:val="17"/>
                  <w:color w:val="0000FF"/>
                  <w:w w:val="97"/>
                </w:rPr>
                <w:t>Fourth Amendment to the Credit Agreement, dated as of October 11, 2013, by and among Activision Blizzard, Inc., the guarantors</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5"/>
          </w:tcPr>
          <w:p>
            <w:pPr>
              <w:spacing w:after="0" w:line="150" w:lineRule="exact"/>
              <w:rPr>
                <w:rFonts w:ascii="Arial" w:cs="Arial" w:eastAsia="Arial" w:hAnsi="Arial"/>
                <w:sz w:val="17"/>
                <w:szCs w:val="17"/>
                <w:color w:val="0000FF"/>
                <w:w w:val="96"/>
              </w:rPr>
            </w:pPr>
            <w:hyperlink r:id="rId189">
              <w:r>
                <w:rPr>
                  <w:rFonts w:ascii="Arial" w:cs="Arial" w:eastAsia="Arial" w:hAnsi="Arial"/>
                  <w:sz w:val="17"/>
                  <w:szCs w:val="17"/>
                  <w:color w:val="0000FF"/>
                  <w:w w:val="96"/>
                </w:rPr>
                <w:t>from time to time party thereto, the lenders from time to time party thereto, Bank of America, N.A., as administrative agent and</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0" w:lineRule="exact"/>
              <w:rPr>
                <w:rFonts w:ascii="Arial" w:cs="Arial" w:eastAsia="Arial" w:hAnsi="Arial"/>
                <w:sz w:val="17"/>
                <w:szCs w:val="17"/>
                <w:color w:val="0000FF"/>
                <w:w w:val="92"/>
              </w:rPr>
            </w:pPr>
            <w:hyperlink r:id="rId189">
              <w:r>
                <w:rPr>
                  <w:rFonts w:ascii="Arial" w:cs="Arial" w:eastAsia="Arial" w:hAnsi="Arial"/>
                  <w:sz w:val="17"/>
                  <w:szCs w:val="17"/>
                  <w:color w:val="0000FF"/>
                  <w:w w:val="92"/>
                </w:rPr>
                <w:t>collateral agent, and the several other agents party thereto (incorporated by reference to Exhibit 10.1 of the Company’s Form 8-</w:t>
              </w:r>
            </w:hyperlink>
          </w:p>
        </w:tc>
        <w:tc>
          <w:tcPr>
            <w:tcW w:w="580" w:type="dxa"/>
            <w:vAlign w:val="bottom"/>
            <w:gridSpan w:val="21"/>
          </w:tcPr>
          <w:p>
            <w:pPr>
              <w:spacing w:after="0" w:line="150" w:lineRule="exact"/>
              <w:rPr>
                <w:rFonts w:ascii="Arial" w:cs="Arial" w:eastAsia="Arial" w:hAnsi="Arial"/>
                <w:sz w:val="17"/>
                <w:szCs w:val="17"/>
                <w:color w:val="0000FF"/>
              </w:rPr>
            </w:pPr>
            <w:hyperlink r:id="rId189">
              <w:r>
                <w:rPr>
                  <w:rFonts w:ascii="Arial" w:cs="Arial" w:eastAsia="Arial" w:hAnsi="Arial"/>
                  <w:sz w:val="17"/>
                  <w:szCs w:val="17"/>
                  <w:color w:val="0000FF"/>
                </w:rPr>
                <w:t>K, filed</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6"/>
              </w:rPr>
            </w:pPr>
            <w:hyperlink r:id="rId189">
              <w:r>
                <w:rPr>
                  <w:rFonts w:ascii="Arial" w:cs="Arial" w:eastAsia="Arial" w:hAnsi="Arial"/>
                  <w:sz w:val="17"/>
                  <w:szCs w:val="17"/>
                  <w:color w:val="0000FF"/>
                  <w:w w:val="96"/>
                </w:rPr>
                <w:t>April 1, 2016).</w:t>
              </w:r>
            </w:hyperlink>
          </w:p>
        </w:tc>
        <w:tc>
          <w:tcPr>
            <w:tcW w:w="844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10.39</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5"/>
              </w:rPr>
            </w:pPr>
            <w:hyperlink r:id="rId190">
              <w:r>
                <w:rPr>
                  <w:rFonts w:ascii="Arial" w:cs="Arial" w:eastAsia="Arial" w:hAnsi="Arial"/>
                  <w:sz w:val="17"/>
                  <w:szCs w:val="17"/>
                  <w:color w:val="0000FF"/>
                  <w:w w:val="95"/>
                </w:rPr>
                <w:t>Fifth Amendment to the Credit Agreement, dated as of October 11, 2013, by and among Activision Blizzard, Inc., the guarantors from</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5"/>
          </w:tcPr>
          <w:p>
            <w:pPr>
              <w:spacing w:after="0" w:line="150" w:lineRule="exact"/>
              <w:rPr>
                <w:rFonts w:ascii="Arial" w:cs="Arial" w:eastAsia="Arial" w:hAnsi="Arial"/>
                <w:sz w:val="17"/>
                <w:szCs w:val="17"/>
                <w:color w:val="0000FF"/>
                <w:w w:val="95"/>
              </w:rPr>
            </w:pPr>
            <w:hyperlink r:id="rId190">
              <w:r>
                <w:rPr>
                  <w:rFonts w:ascii="Arial" w:cs="Arial" w:eastAsia="Arial" w:hAnsi="Arial"/>
                  <w:sz w:val="17"/>
                  <w:szCs w:val="17"/>
                  <w:color w:val="0000FF"/>
                  <w:w w:val="95"/>
                </w:rPr>
                <w:t>time to time party thereto, the lenders from time to time party thereto, Bank of America, N.A., as administrative agent and collateral</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30"/>
          </w:tcPr>
          <w:p>
            <w:pPr>
              <w:spacing w:after="0" w:line="150" w:lineRule="exact"/>
              <w:rPr>
                <w:rFonts w:ascii="Arial" w:cs="Arial" w:eastAsia="Arial" w:hAnsi="Arial"/>
                <w:sz w:val="17"/>
                <w:szCs w:val="17"/>
                <w:color w:val="0000FF"/>
                <w:w w:val="92"/>
              </w:rPr>
            </w:pPr>
            <w:hyperlink r:id="rId190">
              <w:r>
                <w:rPr>
                  <w:rFonts w:ascii="Arial" w:cs="Arial" w:eastAsia="Arial" w:hAnsi="Arial"/>
                  <w:sz w:val="17"/>
                  <w:szCs w:val="17"/>
                  <w:color w:val="0000FF"/>
                  <w:w w:val="92"/>
                </w:rPr>
                <w:t>agent, and the several other agents party thereto (incorporated by reference to Exhibit 10.1 of the Company’s Form 8-K, filed August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0000FF"/>
            </w:tcBorders>
            <w:gridSpan w:val="2"/>
          </w:tcPr>
          <w:p>
            <w:pPr>
              <w:spacing w:after="0" w:line="150" w:lineRule="exact"/>
              <w:rPr>
                <w:rFonts w:ascii="Arial" w:cs="Arial" w:eastAsia="Arial" w:hAnsi="Arial"/>
                <w:sz w:val="17"/>
                <w:szCs w:val="17"/>
                <w:color w:val="0000FF"/>
                <w:w w:val="88"/>
              </w:rPr>
            </w:pPr>
            <w:hyperlink r:id="rId190">
              <w:r>
                <w:rPr>
                  <w:rFonts w:ascii="Arial" w:cs="Arial" w:eastAsia="Arial" w:hAnsi="Arial"/>
                  <w:sz w:val="17"/>
                  <w:szCs w:val="17"/>
                  <w:color w:val="0000FF"/>
                  <w:w w:val="88"/>
                </w:rPr>
                <w:t>24, 2016).</w:t>
              </w:r>
            </w:hyperlink>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10.40</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4"/>
              </w:rPr>
            </w:pPr>
            <w:hyperlink r:id="rId191">
              <w:r>
                <w:rPr>
                  <w:rFonts w:ascii="Arial" w:cs="Arial" w:eastAsia="Arial" w:hAnsi="Arial"/>
                  <w:sz w:val="17"/>
                  <w:szCs w:val="17"/>
                  <w:color w:val="0000FF"/>
                  <w:w w:val="94"/>
                </w:rPr>
                <w:t>Sixth Amendment to the Credit Agreement, dated as of October 11, 2013, by and among Activision Blizzard, Inc., the guarantors from</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30"/>
          </w:tcPr>
          <w:p>
            <w:pPr>
              <w:spacing w:after="0" w:line="150" w:lineRule="exact"/>
              <w:rPr>
                <w:rFonts w:ascii="Arial" w:cs="Arial" w:eastAsia="Arial" w:hAnsi="Arial"/>
                <w:sz w:val="17"/>
                <w:szCs w:val="17"/>
                <w:color w:val="0000FF"/>
                <w:w w:val="94"/>
              </w:rPr>
            </w:pPr>
            <w:hyperlink r:id="rId191">
              <w:r>
                <w:rPr>
                  <w:rFonts w:ascii="Arial" w:cs="Arial" w:eastAsia="Arial" w:hAnsi="Arial"/>
                  <w:sz w:val="17"/>
                  <w:szCs w:val="17"/>
                  <w:color w:val="0000FF"/>
                  <w:w w:val="94"/>
                </w:rPr>
                <w:t>time to time party thereto, the lenders from time to time party thereto, Bank of America, N.A., as administrative agent and collateral</w:t>
              </w:r>
            </w:hyperlink>
          </w:p>
        </w:tc>
        <w:tc>
          <w:tcPr>
            <w:tcW w:w="16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41"/>
          </w:tcPr>
          <w:p>
            <w:pPr>
              <w:spacing w:after="0" w:line="150" w:lineRule="exact"/>
              <w:rPr>
                <w:rFonts w:ascii="Arial" w:cs="Arial" w:eastAsia="Arial" w:hAnsi="Arial"/>
                <w:sz w:val="17"/>
                <w:szCs w:val="17"/>
                <w:color w:val="0000FF"/>
                <w:w w:val="93"/>
              </w:rPr>
            </w:pPr>
            <w:hyperlink r:id="rId191">
              <w:r>
                <w:rPr>
                  <w:rFonts w:ascii="Arial" w:cs="Arial" w:eastAsia="Arial" w:hAnsi="Arial"/>
                  <w:sz w:val="17"/>
                  <w:szCs w:val="17"/>
                  <w:color w:val="0000FF"/>
                  <w:w w:val="93"/>
                </w:rPr>
                <w:t>agent, and the several other agents party thereto (incorporated by reference to Exhibit 10.1 of the Company’s Form 8-K, filed February</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89"/>
              </w:rPr>
            </w:pPr>
            <w:hyperlink r:id="rId191">
              <w:r>
                <w:rPr>
                  <w:rFonts w:ascii="Arial" w:cs="Arial" w:eastAsia="Arial" w:hAnsi="Arial"/>
                  <w:sz w:val="17"/>
                  <w:szCs w:val="17"/>
                  <w:color w:val="0000FF"/>
                  <w:w w:val="89"/>
                </w:rPr>
                <w:t>6, 2017).</w:t>
              </w:r>
            </w:hyperlink>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10.41</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5"/>
              </w:rPr>
            </w:pPr>
            <w:hyperlink r:id="rId192">
              <w:r>
                <w:rPr>
                  <w:rFonts w:ascii="Arial" w:cs="Arial" w:eastAsia="Arial" w:hAnsi="Arial"/>
                  <w:sz w:val="17"/>
                  <w:szCs w:val="17"/>
                  <w:color w:val="0000FF"/>
                  <w:w w:val="95"/>
                </w:rPr>
                <w:t>Seventh Amendment to the Credit Agreement, dated as of October 11, 2013, by and among Activision Blizzard, Inc., the guarantors</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8"/>
          </w:tcPr>
          <w:p>
            <w:pPr>
              <w:spacing w:after="0" w:line="150" w:lineRule="exact"/>
              <w:rPr>
                <w:rFonts w:ascii="Arial" w:cs="Arial" w:eastAsia="Arial" w:hAnsi="Arial"/>
                <w:sz w:val="17"/>
                <w:szCs w:val="17"/>
                <w:color w:val="0000FF"/>
                <w:w w:val="97"/>
              </w:rPr>
            </w:pPr>
            <w:hyperlink r:id="rId192">
              <w:r>
                <w:rPr>
                  <w:rFonts w:ascii="Arial" w:cs="Arial" w:eastAsia="Arial" w:hAnsi="Arial"/>
                  <w:sz w:val="17"/>
                  <w:szCs w:val="17"/>
                  <w:color w:val="0000FF"/>
                  <w:w w:val="97"/>
                </w:rPr>
                <w:t>from time to time party thereto, the lenders from time to time party thereto, Bank of America, N.A., as administrative agent and</w:t>
              </w:r>
            </w:hyperlink>
          </w:p>
        </w:tc>
        <w:tc>
          <w:tcPr>
            <w:tcW w:w="60" w:type="dxa"/>
            <w:vAlign w:val="bottom"/>
            <w:gridSpan w:val="3"/>
          </w:tcPr>
          <w:p>
            <w:pPr>
              <w:spacing w:after="0"/>
              <w:rPr>
                <w:sz w:val="13"/>
                <w:szCs w:val="13"/>
                <w:color w:val="auto"/>
              </w:rPr>
            </w:pPr>
          </w:p>
        </w:tc>
        <w:tc>
          <w:tcPr>
            <w:tcW w:w="220" w:type="dxa"/>
            <w:vAlign w:val="bottom"/>
            <w:gridSpan w:val="10"/>
          </w:tcPr>
          <w:p>
            <w:pPr>
              <w:spacing w:after="0"/>
              <w:rPr>
                <w:sz w:val="13"/>
                <w:szCs w:val="13"/>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0" w:lineRule="exact"/>
              <w:rPr>
                <w:rFonts w:ascii="Arial" w:cs="Arial" w:eastAsia="Arial" w:hAnsi="Arial"/>
                <w:sz w:val="17"/>
                <w:szCs w:val="17"/>
                <w:color w:val="0000FF"/>
                <w:w w:val="92"/>
              </w:rPr>
            </w:pPr>
            <w:hyperlink r:id="rId192">
              <w:r>
                <w:rPr>
                  <w:rFonts w:ascii="Arial" w:cs="Arial" w:eastAsia="Arial" w:hAnsi="Arial"/>
                  <w:sz w:val="17"/>
                  <w:szCs w:val="17"/>
                  <w:color w:val="0000FF"/>
                  <w:w w:val="92"/>
                </w:rPr>
                <w:t>collateral agent, and the several other agents party thereto (incorporated by reference to Exhibit 10.1 of the Company’s Form 8-</w:t>
              </w:r>
            </w:hyperlink>
          </w:p>
        </w:tc>
        <w:tc>
          <w:tcPr>
            <w:tcW w:w="580" w:type="dxa"/>
            <w:vAlign w:val="bottom"/>
            <w:gridSpan w:val="21"/>
          </w:tcPr>
          <w:p>
            <w:pPr>
              <w:spacing w:after="0" w:line="150" w:lineRule="exact"/>
              <w:rPr>
                <w:rFonts w:ascii="Arial" w:cs="Arial" w:eastAsia="Arial" w:hAnsi="Arial"/>
                <w:sz w:val="17"/>
                <w:szCs w:val="17"/>
                <w:color w:val="0000FF"/>
              </w:rPr>
            </w:pPr>
            <w:hyperlink r:id="rId192">
              <w:r>
                <w:rPr>
                  <w:rFonts w:ascii="Arial" w:cs="Arial" w:eastAsia="Arial" w:hAnsi="Arial"/>
                  <w:sz w:val="17"/>
                  <w:szCs w:val="17"/>
                  <w:color w:val="0000FF"/>
                </w:rPr>
                <w:t>K, filed</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2"/>
              </w:rPr>
            </w:pPr>
            <w:hyperlink r:id="rId192">
              <w:r>
                <w:rPr>
                  <w:rFonts w:ascii="Arial" w:cs="Arial" w:eastAsia="Arial" w:hAnsi="Arial"/>
                  <w:sz w:val="17"/>
                  <w:szCs w:val="17"/>
                  <w:color w:val="0000FF"/>
                  <w:w w:val="92"/>
                </w:rPr>
                <w:t>August 29, 2018).</w:t>
              </w:r>
            </w:hyperlink>
          </w:p>
        </w:tc>
        <w:tc>
          <w:tcPr>
            <w:tcW w:w="822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21.1</w:t>
            </w:r>
          </w:p>
        </w:tc>
        <w:tc>
          <w:tcPr>
            <w:tcW w:w="2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rPr>
                <w:rFonts w:ascii="Arial" w:cs="Arial" w:eastAsia="Arial" w:hAnsi="Arial"/>
                <w:sz w:val="17"/>
                <w:szCs w:val="17"/>
                <w:color w:val="0000FF"/>
                <w:w w:val="91"/>
              </w:rPr>
            </w:pPr>
            <w:hyperlink w:anchor="page341">
              <w:r>
                <w:rPr>
                  <w:rFonts w:ascii="Arial" w:cs="Arial" w:eastAsia="Arial" w:hAnsi="Arial"/>
                  <w:sz w:val="17"/>
                  <w:szCs w:val="17"/>
                  <w:color w:val="0000FF"/>
                  <w:w w:val="91"/>
                </w:rPr>
                <w:t>Subsidiaries of the Company.</w:t>
              </w:r>
            </w:hyperlink>
          </w:p>
        </w:tc>
        <w:tc>
          <w:tcPr>
            <w:tcW w:w="7440" w:type="dxa"/>
            <w:vAlign w:val="bottom"/>
            <w:gridSpan w:val="34"/>
          </w:tcPr>
          <w:p>
            <w:pPr>
              <w:spacing w:after="0"/>
              <w:rPr>
                <w:sz w:val="17"/>
                <w:szCs w:val="17"/>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rPr>
            </w:pPr>
            <w:hyperlink w:anchor="page342">
              <w:r>
                <w:rPr>
                  <w:rFonts w:ascii="Arial" w:cs="Arial" w:eastAsia="Arial" w:hAnsi="Arial"/>
                  <w:sz w:val="17"/>
                  <w:szCs w:val="17"/>
                  <w:color w:val="0000FF"/>
                </w:rPr>
                <w:t>Consent of Independent Registered Public Accounting Firm (PricewaterhouseCoopers LLP).</w:t>
              </w:r>
            </w:hyperlink>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8"/>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rPr>
                <w:sz w:val="17"/>
                <w:szCs w:val="17"/>
                <w:color w:val="auto"/>
              </w:rPr>
            </w:pPr>
          </w:p>
        </w:tc>
        <w:tc>
          <w:tcPr>
            <w:tcW w:w="8160" w:type="dxa"/>
            <w:vAlign w:val="bottom"/>
            <w:tcBorders>
              <w:bottom w:val="single" w:sz="8" w:color="0000FF"/>
            </w:tcBorders>
            <w:gridSpan w:val="16"/>
          </w:tcPr>
          <w:p>
            <w:pPr>
              <w:spacing w:after="0"/>
              <w:rPr>
                <w:rFonts w:ascii="Arial" w:cs="Arial" w:eastAsia="Arial" w:hAnsi="Arial"/>
                <w:sz w:val="17"/>
                <w:szCs w:val="17"/>
                <w:color w:val="0000FF"/>
                <w:w w:val="94"/>
              </w:rPr>
            </w:pPr>
            <w:hyperlink w:anchor="page123">
              <w:r>
                <w:rPr>
                  <w:rFonts w:ascii="Arial" w:cs="Arial" w:eastAsia="Arial" w:hAnsi="Arial"/>
                  <w:sz w:val="17"/>
                  <w:szCs w:val="17"/>
                  <w:color w:val="0000FF"/>
                  <w:w w:val="94"/>
                </w:rPr>
                <w:t>Power of Attorney of each Executive Officer and Director signing this report (included in the signature page hereto).</w:t>
              </w:r>
            </w:hyperlink>
          </w:p>
        </w:tc>
        <w:tc>
          <w:tcPr>
            <w:tcW w:w="1340" w:type="dxa"/>
            <w:vAlign w:val="bottom"/>
            <w:gridSpan w:val="25"/>
          </w:tcPr>
          <w:p>
            <w:pPr>
              <w:spacing w:after="0"/>
              <w:rPr>
                <w:sz w:val="17"/>
                <w:szCs w:val="17"/>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5"/>
              </w:rPr>
            </w:pPr>
            <w:hyperlink w:anchor="page343">
              <w:r>
                <w:rPr>
                  <w:rFonts w:ascii="Arial" w:cs="Arial" w:eastAsia="Arial" w:hAnsi="Arial"/>
                  <w:sz w:val="17"/>
                  <w:szCs w:val="17"/>
                  <w:color w:val="0000FF"/>
                  <w:w w:val="95"/>
                </w:rPr>
                <w:t>Certification of Robert A. Kotick pursuant to Rule 13a-14(a) under the Securities and Exchange Act of 1934, as adopted pursuant to</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w w:val="92"/>
              </w:rPr>
            </w:pPr>
            <w:hyperlink w:anchor="page343">
              <w:r>
                <w:rPr>
                  <w:rFonts w:ascii="Arial" w:cs="Arial" w:eastAsia="Arial" w:hAnsi="Arial"/>
                  <w:sz w:val="17"/>
                  <w:szCs w:val="17"/>
                  <w:color w:val="0000FF"/>
                  <w:w w:val="92"/>
                </w:rPr>
                <w:t>Section 302 of the Sarbanes-Oxley Act of 2002.</w:t>
              </w:r>
            </w:hyperlink>
          </w:p>
        </w:tc>
        <w:tc>
          <w:tcPr>
            <w:tcW w:w="5920" w:type="dxa"/>
            <w:vAlign w:val="bottom"/>
            <w:tcBorders>
              <w:top w:val="single" w:sz="8" w:color="0000FF"/>
            </w:tcBorders>
            <w:gridSpan w:val="23"/>
          </w:tcPr>
          <w:p>
            <w:pPr>
              <w:spacing w:after="0"/>
              <w:rPr>
                <w:sz w:val="13"/>
                <w:szCs w:val="13"/>
                <w:color w:val="auto"/>
              </w:rPr>
            </w:pPr>
          </w:p>
        </w:tc>
        <w:tc>
          <w:tcPr>
            <w:tcW w:w="220" w:type="dxa"/>
            <w:vAlign w:val="bottom"/>
            <w:gridSpan w:val="10"/>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31.2</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w w:val="99"/>
              </w:rPr>
            </w:pPr>
            <w:hyperlink w:anchor="page344">
              <w:r>
                <w:rPr>
                  <w:rFonts w:ascii="Arial" w:cs="Arial" w:eastAsia="Arial" w:hAnsi="Arial"/>
                  <w:sz w:val="17"/>
                  <w:szCs w:val="17"/>
                  <w:color w:val="0000FF"/>
                  <w:w w:val="99"/>
                </w:rPr>
                <w:t>Certification of Armin Zerza pursuant to Rule 13a-14(a) under the Securities and Exchange Act of 1934, as adopted pursuant to</w:t>
              </w:r>
            </w:hyperlink>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w w:val="92"/>
              </w:rPr>
            </w:pPr>
            <w:hyperlink w:anchor="page344">
              <w:r>
                <w:rPr>
                  <w:rFonts w:ascii="Arial" w:cs="Arial" w:eastAsia="Arial" w:hAnsi="Arial"/>
                  <w:sz w:val="17"/>
                  <w:szCs w:val="17"/>
                  <w:color w:val="0000FF"/>
                  <w:w w:val="92"/>
                </w:rPr>
                <w:t>Section 302 of the Sarbanes-Oxley Act of 2002.</w:t>
              </w:r>
            </w:hyperlink>
          </w:p>
        </w:tc>
        <w:tc>
          <w:tcPr>
            <w:tcW w:w="5580" w:type="dxa"/>
            <w:vAlign w:val="bottom"/>
            <w:tcBorders>
              <w:top w:val="single" w:sz="8" w:color="0000FF"/>
            </w:tcBorders>
            <w:gridSpan w:val="13"/>
          </w:tcPr>
          <w:p>
            <w:pPr>
              <w:spacing w:after="0"/>
              <w:rPr>
                <w:sz w:val="13"/>
                <w:szCs w:val="13"/>
                <w:color w:val="auto"/>
              </w:rPr>
            </w:pPr>
          </w:p>
        </w:tc>
        <w:tc>
          <w:tcPr>
            <w:tcW w:w="560" w:type="dxa"/>
            <w:vAlign w:val="bottom"/>
            <w:gridSpan w:val="20"/>
          </w:tcPr>
          <w:p>
            <w:pPr>
              <w:spacing w:after="0"/>
              <w:rPr>
                <w:sz w:val="13"/>
                <w:szCs w:val="13"/>
                <w:color w:val="auto"/>
              </w:rPr>
            </w:pPr>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17"/>
                <w:szCs w:val="17"/>
                <w:color w:val="auto"/>
              </w:rPr>
            </w:pPr>
          </w:p>
        </w:tc>
        <w:tc>
          <w:tcPr>
            <w:tcW w:w="9500" w:type="dxa"/>
            <w:vAlign w:val="bottom"/>
            <w:gridSpan w:val="41"/>
          </w:tcPr>
          <w:p>
            <w:pPr>
              <w:spacing w:after="0"/>
              <w:rPr>
                <w:rFonts w:ascii="Arial" w:cs="Arial" w:eastAsia="Arial" w:hAnsi="Arial"/>
                <w:sz w:val="17"/>
                <w:szCs w:val="17"/>
                <w:color w:val="0000FF"/>
              </w:rPr>
            </w:pPr>
            <w:hyperlink w:anchor="page345">
              <w:r>
                <w:rPr>
                  <w:rFonts w:ascii="Arial" w:cs="Arial" w:eastAsia="Arial" w:hAnsi="Arial"/>
                  <w:sz w:val="17"/>
                  <w:szCs w:val="17"/>
                  <w:color w:val="0000FF"/>
                </w:rPr>
                <w:t>Certification of Robert A. Kotick pursuant to Section 906 of the Sarbanes-Oxley Act of 2002.</w:t>
              </w:r>
            </w:hyperlink>
          </w:p>
        </w:tc>
      </w:tr>
      <w:tr>
        <w:trPr>
          <w:trHeight w:val="20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32.2</w:t>
            </w:r>
          </w:p>
        </w:tc>
        <w:tc>
          <w:tcPr>
            <w:tcW w:w="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12"/>
          </w:tcPr>
          <w:p>
            <w:pPr>
              <w:spacing w:after="0"/>
              <w:rPr>
                <w:rFonts w:ascii="Arial" w:cs="Arial" w:eastAsia="Arial" w:hAnsi="Arial"/>
                <w:sz w:val="17"/>
                <w:szCs w:val="17"/>
                <w:color w:val="0000FF"/>
                <w:w w:val="94"/>
              </w:rPr>
            </w:pPr>
            <w:hyperlink w:anchor="page346">
              <w:r>
                <w:rPr>
                  <w:rFonts w:ascii="Arial" w:cs="Arial" w:eastAsia="Arial" w:hAnsi="Arial"/>
                  <w:sz w:val="17"/>
                  <w:szCs w:val="17"/>
                  <w:color w:val="0000FF"/>
                  <w:w w:val="94"/>
                </w:rPr>
                <w:t>Certification of Armin Zerza pursuant to Section 906 of the Sarbanes-Oxley Act of 2002.</w:t>
              </w:r>
            </w:hyperlink>
          </w:p>
        </w:tc>
        <w:tc>
          <w:tcPr>
            <w:tcW w:w="300" w:type="dxa"/>
            <w:vAlign w:val="bottom"/>
            <w:tcBorders>
              <w:top w:val="single" w:sz="8" w:color="0000FF"/>
            </w:tcBorders>
            <w:gridSpan w:val="2"/>
          </w:tcPr>
          <w:p>
            <w:pPr>
              <w:spacing w:after="0"/>
              <w:rPr>
                <w:sz w:val="17"/>
                <w:szCs w:val="17"/>
                <w:color w:val="auto"/>
              </w:rPr>
            </w:pPr>
          </w:p>
        </w:tc>
        <w:tc>
          <w:tcPr>
            <w:tcW w:w="2960" w:type="dxa"/>
            <w:vAlign w:val="bottom"/>
            <w:gridSpan w:val="27"/>
          </w:tcPr>
          <w:p>
            <w:pPr>
              <w:spacing w:after="0"/>
              <w:rPr>
                <w:sz w:val="17"/>
                <w:szCs w:val="17"/>
                <w:color w:val="auto"/>
              </w:rPr>
            </w:pPr>
          </w:p>
        </w:tc>
      </w:tr>
      <w:tr>
        <w:trPr>
          <w:trHeight w:val="191"/>
        </w:trPr>
        <w:tc>
          <w:tcPr>
            <w:tcW w:w="1740" w:type="dxa"/>
            <w:vAlign w:val="bottom"/>
          </w:tcPr>
          <w:p>
            <w:pPr>
              <w:jc w:val="right"/>
              <w:ind w:right="153"/>
              <w:spacing w:after="0" w:line="190" w:lineRule="exact"/>
              <w:rPr>
                <w:sz w:val="20"/>
                <w:szCs w:val="20"/>
                <w:color w:val="auto"/>
              </w:rPr>
            </w:pPr>
            <w:r>
              <w:rPr>
                <w:rFonts w:ascii="Arial" w:cs="Arial" w:eastAsia="Arial" w:hAnsi="Arial"/>
                <w:sz w:val="17"/>
                <w:szCs w:val="17"/>
                <w:color w:val="auto"/>
              </w:rPr>
              <w:t>101.INS</w:t>
            </w:r>
          </w:p>
        </w:tc>
        <w:tc>
          <w:tcPr>
            <w:tcW w:w="20" w:type="dxa"/>
            <w:vAlign w:val="bottom"/>
          </w:tcPr>
          <w:p>
            <w:pPr>
              <w:spacing w:after="0"/>
              <w:rPr>
                <w:sz w:val="16"/>
                <w:szCs w:val="16"/>
                <w:color w:val="auto"/>
              </w:rPr>
            </w:pPr>
          </w:p>
        </w:tc>
        <w:tc>
          <w:tcPr>
            <w:tcW w:w="9500" w:type="dxa"/>
            <w:vAlign w:val="bottom"/>
            <w:gridSpan w:val="41"/>
          </w:tcPr>
          <w:p>
            <w:pPr>
              <w:spacing w:after="0" w:line="190" w:lineRule="exact"/>
              <w:rPr>
                <w:sz w:val="20"/>
                <w:szCs w:val="20"/>
                <w:color w:val="auto"/>
              </w:rPr>
            </w:pPr>
            <w:r>
              <w:rPr>
                <w:rFonts w:ascii="Arial" w:cs="Arial" w:eastAsia="Arial" w:hAnsi="Arial"/>
                <w:sz w:val="17"/>
                <w:szCs w:val="17"/>
                <w:color w:val="auto"/>
                <w:w w:val="98"/>
              </w:rPr>
              <w:t>Inline XBRL Instance Document - The instance document does not appear in the interactive data file because its XBRL tags are</w:t>
            </w:r>
          </w:p>
        </w:tc>
      </w:tr>
      <w:tr>
        <w:trPr>
          <w:trHeight w:val="222"/>
        </w:trPr>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41"/>
          </w:tcPr>
          <w:p>
            <w:pPr>
              <w:spacing w:after="0"/>
              <w:rPr>
                <w:sz w:val="20"/>
                <w:szCs w:val="20"/>
                <w:color w:val="auto"/>
              </w:rPr>
            </w:pPr>
            <w:r>
              <w:rPr>
                <w:rFonts w:ascii="Arial" w:cs="Arial" w:eastAsia="Arial" w:hAnsi="Arial"/>
                <w:sz w:val="17"/>
                <w:szCs w:val="17"/>
                <w:color w:val="auto"/>
              </w:rPr>
              <w:t>embedded within the Inline XBRL document.</w:t>
            </w:r>
          </w:p>
        </w:tc>
      </w:tr>
      <w:tr>
        <w:trPr>
          <w:trHeight w:val="223"/>
        </w:trPr>
        <w:tc>
          <w:tcPr>
            <w:tcW w:w="1740" w:type="dxa"/>
            <w:vAlign w:val="bottom"/>
          </w:tcPr>
          <w:p>
            <w:pPr>
              <w:jc w:val="right"/>
              <w:ind w:right="153"/>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9"/>
                <w:szCs w:val="19"/>
                <w:color w:val="auto"/>
              </w:rPr>
            </w:pPr>
          </w:p>
        </w:tc>
        <w:tc>
          <w:tcPr>
            <w:tcW w:w="9500" w:type="dxa"/>
            <w:vAlign w:val="bottom"/>
            <w:gridSpan w:val="4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839"/>
        </w:trPr>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40" w:type="dxa"/>
            <w:vAlign w:val="bottom"/>
            <w:gridSpan w:val="33"/>
          </w:tcPr>
          <w:p>
            <w:pPr>
              <w:ind w:left="380"/>
              <w:spacing w:after="0"/>
              <w:rPr>
                <w:sz w:val="20"/>
                <w:szCs w:val="20"/>
                <w:color w:val="auto"/>
              </w:rPr>
            </w:pPr>
            <w:r>
              <w:rPr>
                <w:rFonts w:ascii="Arial" w:cs="Arial" w:eastAsia="Arial" w:hAnsi="Arial"/>
                <w:sz w:val="17"/>
                <w:szCs w:val="17"/>
                <w:color w:val="auto"/>
              </w:rPr>
              <w:t>E-3</w:t>
            </w:r>
          </w:p>
        </w:tc>
      </w:tr>
      <w:tr>
        <w:trPr>
          <w:trHeight w:val="112"/>
        </w:trPr>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w w:val="92"/>
              </w:rPr>
              <w:t>Exhibit Number</w:t>
            </w:r>
          </w:p>
        </w:tc>
        <w:tc>
          <w:tcPr>
            <w:tcW w:w="950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Exhibit</w:t>
            </w:r>
          </w:p>
        </w:tc>
      </w:tr>
      <w:tr>
        <w:trPr>
          <w:trHeight w:val="222"/>
        </w:trPr>
        <w:tc>
          <w:tcPr>
            <w:tcW w:w="1460" w:type="dxa"/>
            <w:vAlign w:val="bottom"/>
          </w:tcPr>
          <w:p>
            <w:pPr>
              <w:jc w:val="right"/>
              <w:ind w:right="156"/>
              <w:spacing w:after="0"/>
              <w:rPr>
                <w:sz w:val="20"/>
                <w:szCs w:val="20"/>
                <w:color w:val="auto"/>
              </w:rPr>
            </w:pPr>
            <w:r>
              <w:rPr>
                <w:rFonts w:ascii="Arial" w:cs="Arial" w:eastAsia="Arial" w:hAnsi="Arial"/>
                <w:sz w:val="17"/>
                <w:szCs w:val="17"/>
                <w:color w:val="auto"/>
              </w:rPr>
              <w:t>101.CAL</w:t>
            </w:r>
          </w:p>
        </w:tc>
        <w:tc>
          <w:tcPr>
            <w:tcW w:w="9500" w:type="dxa"/>
            <w:vAlign w:val="bottom"/>
          </w:tcPr>
          <w:p>
            <w:pPr>
              <w:ind w:left="20"/>
              <w:spacing w:after="0"/>
              <w:rPr>
                <w:sz w:val="20"/>
                <w:szCs w:val="20"/>
                <w:color w:val="auto"/>
              </w:rPr>
            </w:pPr>
            <w:r>
              <w:rPr>
                <w:rFonts w:ascii="Arial" w:cs="Arial" w:eastAsia="Arial" w:hAnsi="Arial"/>
                <w:sz w:val="17"/>
                <w:szCs w:val="17"/>
                <w:color w:val="auto"/>
              </w:rPr>
              <w:t>Inline XBRL Taxonomy Calculation Linkbase Document.</w:t>
            </w:r>
          </w:p>
        </w:tc>
      </w:tr>
      <w:tr>
        <w:trPr>
          <w:trHeight w:val="223"/>
        </w:trPr>
        <w:tc>
          <w:tcPr>
            <w:tcW w:w="1460" w:type="dxa"/>
            <w:vAlign w:val="bottom"/>
          </w:tcPr>
          <w:p>
            <w:pPr>
              <w:jc w:val="right"/>
              <w:ind w:right="156"/>
              <w:spacing w:after="0"/>
              <w:rPr>
                <w:sz w:val="20"/>
                <w:szCs w:val="20"/>
                <w:color w:val="auto"/>
              </w:rPr>
            </w:pPr>
            <w:r>
              <w:rPr>
                <w:rFonts w:ascii="Arial" w:cs="Arial" w:eastAsia="Arial" w:hAnsi="Arial"/>
                <w:sz w:val="17"/>
                <w:szCs w:val="17"/>
                <w:color w:val="auto"/>
              </w:rPr>
              <w:t>101.LAB</w:t>
            </w:r>
          </w:p>
        </w:tc>
        <w:tc>
          <w:tcPr>
            <w:tcW w:w="9500" w:type="dxa"/>
            <w:vAlign w:val="bottom"/>
          </w:tcPr>
          <w:p>
            <w:pPr>
              <w:ind w:left="20"/>
              <w:spacing w:after="0"/>
              <w:rPr>
                <w:sz w:val="20"/>
                <w:szCs w:val="20"/>
                <w:color w:val="auto"/>
              </w:rPr>
            </w:pPr>
            <w:r>
              <w:rPr>
                <w:rFonts w:ascii="Arial" w:cs="Arial" w:eastAsia="Arial" w:hAnsi="Arial"/>
                <w:sz w:val="17"/>
                <w:szCs w:val="17"/>
                <w:color w:val="auto"/>
              </w:rPr>
              <w:t>Inline XBRL Taxonomy Label Linkbase Document.</w:t>
            </w:r>
          </w:p>
        </w:tc>
      </w:tr>
      <w:tr>
        <w:trPr>
          <w:trHeight w:val="223"/>
        </w:trPr>
        <w:tc>
          <w:tcPr>
            <w:tcW w:w="1460" w:type="dxa"/>
            <w:vAlign w:val="bottom"/>
          </w:tcPr>
          <w:p>
            <w:pPr>
              <w:jc w:val="right"/>
              <w:ind w:right="156"/>
              <w:spacing w:after="0"/>
              <w:rPr>
                <w:sz w:val="20"/>
                <w:szCs w:val="20"/>
                <w:color w:val="auto"/>
              </w:rPr>
            </w:pPr>
            <w:r>
              <w:rPr>
                <w:rFonts w:ascii="Arial" w:cs="Arial" w:eastAsia="Arial" w:hAnsi="Arial"/>
                <w:sz w:val="17"/>
                <w:szCs w:val="17"/>
                <w:color w:val="auto"/>
              </w:rPr>
              <w:t>101.PRE</w:t>
            </w:r>
          </w:p>
        </w:tc>
        <w:tc>
          <w:tcPr>
            <w:tcW w:w="9500" w:type="dxa"/>
            <w:vAlign w:val="bottom"/>
          </w:tcPr>
          <w:p>
            <w:pPr>
              <w:ind w:left="20"/>
              <w:spacing w:after="0"/>
              <w:rPr>
                <w:sz w:val="20"/>
                <w:szCs w:val="20"/>
                <w:color w:val="auto"/>
              </w:rPr>
            </w:pPr>
            <w:r>
              <w:rPr>
                <w:rFonts w:ascii="Arial" w:cs="Arial" w:eastAsia="Arial" w:hAnsi="Arial"/>
                <w:sz w:val="17"/>
                <w:szCs w:val="17"/>
                <w:color w:val="auto"/>
              </w:rPr>
              <w:t>Inline XBRL Taxonomy Presentation Linkbase Document.</w:t>
            </w:r>
          </w:p>
        </w:tc>
      </w:tr>
      <w:tr>
        <w:trPr>
          <w:trHeight w:val="223"/>
        </w:trPr>
        <w:tc>
          <w:tcPr>
            <w:tcW w:w="1460" w:type="dxa"/>
            <w:vAlign w:val="bottom"/>
          </w:tcPr>
          <w:p>
            <w:pPr>
              <w:jc w:val="right"/>
              <w:ind w:right="156"/>
              <w:spacing w:after="0"/>
              <w:rPr>
                <w:sz w:val="20"/>
                <w:szCs w:val="20"/>
                <w:color w:val="auto"/>
              </w:rPr>
            </w:pPr>
            <w:r>
              <w:rPr>
                <w:rFonts w:ascii="Arial" w:cs="Arial" w:eastAsia="Arial" w:hAnsi="Arial"/>
                <w:sz w:val="17"/>
                <w:szCs w:val="17"/>
                <w:color w:val="auto"/>
              </w:rPr>
              <w:t>101.DEF</w:t>
            </w:r>
          </w:p>
        </w:tc>
        <w:tc>
          <w:tcPr>
            <w:tcW w:w="9500" w:type="dxa"/>
            <w:vAlign w:val="bottom"/>
          </w:tcPr>
          <w:p>
            <w:pPr>
              <w:ind w:left="20"/>
              <w:spacing w:after="0"/>
              <w:rPr>
                <w:sz w:val="20"/>
                <w:szCs w:val="20"/>
                <w:color w:val="auto"/>
              </w:rPr>
            </w:pPr>
            <w:r>
              <w:rPr>
                <w:rFonts w:ascii="Arial" w:cs="Arial" w:eastAsia="Arial" w:hAnsi="Arial"/>
                <w:sz w:val="17"/>
                <w:szCs w:val="17"/>
                <w:color w:val="auto"/>
              </w:rPr>
              <w:t>Inline XBRL Taxonomy Extension Definition Document.</w:t>
            </w:r>
          </w:p>
        </w:tc>
      </w:tr>
    </w:tbl>
    <w:p>
      <w:pPr>
        <w:spacing w:after="0" w:line="1" w:lineRule="exact"/>
        <w:rPr>
          <w:sz w:val="20"/>
          <w:szCs w:val="20"/>
          <w:color w:val="auto"/>
        </w:rPr>
      </w:pPr>
    </w:p>
    <w:p>
      <w:pPr>
        <w:ind w:left="1760" w:hanging="513"/>
        <w:spacing w:after="0"/>
        <w:tabs>
          <w:tab w:leader="none" w:pos="17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3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  Indicates a management contract or compensatory plan, contract or arrangement in which a director or executive officer of the Company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65"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ACTIVISION BLIZZARD, INC.</w:t>
      </w:r>
    </w:p>
    <w:p>
      <w:pPr>
        <w:ind w:left="20"/>
        <w:spacing w:after="0" w:line="185" w:lineRule="auto"/>
        <w:tabs>
          <w:tab w:leader="none" w:pos="2560" w:val="left"/>
        </w:tabs>
        <w:rPr>
          <w:sz w:val="20"/>
          <w:szCs w:val="20"/>
          <w:color w:val="auto"/>
        </w:rPr>
      </w:pPr>
      <w:r>
        <w:rPr>
          <w:rFonts w:ascii="Arial" w:cs="Arial" w:eastAsia="Arial" w:hAnsi="Arial"/>
          <w:sz w:val="31"/>
          <w:szCs w:val="31"/>
          <w:color w:val="auto"/>
          <w:vertAlign w:val="superscript"/>
        </w:rPr>
        <w:t>By:</w:t>
      </w:r>
      <w:r>
        <w:rPr>
          <w:sz w:val="20"/>
          <w:szCs w:val="20"/>
          <w:color w:val="auto"/>
        </w:rPr>
        <w:tab/>
      </w:r>
      <w:r>
        <w:rPr>
          <w:rFonts w:ascii="Arial" w:cs="Arial" w:eastAsia="Arial" w:hAnsi="Arial"/>
          <w:sz w:val="16"/>
          <w:szCs w:val="16"/>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25400</wp:posOffset>
            </wp:positionV>
            <wp:extent cx="37306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730625" cy="8255"/>
                    </a:xfrm>
                    <a:prstGeom prst="rect">
                      <a:avLst/>
                    </a:prstGeom>
                    <a:noFill/>
                  </pic:spPr>
                </pic:pic>
              </a:graphicData>
            </a:graphic>
          </wp:anchor>
        </w:drawing>
      </w:r>
    </w:p>
    <w:p>
      <w:pPr>
        <w:spacing w:after="0" w:line="63" w:lineRule="exact"/>
        <w:rPr>
          <w:sz w:val="20"/>
          <w:szCs w:val="20"/>
          <w:color w:val="auto"/>
        </w:rPr>
      </w:pPr>
    </w:p>
    <w:p>
      <w:pPr>
        <w:jc w:val="center"/>
        <w:ind w:right="4380"/>
        <w:spacing w:after="0"/>
        <w:rPr>
          <w:sz w:val="20"/>
          <w:szCs w:val="20"/>
          <w:color w:val="auto"/>
        </w:rPr>
      </w:pPr>
      <w:r>
        <w:rPr>
          <w:rFonts w:ascii="Arial" w:cs="Arial" w:eastAsia="Arial" w:hAnsi="Arial"/>
          <w:sz w:val="17"/>
          <w:szCs w:val="17"/>
          <w:color w:val="auto"/>
        </w:rPr>
        <w:t>Robert A. Kotick</w:t>
      </w:r>
    </w:p>
    <w:p>
      <w:pPr>
        <w:jc w:val="center"/>
        <w:ind w:right="4340"/>
        <w:spacing w:after="0" w:line="209" w:lineRule="auto"/>
        <w:rPr>
          <w:sz w:val="20"/>
          <w:szCs w:val="20"/>
          <w:color w:val="auto"/>
        </w:rPr>
      </w:pPr>
      <w:r>
        <w:rPr>
          <w:rFonts w:ascii="Arial" w:cs="Arial" w:eastAsia="Arial" w:hAnsi="Arial"/>
          <w:sz w:val="17"/>
          <w:szCs w:val="17"/>
          <w:i w:val="1"/>
          <w:iCs w:val="1"/>
          <w:color w:val="auto"/>
        </w:rPr>
        <w:t>Director and Chief Executive Officer of Activision Blizzard, Inc.</w:t>
      </w:r>
    </w:p>
    <w:p>
      <w:pPr>
        <w:jc w:val="center"/>
        <w:ind w:right="4380"/>
        <w:spacing w:after="0"/>
        <w:rPr>
          <w:sz w:val="20"/>
          <w:szCs w:val="20"/>
          <w:color w:val="auto"/>
        </w:rPr>
      </w:pPr>
      <w:r>
        <w:rPr>
          <w:rFonts w:ascii="Arial" w:cs="Arial" w:eastAsia="Arial" w:hAnsi="Arial"/>
          <w:sz w:val="17"/>
          <w:szCs w:val="17"/>
          <w:i w:val="1"/>
          <w:iCs w:val="1"/>
          <w:color w:val="auto"/>
        </w:rPr>
        <w:t>(Principal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2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POWER OF ATTORNEY</w:t>
      </w:r>
    </w:p>
    <w:p>
      <w:pPr>
        <w:spacing w:after="0" w:line="165"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color w:val="auto"/>
        </w:rPr>
        <w:t>Each individual whose signature appears below constitutes and appoints Robert A. Kotick and Armin Zerza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19" w:lineRule="exact"/>
        <w:rPr>
          <w:sz w:val="20"/>
          <w:szCs w:val="20"/>
          <w:color w:val="auto"/>
        </w:rPr>
      </w:pPr>
    </w:p>
    <w:p>
      <w:pPr>
        <w:ind w:right="76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0" w:lineRule="exact"/>
        <w:rPr>
          <w:sz w:val="20"/>
          <w:szCs w:val="20"/>
          <w:color w:val="auto"/>
        </w:rPr>
      </w:pPr>
    </w:p>
    <w:tbl>
      <w:tblPr>
        <w:tblLayout w:type="fixed"/>
        <w:tblInd w:w="880" w:type="dxa"/>
        <w:tblCellMar>
          <w:top w:w="0" w:type="dxa"/>
          <w:left w:w="0" w:type="dxa"/>
          <w:bottom w:w="0" w:type="dxa"/>
          <w:right w:w="0" w:type="dxa"/>
        </w:tblCellMar>
      </w:tblPr>
      <w:tr>
        <w:trPr>
          <w:trHeight w:val="197"/>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Pr>
          <w:p>
            <w:pPr>
              <w:jc w:val="center"/>
              <w:ind w:left="1413"/>
              <w:spacing w:after="0"/>
              <w:rPr>
                <w:sz w:val="20"/>
                <w:szCs w:val="20"/>
                <w:color w:val="auto"/>
              </w:rPr>
            </w:pPr>
            <w:r>
              <w:rPr>
                <w:rFonts w:ascii="Arial" w:cs="Arial" w:eastAsia="Arial" w:hAnsi="Arial"/>
                <w:sz w:val="17"/>
                <w:szCs w:val="17"/>
                <w:color w:val="auto"/>
                <w:w w:val="98"/>
              </w:rPr>
              <w:t>/s/ ROBERT A. KOTICK</w:t>
            </w:r>
          </w:p>
        </w:tc>
        <w:tc>
          <w:tcPr>
            <w:tcW w:w="106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Arial" w:cs="Arial" w:eastAsia="Arial" w:hAnsi="Arial"/>
                <w:sz w:val="17"/>
                <w:szCs w:val="17"/>
                <w:color w:val="auto"/>
              </w:rPr>
              <w:t>Director, Chief Executive Officer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80" w:type="dxa"/>
            <w:vAlign w:val="bottom"/>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40" w:type="dxa"/>
            <w:vAlign w:val="bottom"/>
          </w:tcPr>
          <w:p>
            <w:pPr>
              <w:jc w:val="center"/>
              <w:ind w:left="1413"/>
              <w:spacing w:after="0"/>
              <w:rPr>
                <w:sz w:val="20"/>
                <w:szCs w:val="20"/>
                <w:color w:val="auto"/>
              </w:rPr>
            </w:pPr>
            <w:r>
              <w:rPr>
                <w:rFonts w:ascii="Arial" w:cs="Arial" w:eastAsia="Arial" w:hAnsi="Arial"/>
                <w:sz w:val="17"/>
                <w:szCs w:val="17"/>
                <w:color w:val="auto"/>
                <w:w w:val="98"/>
              </w:rPr>
              <w:t>(Robert A. Kotick)</w:t>
            </w:r>
          </w:p>
        </w:tc>
        <w:tc>
          <w:tcPr>
            <w:tcW w:w="10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Pr>
          <w:p>
            <w:pPr>
              <w:jc w:val="center"/>
              <w:ind w:left="1453"/>
              <w:spacing w:after="0"/>
              <w:rPr>
                <w:sz w:val="20"/>
                <w:szCs w:val="20"/>
                <w:color w:val="auto"/>
              </w:rPr>
            </w:pPr>
            <w:r>
              <w:rPr>
                <w:rFonts w:ascii="Arial" w:cs="Arial" w:eastAsia="Arial" w:hAnsi="Arial"/>
                <w:sz w:val="17"/>
                <w:szCs w:val="17"/>
                <w:color w:val="auto"/>
              </w:rPr>
              <w:t>/s/ ARMIN ZERZA</w:t>
            </w:r>
          </w:p>
        </w:tc>
        <w:tc>
          <w:tcPr>
            <w:tcW w:w="106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Arial" w:cs="Arial" w:eastAsia="Arial" w:hAnsi="Arial"/>
                <w:sz w:val="17"/>
                <w:szCs w:val="17"/>
                <w:color w:val="auto"/>
              </w:rPr>
              <w:t>Chief Financial Officer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80" w:type="dxa"/>
            <w:vAlign w:val="bottom"/>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40" w:type="dxa"/>
            <w:vAlign w:val="bottom"/>
          </w:tcPr>
          <w:p>
            <w:pPr>
              <w:jc w:val="center"/>
              <w:ind w:left="1413"/>
              <w:spacing w:after="0"/>
              <w:rPr>
                <w:sz w:val="20"/>
                <w:szCs w:val="20"/>
                <w:color w:val="auto"/>
              </w:rPr>
            </w:pPr>
            <w:r>
              <w:rPr>
                <w:rFonts w:ascii="Arial" w:cs="Arial" w:eastAsia="Arial" w:hAnsi="Arial"/>
                <w:sz w:val="17"/>
                <w:szCs w:val="17"/>
                <w:color w:val="auto"/>
                <w:w w:val="96"/>
              </w:rPr>
              <w:t>(Armin Zerza)</w:t>
            </w:r>
          </w:p>
        </w:tc>
        <w:tc>
          <w:tcPr>
            <w:tcW w:w="10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Pr>
          <w:p>
            <w:pPr>
              <w:jc w:val="center"/>
              <w:ind w:left="1413"/>
              <w:spacing w:after="0"/>
              <w:rPr>
                <w:sz w:val="20"/>
                <w:szCs w:val="20"/>
                <w:color w:val="auto"/>
              </w:rPr>
            </w:pPr>
            <w:r>
              <w:rPr>
                <w:rFonts w:ascii="Arial" w:cs="Arial" w:eastAsia="Arial" w:hAnsi="Arial"/>
                <w:sz w:val="17"/>
                <w:szCs w:val="17"/>
                <w:color w:val="auto"/>
                <w:w w:val="92"/>
              </w:rPr>
              <w:t>/s/ JESSE YANG</w:t>
            </w:r>
          </w:p>
        </w:tc>
        <w:tc>
          <w:tcPr>
            <w:tcW w:w="106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Arial" w:cs="Arial" w:eastAsia="Arial" w:hAnsi="Arial"/>
                <w:sz w:val="17"/>
                <w:szCs w:val="17"/>
                <w:color w:val="auto"/>
              </w:rPr>
              <w:t>Chief Accounting Officer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80" w:type="dxa"/>
            <w:vAlign w:val="bottom"/>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40" w:type="dxa"/>
            <w:vAlign w:val="bottom"/>
          </w:tcPr>
          <w:p>
            <w:pPr>
              <w:jc w:val="center"/>
              <w:ind w:left="1413"/>
              <w:spacing w:after="0"/>
              <w:rPr>
                <w:sz w:val="20"/>
                <w:szCs w:val="20"/>
                <w:color w:val="auto"/>
              </w:rPr>
            </w:pPr>
            <w:r>
              <w:rPr>
                <w:rFonts w:ascii="Arial" w:cs="Arial" w:eastAsia="Arial" w:hAnsi="Arial"/>
                <w:sz w:val="17"/>
                <w:szCs w:val="17"/>
                <w:color w:val="auto"/>
                <w:w w:val="87"/>
              </w:rPr>
              <w:t>(Jesse Yang)</w:t>
            </w:r>
          </w:p>
        </w:tc>
        <w:tc>
          <w:tcPr>
            <w:tcW w:w="10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13"/>
              <w:spacing w:after="0"/>
              <w:rPr>
                <w:sz w:val="20"/>
                <w:szCs w:val="20"/>
                <w:color w:val="auto"/>
              </w:rPr>
            </w:pPr>
            <w:r>
              <w:rPr>
                <w:rFonts w:ascii="Arial" w:cs="Arial" w:eastAsia="Arial" w:hAnsi="Arial"/>
                <w:sz w:val="17"/>
                <w:szCs w:val="17"/>
                <w:color w:val="auto"/>
                <w:w w:val="95"/>
              </w:rPr>
              <w:t>/s/ REVETA BOWERS</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393"/>
              <w:spacing w:after="0"/>
              <w:rPr>
                <w:sz w:val="20"/>
                <w:szCs w:val="20"/>
                <w:color w:val="auto"/>
              </w:rPr>
            </w:pPr>
            <w:r>
              <w:rPr>
                <w:rFonts w:ascii="Arial" w:cs="Arial" w:eastAsia="Arial" w:hAnsi="Arial"/>
                <w:sz w:val="17"/>
                <w:szCs w:val="17"/>
                <w:color w:val="auto"/>
                <w:w w:val="93"/>
              </w:rPr>
              <w:t>(Reveta Bowers)</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53"/>
              <w:spacing w:after="0"/>
              <w:rPr>
                <w:sz w:val="20"/>
                <w:szCs w:val="20"/>
                <w:color w:val="auto"/>
              </w:rPr>
            </w:pPr>
            <w:r>
              <w:rPr>
                <w:rFonts w:ascii="Arial" w:cs="Arial" w:eastAsia="Arial" w:hAnsi="Arial"/>
                <w:sz w:val="17"/>
                <w:szCs w:val="17"/>
                <w:color w:val="auto"/>
                <w:w w:val="94"/>
              </w:rPr>
              <w:t>/s/ ROBERT J. CORTI</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5"/>
              </w:rPr>
              <w:t>(Robert J. Corti)</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13"/>
              <w:spacing w:after="0"/>
              <w:rPr>
                <w:sz w:val="20"/>
                <w:szCs w:val="20"/>
                <w:color w:val="auto"/>
              </w:rPr>
            </w:pPr>
            <w:r>
              <w:rPr>
                <w:rFonts w:ascii="Arial" w:cs="Arial" w:eastAsia="Arial" w:hAnsi="Arial"/>
                <w:sz w:val="17"/>
                <w:szCs w:val="17"/>
                <w:color w:val="auto"/>
                <w:w w:val="99"/>
              </w:rPr>
              <w:t>/s/ HENDRIK J. HARTONG III</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7"/>
              </w:rPr>
              <w:t>(Hendrik J. Hartong III)</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53"/>
              <w:spacing w:after="0"/>
              <w:rPr>
                <w:sz w:val="20"/>
                <w:szCs w:val="20"/>
                <w:color w:val="auto"/>
              </w:rPr>
            </w:pPr>
            <w:r>
              <w:rPr>
                <w:rFonts w:ascii="Arial" w:cs="Arial" w:eastAsia="Arial" w:hAnsi="Arial"/>
                <w:sz w:val="17"/>
                <w:szCs w:val="17"/>
                <w:color w:val="auto"/>
              </w:rPr>
              <w:t>/s/ BRIAN G. KELLY</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Chairman of the Board and 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rPr>
              <w:t>(Brian G. Kelly)</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393"/>
              <w:spacing w:after="0"/>
              <w:rPr>
                <w:sz w:val="20"/>
                <w:szCs w:val="20"/>
                <w:color w:val="auto"/>
              </w:rPr>
            </w:pPr>
            <w:r>
              <w:rPr>
                <w:rFonts w:ascii="Arial" w:cs="Arial" w:eastAsia="Arial" w:hAnsi="Arial"/>
                <w:sz w:val="17"/>
                <w:szCs w:val="17"/>
                <w:color w:val="auto"/>
                <w:w w:val="99"/>
              </w:rPr>
              <w:t>/s/ BARRY MEYER</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6"/>
              </w:rPr>
              <w:t>(Barry Meyer)</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53"/>
              <w:spacing w:after="0"/>
              <w:rPr>
                <w:sz w:val="20"/>
                <w:szCs w:val="20"/>
                <w:color w:val="auto"/>
              </w:rPr>
            </w:pPr>
            <w:r>
              <w:rPr>
                <w:rFonts w:ascii="Arial" w:cs="Arial" w:eastAsia="Arial" w:hAnsi="Arial"/>
                <w:sz w:val="17"/>
                <w:szCs w:val="17"/>
                <w:color w:val="auto"/>
                <w:w w:val="97"/>
              </w:rPr>
              <w:t>/s/ ROBERT J. MORGADO</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4"/>
              </w:rPr>
              <w:t>(Robert J. Morgado)</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53"/>
              <w:spacing w:after="0"/>
              <w:rPr>
                <w:sz w:val="20"/>
                <w:szCs w:val="20"/>
                <w:color w:val="auto"/>
              </w:rPr>
            </w:pPr>
            <w:r>
              <w:rPr>
                <w:rFonts w:ascii="Arial" w:cs="Arial" w:eastAsia="Arial" w:hAnsi="Arial"/>
                <w:sz w:val="17"/>
                <w:szCs w:val="17"/>
                <w:color w:val="auto"/>
                <w:w w:val="98"/>
              </w:rPr>
              <w:t>/s/ PETER NOLAN</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4"/>
              </w:rPr>
              <w:t>(Peter Nolan)</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13"/>
              <w:spacing w:after="0"/>
              <w:rPr>
                <w:sz w:val="20"/>
                <w:szCs w:val="20"/>
                <w:color w:val="auto"/>
              </w:rPr>
            </w:pPr>
            <w:r>
              <w:rPr>
                <w:rFonts w:ascii="Arial" w:cs="Arial" w:eastAsia="Arial" w:hAnsi="Arial"/>
                <w:sz w:val="17"/>
                <w:szCs w:val="17"/>
                <w:color w:val="auto"/>
                <w:w w:val="97"/>
              </w:rPr>
              <w:t>/s/ DAWN OSTROFF</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7"/>
              </w:rPr>
              <w:t>(Dawn Ostroff)</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ind w:left="1453"/>
              <w:spacing w:after="0"/>
              <w:rPr>
                <w:sz w:val="20"/>
                <w:szCs w:val="20"/>
                <w:color w:val="auto"/>
              </w:rPr>
            </w:pPr>
            <w:r>
              <w:rPr>
                <w:rFonts w:ascii="Arial" w:cs="Arial" w:eastAsia="Arial" w:hAnsi="Arial"/>
                <w:sz w:val="17"/>
                <w:szCs w:val="17"/>
                <w:color w:val="auto"/>
                <w:w w:val="97"/>
              </w:rPr>
              <w:t>/s/ CASEY WASSERMAN</w:t>
            </w:r>
          </w:p>
        </w:tc>
        <w:tc>
          <w:tcPr>
            <w:tcW w:w="1060" w:type="dxa"/>
            <w:vAlign w:val="bottom"/>
            <w:tcBorders>
              <w:bottom w:val="single" w:sz="8" w:color="auto"/>
            </w:tcBorders>
          </w:tcPr>
          <w:p>
            <w:pPr>
              <w:spacing w:after="0"/>
              <w:rPr>
                <w:sz w:val="19"/>
                <w:szCs w:val="19"/>
                <w:color w:val="auto"/>
              </w:rPr>
            </w:pPr>
          </w:p>
        </w:tc>
        <w:tc>
          <w:tcPr>
            <w:tcW w:w="3480" w:type="dxa"/>
            <w:vAlign w:val="bottom"/>
            <w:vMerge w:val="restart"/>
          </w:tcPr>
          <w:p>
            <w:pPr>
              <w:ind w:left="460"/>
              <w:spacing w:after="0"/>
              <w:rPr>
                <w:sz w:val="20"/>
                <w:szCs w:val="20"/>
                <w:color w:val="auto"/>
              </w:rPr>
            </w:pPr>
            <w:r>
              <w:rPr>
                <w:rFonts w:ascii="Arial" w:cs="Arial" w:eastAsia="Arial" w:hAnsi="Arial"/>
                <w:sz w:val="17"/>
                <w:szCs w:val="17"/>
                <w:color w:val="auto"/>
              </w:rPr>
              <w:t>Director</w:t>
            </w:r>
          </w:p>
        </w:tc>
        <w:tc>
          <w:tcPr>
            <w:tcW w:w="1500" w:type="dxa"/>
            <w:vAlign w:val="bottom"/>
          </w:tcPr>
          <w:p>
            <w:pPr>
              <w:ind w:left="500"/>
              <w:spacing w:after="0"/>
              <w:rPr>
                <w:sz w:val="20"/>
                <w:szCs w:val="20"/>
                <w:color w:val="auto"/>
              </w:rPr>
            </w:pPr>
            <w:r>
              <w:rPr>
                <w:rFonts w:ascii="Arial" w:cs="Arial" w:eastAsia="Arial" w:hAnsi="Arial"/>
                <w:sz w:val="17"/>
                <w:szCs w:val="17"/>
                <w:color w:val="auto"/>
                <w:w w:val="88"/>
              </w:rPr>
              <w:t>February 25, 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140" w:type="dxa"/>
            <w:vAlign w:val="bottom"/>
            <w:vMerge w:val="restart"/>
          </w:tcPr>
          <w:p>
            <w:pPr>
              <w:jc w:val="center"/>
              <w:ind w:left="1413"/>
              <w:spacing w:after="0"/>
              <w:rPr>
                <w:sz w:val="20"/>
                <w:szCs w:val="20"/>
                <w:color w:val="auto"/>
              </w:rPr>
            </w:pPr>
            <w:r>
              <w:rPr>
                <w:rFonts w:ascii="Arial" w:cs="Arial" w:eastAsia="Arial" w:hAnsi="Arial"/>
                <w:sz w:val="17"/>
                <w:szCs w:val="17"/>
                <w:color w:val="auto"/>
                <w:w w:val="90"/>
              </w:rPr>
              <w:t>(Casey Wasserman)</w:t>
            </w:r>
          </w:p>
        </w:tc>
        <w:tc>
          <w:tcPr>
            <w:tcW w:w="10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2"/>
        </w:trPr>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40" w:type="dxa"/>
            <w:vAlign w:val="bottom"/>
            <w:gridSpan w:val="2"/>
          </w:tcPr>
          <w:p>
            <w:pPr>
              <w:ind w:left="200"/>
              <w:spacing w:after="0"/>
              <w:rPr>
                <w:sz w:val="20"/>
                <w:szCs w:val="20"/>
                <w:color w:val="auto"/>
              </w:rPr>
            </w:pPr>
            <w:r>
              <w:rPr>
                <w:rFonts w:ascii="Arial" w:cs="Arial" w:eastAsia="Arial" w:hAnsi="Arial"/>
                <w:sz w:val="17"/>
                <w:szCs w:val="17"/>
                <w:color w:val="auto"/>
              </w:rPr>
              <w:t>E-5</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9"/>
          <w:szCs w:val="19"/>
          <w:b w:val="1"/>
          <w:bCs w:val="1"/>
          <w:color w:val="auto"/>
        </w:rPr>
        <w:t>Exhibit 4.10</w:t>
      </w: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11111"/>
        </w:rPr>
        <w:t>DESCRIPTION OF THE REGISTRANT'S</w:t>
      </w:r>
    </w:p>
    <w:p>
      <w:pPr>
        <w:jc w:val="center"/>
        <w:ind w:right="100"/>
        <w:spacing w:after="0" w:line="205" w:lineRule="auto"/>
        <w:rPr>
          <w:sz w:val="20"/>
          <w:szCs w:val="20"/>
          <w:color w:val="auto"/>
        </w:rPr>
      </w:pPr>
      <w:r>
        <w:rPr>
          <w:rFonts w:ascii="Arial" w:cs="Arial" w:eastAsia="Arial" w:hAnsi="Arial"/>
          <w:sz w:val="20"/>
          <w:szCs w:val="20"/>
          <w:b w:val="1"/>
          <w:bCs w:val="1"/>
          <w:color w:val="111111"/>
        </w:rPr>
        <w:t>SECURITIES REGISTERED PURSUANT TO SECTION 12 OF THE SECURITIES EXCHANGE</w:t>
      </w:r>
    </w:p>
    <w:p>
      <w:pPr>
        <w:jc w:val="center"/>
        <w:ind w:right="100"/>
        <w:spacing w:after="0"/>
        <w:rPr>
          <w:sz w:val="20"/>
          <w:szCs w:val="20"/>
          <w:color w:val="auto"/>
        </w:rPr>
      </w:pPr>
      <w:r>
        <w:rPr>
          <w:rFonts w:ascii="Arial" w:cs="Arial" w:eastAsia="Arial" w:hAnsi="Arial"/>
          <w:sz w:val="20"/>
          <w:szCs w:val="20"/>
          <w:b w:val="1"/>
          <w:bCs w:val="1"/>
          <w:color w:val="111111"/>
        </w:rPr>
        <w:t>ACT OF 1934</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111111"/>
        </w:rPr>
        <w:t>DESCRIPTION OF CAPITAL STOCK</w:t>
      </w:r>
    </w:p>
    <w:p>
      <w:pPr>
        <w:spacing w:after="0" w:line="228" w:lineRule="exact"/>
        <w:rPr>
          <w:sz w:val="20"/>
          <w:szCs w:val="20"/>
          <w:color w:val="auto"/>
        </w:rPr>
      </w:pPr>
    </w:p>
    <w:p>
      <w:pPr>
        <w:ind w:right="200" w:firstLine="631"/>
        <w:spacing w:after="0" w:line="264" w:lineRule="auto"/>
        <w:rPr>
          <w:sz w:val="20"/>
          <w:szCs w:val="20"/>
          <w:color w:val="auto"/>
        </w:rPr>
      </w:pPr>
      <w:r>
        <w:rPr>
          <w:rFonts w:ascii="Arial" w:cs="Arial" w:eastAsia="Arial" w:hAnsi="Arial"/>
          <w:sz w:val="17"/>
          <w:szCs w:val="17"/>
          <w:color w:val="111111"/>
        </w:rPr>
        <w:t>The following description of the capital stock of Activision Blizzard, Inc. (the "Company," "us," "we," or "our") is a summary and does not purport to be complete. It is subject to, and qualified in its entirety by, reference to our Amended and Restated Certificate of Incorporation ("Certificate of Incorporation") and our Amended and Restated Bylaws ("Bylaws"), each of which are incorporated by reference as an exhibit to the Annual Report on Form 10-K of which this exhibit is a part.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11111"/>
        </w:rPr>
        <w:t>Authorized Shares</w:t>
      </w:r>
    </w:p>
    <w:p>
      <w:pPr>
        <w:spacing w:after="0" w:line="228" w:lineRule="exact"/>
        <w:rPr>
          <w:sz w:val="20"/>
          <w:szCs w:val="20"/>
          <w:color w:val="auto"/>
        </w:rPr>
      </w:pPr>
    </w:p>
    <w:p>
      <w:pPr>
        <w:ind w:left="20" w:right="140" w:firstLine="627"/>
        <w:spacing w:after="0" w:line="302" w:lineRule="auto"/>
        <w:rPr>
          <w:sz w:val="20"/>
          <w:szCs w:val="20"/>
          <w:color w:val="auto"/>
        </w:rPr>
      </w:pPr>
      <w:r>
        <w:rPr>
          <w:rFonts w:ascii="Arial" w:cs="Arial" w:eastAsia="Arial" w:hAnsi="Arial"/>
          <w:sz w:val="15"/>
          <w:szCs w:val="15"/>
          <w:color w:val="111111"/>
        </w:rPr>
        <w:t>Under our Certificate of Incorporation</w:t>
      </w:r>
      <w:r>
        <w:rPr>
          <w:rFonts w:ascii="Arial" w:cs="Arial" w:eastAsia="Arial" w:hAnsi="Arial"/>
          <w:sz w:val="15"/>
          <w:szCs w:val="15"/>
          <w:color w:val="3F3F3F"/>
        </w:rPr>
        <w:t>,</w:t>
      </w:r>
      <w:r>
        <w:rPr>
          <w:rFonts w:ascii="Arial" w:cs="Arial" w:eastAsia="Arial" w:hAnsi="Arial"/>
          <w:sz w:val="15"/>
          <w:szCs w:val="15"/>
          <w:color w:val="111111"/>
        </w:rPr>
        <w:t xml:space="preserve"> our authorized capital stock consists of 2</w:t>
      </w:r>
      <w:r>
        <w:rPr>
          <w:rFonts w:ascii="Arial" w:cs="Arial" w:eastAsia="Arial" w:hAnsi="Arial"/>
          <w:sz w:val="15"/>
          <w:szCs w:val="15"/>
          <w:color w:val="3F3F3F"/>
        </w:rPr>
        <w:t>,</w:t>
      </w:r>
      <w:r>
        <w:rPr>
          <w:rFonts w:ascii="Arial" w:cs="Arial" w:eastAsia="Arial" w:hAnsi="Arial"/>
          <w:sz w:val="15"/>
          <w:szCs w:val="15"/>
          <w:color w:val="111111"/>
        </w:rPr>
        <w:t>405</w:t>
      </w:r>
      <w:r>
        <w:rPr>
          <w:rFonts w:ascii="Arial" w:cs="Arial" w:eastAsia="Arial" w:hAnsi="Arial"/>
          <w:sz w:val="15"/>
          <w:szCs w:val="15"/>
          <w:color w:val="3F3F3F"/>
        </w:rPr>
        <w:t>,</w:t>
      </w:r>
      <w:r>
        <w:rPr>
          <w:rFonts w:ascii="Arial" w:cs="Arial" w:eastAsia="Arial" w:hAnsi="Arial"/>
          <w:sz w:val="15"/>
          <w:szCs w:val="15"/>
          <w:color w:val="111111"/>
        </w:rPr>
        <w:t>000</w:t>
      </w:r>
      <w:r>
        <w:rPr>
          <w:rFonts w:ascii="Arial" w:cs="Arial" w:eastAsia="Arial" w:hAnsi="Arial"/>
          <w:sz w:val="15"/>
          <w:szCs w:val="15"/>
          <w:color w:val="2F2F2F"/>
        </w:rPr>
        <w:t>,</w:t>
      </w:r>
      <w:r>
        <w:rPr>
          <w:rFonts w:ascii="Arial" w:cs="Arial" w:eastAsia="Arial" w:hAnsi="Arial"/>
          <w:sz w:val="15"/>
          <w:szCs w:val="15"/>
          <w:color w:val="111111"/>
        </w:rPr>
        <w:t>000 shares of capital stock, consisting of 2,400,000,000 shares of common stock, par value $0.000001 per share, and 5</w:t>
      </w:r>
      <w:r>
        <w:rPr>
          <w:rFonts w:ascii="Arial" w:cs="Arial" w:eastAsia="Arial" w:hAnsi="Arial"/>
          <w:sz w:val="15"/>
          <w:szCs w:val="15"/>
          <w:color w:val="3F3F3F"/>
        </w:rPr>
        <w:t>,</w:t>
      </w:r>
      <w:r>
        <w:rPr>
          <w:rFonts w:ascii="Arial" w:cs="Arial" w:eastAsia="Arial" w:hAnsi="Arial"/>
          <w:sz w:val="15"/>
          <w:szCs w:val="15"/>
          <w:color w:val="111111"/>
        </w:rPr>
        <w:t>000,000 shares of preferred stock, par value $0.000001 per share. The number of authorized shares of any class or classes of our capital stock may be increased or decreased (but not below the number of shares thereof then outstanding) by the affirmative vote of the holders of a majority in voting power of our outstanding capital stock entitled to vote thereon, irrespective of the provisions of Section 242(b)(2) of the Delaware General Corporation Law (the "DGCL")</w:t>
      </w:r>
      <w:r>
        <w:rPr>
          <w:rFonts w:ascii="Arial" w:cs="Arial" w:eastAsia="Arial" w:hAnsi="Arial"/>
          <w:sz w:val="15"/>
          <w:szCs w:val="15"/>
          <w:color w:val="3F3F3F"/>
        </w:rPr>
        <w:t>.</w:t>
      </w:r>
      <w:r>
        <w:rPr>
          <w:rFonts w:ascii="Arial" w:cs="Arial" w:eastAsia="Arial" w:hAnsi="Arial"/>
          <w:sz w:val="15"/>
          <w:szCs w:val="15"/>
          <w:color w:val="111111"/>
        </w:rPr>
        <w:t xml:space="preserve"> We may not authorize the issuance of any class, or series thereof, of nonvoting equity shares. Our common stock is registered under Section 12(b) of the Securities Exchange Act of 1934</w:t>
      </w:r>
      <w:r>
        <w:rPr>
          <w:rFonts w:ascii="Arial" w:cs="Arial" w:eastAsia="Arial" w:hAnsi="Arial"/>
          <w:sz w:val="15"/>
          <w:szCs w:val="15"/>
          <w:color w:val="3F3F3F"/>
        </w:rPr>
        <w:t>,</w:t>
      </w:r>
      <w:r>
        <w:rPr>
          <w:rFonts w:ascii="Arial" w:cs="Arial" w:eastAsia="Arial" w:hAnsi="Arial"/>
          <w:sz w:val="15"/>
          <w:szCs w:val="15"/>
          <w:color w:val="111111"/>
        </w:rPr>
        <w:t xml:space="preserve"> as amended (the "Exchange Act")</w:t>
      </w:r>
      <w:r>
        <w:rPr>
          <w:rFonts w:ascii="Arial" w:cs="Arial" w:eastAsia="Arial" w:hAnsi="Arial"/>
          <w:sz w:val="15"/>
          <w:szCs w:val="15"/>
          <w:color w:val="3F3F3F"/>
        </w:rPr>
        <w: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11111"/>
        </w:rPr>
        <w:t>Voting Rights</w:t>
      </w:r>
    </w:p>
    <w:p>
      <w:pPr>
        <w:spacing w:after="0" w:line="228" w:lineRule="exact"/>
        <w:rPr>
          <w:sz w:val="20"/>
          <w:szCs w:val="20"/>
          <w:color w:val="auto"/>
        </w:rPr>
      </w:pPr>
    </w:p>
    <w:p>
      <w:pPr>
        <w:ind w:left="20" w:right="180" w:firstLine="631"/>
        <w:spacing w:after="0" w:line="285" w:lineRule="auto"/>
        <w:rPr>
          <w:sz w:val="20"/>
          <w:szCs w:val="20"/>
          <w:color w:val="auto"/>
        </w:rPr>
      </w:pPr>
      <w:r>
        <w:rPr>
          <w:rFonts w:ascii="Arial" w:cs="Arial" w:eastAsia="Arial" w:hAnsi="Arial"/>
          <w:sz w:val="16"/>
          <w:szCs w:val="16"/>
          <w:color w:val="111111"/>
        </w:rPr>
        <w:t>Holders of our common stock are entitled to one vote per share on all matters voted on by the stockholders, including in connection with the election of directors, as provided by law. Holders of our common stock do not have cumulative voting rights. Except as otherwise required by the DGCL or our Certificate of Incorporation and Bylaws, action requiring stockholder approval may be taken by a vote of the holders of a majority of the voting power of the shares of stock of the Company present in person or by proxy and entitled to vote on the relevant matter at a meeting at which a quorum is present.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11111"/>
        </w:rPr>
        <w:t>Dividend Rights</w:t>
      </w:r>
    </w:p>
    <w:p>
      <w:pPr>
        <w:spacing w:after="0" w:line="228" w:lineRule="exact"/>
        <w:rPr>
          <w:sz w:val="20"/>
          <w:szCs w:val="20"/>
          <w:color w:val="auto"/>
        </w:rPr>
      </w:pPr>
    </w:p>
    <w:p>
      <w:pPr>
        <w:ind w:left="20" w:right="700" w:firstLine="635"/>
        <w:spacing w:after="0" w:line="277" w:lineRule="auto"/>
        <w:rPr>
          <w:sz w:val="20"/>
          <w:szCs w:val="20"/>
          <w:color w:val="auto"/>
        </w:rPr>
      </w:pPr>
      <w:r>
        <w:rPr>
          <w:rFonts w:ascii="Arial" w:cs="Arial" w:eastAsia="Arial" w:hAnsi="Arial"/>
          <w:sz w:val="17"/>
          <w:szCs w:val="17"/>
          <w:color w:val="111111"/>
        </w:rPr>
        <w:t xml:space="preserve">After satisfaction of any dividend rights of holders of preferred </w:t>
      </w:r>
      <w:r>
        <w:rPr>
          <w:rFonts w:ascii="Arial" w:cs="Arial" w:eastAsia="Arial" w:hAnsi="Arial"/>
          <w:sz w:val="17"/>
          <w:szCs w:val="17"/>
          <w:color w:val="2F2F2F"/>
        </w:rPr>
        <w:t>stock</w:t>
      </w:r>
      <w:r>
        <w:rPr>
          <w:rFonts w:ascii="Arial" w:cs="Arial" w:eastAsia="Arial" w:hAnsi="Arial"/>
          <w:sz w:val="17"/>
          <w:szCs w:val="17"/>
          <w:color w:val="111111"/>
        </w:rPr>
        <w:t xml:space="preserve"> and subject to applicable law</w:t>
      </w:r>
      <w:r>
        <w:rPr>
          <w:rFonts w:ascii="Arial" w:cs="Arial" w:eastAsia="Arial" w:hAnsi="Arial"/>
          <w:sz w:val="17"/>
          <w:szCs w:val="17"/>
          <w:color w:val="3F3F3F"/>
        </w:rPr>
        <w:t>,</w:t>
      </w:r>
      <w:r>
        <w:rPr>
          <w:rFonts w:ascii="Arial" w:cs="Arial" w:eastAsia="Arial" w:hAnsi="Arial"/>
          <w:sz w:val="17"/>
          <w:szCs w:val="17"/>
          <w:color w:val="111111"/>
        </w:rPr>
        <w:t xml:space="preserve"> holders of common stock are entitled to receive dividends, if any, as may be declared from time to time by our board of directors in its discretion.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11111"/>
        </w:rPr>
        <w:t>Liquidation and Other Rights</w:t>
      </w:r>
    </w:p>
    <w:p>
      <w:pPr>
        <w:spacing w:after="0" w:line="241" w:lineRule="exact"/>
        <w:rPr>
          <w:sz w:val="20"/>
          <w:szCs w:val="20"/>
          <w:color w:val="auto"/>
        </w:rPr>
      </w:pPr>
    </w:p>
    <w:p>
      <w:pPr>
        <w:ind w:right="260" w:firstLine="630"/>
        <w:spacing w:after="0" w:line="267" w:lineRule="auto"/>
        <w:rPr>
          <w:sz w:val="20"/>
          <w:szCs w:val="20"/>
          <w:color w:val="auto"/>
        </w:rPr>
      </w:pPr>
      <w:r>
        <w:rPr>
          <w:rFonts w:ascii="Arial" w:cs="Arial" w:eastAsia="Arial" w:hAnsi="Arial"/>
          <w:sz w:val="17"/>
          <w:szCs w:val="17"/>
          <w:color w:val="111111"/>
        </w:rPr>
        <w:t>Upon our voluntary or involuntary liquidation, distribution or winding up, the holders of our common stock will be entitled to receive ratably all of our remaining assets that are legally available for distribution, if any, after the payment of all debts and other liabilities and subject to the prior rights of any outstanding preferred stock.</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7"/>
          <w:szCs w:val="17"/>
          <w:color w:val="111111"/>
        </w:rPr>
        <w:t>Holders of our common stock have no preemptive, subscription, redemption, conversion or exchange rights and no sinking fund provisions.</w:t>
      </w:r>
    </w:p>
    <w:p>
      <w:pPr>
        <w:spacing w:after="0" w:line="263" w:lineRule="exact"/>
        <w:rPr>
          <w:sz w:val="20"/>
          <w:szCs w:val="20"/>
          <w:color w:val="auto"/>
        </w:rPr>
      </w:pPr>
    </w:p>
    <w:p>
      <w:pPr>
        <w:ind w:left="20" w:right="220" w:firstLine="636"/>
        <w:spacing w:after="0" w:line="267" w:lineRule="auto"/>
        <w:rPr>
          <w:sz w:val="20"/>
          <w:szCs w:val="20"/>
          <w:color w:val="auto"/>
        </w:rPr>
      </w:pPr>
      <w:r>
        <w:rPr>
          <w:rFonts w:ascii="Arial" w:cs="Arial" w:eastAsia="Arial" w:hAnsi="Arial"/>
          <w:sz w:val="17"/>
          <w:szCs w:val="17"/>
          <w:color w:val="111111"/>
        </w:rPr>
        <w:t>All outstanding shares of our common stock are duly authorized, validly issued, fully paid and non-assessable. Additional shares of common stock may be issued, as authorized by our Board from time to time, without stockholder approval, except for any stockholder approval required by The Nasdaq Global Select Market.</w:t>
      </w:r>
    </w:p>
    <w:p>
      <w:pPr>
        <w:spacing w:after="0" w:line="226" w:lineRule="exact"/>
        <w:rPr>
          <w:sz w:val="20"/>
          <w:szCs w:val="20"/>
          <w:color w:val="auto"/>
        </w:rPr>
      </w:pPr>
    </w:p>
    <w:p>
      <w:pPr>
        <w:ind w:right="400" w:firstLine="631"/>
        <w:spacing w:after="0" w:line="277" w:lineRule="auto"/>
        <w:rPr>
          <w:sz w:val="20"/>
          <w:szCs w:val="20"/>
          <w:color w:val="auto"/>
        </w:rPr>
      </w:pPr>
      <w:r>
        <w:rPr>
          <w:rFonts w:ascii="Arial" w:cs="Arial" w:eastAsia="Arial" w:hAnsi="Arial"/>
          <w:sz w:val="17"/>
          <w:szCs w:val="17"/>
          <w:color w:val="111111"/>
        </w:rPr>
        <w:t>The rights, preferences and privileges of holders of common stock are subject to, and may be adversely affected by, the rights of the holders of shares of any series of preferred stock that we may designate and issue in the future.</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11111"/>
        </w:rPr>
        <w:t>Preferred Stock</w:t>
      </w:r>
    </w:p>
    <w:p>
      <w:pPr>
        <w:spacing w:after="0" w:line="228" w:lineRule="exact"/>
        <w:rPr>
          <w:sz w:val="20"/>
          <w:szCs w:val="20"/>
          <w:color w:val="auto"/>
        </w:rPr>
      </w:pPr>
    </w:p>
    <w:p>
      <w:pPr>
        <w:ind w:right="300" w:firstLine="634"/>
        <w:spacing w:after="0" w:line="262" w:lineRule="auto"/>
        <w:rPr>
          <w:sz w:val="20"/>
          <w:szCs w:val="20"/>
          <w:color w:val="auto"/>
        </w:rPr>
      </w:pPr>
      <w:r>
        <w:rPr>
          <w:rFonts w:ascii="Arial" w:cs="Arial" w:eastAsia="Arial" w:hAnsi="Arial"/>
          <w:sz w:val="17"/>
          <w:szCs w:val="17"/>
          <w:color w:val="111111"/>
        </w:rPr>
        <w:t>Our board of directors has been authorized to provide for the issuance of up to 5,000,000 shares of our preferred stock from time to time in one or more series without the approval of stockholders. With respect to each series of our preferred stock, our board of directors has the authority to fix or alter the dividend rights, dividend rate, conversion rights, voting rights, rights and terms of redemption, including sinking fund provisions, the redemption price or prices, and the liquidation preferences of any wholly unissued class or series of Preferred Stock, and the number of shares constituting any such series and the designation thereof</w:t>
      </w:r>
      <w:r>
        <w:rPr>
          <w:rFonts w:ascii="Arial" w:cs="Arial" w:eastAsia="Arial" w:hAnsi="Arial"/>
          <w:sz w:val="17"/>
          <w:szCs w:val="17"/>
          <w:color w:val="3D3D3D"/>
        </w:rPr>
        <w:t>,</w:t>
      </w:r>
      <w:r>
        <w:rPr>
          <w:rFonts w:ascii="Arial" w:cs="Arial" w:eastAsia="Arial" w:hAnsi="Arial"/>
          <w:sz w:val="17"/>
          <w:szCs w:val="17"/>
          <w:color w:val="111111"/>
        </w:rPr>
        <w:t xml:space="preserve"> or any of them.</w:t>
      </w:r>
    </w:p>
    <w:p>
      <w:pPr>
        <w:sectPr>
          <w:pgSz w:w="11900" w:h="16838" w:orient="portrait"/>
          <w:cols w:equalWidth="0" w:num="1">
            <w:col w:w="11140"/>
          </w:cols>
          <w:pgMar w:left="420" w:top="903" w:right="339" w:bottom="1440" w:gutter="0" w:footer="0" w:header="0"/>
        </w:sectPr>
      </w:pPr>
    </w:p>
    <w:bookmarkStart w:id="125" w:name="page126"/>
    <w:bookmarkEnd w:id="125"/>
    <w:p>
      <w:pPr>
        <w:ind w:left="100"/>
        <w:spacing w:after="0"/>
        <w:rPr>
          <w:sz w:val="20"/>
          <w:szCs w:val="20"/>
          <w:color w:val="auto"/>
        </w:rPr>
      </w:pPr>
      <w:r>
        <w:rPr>
          <w:rFonts w:ascii="Arial" w:cs="Arial" w:eastAsia="Arial" w:hAnsi="Arial"/>
          <w:sz w:val="17"/>
          <w:szCs w:val="17"/>
          <w:b w:val="1"/>
          <w:bCs w:val="1"/>
          <w:color w:val="111111"/>
        </w:rPr>
        <w:t>Anti-Takeover Effects of Provisions of our Certificate of Incorporation and Bylaws</w:t>
      </w:r>
    </w:p>
    <w:p>
      <w:pPr>
        <w:spacing w:after="0" w:line="149" w:lineRule="exact"/>
        <w:rPr>
          <w:sz w:val="20"/>
          <w:szCs w:val="20"/>
          <w:color w:val="auto"/>
        </w:rPr>
      </w:pPr>
    </w:p>
    <w:p>
      <w:pPr>
        <w:ind w:left="100" w:right="340" w:firstLine="634"/>
        <w:spacing w:after="0" w:line="267" w:lineRule="auto"/>
        <w:rPr>
          <w:sz w:val="20"/>
          <w:szCs w:val="20"/>
          <w:color w:val="auto"/>
        </w:rPr>
      </w:pPr>
      <w:r>
        <w:rPr>
          <w:rFonts w:ascii="Arial" w:cs="Arial" w:eastAsia="Arial" w:hAnsi="Arial"/>
          <w:sz w:val="17"/>
          <w:szCs w:val="17"/>
          <w:color w:val="111111"/>
        </w:rPr>
        <w:t xml:space="preserve">Some provisions of Delaware law, our Certificate of Incorporation and our Bylaws could delay or discourage some transactions involving an actual or potential change in control of us or our management and may limit the ability of our </w:t>
      </w:r>
      <w:r>
        <w:rPr>
          <w:rFonts w:ascii="Arial" w:cs="Arial" w:eastAsia="Arial" w:hAnsi="Arial"/>
          <w:sz w:val="17"/>
          <w:szCs w:val="17"/>
          <w:color w:val="232323"/>
        </w:rPr>
        <w:t>stockholders</w:t>
      </w:r>
      <w:r>
        <w:rPr>
          <w:rFonts w:ascii="Arial" w:cs="Arial" w:eastAsia="Arial" w:hAnsi="Arial"/>
          <w:sz w:val="17"/>
          <w:szCs w:val="17"/>
          <w:color w:val="111111"/>
        </w:rPr>
        <w:t xml:space="preserve"> to remove current management or approve transactions that our </w:t>
      </w:r>
      <w:r>
        <w:rPr>
          <w:rFonts w:ascii="Arial" w:cs="Arial" w:eastAsia="Arial" w:hAnsi="Arial"/>
          <w:sz w:val="17"/>
          <w:szCs w:val="17"/>
          <w:color w:val="232323"/>
        </w:rPr>
        <w:t xml:space="preserve">stockholders </w:t>
      </w:r>
      <w:r>
        <w:rPr>
          <w:rFonts w:ascii="Arial" w:cs="Arial" w:eastAsia="Arial" w:hAnsi="Arial"/>
          <w:sz w:val="17"/>
          <w:szCs w:val="17"/>
          <w:color w:val="111111"/>
        </w:rPr>
        <w:t>may deem to be in their best interests</w:t>
      </w:r>
      <w:r>
        <w:rPr>
          <w:rFonts w:ascii="Arial" w:cs="Arial" w:eastAsia="Arial" w:hAnsi="Arial"/>
          <w:sz w:val="17"/>
          <w:szCs w:val="17"/>
          <w:color w:val="3D3D3D"/>
        </w:rPr>
        <w:t>.</w:t>
      </w:r>
      <w:r>
        <w:rPr>
          <w:rFonts w:ascii="Arial" w:cs="Arial" w:eastAsia="Arial" w:hAnsi="Arial"/>
          <w:sz w:val="17"/>
          <w:szCs w:val="17"/>
          <w:color w:val="232323"/>
        </w:rPr>
        <w:t xml:space="preserve"> </w:t>
      </w:r>
      <w:r>
        <w:rPr>
          <w:rFonts w:ascii="Arial" w:cs="Arial" w:eastAsia="Arial" w:hAnsi="Arial"/>
          <w:sz w:val="17"/>
          <w:szCs w:val="17"/>
          <w:color w:val="111111"/>
        </w:rPr>
        <w:t>These provisions</w:t>
      </w:r>
      <w:r>
        <w:rPr>
          <w:rFonts w:ascii="Arial" w:cs="Arial" w:eastAsia="Arial" w:hAnsi="Arial"/>
          <w:sz w:val="17"/>
          <w:szCs w:val="17"/>
          <w:color w:val="3D3D3D"/>
        </w:rPr>
        <w:t>:</w:t>
      </w:r>
    </w:p>
    <w:p>
      <w:pPr>
        <w:spacing w:after="0" w:line="82" w:lineRule="exact"/>
        <w:rPr>
          <w:sz w:val="20"/>
          <w:szCs w:val="20"/>
          <w:color w:val="auto"/>
        </w:rPr>
      </w:pPr>
    </w:p>
    <w:p>
      <w:pPr>
        <w:ind w:left="1360" w:hanging="304"/>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030303"/>
        </w:rPr>
        <w:t xml:space="preserve">allow </w:t>
      </w:r>
      <w:r>
        <w:rPr>
          <w:rFonts w:ascii="Arial" w:cs="Arial" w:eastAsia="Arial" w:hAnsi="Arial"/>
          <w:sz w:val="17"/>
          <w:szCs w:val="17"/>
          <w:color w:val="111111"/>
        </w:rPr>
        <w:t>our board of directors to issue any authorized but unissued shares of common stock without approval of stockholders;</w:t>
      </w:r>
    </w:p>
    <w:p>
      <w:pPr>
        <w:spacing w:after="0" w:line="132" w:lineRule="exact"/>
        <w:rPr>
          <w:rFonts w:ascii="Arial" w:cs="Arial" w:eastAsia="Arial" w:hAnsi="Arial"/>
          <w:sz w:val="17"/>
          <w:szCs w:val="17"/>
          <w:color w:val="auto"/>
        </w:rPr>
      </w:pPr>
    </w:p>
    <w:p>
      <w:pPr>
        <w:ind w:left="1380" w:right="160" w:hanging="324"/>
        <w:spacing w:after="0" w:line="277" w:lineRule="auto"/>
        <w:tabs>
          <w:tab w:leader="none" w:pos="1372" w:val="left"/>
        </w:tabs>
        <w:numPr>
          <w:ilvl w:val="0"/>
          <w:numId w:val="64"/>
        </w:numPr>
        <w:rPr>
          <w:rFonts w:ascii="Arial" w:cs="Arial" w:eastAsia="Arial" w:hAnsi="Arial"/>
          <w:sz w:val="17"/>
          <w:szCs w:val="17"/>
          <w:color w:val="auto"/>
        </w:rPr>
      </w:pPr>
      <w:r>
        <w:rPr>
          <w:rFonts w:ascii="Arial" w:cs="Arial" w:eastAsia="Arial" w:hAnsi="Arial"/>
          <w:sz w:val="17"/>
          <w:szCs w:val="17"/>
          <w:color w:val="030303"/>
        </w:rPr>
        <w:t xml:space="preserve">authorize </w:t>
      </w:r>
      <w:r>
        <w:rPr>
          <w:rFonts w:ascii="Arial" w:cs="Arial" w:eastAsia="Arial" w:hAnsi="Arial"/>
          <w:sz w:val="17"/>
          <w:szCs w:val="17"/>
          <w:color w:val="111111"/>
        </w:rPr>
        <w:t>our board of directors to</w:t>
      </w:r>
      <w:r>
        <w:rPr>
          <w:rFonts w:ascii="Arial" w:cs="Arial" w:eastAsia="Arial" w:hAnsi="Arial"/>
          <w:sz w:val="17"/>
          <w:szCs w:val="17"/>
          <w:color w:val="030303"/>
        </w:rPr>
        <w:t xml:space="preserve"> </w:t>
      </w:r>
      <w:r>
        <w:rPr>
          <w:rFonts w:ascii="Arial" w:cs="Arial" w:eastAsia="Arial" w:hAnsi="Arial"/>
          <w:sz w:val="17"/>
          <w:szCs w:val="17"/>
          <w:color w:val="232323"/>
        </w:rPr>
        <w:t>establish</w:t>
      </w:r>
      <w:r>
        <w:rPr>
          <w:rFonts w:ascii="Arial" w:cs="Arial" w:eastAsia="Arial" w:hAnsi="Arial"/>
          <w:sz w:val="17"/>
          <w:szCs w:val="17"/>
          <w:color w:val="030303"/>
        </w:rPr>
        <w:t xml:space="preserve"> </w:t>
      </w:r>
      <w:r>
        <w:rPr>
          <w:rFonts w:ascii="Arial" w:cs="Arial" w:eastAsia="Arial" w:hAnsi="Arial"/>
          <w:sz w:val="17"/>
          <w:szCs w:val="17"/>
          <w:color w:val="111111"/>
        </w:rPr>
        <w:t>one or more series of preferred stock</w:t>
      </w:r>
      <w:r>
        <w:rPr>
          <w:rFonts w:ascii="Arial" w:cs="Arial" w:eastAsia="Arial" w:hAnsi="Arial"/>
          <w:sz w:val="17"/>
          <w:szCs w:val="17"/>
          <w:color w:val="3D3D3D"/>
        </w:rPr>
        <w:t>,</w:t>
      </w:r>
      <w:r>
        <w:rPr>
          <w:rFonts w:ascii="Arial" w:cs="Arial" w:eastAsia="Arial" w:hAnsi="Arial"/>
          <w:sz w:val="17"/>
          <w:szCs w:val="17"/>
          <w:color w:val="030303"/>
        </w:rPr>
        <w:t xml:space="preserve"> </w:t>
      </w:r>
      <w:r>
        <w:rPr>
          <w:rFonts w:ascii="Arial" w:cs="Arial" w:eastAsia="Arial" w:hAnsi="Arial"/>
          <w:sz w:val="17"/>
          <w:szCs w:val="17"/>
          <w:color w:val="111111"/>
        </w:rPr>
        <w:t>the terms of which can be determined by our board of directors</w:t>
      </w:r>
      <w:r>
        <w:rPr>
          <w:rFonts w:ascii="Arial" w:cs="Arial" w:eastAsia="Arial" w:hAnsi="Arial"/>
          <w:sz w:val="17"/>
          <w:szCs w:val="17"/>
          <w:color w:val="030303"/>
        </w:rPr>
        <w:t xml:space="preserve"> </w:t>
      </w:r>
      <w:r>
        <w:rPr>
          <w:rFonts w:ascii="Arial" w:cs="Arial" w:eastAsia="Arial" w:hAnsi="Arial"/>
          <w:sz w:val="17"/>
          <w:szCs w:val="17"/>
          <w:color w:val="111111"/>
        </w:rPr>
        <w:t>at the time of issuance;</w:t>
      </w:r>
    </w:p>
    <w:p>
      <w:pPr>
        <w:spacing w:after="0" w:line="86" w:lineRule="exact"/>
        <w:rPr>
          <w:rFonts w:ascii="Arial" w:cs="Arial" w:eastAsia="Arial" w:hAnsi="Arial"/>
          <w:sz w:val="17"/>
          <w:szCs w:val="17"/>
          <w:color w:val="auto"/>
        </w:rPr>
      </w:pPr>
    </w:p>
    <w:p>
      <w:pPr>
        <w:ind w:left="1380" w:hanging="324"/>
        <w:spacing w:after="0" w:line="274" w:lineRule="auto"/>
        <w:tabs>
          <w:tab w:leader="none" w:pos="1372" w:val="left"/>
        </w:tabs>
        <w:numPr>
          <w:ilvl w:val="0"/>
          <w:numId w:val="64"/>
        </w:numPr>
        <w:rPr>
          <w:rFonts w:ascii="Arial" w:cs="Arial" w:eastAsia="Arial" w:hAnsi="Arial"/>
          <w:sz w:val="16"/>
          <w:szCs w:val="16"/>
          <w:color w:val="auto"/>
        </w:rPr>
      </w:pPr>
      <w:r>
        <w:rPr>
          <w:rFonts w:ascii="Arial" w:cs="Arial" w:eastAsia="Arial" w:hAnsi="Arial"/>
          <w:sz w:val="16"/>
          <w:szCs w:val="16"/>
          <w:color w:val="030303"/>
        </w:rPr>
        <w:t xml:space="preserve">provide </w:t>
      </w:r>
      <w:r>
        <w:rPr>
          <w:rFonts w:ascii="Arial" w:cs="Arial" w:eastAsia="Arial" w:hAnsi="Arial"/>
          <w:sz w:val="16"/>
          <w:szCs w:val="16"/>
          <w:color w:val="111111"/>
        </w:rPr>
        <w:t>an advanced written notice procedure with respect to</w:t>
      </w:r>
      <w:r>
        <w:rPr>
          <w:rFonts w:ascii="Arial" w:cs="Arial" w:eastAsia="Arial" w:hAnsi="Arial"/>
          <w:sz w:val="16"/>
          <w:szCs w:val="16"/>
          <w:color w:val="030303"/>
        </w:rPr>
        <w:t xml:space="preserve"> </w:t>
      </w:r>
      <w:r>
        <w:rPr>
          <w:rFonts w:ascii="Arial" w:cs="Arial" w:eastAsia="Arial" w:hAnsi="Arial"/>
          <w:sz w:val="16"/>
          <w:szCs w:val="16"/>
          <w:color w:val="232323"/>
        </w:rPr>
        <w:t>stockholder</w:t>
      </w:r>
      <w:r>
        <w:rPr>
          <w:rFonts w:ascii="Arial" w:cs="Arial" w:eastAsia="Arial" w:hAnsi="Arial"/>
          <w:sz w:val="16"/>
          <w:szCs w:val="16"/>
          <w:color w:val="030303"/>
        </w:rPr>
        <w:t xml:space="preserve"> </w:t>
      </w:r>
      <w:r>
        <w:rPr>
          <w:rFonts w:ascii="Arial" w:cs="Arial" w:eastAsia="Arial" w:hAnsi="Arial"/>
          <w:sz w:val="16"/>
          <w:szCs w:val="16"/>
          <w:color w:val="111111"/>
        </w:rPr>
        <w:t>proposals and the nomination of candidates for</w:t>
      </w:r>
      <w:r>
        <w:rPr>
          <w:rFonts w:ascii="Arial" w:cs="Arial" w:eastAsia="Arial" w:hAnsi="Arial"/>
          <w:sz w:val="16"/>
          <w:szCs w:val="16"/>
          <w:color w:val="030303"/>
        </w:rPr>
        <w:t xml:space="preserve"> </w:t>
      </w:r>
      <w:r>
        <w:rPr>
          <w:rFonts w:ascii="Arial" w:cs="Arial" w:eastAsia="Arial" w:hAnsi="Arial"/>
          <w:sz w:val="16"/>
          <w:szCs w:val="16"/>
          <w:color w:val="232323"/>
        </w:rPr>
        <w:t>election</w:t>
      </w:r>
      <w:r>
        <w:rPr>
          <w:rFonts w:ascii="Arial" w:cs="Arial" w:eastAsia="Arial" w:hAnsi="Arial"/>
          <w:sz w:val="16"/>
          <w:szCs w:val="16"/>
          <w:color w:val="030303"/>
        </w:rPr>
        <w:t xml:space="preserve"> </w:t>
      </w:r>
      <w:r>
        <w:rPr>
          <w:rFonts w:ascii="Arial" w:cs="Arial" w:eastAsia="Arial" w:hAnsi="Arial"/>
          <w:sz w:val="16"/>
          <w:szCs w:val="16"/>
          <w:color w:val="111111"/>
        </w:rPr>
        <w:t>as directors, other</w:t>
      </w:r>
      <w:r>
        <w:rPr>
          <w:rFonts w:ascii="Arial" w:cs="Arial" w:eastAsia="Arial" w:hAnsi="Arial"/>
          <w:sz w:val="16"/>
          <w:szCs w:val="16"/>
          <w:color w:val="030303"/>
        </w:rPr>
        <w:t xml:space="preserve"> </w:t>
      </w:r>
      <w:r>
        <w:rPr>
          <w:rFonts w:ascii="Arial" w:cs="Arial" w:eastAsia="Arial" w:hAnsi="Arial"/>
          <w:sz w:val="16"/>
          <w:szCs w:val="16"/>
          <w:color w:val="111111"/>
        </w:rPr>
        <w:t xml:space="preserve">than nominations made by or at the direction of our board of directors, subject to the rights of stockholders to request inclusion of proposals in our proxy statement pursuant to Rule 14a-8 under the </w:t>
      </w:r>
      <w:r>
        <w:rPr>
          <w:rFonts w:ascii="Arial" w:cs="Arial" w:eastAsia="Arial" w:hAnsi="Arial"/>
          <w:sz w:val="16"/>
          <w:szCs w:val="16"/>
          <w:color w:val="232323"/>
        </w:rPr>
        <w:t>Exchange</w:t>
      </w:r>
      <w:r>
        <w:rPr>
          <w:rFonts w:ascii="Arial" w:cs="Arial" w:eastAsia="Arial" w:hAnsi="Arial"/>
          <w:sz w:val="16"/>
          <w:szCs w:val="16"/>
          <w:color w:val="111111"/>
        </w:rPr>
        <w:t xml:space="preserve"> Act (or any successor provision of law);</w:t>
      </w:r>
    </w:p>
    <w:p>
      <w:pPr>
        <w:spacing w:after="0" w:line="117" w:lineRule="exact"/>
        <w:rPr>
          <w:rFonts w:ascii="Arial" w:cs="Arial" w:eastAsia="Arial" w:hAnsi="Arial"/>
          <w:sz w:val="16"/>
          <w:szCs w:val="16"/>
          <w:color w:val="auto"/>
        </w:rPr>
      </w:pPr>
    </w:p>
    <w:p>
      <w:pPr>
        <w:ind w:left="1380" w:right="420" w:hanging="324"/>
        <w:spacing w:after="0" w:line="277" w:lineRule="auto"/>
        <w:tabs>
          <w:tab w:leader="none" w:pos="1372" w:val="left"/>
        </w:tabs>
        <w:numPr>
          <w:ilvl w:val="0"/>
          <w:numId w:val="64"/>
        </w:numPr>
        <w:rPr>
          <w:rFonts w:ascii="Arial" w:cs="Arial" w:eastAsia="Arial" w:hAnsi="Arial"/>
          <w:sz w:val="17"/>
          <w:szCs w:val="17"/>
          <w:color w:val="auto"/>
        </w:rPr>
      </w:pPr>
      <w:r>
        <w:rPr>
          <w:rFonts w:ascii="Arial" w:cs="Arial" w:eastAsia="Arial" w:hAnsi="Arial"/>
          <w:sz w:val="17"/>
          <w:szCs w:val="17"/>
          <w:color w:val="030303"/>
        </w:rPr>
        <w:t xml:space="preserve">state </w:t>
      </w:r>
      <w:r>
        <w:rPr>
          <w:rFonts w:ascii="Arial" w:cs="Arial" w:eastAsia="Arial" w:hAnsi="Arial"/>
          <w:sz w:val="17"/>
          <w:szCs w:val="17"/>
          <w:color w:val="111111"/>
        </w:rPr>
        <w:t>that special meetings of our stockholders may be called only by the Chairman of our board of directors, our Chief Executive Officer, our</w:t>
      </w:r>
      <w:r>
        <w:rPr>
          <w:rFonts w:ascii="Arial" w:cs="Arial" w:eastAsia="Arial" w:hAnsi="Arial"/>
          <w:sz w:val="17"/>
          <w:szCs w:val="17"/>
          <w:color w:val="030303"/>
        </w:rPr>
        <w:t xml:space="preserve"> </w:t>
      </w:r>
      <w:r>
        <w:rPr>
          <w:rFonts w:ascii="Arial" w:cs="Arial" w:eastAsia="Arial" w:hAnsi="Arial"/>
          <w:sz w:val="17"/>
          <w:szCs w:val="17"/>
          <w:color w:val="111111"/>
        </w:rPr>
        <w:t>President, or at the written request of a majority of our board of directors;</w:t>
      </w:r>
    </w:p>
    <w:p>
      <w:pPr>
        <w:spacing w:after="0" w:line="99" w:lineRule="exact"/>
        <w:rPr>
          <w:rFonts w:ascii="Arial" w:cs="Arial" w:eastAsia="Arial" w:hAnsi="Arial"/>
          <w:sz w:val="17"/>
          <w:szCs w:val="17"/>
          <w:color w:val="auto"/>
        </w:rPr>
      </w:pPr>
    </w:p>
    <w:p>
      <w:pPr>
        <w:ind w:left="1380" w:right="20" w:hanging="324"/>
        <w:spacing w:after="0" w:line="277" w:lineRule="auto"/>
        <w:tabs>
          <w:tab w:leader="none" w:pos="1372" w:val="left"/>
        </w:tabs>
        <w:numPr>
          <w:ilvl w:val="0"/>
          <w:numId w:val="64"/>
        </w:numPr>
        <w:rPr>
          <w:rFonts w:ascii="Arial" w:cs="Arial" w:eastAsia="Arial" w:hAnsi="Arial"/>
          <w:sz w:val="17"/>
          <w:szCs w:val="17"/>
          <w:color w:val="auto"/>
        </w:rPr>
      </w:pPr>
      <w:r>
        <w:rPr>
          <w:rFonts w:ascii="Arial" w:cs="Arial" w:eastAsia="Arial" w:hAnsi="Arial"/>
          <w:sz w:val="17"/>
          <w:szCs w:val="17"/>
          <w:color w:val="030303"/>
        </w:rPr>
        <w:t xml:space="preserve">allow </w:t>
      </w:r>
      <w:r>
        <w:rPr>
          <w:rFonts w:ascii="Arial" w:cs="Arial" w:eastAsia="Arial" w:hAnsi="Arial"/>
          <w:sz w:val="17"/>
          <w:szCs w:val="17"/>
          <w:color w:val="111111"/>
        </w:rPr>
        <w:t>our directors, and not our stockholders, to fill vacancies on our board of directors, including</w:t>
      </w:r>
      <w:r>
        <w:rPr>
          <w:rFonts w:ascii="Arial" w:cs="Arial" w:eastAsia="Arial" w:hAnsi="Arial"/>
          <w:sz w:val="17"/>
          <w:szCs w:val="17"/>
          <w:color w:val="030303"/>
        </w:rPr>
        <w:t xml:space="preserve"> </w:t>
      </w:r>
      <w:r>
        <w:rPr>
          <w:rFonts w:ascii="Arial" w:cs="Arial" w:eastAsia="Arial" w:hAnsi="Arial"/>
          <w:sz w:val="17"/>
          <w:szCs w:val="17"/>
          <w:color w:val="232323"/>
        </w:rPr>
        <w:t>vacancies</w:t>
      </w:r>
      <w:r>
        <w:rPr>
          <w:rFonts w:ascii="Arial" w:cs="Arial" w:eastAsia="Arial" w:hAnsi="Arial"/>
          <w:sz w:val="17"/>
          <w:szCs w:val="17"/>
          <w:color w:val="030303"/>
        </w:rPr>
        <w:t xml:space="preserve"> </w:t>
      </w:r>
      <w:r>
        <w:rPr>
          <w:rFonts w:ascii="Arial" w:cs="Arial" w:eastAsia="Arial" w:hAnsi="Arial"/>
          <w:sz w:val="17"/>
          <w:szCs w:val="17"/>
          <w:color w:val="111111"/>
        </w:rPr>
        <w:t>resulting from removal or enlargement</w:t>
      </w:r>
      <w:r>
        <w:rPr>
          <w:rFonts w:ascii="Arial" w:cs="Arial" w:eastAsia="Arial" w:hAnsi="Arial"/>
          <w:sz w:val="17"/>
          <w:szCs w:val="17"/>
          <w:color w:val="030303"/>
        </w:rPr>
        <w:t xml:space="preserve"> </w:t>
      </w:r>
      <w:r>
        <w:rPr>
          <w:rFonts w:ascii="Arial" w:cs="Arial" w:eastAsia="Arial" w:hAnsi="Arial"/>
          <w:sz w:val="17"/>
          <w:szCs w:val="17"/>
          <w:color w:val="111111"/>
        </w:rPr>
        <w:t>of our board of directors; and</w:t>
      </w:r>
    </w:p>
    <w:p>
      <w:pPr>
        <w:spacing w:after="0" w:line="99" w:lineRule="exact"/>
        <w:rPr>
          <w:rFonts w:ascii="Arial" w:cs="Arial" w:eastAsia="Arial" w:hAnsi="Arial"/>
          <w:sz w:val="17"/>
          <w:szCs w:val="17"/>
          <w:color w:val="auto"/>
        </w:rPr>
      </w:pPr>
    </w:p>
    <w:p>
      <w:pPr>
        <w:ind w:left="1380" w:right="260" w:hanging="324"/>
        <w:spacing w:after="0" w:line="264" w:lineRule="auto"/>
        <w:tabs>
          <w:tab w:leader="none" w:pos="1372" w:val="left"/>
        </w:tabs>
        <w:numPr>
          <w:ilvl w:val="0"/>
          <w:numId w:val="64"/>
        </w:numPr>
        <w:rPr>
          <w:rFonts w:ascii="Arial" w:cs="Arial" w:eastAsia="Arial" w:hAnsi="Arial"/>
          <w:sz w:val="17"/>
          <w:szCs w:val="17"/>
          <w:color w:val="auto"/>
        </w:rPr>
      </w:pPr>
      <w:r>
        <w:rPr>
          <w:rFonts w:ascii="Arial" w:cs="Arial" w:eastAsia="Arial" w:hAnsi="Arial"/>
          <w:sz w:val="17"/>
          <w:szCs w:val="17"/>
          <w:color w:val="030303"/>
        </w:rPr>
        <w:t xml:space="preserve">grant </w:t>
      </w:r>
      <w:r>
        <w:rPr>
          <w:rFonts w:ascii="Arial" w:cs="Arial" w:eastAsia="Arial" w:hAnsi="Arial"/>
          <w:sz w:val="17"/>
          <w:szCs w:val="17"/>
          <w:color w:val="111111"/>
        </w:rPr>
        <w:t>our board of directors the authority to alter, amend, change, add to, repeal</w:t>
      </w:r>
      <w:r>
        <w:rPr>
          <w:rFonts w:ascii="Arial" w:cs="Arial" w:eastAsia="Arial" w:hAnsi="Arial"/>
          <w:sz w:val="17"/>
          <w:szCs w:val="17"/>
          <w:color w:val="3D3D3D"/>
        </w:rPr>
        <w:t>,</w:t>
      </w:r>
      <w:r>
        <w:rPr>
          <w:rFonts w:ascii="Arial" w:cs="Arial" w:eastAsia="Arial" w:hAnsi="Arial"/>
          <w:sz w:val="17"/>
          <w:szCs w:val="17"/>
          <w:color w:val="030303"/>
        </w:rPr>
        <w:t xml:space="preserve"> </w:t>
      </w:r>
      <w:r>
        <w:rPr>
          <w:rFonts w:ascii="Arial" w:cs="Arial" w:eastAsia="Arial" w:hAnsi="Arial"/>
          <w:sz w:val="17"/>
          <w:szCs w:val="17"/>
          <w:color w:val="111111"/>
        </w:rPr>
        <w:t>rescind or make new Bylaws without a stockholder assent or</w:t>
      </w:r>
      <w:r>
        <w:rPr>
          <w:rFonts w:ascii="Arial" w:cs="Arial" w:eastAsia="Arial" w:hAnsi="Arial"/>
          <w:sz w:val="17"/>
          <w:szCs w:val="17"/>
          <w:color w:val="030303"/>
        </w:rPr>
        <w:t xml:space="preserve"> </w:t>
      </w:r>
      <w:r>
        <w:rPr>
          <w:rFonts w:ascii="Arial" w:cs="Arial" w:eastAsia="Arial" w:hAnsi="Arial"/>
          <w:sz w:val="17"/>
          <w:szCs w:val="17"/>
          <w:color w:val="111111"/>
        </w:rPr>
        <w:t>vote</w:t>
      </w:r>
      <w:r>
        <w:rPr>
          <w:rFonts w:ascii="Arial" w:cs="Arial" w:eastAsia="Arial" w:hAnsi="Arial"/>
          <w:sz w:val="17"/>
          <w:szCs w:val="17"/>
          <w:color w:val="3D3D3D"/>
        </w:rPr>
        <w:t>;</w:t>
      </w:r>
      <w:r>
        <w:rPr>
          <w:rFonts w:ascii="Arial" w:cs="Arial" w:eastAsia="Arial" w:hAnsi="Arial"/>
          <w:sz w:val="17"/>
          <w:szCs w:val="17"/>
          <w:color w:val="111111"/>
        </w:rPr>
        <w:t xml:space="preserve"> provided, however, that such authority of our board of directors is subject to the power of the stockholders to alter, amend, change, add to, repeal</w:t>
      </w:r>
      <w:r>
        <w:rPr>
          <w:rFonts w:ascii="Arial" w:cs="Arial" w:eastAsia="Arial" w:hAnsi="Arial"/>
          <w:sz w:val="17"/>
          <w:szCs w:val="17"/>
          <w:color w:val="3D3D3D"/>
        </w:rPr>
        <w:t>,</w:t>
      </w:r>
      <w:r>
        <w:rPr>
          <w:rFonts w:ascii="Arial" w:cs="Arial" w:eastAsia="Arial" w:hAnsi="Arial"/>
          <w:sz w:val="17"/>
          <w:szCs w:val="17"/>
          <w:color w:val="111111"/>
        </w:rPr>
        <w:t xml:space="preserve"> rescind or make new Bylaws by the affirmative vote of the holders of at least a majority of the voting power of the outstanding shares entitled to vote thereon.</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30303"/>
        </w:rPr>
        <w:t xml:space="preserve">Delaware </w:t>
      </w:r>
      <w:r>
        <w:rPr>
          <w:rFonts w:ascii="Arial" w:cs="Arial" w:eastAsia="Arial" w:hAnsi="Arial"/>
          <w:sz w:val="17"/>
          <w:szCs w:val="17"/>
          <w:b w:val="1"/>
          <w:bCs w:val="1"/>
          <w:color w:val="111111"/>
        </w:rPr>
        <w:t>Anti-takeover Law</w:t>
      </w:r>
    </w:p>
    <w:p>
      <w:pPr>
        <w:spacing w:after="0" w:line="241" w:lineRule="exact"/>
        <w:rPr>
          <w:sz w:val="20"/>
          <w:szCs w:val="20"/>
          <w:color w:val="auto"/>
        </w:rPr>
      </w:pPr>
    </w:p>
    <w:p>
      <w:pPr>
        <w:ind w:left="100" w:right="140" w:firstLine="631"/>
        <w:spacing w:after="0" w:line="278" w:lineRule="auto"/>
        <w:rPr>
          <w:sz w:val="20"/>
          <w:szCs w:val="20"/>
          <w:color w:val="auto"/>
        </w:rPr>
      </w:pPr>
      <w:r>
        <w:rPr>
          <w:rFonts w:ascii="Arial" w:cs="Arial" w:eastAsia="Arial" w:hAnsi="Arial"/>
          <w:sz w:val="16"/>
          <w:szCs w:val="16"/>
          <w:color w:val="111111"/>
        </w:rPr>
        <w:t xml:space="preserve">The Company is subject to Section 203 of the DGCL, which is an anti-takeover </w:t>
      </w:r>
      <w:r>
        <w:rPr>
          <w:rFonts w:ascii="Arial" w:cs="Arial" w:eastAsia="Arial" w:hAnsi="Arial"/>
          <w:sz w:val="16"/>
          <w:szCs w:val="16"/>
          <w:color w:val="030303"/>
        </w:rPr>
        <w:t>law</w:t>
      </w:r>
      <w:r>
        <w:rPr>
          <w:rFonts w:ascii="Arial" w:cs="Arial" w:eastAsia="Arial" w:hAnsi="Arial"/>
          <w:sz w:val="16"/>
          <w:szCs w:val="16"/>
          <w:color w:val="3D3D3D"/>
        </w:rPr>
        <w:t>.</w:t>
      </w:r>
      <w:r>
        <w:rPr>
          <w:rFonts w:ascii="Arial" w:cs="Arial" w:eastAsia="Arial" w:hAnsi="Arial"/>
          <w:sz w:val="16"/>
          <w:szCs w:val="16"/>
          <w:color w:val="111111"/>
        </w:rPr>
        <w:t xml:space="preserve"> ln general, Section 203 prevents a publicly-held Delaware corporation from </w:t>
      </w:r>
      <w:r>
        <w:rPr>
          <w:rFonts w:ascii="Arial" w:cs="Arial" w:eastAsia="Arial" w:hAnsi="Arial"/>
          <w:sz w:val="16"/>
          <w:szCs w:val="16"/>
          <w:color w:val="232323"/>
        </w:rPr>
        <w:t>engaging</w:t>
      </w:r>
      <w:r>
        <w:rPr>
          <w:rFonts w:ascii="Arial" w:cs="Arial" w:eastAsia="Arial" w:hAnsi="Arial"/>
          <w:sz w:val="16"/>
          <w:szCs w:val="16"/>
          <w:color w:val="111111"/>
        </w:rPr>
        <w:t xml:space="preserve"> in a "business combination" with any </w:t>
      </w:r>
      <w:r>
        <w:rPr>
          <w:rFonts w:ascii="Arial" w:cs="Arial" w:eastAsia="Arial" w:hAnsi="Arial"/>
          <w:sz w:val="16"/>
          <w:szCs w:val="16"/>
          <w:color w:val="232323"/>
        </w:rPr>
        <w:t>"interested</w:t>
      </w:r>
      <w:r>
        <w:rPr>
          <w:rFonts w:ascii="Arial" w:cs="Arial" w:eastAsia="Arial" w:hAnsi="Arial"/>
          <w:sz w:val="16"/>
          <w:szCs w:val="16"/>
          <w:color w:val="111111"/>
        </w:rPr>
        <w:t xml:space="preserve"> stockholder" for a period of three years following the date that the person became an interested stockholder unless (1) our board of directors approved either the business combination or the transaction that resulted in the stockholder becoming an interested stockholder, (2) </w:t>
      </w:r>
      <w:r>
        <w:rPr>
          <w:rFonts w:ascii="Arial" w:cs="Arial" w:eastAsia="Arial" w:hAnsi="Arial"/>
          <w:sz w:val="16"/>
          <w:szCs w:val="16"/>
          <w:color w:val="232323"/>
        </w:rPr>
        <w:t>at</w:t>
      </w:r>
      <w:r>
        <w:rPr>
          <w:rFonts w:ascii="Arial" w:cs="Arial" w:eastAsia="Arial" w:hAnsi="Arial"/>
          <w:sz w:val="16"/>
          <w:szCs w:val="16"/>
          <w:color w:val="111111"/>
        </w:rPr>
        <w:t xml:space="preserve"> least two-thirds of the outstanding shares not owned by that interested stockholder approve the business combination, or (3) upon becoming an interested stockholder, that stockholder owned </w:t>
      </w:r>
      <w:r>
        <w:rPr>
          <w:rFonts w:ascii="Arial" w:cs="Arial" w:eastAsia="Arial" w:hAnsi="Arial"/>
          <w:sz w:val="16"/>
          <w:szCs w:val="16"/>
          <w:color w:val="232323"/>
        </w:rPr>
        <w:t>at</w:t>
      </w:r>
      <w:r>
        <w:rPr>
          <w:rFonts w:ascii="Arial" w:cs="Arial" w:eastAsia="Arial" w:hAnsi="Arial"/>
          <w:sz w:val="16"/>
          <w:szCs w:val="16"/>
          <w:color w:val="111111"/>
        </w:rPr>
        <w:t xml:space="preserve"> </w:t>
      </w:r>
      <w:r>
        <w:rPr>
          <w:rFonts w:ascii="Arial" w:cs="Arial" w:eastAsia="Arial" w:hAnsi="Arial"/>
          <w:sz w:val="16"/>
          <w:szCs w:val="16"/>
          <w:color w:val="030303"/>
        </w:rPr>
        <w:t>least</w:t>
      </w:r>
      <w:r>
        <w:rPr>
          <w:rFonts w:ascii="Arial" w:cs="Arial" w:eastAsia="Arial" w:hAnsi="Arial"/>
          <w:sz w:val="16"/>
          <w:szCs w:val="16"/>
          <w:color w:val="111111"/>
        </w:rPr>
        <w:t xml:space="preserve"> 85% of the outstanding shares, excluding those held by officers</w:t>
      </w:r>
      <w:r>
        <w:rPr>
          <w:rFonts w:ascii="Arial" w:cs="Arial" w:eastAsia="Arial" w:hAnsi="Arial"/>
          <w:sz w:val="16"/>
          <w:szCs w:val="16"/>
          <w:color w:val="3D3D3D"/>
        </w:rPr>
        <w:t>,</w:t>
      </w:r>
      <w:r>
        <w:rPr>
          <w:rFonts w:ascii="Arial" w:cs="Arial" w:eastAsia="Arial" w:hAnsi="Arial"/>
          <w:sz w:val="16"/>
          <w:szCs w:val="16"/>
          <w:color w:val="111111"/>
        </w:rPr>
        <w:t xml:space="preserve"> directors and some </w:t>
      </w:r>
      <w:r>
        <w:rPr>
          <w:rFonts w:ascii="Arial" w:cs="Arial" w:eastAsia="Arial" w:hAnsi="Arial"/>
          <w:sz w:val="16"/>
          <w:szCs w:val="16"/>
          <w:color w:val="232323"/>
        </w:rPr>
        <w:t>employee</w:t>
      </w:r>
      <w:r>
        <w:rPr>
          <w:rFonts w:ascii="Arial" w:cs="Arial" w:eastAsia="Arial" w:hAnsi="Arial"/>
          <w:sz w:val="16"/>
          <w:szCs w:val="16"/>
          <w:color w:val="111111"/>
        </w:rPr>
        <w:t xml:space="preserve"> stock plans. In general, a </w:t>
      </w:r>
      <w:r>
        <w:rPr>
          <w:rFonts w:ascii="Arial" w:cs="Arial" w:eastAsia="Arial" w:hAnsi="Arial"/>
          <w:sz w:val="16"/>
          <w:szCs w:val="16"/>
          <w:color w:val="232323"/>
        </w:rPr>
        <w:t>"business</w:t>
      </w:r>
      <w:r>
        <w:rPr>
          <w:rFonts w:ascii="Arial" w:cs="Arial" w:eastAsia="Arial" w:hAnsi="Arial"/>
          <w:sz w:val="16"/>
          <w:szCs w:val="16"/>
          <w:color w:val="111111"/>
        </w:rPr>
        <w:t xml:space="preserve"> combination" includes, </w:t>
      </w:r>
      <w:r>
        <w:rPr>
          <w:rFonts w:ascii="Arial" w:cs="Arial" w:eastAsia="Arial" w:hAnsi="Arial"/>
          <w:sz w:val="16"/>
          <w:szCs w:val="16"/>
          <w:color w:val="232323"/>
        </w:rPr>
        <w:t>among</w:t>
      </w:r>
      <w:r>
        <w:rPr>
          <w:rFonts w:ascii="Arial" w:cs="Arial" w:eastAsia="Arial" w:hAnsi="Arial"/>
          <w:sz w:val="16"/>
          <w:szCs w:val="16"/>
          <w:color w:val="111111"/>
        </w:rPr>
        <w:t xml:space="preserve"> other things</w:t>
      </w:r>
      <w:r>
        <w:rPr>
          <w:rFonts w:ascii="Arial" w:cs="Arial" w:eastAsia="Arial" w:hAnsi="Arial"/>
          <w:sz w:val="16"/>
          <w:szCs w:val="16"/>
          <w:color w:val="3D3D3D"/>
        </w:rPr>
        <w:t>,</w:t>
      </w:r>
      <w:r>
        <w:rPr>
          <w:rFonts w:ascii="Arial" w:cs="Arial" w:eastAsia="Arial" w:hAnsi="Arial"/>
          <w:sz w:val="16"/>
          <w:szCs w:val="16"/>
          <w:color w:val="111111"/>
        </w:rPr>
        <w:t xml:space="preserve"> a merger or consolidation involving us and the "interested stockholder" and the sale of more than 10% of our assets. In general, an "interested stockholder" is any entity or person beneficially owning 15% or more of our outstanding voting stock and any </w:t>
      </w:r>
      <w:r>
        <w:rPr>
          <w:rFonts w:ascii="Arial" w:cs="Arial" w:eastAsia="Arial" w:hAnsi="Arial"/>
          <w:sz w:val="16"/>
          <w:szCs w:val="16"/>
          <w:color w:val="232323"/>
        </w:rPr>
        <w:t>entity</w:t>
      </w:r>
      <w:r>
        <w:rPr>
          <w:rFonts w:ascii="Arial" w:cs="Arial" w:eastAsia="Arial" w:hAnsi="Arial"/>
          <w:sz w:val="16"/>
          <w:szCs w:val="16"/>
          <w:color w:val="111111"/>
        </w:rPr>
        <w:t xml:space="preserve"> or person affiliated with or controlling or controlled by such entity or person.</w:t>
      </w:r>
    </w:p>
    <w:p>
      <w:pPr>
        <w:spacing w:after="0" w:line="210" w:lineRule="exact"/>
        <w:rPr>
          <w:sz w:val="20"/>
          <w:szCs w:val="20"/>
          <w:color w:val="auto"/>
        </w:rPr>
      </w:pPr>
    </w:p>
    <w:p>
      <w:pPr>
        <w:jc w:val="both"/>
        <w:ind w:left="100" w:right="120" w:firstLine="630"/>
        <w:spacing w:after="0" w:line="267" w:lineRule="auto"/>
        <w:rPr>
          <w:sz w:val="20"/>
          <w:szCs w:val="20"/>
          <w:color w:val="auto"/>
        </w:rPr>
      </w:pPr>
      <w:r>
        <w:rPr>
          <w:rFonts w:ascii="Arial" w:cs="Arial" w:eastAsia="Arial" w:hAnsi="Arial"/>
          <w:sz w:val="17"/>
          <w:szCs w:val="17"/>
          <w:color w:val="111111"/>
        </w:rPr>
        <w:t xml:space="preserve">A Delaware corporation may "opt out" of these provisions with an express provision in its original certificate of incorporation or an express provision in its certificate of incorporation or bylaws resulting from a </w:t>
      </w:r>
      <w:r>
        <w:rPr>
          <w:rFonts w:ascii="Arial" w:cs="Arial" w:eastAsia="Arial" w:hAnsi="Arial"/>
          <w:sz w:val="17"/>
          <w:szCs w:val="17"/>
          <w:color w:val="232323"/>
        </w:rPr>
        <w:t>stockholders'</w:t>
      </w:r>
      <w:r>
        <w:rPr>
          <w:rFonts w:ascii="Arial" w:cs="Arial" w:eastAsia="Arial" w:hAnsi="Arial"/>
          <w:sz w:val="17"/>
          <w:szCs w:val="17"/>
          <w:color w:val="111111"/>
        </w:rPr>
        <w:t xml:space="preserve"> amendment approved by at least a majority of the outstanding voting shares. We have not opted out of these provisions.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030303"/>
        </w:rPr>
        <w:t>Exclusive Forum Provision</w:t>
      </w:r>
    </w:p>
    <w:p>
      <w:pPr>
        <w:spacing w:after="0" w:line="228" w:lineRule="exact"/>
        <w:rPr>
          <w:sz w:val="20"/>
          <w:szCs w:val="20"/>
          <w:color w:val="auto"/>
        </w:rPr>
      </w:pPr>
    </w:p>
    <w:p>
      <w:pPr>
        <w:ind w:left="100" w:right="100" w:firstLine="631"/>
        <w:spacing w:after="0" w:line="302" w:lineRule="auto"/>
        <w:rPr>
          <w:sz w:val="20"/>
          <w:szCs w:val="20"/>
          <w:color w:val="auto"/>
        </w:rPr>
      </w:pPr>
      <w:r>
        <w:rPr>
          <w:rFonts w:ascii="Arial" w:cs="Arial" w:eastAsia="Arial" w:hAnsi="Arial"/>
          <w:sz w:val="15"/>
          <w:szCs w:val="15"/>
          <w:color w:val="111111"/>
        </w:rPr>
        <w:t>Unless the Company consents in writing to the selection of an alternative forum, the sole and exclusive forum for certain legal actions involving the Company will be the Court of Chancery of the State of Delaware. If the Court of Chancery of the State of Delaware lacks subject matter jurisdiction over such action or proceeding, the sole and exclusive forum for such action or proceeding shall be another state or federal court located within the State of Delaware or, if no court of the State of Delaware has jurisdiction, then the United States District Court for the District of Delaware.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 and the rules and regulations promulgated thereunder.</w:t>
      </w:r>
    </w:p>
    <w:p>
      <w:pPr>
        <w:sectPr>
          <w:pgSz w:w="11900" w:h="16838" w:orient="portrait"/>
          <w:cols w:equalWidth="0" w:num="1">
            <w:col w:w="11180"/>
          </w:cols>
          <w:pgMar w:left="320" w:top="891" w:right="399" w:bottom="1440" w:gutter="0" w:footer="0" w:header="0"/>
        </w:sectPr>
      </w:pPr>
    </w:p>
    <w:bookmarkStart w:id="126" w:name="page127"/>
    <w:bookmarkEnd w:id="126"/>
    <w:p>
      <w:pPr>
        <w:jc w:val="right"/>
        <w:spacing w:after="0"/>
        <w:rPr>
          <w:sz w:val="20"/>
          <w:szCs w:val="20"/>
          <w:color w:val="auto"/>
        </w:rPr>
      </w:pPr>
      <w:r>
        <w:rPr>
          <w:rFonts w:ascii="Arial" w:cs="Arial" w:eastAsia="Arial" w:hAnsi="Arial"/>
          <w:sz w:val="21"/>
          <w:szCs w:val="21"/>
          <w:b w:val="1"/>
          <w:bCs w:val="1"/>
          <w:color w:val="auto"/>
        </w:rPr>
        <w:t>Exhibit 10.15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STOCK OPTION AWARD</w:t>
      </w: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an option to purchase Common Shares of Activision Blizzard, Inc. (the “Company”),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7260" w:type="dxa"/>
            <w:vAlign w:val="bottom"/>
            <w:gridSpan w:val="5"/>
          </w:tcPr>
          <w:p>
            <w:pPr>
              <w:ind w:left="120"/>
              <w:spacing w:after="0"/>
              <w:rPr>
                <w:sz w:val="20"/>
                <w:szCs w:val="20"/>
                <w:color w:val="auto"/>
              </w:rPr>
            </w:pPr>
            <w:r>
              <w:rPr>
                <w:rFonts w:ascii="Arial" w:cs="Arial" w:eastAsia="Arial" w:hAnsi="Arial"/>
                <w:sz w:val="21"/>
                <w:szCs w:val="21"/>
                <w:color w:val="auto"/>
              </w:rPr>
              <w:t xml:space="preserve">Your name: </w:t>
            </w:r>
            <w:r>
              <w:rPr>
                <w:rFonts w:ascii="Arial" w:cs="Arial" w:eastAsia="Arial" w:hAnsi="Arial"/>
                <w:sz w:val="21"/>
                <w:szCs w:val="21"/>
                <w:b w:val="1"/>
                <w:bCs w:val="1"/>
                <w:color w:val="auto"/>
              </w:rPr>
              <w:t>[  ]</w:t>
            </w:r>
          </w:p>
        </w:tc>
      </w:tr>
      <w:tr>
        <w:trPr>
          <w:trHeight w:val="20"/>
        </w:trPr>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7260" w:type="dxa"/>
            <w:vAlign w:val="bottom"/>
            <w:gridSpan w:val="5"/>
          </w:tcPr>
          <w:p>
            <w:pPr>
              <w:ind w:left="120"/>
              <w:spacing w:after="0"/>
              <w:rPr>
                <w:sz w:val="20"/>
                <w:szCs w:val="20"/>
                <w:color w:val="auto"/>
              </w:rPr>
            </w:pPr>
            <w:r>
              <w:rPr>
                <w:rFonts w:ascii="Arial" w:cs="Arial" w:eastAsia="Arial" w:hAnsi="Arial"/>
                <w:sz w:val="21"/>
                <w:szCs w:val="21"/>
                <w:color w:val="auto"/>
                <w:w w:val="90"/>
              </w:rPr>
              <w:t xml:space="preserve">Total number of Shares purchasable upon exercise of the Stock Option awarded: </w:t>
            </w:r>
            <w:r>
              <w:rPr>
                <w:rFonts w:ascii="Arial" w:cs="Arial" w:eastAsia="Arial" w:hAnsi="Arial"/>
                <w:sz w:val="21"/>
                <w:szCs w:val="21"/>
                <w:b w:val="1"/>
                <w:bCs w:val="1"/>
                <w:color w:val="auto"/>
                <w:w w:val="90"/>
              </w:rPr>
              <w:t>[  ]</w:t>
            </w:r>
          </w:p>
        </w:tc>
      </w:tr>
      <w:tr>
        <w:trPr>
          <w:trHeight w:val="20"/>
        </w:trPr>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ind w:left="320" w:hanging="315"/>
        <w:spacing w:after="0"/>
        <w:tabs>
          <w:tab w:leader="none" w:pos="3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Exercise Price: US$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________</w:t>
      </w:r>
      <w:r>
        <w:rPr>
          <w:rFonts w:ascii="Arial" w:cs="Arial" w:eastAsia="Arial" w:hAnsi="Arial"/>
          <w:sz w:val="21"/>
          <w:szCs w:val="21"/>
          <w:b w:val="1"/>
          <w:bCs w:val="1"/>
          <w:color w:val="auto"/>
        </w:rPr>
        <w:t>]</w:t>
      </w:r>
      <w:r>
        <w:rPr>
          <w:rFonts w:ascii="Arial" w:cs="Arial" w:eastAsia="Arial" w:hAnsi="Arial"/>
          <w:sz w:val="21"/>
          <w:szCs w:val="21"/>
          <w:color w:val="auto"/>
        </w:rPr>
        <w:t xml:space="preserve">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660" w:type="dxa"/>
            <w:vAlign w:val="bottom"/>
            <w:gridSpan w:val="4"/>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w:t>
            </w:r>
          </w:p>
        </w:tc>
        <w:tc>
          <w:tcPr>
            <w:tcW w:w="180" w:type="dxa"/>
            <w:vAlign w:val="bottom"/>
          </w:tcPr>
          <w:p>
            <w:pPr>
              <w:jc w:val="right"/>
              <w:ind w:right="28"/>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660" w:type="dxa"/>
            <w:vAlign w:val="bottom"/>
            <w:gridSpan w:val="4"/>
          </w:tcPr>
          <w:p>
            <w:pPr>
              <w:ind w:left="120"/>
              <w:spacing w:after="0"/>
              <w:rPr>
                <w:sz w:val="20"/>
                <w:szCs w:val="20"/>
                <w:color w:val="auto"/>
              </w:rPr>
            </w:pPr>
            <w:r>
              <w:rPr>
                <w:rFonts w:ascii="Arial" w:cs="Arial" w:eastAsia="Arial" w:hAnsi="Arial"/>
                <w:sz w:val="21"/>
                <w:szCs w:val="21"/>
                <w:color w:val="auto"/>
                <w:w w:val="92"/>
              </w:rPr>
              <w:t xml:space="preserve">Expiration Date: </w:t>
            </w:r>
            <w:r>
              <w:rPr>
                <w:rFonts w:ascii="Arial" w:cs="Arial" w:eastAsia="Arial" w:hAnsi="Arial"/>
                <w:sz w:val="21"/>
                <w:szCs w:val="21"/>
                <w:b w:val="1"/>
                <w:bCs w:val="1"/>
                <w:color w:val="auto"/>
                <w:w w:val="92"/>
              </w:rPr>
              <w:t>[</w:t>
            </w:r>
          </w:p>
        </w:tc>
        <w:tc>
          <w:tcPr>
            <w:tcW w:w="240" w:type="dxa"/>
            <w:vAlign w:val="bottom"/>
            <w:gridSpan w:val="2"/>
          </w:tcPr>
          <w:p>
            <w:pPr>
              <w:jc w:val="right"/>
              <w:spacing w:after="0"/>
              <w:rPr>
                <w:sz w:val="20"/>
                <w:szCs w:val="20"/>
                <w:color w:val="auto"/>
              </w:rPr>
            </w:pPr>
            <w:r>
              <w:rPr>
                <w:rFonts w:ascii="Arial" w:cs="Arial" w:eastAsia="Arial" w:hAnsi="Arial"/>
                <w:sz w:val="21"/>
                <w:szCs w:val="21"/>
                <w:b w:val="1"/>
                <w:bCs w:val="1"/>
                <w:color w:val="auto"/>
              </w:rPr>
              <w:t>]</w:t>
            </w: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660" w:type="dxa"/>
            <w:vAlign w:val="bottom"/>
            <w:gridSpan w:val="4"/>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  ]</w:t>
            </w: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21"/>
          <w:szCs w:val="21"/>
          <w:color w:val="auto"/>
        </w:rPr>
      </w:pPr>
      <w:r>
        <w:rPr>
          <w:rFonts w:ascii="Arial" w:cs="Arial" w:eastAsia="Arial" w:hAnsi="Arial"/>
          <w:sz w:val="21"/>
          <w:szCs w:val="21"/>
          <w:color w:val="auto"/>
        </w:rPr>
        <w:t>Your Award of the Stock Option is governed by the terms and conditions set forth in:</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this Notice of Stock Option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the Stock Option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40" w:right="160" w:hanging="320"/>
        <w:spacing w:after="0" w:line="236" w:lineRule="auto"/>
        <w:tabs>
          <w:tab w:leader="none" w:pos="635"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w:t>
      </w:r>
      <w:r>
        <w:rPr>
          <w:rFonts w:ascii="Arial" w:cs="Arial" w:eastAsia="Arial" w:hAnsi="Arial"/>
          <w:sz w:val="21"/>
          <w:szCs w:val="21"/>
          <w:u w:val="single" w:color="auto"/>
          <w:color w:val="auto"/>
        </w:rPr>
        <w:t>Appendix</w:t>
      </w:r>
      <w:r>
        <w:rPr>
          <w:rFonts w:ascii="Arial" w:cs="Arial" w:eastAsia="Arial" w:hAnsi="Arial"/>
          <w:sz w:val="21"/>
          <w:szCs w:val="21"/>
          <w:color w:val="auto"/>
        </w:rPr>
        <w:t>”); and</w:t>
      </w:r>
    </w:p>
    <w:p>
      <w:pPr>
        <w:spacing w:after="0" w:line="115" w:lineRule="exact"/>
        <w:rPr>
          <w:rFonts w:ascii="Arial" w:cs="Arial" w:eastAsia="Arial" w:hAnsi="Arial"/>
          <w:sz w:val="21"/>
          <w:szCs w:val="21"/>
          <w:color w:val="auto"/>
        </w:rPr>
      </w:pPr>
    </w:p>
    <w:p>
      <w:pPr>
        <w:ind w:left="620" w:hanging="300"/>
        <w:spacing w:after="0"/>
        <w:tabs>
          <w:tab w:leader="none" w:pos="6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hanging="315"/>
        <w:spacing w:after="0" w:line="219" w:lineRule="auto"/>
        <w:tabs>
          <w:tab w:leader="none" w:pos="315"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Stock Option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 as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w:t>
      </w:r>
      <w:r>
        <w:rPr>
          <w:rFonts w:ascii="Arial" w:cs="Arial" w:eastAsia="Arial" w:hAnsi="Arial"/>
          <w:sz w:val="21"/>
          <w:szCs w:val="21"/>
          <w:u w:val="single" w:color="auto"/>
          <w:color w:val="auto"/>
        </w:rPr>
        <w:t>Award Terms</w:t>
      </w:r>
      <w:r>
        <w:rPr>
          <w:rFonts w:ascii="Arial" w:cs="Arial" w:eastAsia="Arial" w:hAnsi="Arial"/>
          <w:sz w:val="21"/>
          <w:szCs w:val="21"/>
          <w:color w:val="auto"/>
        </w:rPr>
        <w:t>”), the Stock Option awarded to you shall vest and become exercisable as 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1360" w:type="dxa"/>
        <w:tblCellMar>
          <w:top w:w="0" w:type="dxa"/>
          <w:left w:w="0" w:type="dxa"/>
          <w:bottom w:w="0" w:type="dxa"/>
          <w:right w:w="0" w:type="dxa"/>
        </w:tblCellMar>
      </w:tblPr>
      <w:tr>
        <w:trPr>
          <w:trHeight w:val="251"/>
        </w:trPr>
        <w:tc>
          <w:tcPr>
            <w:tcW w:w="3360" w:type="dxa"/>
            <w:vAlign w:val="bottom"/>
            <w:gridSpan w:val="3"/>
            <w:vMerge w:val="restart"/>
          </w:tcPr>
          <w:p>
            <w:pPr>
              <w:jc w:val="right"/>
              <w:ind w:right="695"/>
              <w:spacing w:after="0"/>
              <w:rPr>
                <w:sz w:val="20"/>
                <w:szCs w:val="20"/>
                <w:color w:val="auto"/>
              </w:rPr>
            </w:pPr>
            <w:r>
              <w:rPr>
                <w:rFonts w:ascii="Arial" w:cs="Arial" w:eastAsia="Arial" w:hAnsi="Arial"/>
                <w:sz w:val="19"/>
                <w:szCs w:val="19"/>
                <w:b w:val="1"/>
                <w:bCs w:val="1"/>
                <w:color w:val="auto"/>
              </w:rPr>
              <w:t>Date of Vesting</w:t>
            </w:r>
          </w:p>
        </w:tc>
        <w:tc>
          <w:tcPr>
            <w:tcW w:w="4040" w:type="dxa"/>
            <w:vAlign w:val="bottom"/>
          </w:tcPr>
          <w:p>
            <w:pPr>
              <w:jc w:val="center"/>
              <w:ind w:left="444"/>
              <w:spacing w:after="0"/>
              <w:rPr>
                <w:sz w:val="20"/>
                <w:szCs w:val="20"/>
                <w:color w:val="auto"/>
              </w:rPr>
            </w:pPr>
            <w:r>
              <w:rPr>
                <w:rFonts w:ascii="Arial" w:cs="Arial" w:eastAsia="Arial" w:hAnsi="Arial"/>
                <w:sz w:val="19"/>
                <w:szCs w:val="19"/>
                <w:b w:val="1"/>
                <w:bCs w:val="1"/>
                <w:color w:val="auto"/>
                <w:w w:val="89"/>
              </w:rPr>
              <w:t>No. of Shares Vesting at Vesting Date</w:t>
            </w:r>
          </w:p>
        </w:tc>
        <w:tc>
          <w:tcPr>
            <w:tcW w:w="0" w:type="dxa"/>
            <w:vAlign w:val="bottom"/>
          </w:tcPr>
          <w:p>
            <w:pPr>
              <w:spacing w:after="0"/>
              <w:rPr>
                <w:sz w:val="1"/>
                <w:szCs w:val="1"/>
                <w:color w:val="auto"/>
              </w:rPr>
            </w:pPr>
          </w:p>
        </w:tc>
      </w:tr>
      <w:tr>
        <w:trPr>
          <w:trHeight w:val="99"/>
        </w:trPr>
        <w:tc>
          <w:tcPr>
            <w:tcW w:w="3360" w:type="dxa"/>
            <w:vAlign w:val="bottom"/>
            <w:tcBorders>
              <w:bottom w:val="single" w:sz="8" w:color="auto"/>
            </w:tcBorders>
            <w:gridSpan w:val="3"/>
            <w:vMerge w:val="continue"/>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line="203" w:lineRule="exact"/>
              <w:rPr>
                <w:sz w:val="20"/>
                <w:szCs w:val="20"/>
                <w:color w:val="auto"/>
              </w:rPr>
            </w:pPr>
            <w:r>
              <w:rPr>
                <w:rFonts w:ascii="Arial" w:cs="Arial" w:eastAsia="Arial" w:hAnsi="Arial"/>
                <w:sz w:val="21"/>
                <w:szCs w:val="21"/>
                <w:b w:val="1"/>
                <w:bCs w:val="1"/>
                <w:color w:val="auto"/>
              </w:rPr>
              <w:t>[</w:t>
            </w:r>
          </w:p>
        </w:tc>
        <w:tc>
          <w:tcPr>
            <w:tcW w:w="840" w:type="dxa"/>
            <w:vAlign w:val="bottom"/>
            <w:tcBorders>
              <w:bottom w:val="single" w:sz="8" w:color="auto"/>
            </w:tcBorders>
          </w:tcPr>
          <w:p>
            <w:pPr>
              <w:spacing w:after="0"/>
              <w:rPr>
                <w:sz w:val="17"/>
                <w:szCs w:val="17"/>
                <w:color w:val="auto"/>
              </w:rPr>
            </w:pPr>
          </w:p>
        </w:tc>
        <w:tc>
          <w:tcPr>
            <w:tcW w:w="1000" w:type="dxa"/>
            <w:vAlign w:val="bottom"/>
          </w:tcPr>
          <w:p>
            <w:pPr>
              <w:jc w:val="right"/>
              <w:ind w:right="815"/>
              <w:spacing w:after="0" w:line="203" w:lineRule="exact"/>
              <w:rPr>
                <w:sz w:val="20"/>
                <w:szCs w:val="20"/>
                <w:color w:val="auto"/>
              </w:rPr>
            </w:pPr>
            <w:r>
              <w:rPr>
                <w:rFonts w:ascii="Arial" w:cs="Arial" w:eastAsia="Arial" w:hAnsi="Arial"/>
                <w:sz w:val="21"/>
                <w:szCs w:val="21"/>
                <w:b w:val="1"/>
                <w:bCs w:val="1"/>
                <w:color w:val="auto"/>
                <w:w w:val="85"/>
              </w:rPr>
              <w:t>]</w:t>
            </w:r>
          </w:p>
        </w:tc>
        <w:tc>
          <w:tcPr>
            <w:tcW w:w="4040" w:type="dxa"/>
            <w:vAlign w:val="bottom"/>
          </w:tcPr>
          <w:p>
            <w:pPr>
              <w:jc w:val="center"/>
              <w:ind w:left="444"/>
              <w:spacing w:after="0" w:line="203" w:lineRule="exact"/>
              <w:rPr>
                <w:sz w:val="20"/>
                <w:szCs w:val="20"/>
                <w:color w:val="auto"/>
              </w:rPr>
            </w:pPr>
            <w:r>
              <w:rPr>
                <w:rFonts w:ascii="Arial" w:cs="Arial" w:eastAsia="Arial" w:hAnsi="Arial"/>
                <w:sz w:val="19"/>
                <w:szCs w:val="19"/>
                <w:b w:val="1"/>
                <w:bCs w:val="1"/>
                <w:color w:val="auto"/>
                <w:w w:val="91"/>
              </w:rPr>
              <w:t>[________________]</w:t>
            </w:r>
          </w:p>
        </w:tc>
        <w:tc>
          <w:tcPr>
            <w:tcW w:w="0" w:type="dxa"/>
            <w:vAlign w:val="bottom"/>
          </w:tcPr>
          <w:p>
            <w:pPr>
              <w:spacing w:after="0"/>
              <w:rPr>
                <w:sz w:val="1"/>
                <w:szCs w:val="1"/>
                <w:color w:val="auto"/>
              </w:rPr>
            </w:pPr>
          </w:p>
        </w:tc>
      </w:tr>
      <w:tr>
        <w:trPr>
          <w:trHeight w:val="242"/>
        </w:trPr>
        <w:tc>
          <w:tcPr>
            <w:tcW w:w="152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840" w:type="dxa"/>
            <w:vAlign w:val="bottom"/>
            <w:tcBorders>
              <w:bottom w:val="single" w:sz="8" w:color="auto"/>
            </w:tcBorders>
          </w:tcPr>
          <w:p>
            <w:pPr>
              <w:spacing w:after="0"/>
              <w:rPr>
                <w:sz w:val="21"/>
                <w:szCs w:val="21"/>
                <w:color w:val="auto"/>
              </w:rPr>
            </w:pPr>
          </w:p>
        </w:tc>
        <w:tc>
          <w:tcPr>
            <w:tcW w:w="1000" w:type="dxa"/>
            <w:vAlign w:val="bottom"/>
          </w:tcPr>
          <w:p>
            <w:pPr>
              <w:jc w:val="right"/>
              <w:ind w:right="815"/>
              <w:spacing w:after="0"/>
              <w:rPr>
                <w:sz w:val="20"/>
                <w:szCs w:val="20"/>
                <w:color w:val="auto"/>
              </w:rPr>
            </w:pPr>
            <w:r>
              <w:rPr>
                <w:rFonts w:ascii="Arial" w:cs="Arial" w:eastAsia="Arial" w:hAnsi="Arial"/>
                <w:sz w:val="21"/>
                <w:szCs w:val="21"/>
                <w:b w:val="1"/>
                <w:bCs w:val="1"/>
                <w:color w:val="auto"/>
                <w:w w:val="85"/>
              </w:rPr>
              <w:t>]</w:t>
            </w:r>
          </w:p>
        </w:tc>
        <w:tc>
          <w:tcPr>
            <w:tcW w:w="4040" w:type="dxa"/>
            <w:vAlign w:val="bottom"/>
          </w:tcPr>
          <w:p>
            <w:pPr>
              <w:jc w:val="center"/>
              <w:ind w:left="444"/>
              <w:spacing w:after="0"/>
              <w:rPr>
                <w:sz w:val="20"/>
                <w:szCs w:val="20"/>
                <w:color w:val="auto"/>
              </w:rPr>
            </w:pPr>
            <w:r>
              <w:rPr>
                <w:rFonts w:ascii="Arial" w:cs="Arial" w:eastAsia="Arial" w:hAnsi="Arial"/>
                <w:sz w:val="19"/>
                <w:szCs w:val="19"/>
                <w:b w:val="1"/>
                <w:bCs w:val="1"/>
                <w:color w:val="auto"/>
                <w:w w:val="91"/>
              </w:rPr>
              <w:t>[________________]</w:t>
            </w:r>
          </w:p>
        </w:tc>
        <w:tc>
          <w:tcPr>
            <w:tcW w:w="0" w:type="dxa"/>
            <w:vAlign w:val="bottom"/>
          </w:tcPr>
          <w:p>
            <w:pPr>
              <w:spacing w:after="0"/>
              <w:rPr>
                <w:sz w:val="1"/>
                <w:szCs w:val="1"/>
                <w:color w:val="auto"/>
              </w:rPr>
            </w:pPr>
          </w:p>
        </w:tc>
      </w:tr>
      <w:tr>
        <w:trPr>
          <w:trHeight w:val="242"/>
        </w:trPr>
        <w:tc>
          <w:tcPr>
            <w:tcW w:w="152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840" w:type="dxa"/>
            <w:vAlign w:val="bottom"/>
            <w:tcBorders>
              <w:bottom w:val="single" w:sz="8" w:color="auto"/>
            </w:tcBorders>
          </w:tcPr>
          <w:p>
            <w:pPr>
              <w:spacing w:after="0"/>
              <w:rPr>
                <w:sz w:val="21"/>
                <w:szCs w:val="21"/>
                <w:color w:val="auto"/>
              </w:rPr>
            </w:pPr>
          </w:p>
        </w:tc>
        <w:tc>
          <w:tcPr>
            <w:tcW w:w="1000" w:type="dxa"/>
            <w:vAlign w:val="bottom"/>
          </w:tcPr>
          <w:p>
            <w:pPr>
              <w:jc w:val="right"/>
              <w:ind w:right="815"/>
              <w:spacing w:after="0"/>
              <w:rPr>
                <w:sz w:val="20"/>
                <w:szCs w:val="20"/>
                <w:color w:val="auto"/>
              </w:rPr>
            </w:pPr>
            <w:r>
              <w:rPr>
                <w:rFonts w:ascii="Arial" w:cs="Arial" w:eastAsia="Arial" w:hAnsi="Arial"/>
                <w:sz w:val="21"/>
                <w:szCs w:val="21"/>
                <w:b w:val="1"/>
                <w:bCs w:val="1"/>
                <w:color w:val="auto"/>
                <w:w w:val="85"/>
              </w:rPr>
              <w:t>]</w:t>
            </w:r>
          </w:p>
        </w:tc>
        <w:tc>
          <w:tcPr>
            <w:tcW w:w="4040" w:type="dxa"/>
            <w:vAlign w:val="bottom"/>
          </w:tcPr>
          <w:p>
            <w:pPr>
              <w:jc w:val="center"/>
              <w:ind w:left="444"/>
              <w:spacing w:after="0"/>
              <w:rPr>
                <w:sz w:val="20"/>
                <w:szCs w:val="20"/>
                <w:color w:val="auto"/>
              </w:rPr>
            </w:pPr>
            <w:r>
              <w:rPr>
                <w:rFonts w:ascii="Arial" w:cs="Arial" w:eastAsia="Arial" w:hAnsi="Arial"/>
                <w:sz w:val="19"/>
                <w:szCs w:val="19"/>
                <w:b w:val="1"/>
                <w:bCs w:val="1"/>
                <w:color w:val="auto"/>
                <w:w w:val="91"/>
              </w:rPr>
              <w:t>[________________]</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right="120" w:hanging="315"/>
        <w:spacing w:after="0" w:line="236" w:lineRule="auto"/>
        <w:tabs>
          <w:tab w:leader="none" w:pos="315" w:val="left"/>
        </w:tabs>
        <w:numPr>
          <w:ilvl w:val="0"/>
          <w:numId w:val="67"/>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Stock Option Award, which bears an original signature on behalf of the Company. You are urged to do so promptly.</w:t>
      </w:r>
    </w:p>
    <w:p>
      <w:pPr>
        <w:sectPr>
          <w:pgSz w:w="11900" w:h="16838" w:orient="portrait"/>
          <w:cols w:equalWidth="0" w:num="1">
            <w:col w:w="11240"/>
          </w:cols>
          <w:pgMar w:left="320" w:top="1384" w:right="339" w:bottom="1440" w:gutter="0" w:footer="0" w:header="0"/>
        </w:sectPr>
      </w:pPr>
    </w:p>
    <w:bookmarkStart w:id="127" w:name="page128"/>
    <w:bookmarkEnd w:id="127"/>
    <w:p>
      <w:pPr>
        <w:ind w:left="315" w:hanging="315"/>
        <w:spacing w:after="0"/>
        <w:tabs>
          <w:tab w:leader="none" w:pos="315" w:val="left"/>
        </w:tabs>
        <w:numPr>
          <w:ilvl w:val="0"/>
          <w:numId w:val="68"/>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Stock Option Award to the Company at:</w:t>
      </w:r>
    </w:p>
    <w:p>
      <w:pPr>
        <w:spacing w:after="0" w:line="125" w:lineRule="exact"/>
        <w:rPr>
          <w:sz w:val="20"/>
          <w:szCs w:val="20"/>
          <w:color w:val="auto"/>
        </w:rPr>
      </w:pPr>
    </w:p>
    <w:p>
      <w:pPr>
        <w:ind w:left="3155"/>
        <w:spacing w:after="0"/>
        <w:rPr>
          <w:sz w:val="20"/>
          <w:szCs w:val="20"/>
          <w:color w:val="auto"/>
        </w:rPr>
      </w:pPr>
      <w:r>
        <w:rPr>
          <w:rFonts w:ascii="Arial" w:cs="Arial" w:eastAsia="Arial" w:hAnsi="Arial"/>
          <w:sz w:val="21"/>
          <w:szCs w:val="21"/>
          <w:color w:val="auto"/>
        </w:rPr>
        <w:t>Activision Blizzard, Inc.</w:t>
      </w:r>
    </w:p>
    <w:p>
      <w:pPr>
        <w:ind w:left="3155"/>
        <w:spacing w:after="0" w:line="208" w:lineRule="auto"/>
        <w:rPr>
          <w:sz w:val="20"/>
          <w:szCs w:val="20"/>
          <w:color w:val="auto"/>
        </w:rPr>
      </w:pPr>
      <w:r>
        <w:rPr>
          <w:rFonts w:ascii="Arial" w:cs="Arial" w:eastAsia="Arial" w:hAnsi="Arial"/>
          <w:sz w:val="21"/>
          <w:szCs w:val="21"/>
          <w:color w:val="auto"/>
        </w:rPr>
        <w:t>3100 Ocean Park Boulevard</w:t>
      </w:r>
    </w:p>
    <w:p>
      <w:pPr>
        <w:ind w:left="3155"/>
        <w:spacing w:after="0" w:line="209" w:lineRule="auto"/>
        <w:rPr>
          <w:sz w:val="20"/>
          <w:szCs w:val="20"/>
          <w:color w:val="auto"/>
        </w:rPr>
      </w:pPr>
      <w:r>
        <w:rPr>
          <w:rFonts w:ascii="Arial" w:cs="Arial" w:eastAsia="Arial" w:hAnsi="Arial"/>
          <w:sz w:val="21"/>
          <w:szCs w:val="21"/>
          <w:color w:val="auto"/>
        </w:rPr>
        <w:t>Santa Monica, CA 90405</w:t>
      </w:r>
    </w:p>
    <w:p>
      <w:pPr>
        <w:ind w:left="3155"/>
        <w:spacing w:after="0"/>
        <w:rPr>
          <w:sz w:val="20"/>
          <w:szCs w:val="20"/>
          <w:color w:val="auto"/>
        </w:rPr>
      </w:pPr>
      <w:r>
        <w:rPr>
          <w:rFonts w:ascii="Arial" w:cs="Arial" w:eastAsia="Arial" w:hAnsi="Arial"/>
          <w:sz w:val="21"/>
          <w:szCs w:val="21"/>
          <w:color w:val="auto"/>
        </w:rPr>
        <w:t>Attn: Stock Plan Administration</w:t>
      </w:r>
    </w:p>
    <w:p>
      <w:pPr>
        <w:spacing w:after="0" w:line="160" w:lineRule="exact"/>
        <w:rPr>
          <w:sz w:val="20"/>
          <w:szCs w:val="20"/>
          <w:color w:val="auto"/>
        </w:rPr>
      </w:pPr>
    </w:p>
    <w:p>
      <w:pPr>
        <w:ind w:left="315" w:hanging="315"/>
        <w:spacing w:after="0" w:line="236" w:lineRule="auto"/>
        <w:tabs>
          <w:tab w:leader="none" w:pos="31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Stock Option is not intended to be an “incentive stock option,” as such term is defined in Section 422 of the Internal Revenue Code of 1986, as amended from time to time.</w:t>
      </w:r>
    </w:p>
    <w:p>
      <w:pPr>
        <w:spacing w:after="0" w:line="128" w:lineRule="exact"/>
        <w:rPr>
          <w:rFonts w:ascii="Arial" w:cs="Arial" w:eastAsia="Arial" w:hAnsi="Arial"/>
          <w:sz w:val="21"/>
          <w:szCs w:val="21"/>
          <w:color w:val="auto"/>
        </w:rPr>
      </w:pPr>
    </w:p>
    <w:p>
      <w:pPr>
        <w:ind w:left="315" w:hanging="315"/>
        <w:spacing w:after="0"/>
        <w:tabs>
          <w:tab w:leader="none" w:pos="315"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01" w:lineRule="exact"/>
        <w:rPr>
          <w:rFonts w:ascii="Arial" w:cs="Arial" w:eastAsia="Arial" w:hAnsi="Arial"/>
          <w:sz w:val="19"/>
          <w:szCs w:val="19"/>
          <w:color w:val="auto"/>
        </w:rPr>
      </w:pPr>
    </w:p>
    <w:p>
      <w:pPr>
        <w:ind w:left="315" w:right="160" w:hanging="315"/>
        <w:spacing w:after="0" w:line="248" w:lineRule="auto"/>
        <w:tabs>
          <w:tab w:leader="none" w:pos="310" w:val="left"/>
        </w:tabs>
        <w:numPr>
          <w:ilvl w:val="0"/>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5" w:lineRule="exact"/>
        <w:rPr>
          <w:rFonts w:ascii="Arial" w:cs="Arial" w:eastAsia="Arial" w:hAnsi="Arial"/>
          <w:sz w:val="19"/>
          <w:szCs w:val="19"/>
          <w:color w:val="auto"/>
        </w:rPr>
      </w:pPr>
    </w:p>
    <w:p>
      <w:pPr>
        <w:ind w:left="315" w:right="60" w:hanging="315"/>
        <w:spacing w:after="0" w:line="219" w:lineRule="auto"/>
        <w:tabs>
          <w:tab w:leader="none" w:pos="310" w:val="left"/>
        </w:tabs>
        <w:numPr>
          <w:ilvl w:val="0"/>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agree to be bound by the terms and conditions set forth in the 2014 Incentive Plan, this Notice of Stock Option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Stock Option Award and the Award Terms.</w:t>
      </w:r>
    </w:p>
    <w:p>
      <w:pPr>
        <w:sectPr>
          <w:pgSz w:w="11900" w:h="16838" w:orient="portrait"/>
          <w:cols w:equalWidth="0" w:num="1">
            <w:col w:w="11215"/>
          </w:cols>
          <w:pgMar w:left="325" w:top="1364" w:right="35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color w:val="auto"/>
        </w:rPr>
        <w:t>You should retain the enclosed duplicate copy of this Notice of Stock Option Award for your records.</w:t>
      </w:r>
    </w:p>
    <w:p>
      <w:pPr>
        <w:spacing w:after="0" w:line="221"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9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______________________________________</w:t>
      </w:r>
    </w:p>
    <w:p>
      <w:pPr>
        <w:ind w:left="4100"/>
        <w:spacing w:after="0" w:line="208" w:lineRule="auto"/>
        <w:rPr>
          <w:sz w:val="20"/>
          <w:szCs w:val="20"/>
          <w:color w:val="auto"/>
        </w:rPr>
      </w:pPr>
      <w:r>
        <w:rPr>
          <w:rFonts w:ascii="Arial" w:cs="Arial" w:eastAsia="Arial" w:hAnsi="Arial"/>
          <w:sz w:val="21"/>
          <w:szCs w:val="21"/>
          <w:color w:val="auto"/>
        </w:rPr>
        <w:t>Julie Hodges</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 _________________________________</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21"/>
          <w:szCs w:val="21"/>
          <w:color w:val="auto"/>
        </w:rPr>
        <w:t>______________________________________</w:t>
      </w:r>
    </w:p>
    <w:p>
      <w:pPr>
        <w:ind w:left="40"/>
        <w:spacing w:after="0"/>
        <w:rPr>
          <w:sz w:val="20"/>
          <w:szCs w:val="20"/>
          <w:color w:val="auto"/>
        </w:rPr>
      </w:pPr>
      <w:r>
        <w:rPr>
          <w:rFonts w:ascii="Arial" w:cs="Arial" w:eastAsia="Arial" w:hAnsi="Arial"/>
          <w:sz w:val="21"/>
          <w:szCs w:val="21"/>
          <w:b w:val="1"/>
          <w:bCs w:val="1"/>
          <w:color w:val="auto"/>
        </w:rPr>
        <w:t>[Name of Holder]</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1"/>
          <w:szCs w:val="21"/>
          <w:color w:val="auto"/>
        </w:rPr>
        <w:t>Date: _________________________________</w:t>
      </w:r>
    </w:p>
    <w:p>
      <w:pPr>
        <w:sectPr>
          <w:pgSz w:w="11900" w:h="16838" w:orient="portrait"/>
          <w:cols w:equalWidth="0" w:num="1">
            <w:col w:w="10139"/>
          </w:cols>
          <w:pgMar w:left="320" w:top="1364" w:right="1440" w:bottom="1440" w:gutter="0" w:footer="0" w:header="0"/>
        </w:sectPr>
      </w:pPr>
    </w:p>
    <w:bookmarkStart w:id="129" w:name="page130"/>
    <w:bookmarkEnd w:id="129"/>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OPTION AWARD TERMS</w:t>
      </w:r>
    </w:p>
    <w:p>
      <w:pPr>
        <w:spacing w:after="0" w:line="210" w:lineRule="exact"/>
        <w:rPr>
          <w:sz w:val="20"/>
          <w:szCs w:val="20"/>
          <w:color w:val="auto"/>
        </w:rPr>
      </w:pPr>
    </w:p>
    <w:p>
      <w:pPr>
        <w:ind w:left="1260" w:hanging="626"/>
        <w:spacing w:after="0"/>
        <w:tabs>
          <w:tab w:leader="none" w:pos="126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sz w:val="20"/>
          <w:szCs w:val="20"/>
          <w:color w:val="auto"/>
        </w:rPr>
      </w:pPr>
    </w:p>
    <w:p>
      <w:pPr>
        <w:ind w:left="1900" w:hanging="636"/>
        <w:spacing w:after="0"/>
        <w:tabs>
          <w:tab w:leader="none" w:pos="19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firstLine="1259"/>
        <w:spacing w:after="0" w:line="23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 shall have the meaning given to such term in any employment agreement, service contract or offer letter</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Holder and any entity in 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w:t>
      </w:r>
    </w:p>
    <w:p>
      <w:pPr>
        <w:spacing w:after="0" w:line="1" w:lineRule="exact"/>
        <w:rPr>
          <w:sz w:val="20"/>
          <w:szCs w:val="20"/>
          <w:color w:val="auto"/>
        </w:rPr>
      </w:pPr>
    </w:p>
    <w:p>
      <w:pPr>
        <w:ind w:right="180" w:firstLine="5"/>
        <w:spacing w:after="0" w:line="218" w:lineRule="auto"/>
        <w:tabs>
          <w:tab w:leader="none" w:pos="309" w:val="left"/>
        </w:tabs>
        <w:numPr>
          <w:ilvl w:val="0"/>
          <w:numId w:val="72"/>
        </w:numPr>
        <w:rPr>
          <w:rFonts w:ascii="Arial" w:cs="Arial" w:eastAsia="Arial" w:hAnsi="Arial"/>
          <w:sz w:val="21"/>
          <w:szCs w:val="21"/>
          <w:color w:val="auto"/>
        </w:rPr>
      </w:pPr>
      <w:r>
        <w:rPr>
          <w:rFonts w:ascii="Arial" w:cs="Arial" w:eastAsia="Arial" w:hAnsi="Arial"/>
          <w:sz w:val="21"/>
          <w:szCs w:val="21"/>
          <w:color w:val="auto"/>
        </w:rPr>
        <w:t>breached his or her fiduciary duties to the Company Group. Without limiting the generality of the foregoing, “cause” under clauses (i) and (ii) of the preceding sentence shall also mean a good faith belief by the Company, after investigation, that the Holder has engaged in harassment based on any legally protected category or has retaliated against anyone for reporting a concern or potential misconduct in good faith.</w:t>
      </w:r>
    </w:p>
    <w:p>
      <w:pPr>
        <w:spacing w:after="0" w:line="148" w:lineRule="exact"/>
        <w:rPr>
          <w:sz w:val="20"/>
          <w:szCs w:val="20"/>
          <w:color w:val="auto"/>
        </w:rPr>
      </w:pPr>
    </w:p>
    <w:p>
      <w:pPr>
        <w:ind w:right="24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9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10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178" w:lineRule="exact"/>
        <w:rPr>
          <w:sz w:val="20"/>
          <w:szCs w:val="20"/>
          <w:color w:val="auto"/>
        </w:rPr>
      </w:pPr>
    </w:p>
    <w:p>
      <w:pPr>
        <w:ind w:firstLine="1259"/>
        <w:spacing w:after="0" w:line="221" w:lineRule="auto"/>
        <w:rPr>
          <w:sz w:val="20"/>
          <w:szCs w:val="20"/>
          <w:color w:val="auto"/>
        </w:rPr>
      </w:pPr>
      <w:r>
        <w:rPr>
          <w:rFonts w:ascii="Arial" w:cs="Arial" w:eastAsia="Arial" w:hAnsi="Arial"/>
          <w:sz w:val="21"/>
          <w:szCs w:val="21"/>
          <w:b w:val="1"/>
          <w:bCs w:val="1"/>
          <w:color w:val="auto"/>
        </w:rPr>
        <w:t xml:space="preserve">“Disability” </w:t>
      </w:r>
      <w:r>
        <w:rPr>
          <w:rFonts w:ascii="Arial" w:cs="Arial" w:eastAsia="Arial" w:hAnsi="Arial"/>
          <w:sz w:val="21"/>
          <w:szCs w:val="21"/>
          <w:color w:val="auto"/>
        </w:rPr>
        <w:t>shall mean (i) the Holder is receiving benefits under any long-term disability plan of the Company Group</w:t>
      </w:r>
      <w:r>
        <w:rPr>
          <w:rFonts w:ascii="Arial" w:cs="Arial" w:eastAsia="Arial" w:hAnsi="Arial"/>
          <w:sz w:val="21"/>
          <w:szCs w:val="21"/>
          <w:b w:val="1"/>
          <w:bCs w:val="1"/>
          <w:color w:val="auto"/>
        </w:rPr>
        <w:t xml:space="preserve"> </w:t>
      </w:r>
      <w:r>
        <w:rPr>
          <w:rFonts w:ascii="Arial" w:cs="Arial" w:eastAsia="Arial" w:hAnsi="Arial"/>
          <w:sz w:val="21"/>
          <w:szCs w:val="21"/>
          <w:color w:val="auto"/>
        </w:rPr>
        <w:t>then in effect or (ii) if the Holder is an employee who works and/or resides in the U.S. and is then party to an agreement or offer letter with any entity in the Company Group which contains a definition of “disability” or otherwise provides a method for determining whether the Holder is disabled, shall have the meaning given to such term in, or otherwise be determined in accordance with, such employment agreement or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108" w:right="339" w:bottom="1440" w:gutter="0" w:footer="0" w:header="0"/>
        </w:sectPr>
      </w:pPr>
    </w:p>
    <w:bookmarkStart w:id="130" w:name="page131"/>
    <w:bookmarkEnd w:id="130"/>
    <w:p>
      <w:pPr>
        <w:ind w:left="126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the Holder.</w:t>
      </w:r>
    </w:p>
    <w:p>
      <w:pPr>
        <w:spacing w:after="0" w:line="178" w:lineRule="exact"/>
        <w:rPr>
          <w:sz w:val="20"/>
          <w:szCs w:val="20"/>
          <w:color w:val="auto"/>
        </w:rPr>
      </w:pPr>
    </w:p>
    <w:p>
      <w:pPr>
        <w:ind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“Exercise Price” </w:t>
      </w:r>
      <w:r>
        <w:rPr>
          <w:rFonts w:ascii="Arial" w:cs="Arial" w:eastAsia="Arial" w:hAnsi="Arial"/>
          <w:sz w:val="21"/>
          <w:szCs w:val="21"/>
          <w:color w:val="auto"/>
        </w:rPr>
        <w:t>means the Exercise Price set forth on the Grant Notice.</w:t>
      </w:r>
    </w:p>
    <w:p>
      <w:pPr>
        <w:spacing w:after="0" w:line="178" w:lineRule="exact"/>
        <w:rPr>
          <w:sz w:val="20"/>
          <w:szCs w:val="20"/>
          <w:color w:val="auto"/>
        </w:rPr>
      </w:pPr>
    </w:p>
    <w:p>
      <w:pPr>
        <w:ind w:right="20" w:firstLine="1259"/>
        <w:spacing w:after="0" w:line="238"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or any comparable U.S. federal securities law and all applicable state securities laws, and (B) for employees who work and/or reside outside the U.S., any laws applicable to the Holder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Stock Options)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“Expiration Date” </w:t>
      </w:r>
      <w:r>
        <w:rPr>
          <w:rFonts w:ascii="Arial" w:cs="Arial" w:eastAsia="Arial" w:hAnsi="Arial"/>
          <w:sz w:val="21"/>
          <w:szCs w:val="21"/>
          <w:color w:val="auto"/>
        </w:rPr>
        <w:t>means the Expiration Date set forth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 Notice” </w:t>
      </w:r>
      <w:r>
        <w:rPr>
          <w:rFonts w:ascii="Arial" w:cs="Arial" w:eastAsia="Arial" w:hAnsi="Arial"/>
          <w:sz w:val="21"/>
          <w:szCs w:val="21"/>
          <w:color w:val="auto"/>
        </w:rPr>
        <w:t>means the Notice of Stock Option Award to which the Award Terms are attached.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“Holder”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right="280" w:firstLine="1259"/>
        <w:spacing w:after="0" w:line="239" w:lineRule="auto"/>
        <w:rPr>
          <w:sz w:val="20"/>
          <w:szCs w:val="20"/>
          <w:color w:val="auto"/>
        </w:rPr>
      </w:pPr>
      <w:r>
        <w:rPr>
          <w:rFonts w:ascii="Arial" w:cs="Arial" w:eastAsia="Arial" w:hAnsi="Arial"/>
          <w:sz w:val="21"/>
          <w:szCs w:val="21"/>
          <w:b w:val="1"/>
          <w:bCs w:val="1"/>
          <w:color w:val="auto"/>
        </w:rPr>
        <w:t xml:space="preserve">“Option” </w:t>
      </w:r>
      <w:r>
        <w:rPr>
          <w:rFonts w:ascii="Arial" w:cs="Arial" w:eastAsia="Arial" w:hAnsi="Arial"/>
          <w:sz w:val="21"/>
          <w:szCs w:val="21"/>
          <w:color w:val="auto"/>
        </w:rPr>
        <w:t>means the Stock Option to purchase Common Shares awarded to the Holder on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described in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“Shares” </w:t>
      </w:r>
      <w:r>
        <w:rPr>
          <w:rFonts w:ascii="Arial" w:cs="Arial" w:eastAsia="Arial" w:hAnsi="Arial"/>
          <w:sz w:val="21"/>
          <w:szCs w:val="21"/>
          <w:color w:val="auto"/>
        </w:rPr>
        <w:t>means the Common Shares purchasable upon exercise of the Stock Option.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8" w:lineRule="exact"/>
        <w:rPr>
          <w:sz w:val="20"/>
          <w:szCs w:val="20"/>
          <w:color w:val="auto"/>
        </w:rPr>
      </w:pPr>
    </w:p>
    <w:p>
      <w:pPr>
        <w:ind w:right="120" w:firstLine="1259"/>
        <w:spacing w:after="0" w:line="229"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the Holder.</w:t>
      </w:r>
    </w:p>
    <w:p>
      <w:pPr>
        <w:spacing w:after="0" w:line="140"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8"/>
          <w:szCs w:val="18"/>
          <w:color w:val="auto"/>
        </w:rPr>
        <w:t>Any capitalized term used but not otherwise defined herein shall have the meaning ascribed to such term in the</w:t>
      </w:r>
    </w:p>
    <w:p>
      <w:pPr>
        <w:spacing w:after="0"/>
        <w:rPr>
          <w:sz w:val="20"/>
          <w:szCs w:val="20"/>
          <w:color w:val="auto"/>
        </w:rPr>
      </w:pPr>
      <w:r>
        <w:rPr>
          <w:rFonts w:ascii="Arial" w:cs="Arial" w:eastAsia="Arial" w:hAnsi="Arial"/>
          <w:sz w:val="21"/>
          <w:szCs w:val="21"/>
          <w:color w:val="auto"/>
        </w:rPr>
        <w:t>Plan.</w:t>
      </w:r>
    </w:p>
    <w:p>
      <w:pPr>
        <w:spacing w:after="0" w:line="158" w:lineRule="exact"/>
        <w:rPr>
          <w:sz w:val="20"/>
          <w:szCs w:val="20"/>
          <w:color w:val="auto"/>
        </w:rPr>
      </w:pPr>
    </w:p>
    <w:p>
      <w:pPr>
        <w:ind w:left="1260" w:hanging="626"/>
        <w:spacing w:after="0"/>
        <w:tabs>
          <w:tab w:leader="none" w:pos="126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Expiration</w:t>
      </w:r>
      <w:r>
        <w:rPr>
          <w:rFonts w:ascii="Arial" w:cs="Arial" w:eastAsia="Arial" w:hAnsi="Arial"/>
          <w:sz w:val="20"/>
          <w:szCs w:val="20"/>
          <w:color w:val="auto"/>
        </w:rPr>
        <w:t>. The Stock Option shall expire on the Expiration Date and, after such expiration, shall no longer be</w:t>
      </w:r>
    </w:p>
    <w:p>
      <w:pPr>
        <w:spacing w:after="0"/>
        <w:rPr>
          <w:rFonts w:ascii="Arial" w:cs="Arial" w:eastAsia="Arial" w:hAnsi="Arial"/>
          <w:sz w:val="20"/>
          <w:szCs w:val="20"/>
          <w:color w:val="auto"/>
        </w:rPr>
      </w:pPr>
      <w:r>
        <w:rPr>
          <w:rFonts w:ascii="Arial" w:cs="Arial" w:eastAsia="Arial" w:hAnsi="Arial"/>
          <w:sz w:val="21"/>
          <w:szCs w:val="21"/>
          <w:color w:val="auto"/>
        </w:rPr>
        <w:t>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A-2</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109" w:right="379" w:bottom="1440" w:gutter="0" w:footer="0" w:header="0"/>
        </w:sectPr>
      </w:pPr>
    </w:p>
    <w:bookmarkStart w:id="131" w:name="page132"/>
    <w:bookmarkEnd w:id="131"/>
    <w:p>
      <w:pPr>
        <w:ind w:left="1260" w:hanging="626"/>
        <w:spacing w:after="0"/>
        <w:tabs>
          <w:tab w:leader="none" w:pos="126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Vesting and Exercise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720" w:firstLine="1264"/>
        <w:spacing w:after="0" w:line="257" w:lineRule="auto"/>
        <w:tabs>
          <w:tab w:leader="none" w:pos="1885"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otherwise set forth in these Award Terms, the Stock Option shall vest, and thereupon become exercisable, in accordance with the “Schedule for Vesting” set forth on the Grant Notice.</w:t>
      </w:r>
    </w:p>
    <w:p>
      <w:pPr>
        <w:spacing w:after="0" w:line="136" w:lineRule="exact"/>
        <w:rPr>
          <w:rFonts w:ascii="Arial" w:cs="Arial" w:eastAsia="Arial" w:hAnsi="Arial"/>
          <w:sz w:val="20"/>
          <w:szCs w:val="20"/>
          <w:color w:val="auto"/>
        </w:rPr>
      </w:pPr>
    </w:p>
    <w:p>
      <w:pPr>
        <w:jc w:val="both"/>
        <w:ind w:right="80" w:firstLine="1264"/>
        <w:spacing w:after="0" w:line="222" w:lineRule="auto"/>
        <w:tabs>
          <w:tab w:leader="none" w:pos="1884"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Exercisable Only by the Holder</w:t>
      </w:r>
      <w:r>
        <w:rPr>
          <w:rFonts w:ascii="Arial" w:cs="Arial" w:eastAsia="Arial" w:hAnsi="Arial"/>
          <w:sz w:val="21"/>
          <w:szCs w:val="21"/>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55" w:lineRule="exact"/>
        <w:rPr>
          <w:rFonts w:ascii="Arial" w:cs="Arial" w:eastAsia="Arial" w:hAnsi="Arial"/>
          <w:sz w:val="21"/>
          <w:szCs w:val="21"/>
          <w:color w:val="auto"/>
        </w:rPr>
      </w:pPr>
    </w:p>
    <w:p>
      <w:pPr>
        <w:ind w:right="100" w:firstLine="1264"/>
        <w:spacing w:after="0" w:line="219" w:lineRule="auto"/>
        <w:tabs>
          <w:tab w:leader="none" w:pos="1885"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Procedure for Exercise</w:t>
      </w:r>
      <w:r>
        <w:rPr>
          <w:rFonts w:ascii="Arial" w:cs="Arial" w:eastAsia="Arial" w:hAnsi="Arial"/>
          <w:sz w:val="21"/>
          <w:szCs w:val="21"/>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57" w:lineRule="exact"/>
        <w:rPr>
          <w:rFonts w:ascii="Arial" w:cs="Arial" w:eastAsia="Arial" w:hAnsi="Arial"/>
          <w:sz w:val="21"/>
          <w:szCs w:val="21"/>
          <w:color w:val="auto"/>
        </w:rPr>
      </w:pPr>
    </w:p>
    <w:p>
      <w:pPr>
        <w:ind w:right="20" w:firstLine="1264"/>
        <w:spacing w:after="0" w:line="235" w:lineRule="auto"/>
        <w:tabs>
          <w:tab w:leader="none" w:pos="1884"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Payment of Exercise Price</w:t>
      </w:r>
      <w:r>
        <w:rPr>
          <w:rFonts w:ascii="Arial" w:cs="Arial" w:eastAsia="Arial" w:hAnsi="Arial"/>
          <w:sz w:val="19"/>
          <w:szCs w:val="19"/>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through the withholding of Shares otherwise deliverable upon exercise, (iv) for U.S. taxpayers only, by tendering previously owned Common Shares (valued at their Market Value per Share as of the date of tender), or (v) any combination of (i), (ii), (iii) or (for U.S. employees only) (iv) above or any other manner permitted pursuant to the Plan.</w:t>
      </w:r>
    </w:p>
    <w:p>
      <w:pPr>
        <w:spacing w:after="0" w:line="160" w:lineRule="exact"/>
        <w:rPr>
          <w:rFonts w:ascii="Arial" w:cs="Arial" w:eastAsia="Arial" w:hAnsi="Arial"/>
          <w:sz w:val="19"/>
          <w:szCs w:val="19"/>
          <w:color w:val="auto"/>
        </w:rPr>
      </w:pPr>
    </w:p>
    <w:p>
      <w:pPr>
        <w:ind w:left="1900" w:hanging="636"/>
        <w:spacing w:after="0"/>
        <w:tabs>
          <w:tab w:leader="none" w:pos="1900"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No Fractional Shares</w:t>
      </w:r>
      <w:r>
        <w:rPr>
          <w:rFonts w:ascii="Arial" w:cs="Arial" w:eastAsia="Arial" w:hAnsi="Arial"/>
          <w:sz w:val="21"/>
          <w:szCs w:val="21"/>
          <w:color w:val="auto"/>
        </w:rPr>
        <w:t>. In no event may the Stock Option be exercised for a fraction of a Share.</w:t>
      </w:r>
    </w:p>
    <w:p>
      <w:pPr>
        <w:spacing w:after="0" w:line="178" w:lineRule="exact"/>
        <w:rPr>
          <w:rFonts w:ascii="Arial" w:cs="Arial" w:eastAsia="Arial" w:hAnsi="Arial"/>
          <w:sz w:val="21"/>
          <w:szCs w:val="21"/>
          <w:color w:val="auto"/>
        </w:rPr>
      </w:pPr>
    </w:p>
    <w:p>
      <w:pPr>
        <w:ind w:right="120" w:firstLine="1264"/>
        <w:spacing w:after="0" w:line="222" w:lineRule="auto"/>
        <w:tabs>
          <w:tab w:leader="none" w:pos="1888"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No Adjustment for Dividends or Other Rights</w:t>
      </w:r>
      <w:r>
        <w:rPr>
          <w:rFonts w:ascii="Arial" w:cs="Arial" w:eastAsia="Arial" w:hAnsi="Arial"/>
          <w:sz w:val="21"/>
          <w:szCs w:val="21"/>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55" w:lineRule="exact"/>
        <w:rPr>
          <w:rFonts w:ascii="Arial" w:cs="Arial" w:eastAsia="Arial" w:hAnsi="Arial"/>
          <w:sz w:val="21"/>
          <w:szCs w:val="21"/>
          <w:color w:val="auto"/>
        </w:rPr>
      </w:pPr>
    </w:p>
    <w:p>
      <w:pPr>
        <w:ind w:firstLine="1264"/>
        <w:spacing w:after="0" w:line="227" w:lineRule="auto"/>
        <w:tabs>
          <w:tab w:leader="none" w:pos="1884"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Issuance and Delivery of Shares</w:t>
      </w:r>
      <w:r>
        <w:rPr>
          <w:rFonts w:ascii="Arial" w:cs="Arial" w:eastAsia="Arial" w:hAnsi="Arial"/>
          <w:sz w:val="20"/>
          <w:szCs w:val="20"/>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A-3</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115" w:right="339" w:bottom="1440" w:gutter="0" w:footer="0" w:header="0"/>
        </w:sectPr>
      </w:pPr>
    </w:p>
    <w:bookmarkStart w:id="132" w:name="page133"/>
    <w:bookmarkEnd w:id="132"/>
    <w:p>
      <w:pPr>
        <w:ind w:right="480" w:firstLine="1264"/>
        <w:spacing w:after="0" w:line="222" w:lineRule="auto"/>
        <w:tabs>
          <w:tab w:leader="none" w:pos="1884" w:val="left"/>
        </w:tabs>
        <w:numPr>
          <w:ilvl w:val="2"/>
          <w:numId w:val="75"/>
        </w:numPr>
        <w:rPr>
          <w:rFonts w:ascii="Arial" w:cs="Arial" w:eastAsia="Arial" w:hAnsi="Arial"/>
          <w:sz w:val="21"/>
          <w:szCs w:val="21"/>
          <w:color w:val="auto"/>
        </w:rPr>
      </w:pPr>
      <w:r>
        <w:rPr>
          <w:rFonts w:ascii="Arial" w:cs="Arial" w:eastAsia="Arial" w:hAnsi="Arial"/>
          <w:sz w:val="21"/>
          <w:szCs w:val="21"/>
          <w:u w:val="single" w:color="auto"/>
          <w:color w:val="auto"/>
        </w:rPr>
        <w:t>Partial Exercise</w:t>
      </w:r>
      <w:r>
        <w:rPr>
          <w:rFonts w:ascii="Arial" w:cs="Arial" w:eastAsia="Arial" w:hAnsi="Arial"/>
          <w:sz w:val="21"/>
          <w:szCs w:val="21"/>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55" w:lineRule="exact"/>
        <w:rPr>
          <w:rFonts w:ascii="Arial" w:cs="Arial" w:eastAsia="Arial" w:hAnsi="Arial"/>
          <w:sz w:val="21"/>
          <w:szCs w:val="21"/>
          <w:color w:val="auto"/>
        </w:rPr>
      </w:pPr>
    </w:p>
    <w:p>
      <w:pPr>
        <w:ind w:left="1260" w:hanging="626"/>
        <w:spacing w:after="0"/>
        <w:tabs>
          <w:tab w:leader="none" w:pos="1260"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100" w:firstLine="1264"/>
        <w:spacing w:after="0" w:line="235" w:lineRule="auto"/>
        <w:tabs>
          <w:tab w:leader="none" w:pos="1885" w:val="left"/>
        </w:tabs>
        <w:numPr>
          <w:ilvl w:val="2"/>
          <w:numId w:val="7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 (i) cease to vest, if not then fully vested, (ii) no longer be exercisable, whether or not vested, and</w:t>
      </w:r>
    </w:p>
    <w:p>
      <w:pPr>
        <w:spacing w:after="0" w:line="1" w:lineRule="exact"/>
        <w:rPr>
          <w:rFonts w:ascii="Arial" w:cs="Arial" w:eastAsia="Arial" w:hAnsi="Arial"/>
          <w:sz w:val="19"/>
          <w:szCs w:val="19"/>
          <w:color w:val="auto"/>
        </w:rPr>
      </w:pPr>
    </w:p>
    <w:p>
      <w:pPr>
        <w:ind w:left="380" w:hanging="375"/>
        <w:spacing w:after="0"/>
        <w:tabs>
          <w:tab w:leader="none" w:pos="3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be immediately cancelled.</w:t>
      </w:r>
    </w:p>
    <w:p>
      <w:pPr>
        <w:spacing w:after="0" w:line="160" w:lineRule="exact"/>
        <w:rPr>
          <w:rFonts w:ascii="Arial" w:cs="Arial" w:eastAsia="Arial" w:hAnsi="Arial"/>
          <w:sz w:val="21"/>
          <w:szCs w:val="21"/>
          <w:color w:val="auto"/>
        </w:rPr>
      </w:pPr>
    </w:p>
    <w:p>
      <w:pPr>
        <w:ind w:firstLine="1264"/>
        <w:spacing w:after="0" w:line="225" w:lineRule="auto"/>
        <w:tabs>
          <w:tab w:leader="none" w:pos="1884" w:val="left"/>
        </w:tabs>
        <w:numPr>
          <w:ilvl w:val="2"/>
          <w:numId w:val="77"/>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 (i) cease to vest as of the date of the Holder’s death or the first date of the Holder’s Disability (as determined by the Committee), as the case may be, and (ii) 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 (B)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57" w:lineRule="exact"/>
        <w:rPr>
          <w:rFonts w:ascii="Arial" w:cs="Arial" w:eastAsia="Arial" w:hAnsi="Arial"/>
          <w:sz w:val="20"/>
          <w:szCs w:val="20"/>
          <w:color w:val="auto"/>
        </w:rPr>
      </w:pPr>
    </w:p>
    <w:p>
      <w:pPr>
        <w:ind w:firstLine="1264"/>
        <w:spacing w:after="0" w:line="213" w:lineRule="auto"/>
        <w:tabs>
          <w:tab w:leader="none" w:pos="1885" w:val="left"/>
        </w:tabs>
        <w:numPr>
          <w:ilvl w:val="2"/>
          <w:numId w:val="77"/>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 (ii) in the case of a termination by the Company Group, the 90th day after the date of such termination of 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A-4</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115" w:right="359" w:bottom="1440" w:gutter="0" w:footer="0" w:header="0"/>
        </w:sectPr>
      </w:pPr>
    </w:p>
    <w:bookmarkStart w:id="133" w:name="page134"/>
    <w:bookmarkEnd w:id="133"/>
    <w:p>
      <w:pPr>
        <w:ind w:left="1260" w:hanging="626"/>
        <w:spacing w:after="0"/>
        <w:tabs>
          <w:tab w:leader="none" w:pos="126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23" w:lineRule="auto"/>
        <w:tabs>
          <w:tab w:leader="none" w:pos="1885" w:val="left"/>
        </w:tabs>
        <w:numPr>
          <w:ilvl w:val="1"/>
          <w:numId w:val="78"/>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if any,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 and are under no obligation to structure the terms of the grant or any aspect of the Stock Option to reduce or eliminate the Holder’s liability for Withholding Taxes or achieve any particular tax result. Further, if the Holder is or becomes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63" w:lineRule="exact"/>
        <w:rPr>
          <w:rFonts w:ascii="Arial" w:cs="Arial" w:eastAsia="Arial" w:hAnsi="Arial"/>
          <w:sz w:val="20"/>
          <w:szCs w:val="20"/>
          <w:color w:val="auto"/>
        </w:rPr>
      </w:pPr>
    </w:p>
    <w:p>
      <w:pPr>
        <w:ind w:right="40" w:firstLine="1264"/>
        <w:spacing w:after="0" w:line="234" w:lineRule="auto"/>
        <w:tabs>
          <w:tab w:leader="none" w:pos="1884" w:val="left"/>
        </w:tabs>
        <w:numPr>
          <w:ilvl w:val="1"/>
          <w:numId w:val="78"/>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Holder agrees to make adequate arrangements satisfactory to the Company and/or the Employer to satisfy all Withholding Taxes resulting from the exercise (in whole or in part) of the Stock Option, the issuance or transfer of any Shares upon exercise of the Stock Option or otherwise in connection with the Award at the time such Withholding Taxes become due. In this regard, the Holder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 (iii) through the withholding of Shares otherwise deliverable upon exercise; or (iv) by any combination of (i), (ii) 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61" w:lineRule="exact"/>
        <w:rPr>
          <w:rFonts w:ascii="Arial" w:cs="Arial" w:eastAsia="Arial" w:hAnsi="Arial"/>
          <w:sz w:val="19"/>
          <w:szCs w:val="19"/>
          <w:color w:val="auto"/>
        </w:rPr>
      </w:pPr>
    </w:p>
    <w:p>
      <w:pPr>
        <w:ind w:firstLine="1264"/>
        <w:spacing w:after="0" w:line="214" w:lineRule="auto"/>
        <w:tabs>
          <w:tab w:leader="none" w:pos="1885"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Company Group may withhold or account for Withholding Taxes contemplated by this Section 5 by reference to applicable withholding rates, including minimum or maximum applicable statutory rates in the Holder’s jurisdiction(s) of employment and/or residency, and if the Company Group withholds more than the amount necessary to satisfy the liability, the Holder may receive a refund of any over-withheld amount in cash and will have no entitlement to the equivalent Shares. If the Company Group withholds less than the amount necessary to satisfy the liability, the Holder may be required to pay any additional Withholding Taxes directly to the applicable tax authority or to the Company and/or the Employer.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No fractional Shares will be withheld or issued pursuant to the exercise of the Stock Option and the issuance of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115" w:right="339" w:bottom="1440" w:gutter="0" w:footer="0" w:header="0"/>
        </w:sectPr>
      </w:pPr>
    </w:p>
    <w:bookmarkStart w:id="134" w:name="page135"/>
    <w:bookmarkEnd w:id="134"/>
    <w:p>
      <w:pPr>
        <w:ind w:right="100" w:firstLine="634"/>
        <w:spacing w:after="0" w:line="239" w:lineRule="auto"/>
        <w:tabs>
          <w:tab w:leader="none" w:pos="1259"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the Holder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440" w:firstLine="634"/>
        <w:spacing w:after="0" w:line="257" w:lineRule="auto"/>
        <w:tabs>
          <w:tab w:leader="none" w:pos="1259"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exercise of the Stock Option such number of Common Shares as shall be required for issuance or delivery upon exercise thereof.</w:t>
      </w:r>
    </w:p>
    <w:p>
      <w:pPr>
        <w:spacing w:after="0" w:line="136" w:lineRule="exact"/>
        <w:rPr>
          <w:rFonts w:ascii="Arial" w:cs="Arial" w:eastAsia="Arial" w:hAnsi="Arial"/>
          <w:sz w:val="20"/>
          <w:szCs w:val="20"/>
          <w:color w:val="auto"/>
        </w:rPr>
      </w:pPr>
    </w:p>
    <w:p>
      <w:pPr>
        <w:ind w:left="1260" w:hanging="626"/>
        <w:spacing w:after="0"/>
        <w:tabs>
          <w:tab w:leader="none" w:pos="126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20" w:firstLine="5"/>
        <w:spacing w:after="0" w:line="222" w:lineRule="auto"/>
        <w:tabs>
          <w:tab w:leader="none" w:pos="285" w:val="left"/>
        </w:tabs>
        <w:numPr>
          <w:ilvl w:val="0"/>
          <w:numId w:val="80"/>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156" w:lineRule="exact"/>
        <w:rPr>
          <w:rFonts w:ascii="Arial" w:cs="Arial" w:eastAsia="Arial" w:hAnsi="Arial"/>
          <w:sz w:val="20"/>
          <w:szCs w:val="20"/>
          <w:color w:val="auto"/>
        </w:rPr>
      </w:pPr>
    </w:p>
    <w:p>
      <w:pPr>
        <w:ind w:firstLine="634"/>
        <w:spacing w:after="0" w:line="225" w:lineRule="auto"/>
        <w:tabs>
          <w:tab w:leader="none" w:pos="1259"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7" w:lineRule="exact"/>
        <w:rPr>
          <w:rFonts w:ascii="Arial" w:cs="Arial" w:eastAsia="Arial" w:hAnsi="Arial"/>
          <w:sz w:val="20"/>
          <w:szCs w:val="20"/>
          <w:color w:val="auto"/>
        </w:rPr>
      </w:pPr>
    </w:p>
    <w:p>
      <w:pPr>
        <w:ind w:right="60" w:firstLine="634"/>
        <w:spacing w:after="0" w:line="250" w:lineRule="auto"/>
        <w:tabs>
          <w:tab w:leader="none" w:pos="1259"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U.S. Securities and Exchange Commission,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109" w:right="339" w:bottom="1440" w:gutter="0" w:footer="0" w:header="0"/>
        </w:sectPr>
      </w:pPr>
    </w:p>
    <w:bookmarkStart w:id="135" w:name="page136"/>
    <w:bookmarkEnd w:id="135"/>
    <w:p>
      <w:pPr>
        <w:ind w:right="20" w:firstLine="634"/>
        <w:spacing w:after="0" w:line="227" w:lineRule="auto"/>
        <w:tabs>
          <w:tab w:leader="none" w:pos="1251"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the Holder may transfer all or part of the Stock Option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7" w:lineRule="auto"/>
        <w:tabs>
          <w:tab w:leader="none" w:pos="1885"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Holder is responsible for complying with (i) any federal, state, and local tax, social insurance, national insurance contributions, payroll tax, payment on account or other tax liabilities applicable to the Holder in connection with the Award and (ii) all Exercise Rules and Regulations.</w:t>
      </w:r>
    </w:p>
    <w:p>
      <w:pPr>
        <w:spacing w:after="0" w:line="154" w:lineRule="exact"/>
        <w:rPr>
          <w:rFonts w:ascii="Arial" w:cs="Arial" w:eastAsia="Arial" w:hAnsi="Arial"/>
          <w:sz w:val="21"/>
          <w:szCs w:val="21"/>
          <w:color w:val="auto"/>
        </w:rPr>
      </w:pPr>
    </w:p>
    <w:p>
      <w:pPr>
        <w:ind w:right="20" w:firstLine="1264"/>
        <w:spacing w:after="0" w:line="227" w:lineRule="auto"/>
        <w:tabs>
          <w:tab w:leader="none" w:pos="1884"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54" w:lineRule="exact"/>
        <w:rPr>
          <w:rFonts w:ascii="Arial" w:cs="Arial" w:eastAsia="Arial" w:hAnsi="Arial"/>
          <w:sz w:val="21"/>
          <w:szCs w:val="21"/>
          <w:color w:val="auto"/>
        </w:rPr>
      </w:pPr>
    </w:p>
    <w:p>
      <w:pPr>
        <w:jc w:val="both"/>
        <w:ind w:right="200" w:firstLine="1264"/>
        <w:spacing w:after="0" w:line="227" w:lineRule="auto"/>
        <w:tabs>
          <w:tab w:leader="none" w:pos="1885" w:val="left"/>
        </w:tabs>
        <w:numPr>
          <w:ilvl w:val="1"/>
          <w:numId w:val="81"/>
        </w:numPr>
        <w:rPr>
          <w:rFonts w:ascii="Arial" w:cs="Arial" w:eastAsia="Arial" w:hAnsi="Arial"/>
          <w:sz w:val="21"/>
          <w:szCs w:val="21"/>
          <w:color w:val="auto"/>
        </w:rPr>
      </w:pPr>
      <w:r>
        <w:rPr>
          <w:rFonts w:ascii="Arial" w:cs="Arial" w:eastAsia="Arial" w:hAnsi="Arial"/>
          <w:sz w:val="21"/>
          <w:szCs w:val="21"/>
          <w:color w:val="auto"/>
        </w:rPr>
        <w:t>If and when the Holder is an “executive officer” of the Company within the meaning of the Executive Stock Ownership Guidelines, the Award will be subject to the terms and conditions of the Executive Stock Ownership Guidelines and the limitations contained therein on the ability of the Holder to transfer any Vested Shares.</w:t>
      </w:r>
    </w:p>
    <w:p>
      <w:pPr>
        <w:spacing w:after="0" w:line="154" w:lineRule="exact"/>
        <w:rPr>
          <w:rFonts w:ascii="Arial" w:cs="Arial" w:eastAsia="Arial" w:hAnsi="Arial"/>
          <w:sz w:val="21"/>
          <w:szCs w:val="21"/>
          <w:color w:val="auto"/>
        </w:rPr>
      </w:pPr>
    </w:p>
    <w:p>
      <w:pPr>
        <w:ind w:firstLine="634"/>
        <w:spacing w:after="0" w:line="223" w:lineRule="auto"/>
        <w:tabs>
          <w:tab w:leader="none" w:pos="125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63" w:lineRule="exact"/>
        <w:rPr>
          <w:rFonts w:ascii="Arial" w:cs="Arial" w:eastAsia="Arial" w:hAnsi="Arial"/>
          <w:sz w:val="20"/>
          <w:szCs w:val="20"/>
          <w:color w:val="auto"/>
        </w:rPr>
      </w:pPr>
    </w:p>
    <w:p>
      <w:pPr>
        <w:ind w:right="60" w:firstLine="634"/>
        <w:spacing w:after="0" w:line="236" w:lineRule="auto"/>
        <w:tabs>
          <w:tab w:leader="none" w:pos="1259"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Shares to bear a legend substantially as follows:</w:t>
      </w:r>
    </w:p>
    <w:p>
      <w:pPr>
        <w:spacing w:after="0" w:line="155" w:lineRule="exact"/>
        <w:rPr>
          <w:sz w:val="20"/>
          <w:szCs w:val="20"/>
          <w:color w:val="auto"/>
        </w:rPr>
      </w:pPr>
    </w:p>
    <w:p>
      <w:pPr>
        <w:ind w:left="640" w:right="840"/>
        <w:spacing w:after="0" w:line="222" w:lineRule="auto"/>
        <w:rPr>
          <w:sz w:val="20"/>
          <w:szCs w:val="20"/>
          <w:color w:val="auto"/>
        </w:rPr>
      </w:pPr>
      <w:r>
        <w:rPr>
          <w:rFonts w:ascii="Arial" w:cs="Arial" w:eastAsia="Arial" w:hAnsi="Arial"/>
          <w:sz w:val="21"/>
          <w:szCs w:val="21"/>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800" w:firstLine="634"/>
        <w:spacing w:after="0" w:line="236" w:lineRule="auto"/>
        <w:tabs>
          <w:tab w:leader="none" w:pos="1259"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A-7</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115" w:right="359" w:bottom="1440" w:gutter="0" w:footer="0" w:header="0"/>
        </w:sectPr>
      </w:pPr>
    </w:p>
    <w:bookmarkStart w:id="136" w:name="page137"/>
    <w:bookmarkEnd w:id="136"/>
    <w:p>
      <w:pPr>
        <w:ind w:right="400"/>
        <w:spacing w:after="0" w:line="283" w:lineRule="auto"/>
        <w:rPr>
          <w:sz w:val="20"/>
          <w:szCs w:val="20"/>
          <w:color w:val="auto"/>
        </w:rPr>
      </w:pPr>
      <w:r>
        <w:rPr>
          <w:rFonts w:ascii="Arial" w:cs="Arial" w:eastAsia="Arial" w:hAnsi="Arial"/>
          <w:sz w:val="19"/>
          <w:szCs w:val="19"/>
          <w:color w:val="auto"/>
        </w:rPr>
        <w:t>contract with the Company, the Employer or any other entity in the Company Group and shall not interfere with the ability of the Employer to retire, request the resignation of or terminate the Holder’s employment or service relationship at any time.</w:t>
      </w:r>
    </w:p>
    <w:p>
      <w:pPr>
        <w:spacing w:after="0" w:line="114" w:lineRule="exact"/>
        <w:rPr>
          <w:sz w:val="20"/>
          <w:szCs w:val="20"/>
          <w:color w:val="auto"/>
        </w:rPr>
      </w:pPr>
    </w:p>
    <w:p>
      <w:pPr>
        <w:ind w:firstLine="634"/>
        <w:spacing w:after="0" w:line="222" w:lineRule="auto"/>
        <w:tabs>
          <w:tab w:leader="none" w:pos="1259"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16" w:lineRule="auto"/>
        <w:tabs>
          <w:tab w:leader="none" w:pos="1885" w:val="left"/>
        </w:tabs>
        <w:numPr>
          <w:ilvl w:val="1"/>
          <w:numId w:val="83"/>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1"/>
          <w:szCs w:val="21"/>
          <w:color w:val="auto"/>
        </w:rPr>
      </w:pPr>
    </w:p>
    <w:p>
      <w:pPr>
        <w:ind w:firstLine="1264"/>
        <w:spacing w:after="0" w:line="227" w:lineRule="auto"/>
        <w:tabs>
          <w:tab w:leader="none" w:pos="1884" w:val="left"/>
        </w:tabs>
        <w:numPr>
          <w:ilvl w:val="1"/>
          <w:numId w:val="83"/>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4" w:lineRule="exact"/>
        <w:rPr>
          <w:rFonts w:ascii="Arial" w:cs="Arial" w:eastAsia="Arial" w:hAnsi="Arial"/>
          <w:sz w:val="21"/>
          <w:szCs w:val="21"/>
          <w:color w:val="auto"/>
        </w:rPr>
      </w:pPr>
    </w:p>
    <w:p>
      <w:pPr>
        <w:ind w:right="20" w:firstLine="634"/>
        <w:spacing w:after="0" w:line="278" w:lineRule="auto"/>
        <w:tabs>
          <w:tab w:leader="none" w:pos="125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19" w:lineRule="exact"/>
        <w:rPr>
          <w:rFonts w:ascii="Arial" w:cs="Arial" w:eastAsia="Arial" w:hAnsi="Arial"/>
          <w:sz w:val="18"/>
          <w:szCs w:val="18"/>
          <w:color w:val="auto"/>
        </w:rPr>
      </w:pPr>
    </w:p>
    <w:p>
      <w:pPr>
        <w:ind w:left="1260" w:hanging="626"/>
        <w:spacing w:after="0"/>
        <w:tabs>
          <w:tab w:leader="none" w:pos="126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20" w:firstLine="1264"/>
        <w:spacing w:after="0" w:line="230" w:lineRule="auto"/>
        <w:tabs>
          <w:tab w:leader="none" w:pos="1885" w:val="left"/>
        </w:tabs>
        <w:numPr>
          <w:ilvl w:val="1"/>
          <w:numId w:val="83"/>
        </w:numPr>
        <w:rPr>
          <w:rFonts w:ascii="Arial" w:cs="Arial" w:eastAsia="Arial" w:hAnsi="Arial"/>
          <w:sz w:val="20"/>
          <w:szCs w:val="20"/>
          <w:color w:val="auto"/>
        </w:rPr>
      </w:pPr>
      <w:r>
        <w:rPr>
          <w:rFonts w:ascii="Arial" w:cs="Arial" w:eastAsia="Arial" w:hAnsi="Arial"/>
          <w:sz w:val="20"/>
          <w:szCs w:val="20"/>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the Holder may designate in writing from time to time. Notices shall be effective upon delivery.</w:t>
      </w:r>
    </w:p>
    <w:p>
      <w:pPr>
        <w:spacing w:after="0" w:line="156" w:lineRule="exact"/>
        <w:rPr>
          <w:rFonts w:ascii="Arial" w:cs="Arial" w:eastAsia="Arial" w:hAnsi="Arial"/>
          <w:sz w:val="20"/>
          <w:szCs w:val="20"/>
          <w:color w:val="auto"/>
        </w:rPr>
      </w:pPr>
    </w:p>
    <w:p>
      <w:pPr>
        <w:ind w:right="200" w:firstLine="1264"/>
        <w:spacing w:after="0" w:line="241" w:lineRule="auto"/>
        <w:tabs>
          <w:tab w:leader="none" w:pos="1884"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any employment agreement, service contract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115" w:right="339" w:bottom="1440" w:gutter="0" w:footer="0" w:header="0"/>
        </w:sectPr>
      </w:pPr>
    </w:p>
    <w:bookmarkStart w:id="137" w:name="page138"/>
    <w:bookmarkEnd w:id="137"/>
    <w:p>
      <w:pPr>
        <w:ind w:right="80"/>
        <w:spacing w:after="0" w:line="227" w:lineRule="auto"/>
        <w:rPr>
          <w:sz w:val="20"/>
          <w:szCs w:val="20"/>
          <w:color w:val="auto"/>
        </w:rPr>
      </w:pPr>
      <w:r>
        <w:rPr>
          <w:rFonts w:ascii="Arial" w:cs="Arial" w:eastAsia="Arial" w:hAnsi="Arial"/>
          <w:sz w:val="21"/>
          <w:szCs w:val="21"/>
          <w:color w:val="auto"/>
        </w:rPr>
        <w:t>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54" w:lineRule="exact"/>
        <w:rPr>
          <w:sz w:val="20"/>
          <w:szCs w:val="20"/>
          <w:color w:val="auto"/>
        </w:rPr>
      </w:pPr>
    </w:p>
    <w:p>
      <w:pPr>
        <w:ind w:right="440" w:firstLine="634"/>
        <w:spacing w:after="0" w:line="236" w:lineRule="auto"/>
        <w:tabs>
          <w:tab w:leader="none" w:pos="1259"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160" w:firstLine="634"/>
        <w:spacing w:after="0" w:line="217" w:lineRule="auto"/>
        <w:tabs>
          <w:tab w:leader="none" w:pos="1259"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Stock Option shall be subject to any additional terms and conditions set forth in the Appendix for the Holder’s country of work and/or residence, which constitute a part of these Award Terms. Moreover, if the Holder relocates his or her work and/or residence to one of the countries included in the Appendix, the additional terms and conditions for such country will apply to the Holder, to the extent the Company determines that the application of such terms and conditions is necessary or advisable in order to comply with applicable local law or facilitate the administration of the Plan.</w:t>
      </w:r>
    </w:p>
    <w:p>
      <w:pPr>
        <w:spacing w:after="0" w:line="158" w:lineRule="exact"/>
        <w:rPr>
          <w:rFonts w:ascii="Arial" w:cs="Arial" w:eastAsia="Arial" w:hAnsi="Arial"/>
          <w:sz w:val="21"/>
          <w:szCs w:val="21"/>
          <w:color w:val="auto"/>
        </w:rPr>
      </w:pPr>
    </w:p>
    <w:p>
      <w:pPr>
        <w:ind w:right="120" w:firstLine="634"/>
        <w:spacing w:after="0" w:line="248" w:lineRule="auto"/>
        <w:tabs>
          <w:tab w:leader="none" w:pos="125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Holder’s participation in the Plan, on the Stock Option and on any Shares acquired under the Plan, to the extent the Company determines it is necessary or advisable in order to comply with applicable local law or facilitate the administration of the Plan, and to require the Holder to sign any additional agreements or undertakings that may be necessary to accomplish the foregoing.</w:t>
      </w:r>
    </w:p>
    <w:p>
      <w:pPr>
        <w:spacing w:after="0" w:line="145" w:lineRule="exact"/>
        <w:rPr>
          <w:rFonts w:ascii="Arial" w:cs="Arial" w:eastAsia="Arial" w:hAnsi="Arial"/>
          <w:sz w:val="19"/>
          <w:szCs w:val="19"/>
          <w:color w:val="auto"/>
        </w:rPr>
      </w:pPr>
    </w:p>
    <w:p>
      <w:pPr>
        <w:ind w:firstLine="634"/>
        <w:spacing w:after="0" w:line="227" w:lineRule="auto"/>
        <w:tabs>
          <w:tab w:leader="none" w:pos="1101"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A-9</w:t>
      </w: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115" w:right="37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APPENDIX</w:t>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ind w:left="4480"/>
        <w:spacing w:after="0"/>
        <w:rPr>
          <w:sz w:val="20"/>
          <w:szCs w:val="20"/>
          <w:color w:val="auto"/>
        </w:rPr>
      </w:pPr>
      <w:r>
        <w:rPr>
          <w:rFonts w:ascii="Arial" w:cs="Arial" w:eastAsia="Arial" w:hAnsi="Arial"/>
          <w:sz w:val="21"/>
          <w:szCs w:val="21"/>
          <w:b w:val="1"/>
          <w:bCs w:val="1"/>
          <w:color w:val="auto"/>
        </w:rPr>
        <w:t>2014 INCENTIVE PLAN</w:t>
      </w:r>
    </w:p>
    <w:p>
      <w:pPr>
        <w:spacing w:after="0" w:line="180" w:lineRule="exact"/>
        <w:rPr>
          <w:sz w:val="20"/>
          <w:szCs w:val="20"/>
          <w:color w:val="auto"/>
        </w:rPr>
      </w:pPr>
    </w:p>
    <w:p>
      <w:pPr>
        <w:ind w:left="4000"/>
        <w:spacing w:after="0"/>
        <w:rPr>
          <w:sz w:val="20"/>
          <w:szCs w:val="20"/>
          <w:color w:val="auto"/>
        </w:rPr>
      </w:pPr>
      <w:r>
        <w:rPr>
          <w:rFonts w:ascii="Arial" w:cs="Arial" w:eastAsia="Arial" w:hAnsi="Arial"/>
          <w:sz w:val="21"/>
          <w:szCs w:val="21"/>
          <w:b w:val="1"/>
          <w:bCs w:val="1"/>
          <w:color w:val="auto"/>
        </w:rPr>
        <w:t>STOCK OPTION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00" w:lineRule="exact"/>
        <w:rPr>
          <w:sz w:val="20"/>
          <w:szCs w:val="20"/>
          <w:color w:val="auto"/>
        </w:rPr>
      </w:pP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right="280"/>
        <w:spacing w:after="0" w:line="227" w:lineRule="auto"/>
        <w:rPr>
          <w:sz w:val="20"/>
          <w:szCs w:val="20"/>
          <w:color w:val="auto"/>
        </w:rPr>
      </w:pPr>
      <w:r>
        <w:rPr>
          <w:rFonts w:ascii="Arial" w:cs="Arial" w:eastAsia="Arial" w:hAnsi="Arial"/>
          <w:sz w:val="21"/>
          <w:szCs w:val="21"/>
          <w:color w:val="auto"/>
        </w:rPr>
        <w:t>This Appendix includes special terms and conditions applicable to Holders who work and/or reside in the countries covered by the Appendix. These terms and conditions are in addition to or, if so indicated, in place of, the terms and conditions set forth in the Award Terms.</w:t>
      </w:r>
    </w:p>
    <w:p>
      <w:pPr>
        <w:spacing w:after="0" w:line="154" w:lineRule="exact"/>
        <w:rPr>
          <w:sz w:val="20"/>
          <w:szCs w:val="20"/>
          <w:color w:val="auto"/>
        </w:rPr>
      </w:pPr>
    </w:p>
    <w:p>
      <w:pPr>
        <w:ind w:right="180"/>
        <w:spacing w:after="0" w:line="222" w:lineRule="auto"/>
        <w:rPr>
          <w:sz w:val="20"/>
          <w:szCs w:val="20"/>
          <w:color w:val="auto"/>
        </w:rPr>
      </w:pPr>
      <w:r>
        <w:rPr>
          <w:rFonts w:ascii="Arial" w:cs="Arial" w:eastAsia="Arial" w:hAnsi="Arial"/>
          <w:sz w:val="21"/>
          <w:szCs w:val="21"/>
          <w:color w:val="auto"/>
        </w:rPr>
        <w:t>If the Holder is a citizen or resident of a country other than the one in which he or she is currently residing and/or working, transferred or transfers employment and/or residency after the Stock Option was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the Holder is a “mobile employee”), the Company shall have the sole discretion to determine to what extent the special terms and conditions shall apply to the Holder.</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8"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This Appendix also includes notifications relating to exchange control and other issues of which the Holder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the Holder not rely on the notifications herein as the only source of information relating to the consequences of participation in the Plan because the information may be out of date at the time Shares are purchased upon exercise of the Stock Option or Shares purchased under the Plan are sold.</w:t>
      </w:r>
    </w:p>
    <w:p>
      <w:pPr>
        <w:spacing w:after="0" w:line="184"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In addition, the notifications are general in nature and may not apply to the particular situation of the Holder, and the Company is not in a position to assure the Holder of any particular result. Accordingly, each Holder should seek appropriate professional advice as to how the relevant laws in his or her country may apply to his or her situation. Finally, if the Holder is a mobile employee, the information contained herein may not be applicable to the Holder in the same manner.</w:t>
      </w:r>
    </w:p>
    <w:p>
      <w:pPr>
        <w:sectPr>
          <w:pgSz w:w="11900" w:h="16838" w:orient="portrait"/>
          <w:cols w:equalWidth="0" w:num="1">
            <w:col w:w="11240"/>
          </w:cols>
          <w:pgMar w:left="320" w:top="1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Option Grant Award Agreement for Employees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B-1</w:t>
      </w:r>
    </w:p>
    <w:p>
      <w:pPr>
        <w:sectPr>
          <w:pgSz w:w="11900" w:h="16838" w:orient="portrait"/>
          <w:cols w:equalWidth="0" w:num="2">
            <w:col w:w="4800" w:space="720"/>
            <w:col w:w="5720"/>
          </w:cols>
          <w:pgMar w:left="320" w:top="1358"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21"/>
          <w:szCs w:val="21"/>
          <w:b w:val="1"/>
          <w:bCs w:val="1"/>
          <w:i w:val="1"/>
          <w:iCs w:val="1"/>
          <w:color w:val="auto"/>
        </w:rPr>
        <w:t>GENERAL PROVISIONS APPLICABLE TO ALL HOLDERS WHO WORK AND/OR RESIDE OUTSIDE THE U.S.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Stock Option, the Holder acknowledges, understands, and agrees that:</w:t>
      </w:r>
    </w:p>
    <w:p>
      <w:pPr>
        <w:spacing w:after="0" w:line="184" w:lineRule="exact"/>
        <w:rPr>
          <w:sz w:val="20"/>
          <w:szCs w:val="20"/>
          <w:color w:val="auto"/>
        </w:rPr>
      </w:pPr>
    </w:p>
    <w:p>
      <w:pPr>
        <w:ind w:left="640" w:right="80" w:hanging="320"/>
        <w:spacing w:after="0" w:line="283" w:lineRule="auto"/>
        <w:tabs>
          <w:tab w:leader="none" w:pos="635"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40" w:lineRule="exact"/>
        <w:rPr>
          <w:rFonts w:ascii="Arial" w:cs="Arial" w:eastAsia="Arial" w:hAnsi="Arial"/>
          <w:sz w:val="19"/>
          <w:szCs w:val="19"/>
          <w:color w:val="auto"/>
        </w:rPr>
      </w:pPr>
    </w:p>
    <w:p>
      <w:pPr>
        <w:ind w:left="640" w:hanging="320"/>
        <w:spacing w:after="0" w:line="227"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grant of the Stock Option is exceptional, voluntary and occasional and does not create any contractual or other right to receive future grants of rights to purchase Common Shares, or benefits in lieu of grants of rights to purchase Common Shares, even if grants of rights to purchase Common Shares have been granted in the past;</w:t>
      </w:r>
    </w:p>
    <w:p>
      <w:pPr>
        <w:spacing w:after="0" w:line="180" w:lineRule="exact"/>
        <w:rPr>
          <w:rFonts w:ascii="Arial" w:cs="Arial" w:eastAsia="Arial" w:hAnsi="Arial"/>
          <w:sz w:val="21"/>
          <w:szCs w:val="21"/>
          <w:color w:val="auto"/>
        </w:rPr>
      </w:pPr>
    </w:p>
    <w:p>
      <w:pPr>
        <w:ind w:left="640" w:right="340" w:hanging="320"/>
        <w:spacing w:after="0" w:line="236"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21"/>
          <w:szCs w:val="21"/>
          <w:color w:val="auto"/>
        </w:rPr>
        <w:t>all decisions with respect to future grants of rights to purchase Common Shares, if any, will be at the sole discretion of the Company;</w:t>
      </w:r>
    </w:p>
    <w:p>
      <w:pPr>
        <w:spacing w:after="0" w:line="180" w:lineRule="exact"/>
        <w:rPr>
          <w:rFonts w:ascii="Arial" w:cs="Arial" w:eastAsia="Arial" w:hAnsi="Arial"/>
          <w:sz w:val="21"/>
          <w:szCs w:val="21"/>
          <w:color w:val="auto"/>
        </w:rPr>
      </w:pPr>
    </w:p>
    <w:p>
      <w:pPr>
        <w:ind w:left="620" w:hanging="300"/>
        <w:spacing w:after="0"/>
        <w:tabs>
          <w:tab w:leader="none" w:pos="62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Holder’s participation in the Plan is voluntary;</w:t>
      </w:r>
    </w:p>
    <w:p>
      <w:pPr>
        <w:spacing w:after="0" w:line="204" w:lineRule="exact"/>
        <w:rPr>
          <w:rFonts w:ascii="Arial" w:cs="Arial" w:eastAsia="Arial" w:hAnsi="Arial"/>
          <w:sz w:val="21"/>
          <w:szCs w:val="21"/>
          <w:color w:val="auto"/>
        </w:rPr>
      </w:pPr>
    </w:p>
    <w:p>
      <w:pPr>
        <w:jc w:val="both"/>
        <w:ind w:left="640" w:right="160" w:hanging="320"/>
        <w:spacing w:after="0" w:line="233" w:lineRule="auto"/>
        <w:tabs>
          <w:tab w:leader="none" w:pos="635"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grant of the Stock Option and any Shares acquired under the Plan and the income in respect of and the value of the same are extraordinary items that do not constitute compensation of any kind for services of any kind rendered to the Company or the Employer, and which are outside the scope of the employment agreement or service contract between the Holder and the Company, the Employer or any other entity in the Company Group, if any;</w:t>
      </w:r>
    </w:p>
    <w:p>
      <w:pPr>
        <w:spacing w:after="0" w:line="182" w:lineRule="exact"/>
        <w:rPr>
          <w:rFonts w:ascii="Arial" w:cs="Arial" w:eastAsia="Arial" w:hAnsi="Arial"/>
          <w:sz w:val="20"/>
          <w:szCs w:val="20"/>
          <w:color w:val="auto"/>
        </w:rPr>
      </w:pPr>
    </w:p>
    <w:p>
      <w:pPr>
        <w:ind w:left="640" w:right="560" w:hanging="320"/>
        <w:spacing w:after="0" w:line="236"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Stock Option and any Shares acquired under the Plan and the income in respect of and the value of the same are not intended to replace any pension rights or compensation;</w:t>
      </w:r>
    </w:p>
    <w:p>
      <w:pPr>
        <w:spacing w:after="0" w:line="180" w:lineRule="exact"/>
        <w:rPr>
          <w:rFonts w:ascii="Arial" w:cs="Arial" w:eastAsia="Arial" w:hAnsi="Arial"/>
          <w:sz w:val="21"/>
          <w:szCs w:val="21"/>
          <w:color w:val="auto"/>
        </w:rPr>
      </w:pPr>
    </w:p>
    <w:p>
      <w:pPr>
        <w:ind w:left="640" w:hanging="320"/>
        <w:spacing w:after="0" w:line="233" w:lineRule="auto"/>
        <w:tabs>
          <w:tab w:leader="none" w:pos="635"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Stock Option and any Shares acquired under the Plan,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2" w:lineRule="exact"/>
        <w:rPr>
          <w:rFonts w:ascii="Arial" w:cs="Arial" w:eastAsia="Arial" w:hAnsi="Arial"/>
          <w:sz w:val="20"/>
          <w:szCs w:val="20"/>
          <w:color w:val="auto"/>
        </w:rPr>
      </w:pPr>
    </w:p>
    <w:p>
      <w:pPr>
        <w:ind w:left="640" w:right="360" w:hanging="320"/>
        <w:spacing w:after="0" w:line="238" w:lineRule="auto"/>
        <w:tabs>
          <w:tab w:leader="none" w:pos="635"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Stock Option grant and the Holder’s participation in the Plan will not be interpreted to form an employment or service contract or relationship with the Company and, furthermore, the Stock Option grant will not be interpreted to form an employment agreement or service contract or relationship with any other company in the Company Group;</w:t>
      </w:r>
    </w:p>
    <w:p>
      <w:pPr>
        <w:spacing w:after="0" w:line="181" w:lineRule="exact"/>
        <w:rPr>
          <w:rFonts w:ascii="Arial" w:cs="Arial" w:eastAsia="Arial" w:hAnsi="Arial"/>
          <w:sz w:val="20"/>
          <w:szCs w:val="20"/>
          <w:color w:val="auto"/>
        </w:rPr>
      </w:pPr>
    </w:p>
    <w:p>
      <w:pPr>
        <w:ind w:left="700" w:hanging="380"/>
        <w:spacing w:after="0"/>
        <w:tabs>
          <w:tab w:leader="none" w:pos="7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w:t>
      </w:r>
    </w:p>
    <w:p>
      <w:pPr>
        <w:spacing w:after="0" w:line="204" w:lineRule="exact"/>
        <w:rPr>
          <w:rFonts w:ascii="Arial" w:cs="Arial" w:eastAsia="Arial" w:hAnsi="Arial"/>
          <w:sz w:val="21"/>
          <w:szCs w:val="21"/>
          <w:color w:val="auto"/>
        </w:rPr>
      </w:pPr>
    </w:p>
    <w:p>
      <w:pPr>
        <w:ind w:left="700" w:hanging="380"/>
        <w:spacing w:after="0"/>
        <w:tabs>
          <w:tab w:leader="none" w:pos="7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the underlying Shares do not increase in value, the Stock Option will have no value;</w:t>
      </w:r>
    </w:p>
    <w:p>
      <w:pPr>
        <w:spacing w:after="0" w:line="204" w:lineRule="exact"/>
        <w:rPr>
          <w:rFonts w:ascii="Arial" w:cs="Arial" w:eastAsia="Arial" w:hAnsi="Arial"/>
          <w:sz w:val="21"/>
          <w:szCs w:val="21"/>
          <w:color w:val="auto"/>
        </w:rPr>
      </w:pPr>
    </w:p>
    <w:p>
      <w:pPr>
        <w:ind w:left="720" w:right="180" w:hanging="400"/>
        <w:spacing w:after="0" w:line="236" w:lineRule="auto"/>
        <w:tabs>
          <w:tab w:leader="none" w:pos="708"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the Holder exercises the Stock Option and obtains Shares, the value of those Shares acquired upon exercise may increase or decrease in value, even below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B-2</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364" w:right="359" w:bottom="1440" w:gutter="0" w:footer="0" w:header="0"/>
        </w:sectPr>
      </w:pPr>
    </w:p>
    <w:bookmarkStart w:id="140" w:name="page141"/>
    <w:bookmarkEnd w:id="140"/>
    <w:p>
      <w:pPr>
        <w:jc w:val="both"/>
        <w:ind w:left="720" w:right="20" w:hanging="400"/>
        <w:spacing w:after="0" w:line="227" w:lineRule="auto"/>
        <w:tabs>
          <w:tab w:leader="none" w:pos="716" w:val="left"/>
        </w:tabs>
        <w:numPr>
          <w:ilvl w:val="0"/>
          <w:numId w:val="86"/>
        </w:numPr>
        <w:rPr>
          <w:rFonts w:ascii="Arial" w:cs="Arial" w:eastAsia="Arial" w:hAnsi="Arial"/>
          <w:sz w:val="21"/>
          <w:szCs w:val="21"/>
          <w:color w:val="auto"/>
        </w:rPr>
      </w:pPr>
      <w:r>
        <w:rPr>
          <w:rFonts w:ascii="Arial" w:cs="Arial" w:eastAsia="Arial" w:hAnsi="Arial"/>
          <w:sz w:val="21"/>
          <w:szCs w:val="21"/>
          <w:color w:val="auto"/>
        </w:rPr>
        <w:t>unless otherwise agreed with the Company, the Stock Option and the Shares subject to the Stock Option, and the income and value of same, are not granted as consideration for, or in connection with, the service the Holder may provide as a director of any entity of Company Group;</w:t>
      </w:r>
    </w:p>
    <w:p>
      <w:pPr>
        <w:spacing w:after="0" w:line="180" w:lineRule="exact"/>
        <w:rPr>
          <w:rFonts w:ascii="Arial" w:cs="Arial" w:eastAsia="Arial" w:hAnsi="Arial"/>
          <w:sz w:val="21"/>
          <w:szCs w:val="21"/>
          <w:color w:val="auto"/>
        </w:rPr>
      </w:pPr>
    </w:p>
    <w:p>
      <w:pPr>
        <w:ind w:left="720" w:right="260" w:hanging="400"/>
        <w:spacing w:after="0" w:line="219" w:lineRule="auto"/>
        <w:tabs>
          <w:tab w:leader="none" w:pos="716" w:val="left"/>
        </w:tabs>
        <w:numPr>
          <w:ilvl w:val="0"/>
          <w:numId w:val="86"/>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Stock Option resulting from termination of the Holder’s continuous service with the Company or the Employer (for any reason whatsoever, whether or not later found to be invalid or in breach of employment laws in the jurisdiction in which the Holder is employed or the terms of the employment agreement or service contract between the Holder and the Company, the Employer or any other entity in the Company Group, if any);</w:t>
      </w:r>
    </w:p>
    <w:p>
      <w:pPr>
        <w:spacing w:after="0" w:line="183" w:lineRule="exact"/>
        <w:rPr>
          <w:rFonts w:ascii="Arial" w:cs="Arial" w:eastAsia="Arial" w:hAnsi="Arial"/>
          <w:sz w:val="21"/>
          <w:szCs w:val="21"/>
          <w:color w:val="auto"/>
        </w:rPr>
      </w:pPr>
    </w:p>
    <w:p>
      <w:pPr>
        <w:ind w:left="720" w:hanging="400"/>
        <w:spacing w:after="0" w:line="234" w:lineRule="auto"/>
        <w:tabs>
          <w:tab w:leader="none" w:pos="7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unless the Committee determines otherwise, in the event of the termination of the Holder’s continuous service (regardless of the reason for such termination and whether or not later found to be invalid or in breach of employment laws in the jurisdiction in which the Holder is employed or the terms of the employment agreement or service contract between the Holder and the Company, the Employer or any other entity in the Company Group, if any), the Holder’s right to receive or vest in the Stock Option under the Plan, if any, will terminate effective as of the date that the Holder is no longer actively employed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the termination of the Holder’s continuous service (regardless of the reason for such termination and whether or not later found to be invalid or in breach of employment laws in the jurisdiction in which the Holder is employed or the terms of the Holder’s employment agreement or service contract, if any), the Holder’s right to exercise the Stock Option after termination of the Holder’s continuous service, if any, will be measured by the date of termination of the Holder’s active employment and will not be extended by any notice period mandated under local law; the Committee shall have the exclusive discretion to determine when the Holder is no longer actively employed for purposes of the Holder’s Stock Option grant (including whether the Holder may still be considered actively employed while on a leave of absence);</w:t>
      </w:r>
    </w:p>
    <w:p>
      <w:pPr>
        <w:spacing w:after="0" w:line="191" w:lineRule="exact"/>
        <w:rPr>
          <w:rFonts w:ascii="Arial" w:cs="Arial" w:eastAsia="Arial" w:hAnsi="Arial"/>
          <w:sz w:val="19"/>
          <w:szCs w:val="19"/>
          <w:color w:val="auto"/>
        </w:rPr>
      </w:pPr>
    </w:p>
    <w:p>
      <w:pPr>
        <w:ind w:left="720" w:right="20" w:hanging="400"/>
        <w:spacing w:after="0" w:line="257" w:lineRule="auto"/>
        <w:tabs>
          <w:tab w:leader="none" w:pos="716"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w:t>
      </w:r>
    </w:p>
    <w:p>
      <w:pPr>
        <w:spacing w:after="0" w:line="163" w:lineRule="exact"/>
        <w:rPr>
          <w:rFonts w:ascii="Arial" w:cs="Arial" w:eastAsia="Arial" w:hAnsi="Arial"/>
          <w:sz w:val="20"/>
          <w:szCs w:val="20"/>
          <w:color w:val="auto"/>
        </w:rPr>
      </w:pPr>
    </w:p>
    <w:p>
      <w:pPr>
        <w:ind w:left="720" w:right="1000" w:hanging="400"/>
        <w:spacing w:after="0" w:line="236" w:lineRule="auto"/>
        <w:tabs>
          <w:tab w:leader="none" w:pos="716"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Holder should consult with the Holder’s own personal tax, legal and financial advisors regarding the Holder’s participation in the Plan before taking any action related to the Plan;</w:t>
      </w:r>
    </w:p>
    <w:p>
      <w:pPr>
        <w:spacing w:after="0" w:line="180" w:lineRule="exact"/>
        <w:rPr>
          <w:rFonts w:ascii="Arial" w:cs="Arial" w:eastAsia="Arial" w:hAnsi="Arial"/>
          <w:sz w:val="21"/>
          <w:szCs w:val="21"/>
          <w:color w:val="auto"/>
        </w:rPr>
      </w:pPr>
    </w:p>
    <w:p>
      <w:pPr>
        <w:ind w:left="720" w:hanging="400"/>
        <w:spacing w:after="0" w:line="222" w:lineRule="auto"/>
        <w:tabs>
          <w:tab w:leader="none" w:pos="716" w:val="left"/>
        </w:tabs>
        <w:numPr>
          <w:ilvl w:val="0"/>
          <w:numId w:val="86"/>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Stock Option and the benefits evidenced by these Award Terms do not create any entitlement to have the Stock Option or any such benefits transferred to, or assumed by, another company, nor be exchanged, cashed out or substituted for, in connection with any corporate transaction affecting the Shares; and</w:t>
      </w:r>
    </w:p>
    <w:p>
      <w:pPr>
        <w:spacing w:after="0" w:line="181" w:lineRule="exact"/>
        <w:rPr>
          <w:rFonts w:ascii="Arial" w:cs="Arial" w:eastAsia="Arial" w:hAnsi="Arial"/>
          <w:sz w:val="21"/>
          <w:szCs w:val="21"/>
          <w:color w:val="auto"/>
        </w:rPr>
      </w:pPr>
    </w:p>
    <w:p>
      <w:pPr>
        <w:ind w:left="720" w:right="20" w:hanging="400"/>
        <w:spacing w:after="0" w:line="222" w:lineRule="auto"/>
        <w:tabs>
          <w:tab w:leader="none" w:pos="716" w:val="left"/>
        </w:tabs>
        <w:numPr>
          <w:ilvl w:val="0"/>
          <w:numId w:val="86"/>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the Holder’s local currency and the United States Dollar that may affect the value of the Stock Option or of any amounts due to the Holder pursuant to the exercise of the Stock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364" w:right="359" w:bottom="1440" w:gutter="0" w:footer="0" w:header="0"/>
        </w:sectPr>
      </w:pPr>
    </w:p>
    <w:bookmarkStart w:id="141" w:name="page142"/>
    <w:bookmarkEnd w:id="141"/>
    <w:p>
      <w:pPr>
        <w:ind w:right="20"/>
        <w:spacing w:after="0" w:line="239" w:lineRule="auto"/>
        <w:rPr>
          <w:sz w:val="20"/>
          <w:szCs w:val="20"/>
          <w:color w:val="auto"/>
        </w:rPr>
      </w:pPr>
      <w:r>
        <w:rPr>
          <w:rFonts w:ascii="Arial" w:cs="Arial" w:eastAsia="Arial" w:hAnsi="Arial"/>
          <w:sz w:val="19"/>
          <w:szCs w:val="19"/>
          <w:b w:val="1"/>
          <w:bCs w:val="1"/>
          <w:color w:val="auto"/>
        </w:rPr>
        <w:t xml:space="preserve">Foreign Asset/Account Reporting Requirements. </w:t>
      </w:r>
      <w:r>
        <w:rPr>
          <w:rFonts w:ascii="Arial" w:cs="Arial" w:eastAsia="Arial" w:hAnsi="Arial"/>
          <w:sz w:val="19"/>
          <w:szCs w:val="19"/>
          <w:color w:val="auto"/>
        </w:rPr>
        <w:t>The Holder acknowledges that there may be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the Holder’s ability to acquire or hold Shares acquired under the Plan or cash received from participating in the Plan (including from any dividends paid on Shares acquired under the Plan) in a brokerage or bank account outside the Holder’s country of work and/or residence. The Holder may be required to report such accounts, assets or transactions to the tax or other authorities in his or her country. The Holder also may be required to repatriate sale proceeds or other funds received as a result of the Holder’s participation in the Plan to his or her country through a designated bank or broker within a certain time after receipt. The Holder acknowledges that it is his or her responsibility to be compliant with such regulations, and the Holder is advised to consult his or her personal legal advisor for any details.</w:t>
      </w:r>
    </w:p>
    <w:p>
      <w:pPr>
        <w:spacing w:after="0" w:line="148" w:lineRule="exact"/>
        <w:rPr>
          <w:sz w:val="20"/>
          <w:szCs w:val="20"/>
          <w:color w:val="auto"/>
        </w:rPr>
      </w:pPr>
    </w:p>
    <w:p>
      <w:pPr>
        <w:ind w:right="20"/>
        <w:spacing w:after="0" w:line="221"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The Holder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the Holder acknowledges that the English version will control.</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Holders who work and/or reside outside the European Economic Area.</w:t>
      </w:r>
    </w:p>
    <w:p>
      <w:pPr>
        <w:spacing w:after="0" w:line="178" w:lineRule="exact"/>
        <w:rPr>
          <w:sz w:val="20"/>
          <w:szCs w:val="20"/>
          <w:color w:val="auto"/>
        </w:rPr>
      </w:pPr>
    </w:p>
    <w:p>
      <w:pPr>
        <w:ind w:right="28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The Holder hereby explicitly and unambiguously consents to the collection, use and transfer, in</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 or other form, of the Holder’s personal data as described in the Grant Notice and these Award Terms by and among, as applicable, the Employer or any other entity in the Company Group for the exclusive purpose of implementing, administering and managing the Holder’s participation in the Plan.</w:t>
      </w:r>
    </w:p>
    <w:p>
      <w:pPr>
        <w:spacing w:after="0" w:line="148" w:lineRule="exact"/>
        <w:rPr>
          <w:sz w:val="20"/>
          <w:szCs w:val="20"/>
          <w:color w:val="auto"/>
        </w:rPr>
      </w:pPr>
    </w:p>
    <w:p>
      <w:pPr>
        <w:ind w:right="240"/>
        <w:spacing w:after="0" w:line="218" w:lineRule="auto"/>
        <w:rPr>
          <w:sz w:val="20"/>
          <w:szCs w:val="20"/>
          <w:color w:val="auto"/>
        </w:rPr>
      </w:pPr>
      <w:r>
        <w:rPr>
          <w:rFonts w:ascii="Arial" w:cs="Arial" w:eastAsia="Arial" w:hAnsi="Arial"/>
          <w:sz w:val="21"/>
          <w:szCs w:val="21"/>
          <w:b w:val="1"/>
          <w:bCs w:val="1"/>
          <w:color w:val="auto"/>
        </w:rPr>
        <w:t xml:space="preserve">Data Processing. </w:t>
      </w:r>
      <w:r>
        <w:rPr>
          <w:rFonts w:ascii="Arial" w:cs="Arial" w:eastAsia="Arial" w:hAnsi="Arial"/>
          <w:sz w:val="21"/>
          <w:szCs w:val="21"/>
          <w:color w:val="auto"/>
        </w:rPr>
        <w:t>The Holder understands that the Company and the Employer may hold certain personal information about the</w:t>
      </w:r>
      <w:r>
        <w:rPr>
          <w:rFonts w:ascii="Arial" w:cs="Arial" w:eastAsia="Arial" w:hAnsi="Arial"/>
          <w:sz w:val="21"/>
          <w:szCs w:val="21"/>
          <w:b w:val="1"/>
          <w:bCs w:val="1"/>
          <w:color w:val="auto"/>
        </w:rPr>
        <w:t xml:space="preserve"> </w:t>
      </w:r>
      <w:r>
        <w:rPr>
          <w:rFonts w:ascii="Arial" w:cs="Arial" w:eastAsia="Arial" w:hAnsi="Arial"/>
          <w:sz w:val="21"/>
          <w:szCs w:val="21"/>
          <w:color w:val="auto"/>
        </w:rPr>
        <w:t>Holder, including, without limitation, the Holder’s name, home address, email address and telephone number, date of birth, social insurance, passport or other identification number, salary, nationality, job title, any directorships held in any entity in the Company Group, any Shares owned, details of all options or any other entitlement to Shares or equivalent benefits awarded, canceled, purchased, exercised, vested, unvested or outstanding in the Holder’s favor (the “Data”), for the purpose of implementing, administering and managing the Plan.</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The Holder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The Holder understands that the recipients of the Data may be located in the Holder’s country of work and/or residence, or elsewhere, and that any recipient’s country may have different data privacy laws and protections than the Holder’s country of work and/or residence. The Holder understands that the Holder may request a list with the names and addresses of any potential recipients of the Data by contacting the Holder’s local human resources representative. The Holder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the Holder’s participation in the Plan. The Holder understands that Data will be held only as long as is necessary to implement, administer and manage the Holder’s participation in the Plan. The Holder understands that the Holder may, at any time, view the Data, request additional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B-4</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42" w:name="page143"/>
    <w:bookmarkEnd w:id="142"/>
    <w:p>
      <w:pPr>
        <w:ind w:right="180"/>
        <w:spacing w:after="0" w:line="225" w:lineRule="auto"/>
        <w:rPr>
          <w:sz w:val="20"/>
          <w:szCs w:val="20"/>
          <w:color w:val="auto"/>
        </w:rPr>
      </w:pPr>
      <w:r>
        <w:rPr>
          <w:rFonts w:ascii="Arial" w:cs="Arial" w:eastAsia="Arial" w:hAnsi="Arial"/>
          <w:sz w:val="20"/>
          <w:szCs w:val="20"/>
          <w:color w:val="auto"/>
        </w:rPr>
        <w:t>information about the storage and processing of the Data, require any necessary amendments to the Data or refuse or withdraw the consents herein, in any case without cost, by contacting in writing the Holder’s local human resources representative. Further, the Holder understands that he or she is providing the consents herein on a purely voluntary basis. If the Holder does not consent, or if the Holder later seeks to revoke his or her consent, his or her employment status or service with the Employer will not be affected; the only consequence of refusing or withdrawing the Holder’s consent is that the Company would not be able to grant the Holder Stock Options or other equity awards or administer or maintain such awards. Therefore, the Holder understands that refusal or withdrawal of consent may affect the Holder’s ability to participate in the Plan. For more information on the consequences of the Holder’s refusal to consent or withdrawal of consent, the Holder understands that the Holder may contact the Holder’s local human resources representative.</w:t>
      </w:r>
    </w:p>
    <w:p>
      <w:pPr>
        <w:spacing w:after="0" w:line="178" w:lineRule="exact"/>
        <w:rPr>
          <w:sz w:val="20"/>
          <w:szCs w:val="20"/>
          <w:color w:val="auto"/>
        </w:rPr>
      </w:pPr>
    </w:p>
    <w:p>
      <w:pPr>
        <w:ind w:right="220"/>
        <w:spacing w:after="0" w:line="239" w:lineRule="auto"/>
        <w:rPr>
          <w:sz w:val="20"/>
          <w:szCs w:val="20"/>
          <w:color w:val="auto"/>
        </w:rPr>
      </w:pPr>
      <w:r>
        <w:rPr>
          <w:rFonts w:ascii="Arial" w:cs="Arial" w:eastAsia="Arial" w:hAnsi="Arial"/>
          <w:sz w:val="21"/>
          <w:szCs w:val="21"/>
          <w:b w:val="1"/>
          <w:bCs w:val="1"/>
          <w:color w:val="auto"/>
        </w:rPr>
        <w:t>The following provision applies to Holders who work and/or reside in the European Economic Area (including Switzerland and the United Kingdom).</w:t>
      </w:r>
    </w:p>
    <w:p>
      <w:pPr>
        <w:spacing w:after="0" w:line="148" w:lineRule="exact"/>
        <w:rPr>
          <w:sz w:val="20"/>
          <w:szCs w:val="20"/>
          <w:color w:val="auto"/>
        </w:rPr>
      </w:pPr>
    </w:p>
    <w:p>
      <w:pPr>
        <w:ind w:right="22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the Holder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the Holder for the exclusive legitimate purpose of granting Stock Options and implementing, administering and managing the Holder’s participation in the Plan. Specifics of the data processing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the Holder’s personal data in connection with the Plan.</w:t>
      </w:r>
    </w:p>
    <w:p>
      <w:pPr>
        <w:spacing w:after="0" w:line="201" w:lineRule="exact"/>
        <w:rPr>
          <w:sz w:val="20"/>
          <w:szCs w:val="20"/>
          <w:color w:val="auto"/>
        </w:rPr>
      </w:pPr>
    </w:p>
    <w:p>
      <w:pPr>
        <w:ind w:right="200"/>
        <w:spacing w:after="0" w:line="218"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 the</w:t>
      </w:r>
      <w:r>
        <w:rPr>
          <w:rFonts w:ascii="Arial" w:cs="Arial" w:eastAsia="Arial" w:hAnsi="Arial"/>
          <w:sz w:val="21"/>
          <w:szCs w:val="21"/>
          <w:b w:val="1"/>
          <w:bCs w:val="1"/>
          <w:color w:val="auto"/>
        </w:rPr>
        <w:t xml:space="preserve"> </w:t>
      </w:r>
      <w:r>
        <w:rPr>
          <w:rFonts w:ascii="Arial" w:cs="Arial" w:eastAsia="Arial" w:hAnsi="Arial"/>
          <w:sz w:val="21"/>
          <w:szCs w:val="21"/>
          <w:color w:val="auto"/>
        </w:rPr>
        <w:t>Holder: name, home address and telephone number, email address, date of birth, social insurance, passport number or other identification number, salary, nationality, job title, any shares of stock or directorships held in any entity in the Company Group, details of all Stock Options or any other entitlement to Shares awarded, canceled, settled, vested, unvested or outstanding in the Holder’s favor, which the Company receives from the Holder or the Employer (“Personal Data”), for the purpose of implementing, administrating and managing the Plan.</w:t>
      </w:r>
    </w:p>
    <w:p>
      <w:pPr>
        <w:spacing w:after="0" w:line="153" w:lineRule="exact"/>
        <w:rPr>
          <w:sz w:val="20"/>
          <w:szCs w:val="20"/>
          <w:color w:val="auto"/>
        </w:rPr>
      </w:pPr>
    </w:p>
    <w:p>
      <w:pPr>
        <w:spacing w:after="0" w:line="218" w:lineRule="auto"/>
        <w:rPr>
          <w:sz w:val="20"/>
          <w:szCs w:val="20"/>
          <w:color w:val="auto"/>
        </w:rPr>
      </w:pPr>
      <w:r>
        <w:rPr>
          <w:rFonts w:ascii="Arial" w:cs="Arial" w:eastAsia="Arial" w:hAnsi="Arial"/>
          <w:sz w:val="21"/>
          <w:szCs w:val="21"/>
          <w:b w:val="1"/>
          <w:bCs w:val="1"/>
          <w:color w:val="auto"/>
        </w:rPr>
        <w:t>Purposes and Legal Bases of Processing</w:t>
      </w:r>
      <w:r>
        <w:rPr>
          <w:rFonts w:ascii="Arial" w:cs="Arial" w:eastAsia="Arial" w:hAnsi="Arial"/>
          <w:sz w:val="21"/>
          <w:szCs w:val="21"/>
          <w:color w:val="auto"/>
        </w:rPr>
        <w:t>. The Company processes the Personal Data for the purpose of performing its contractual</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under the Award Terms, granting Stock Options, implementing, administering and managing the Holder’s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53"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The Holder will be asked to agree on separate terms and data processing practices with the service provider, which is a condition of the Holder’s ability to participate in the Plan. The Holder’s Personal Data will only be accessible by those individuals requiring access to it for purposes of implementing, administering and operating the Holder’s participation in the Plan. The Holder understands that the Holder may request a list with the names and addresses of any potential recipients of Personal Data by contacting the Holder’s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B-5</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64" w:right="379" w:bottom="1440" w:gutter="0" w:footer="0" w:header="0"/>
        </w:sectPr>
      </w:pPr>
    </w:p>
    <w:bookmarkStart w:id="143" w:name="page144"/>
    <w:bookmarkEnd w:id="143"/>
    <w:p>
      <w:pPr>
        <w:ind w:right="140"/>
        <w:spacing w:after="0" w:line="221"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The Holder understands that the Holder may request a list with the names and addresses of any potential recipients of the Data by contacting the Holder’s local human resources representative.</w:t>
      </w:r>
    </w:p>
    <w:p>
      <w:pPr>
        <w:spacing w:after="0" w:line="153"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color w:val="auto"/>
        </w:rPr>
        <w:t>The Holder understands and acknowledges that the United States is not subject to an unlimited adequacy finding by the European Commission and that the Holder’s Personal Data may not have an equivalent level of protection as compared to the Holder’s country of work and/or residence. To provide appropriate safeguards for the protection of the Holder’s Personal Data, the Personal Data is transferred to the Company based on data transfer and processing agreements implementing the EU Standard Contractual Clauses. The Holder may request a copy of the safeguards used to protect his or her Personal Data by contacting the Company at: employeeprivacy@activision.com.</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the</w:t>
      </w:r>
      <w:r>
        <w:rPr>
          <w:rFonts w:ascii="Arial" w:cs="Arial" w:eastAsia="Arial" w:hAnsi="Arial"/>
          <w:sz w:val="19"/>
          <w:szCs w:val="19"/>
          <w:b w:val="1"/>
          <w:bCs w:val="1"/>
          <w:color w:val="auto"/>
        </w:rPr>
        <w:t xml:space="preserve"> </w:t>
      </w:r>
      <w:r>
        <w:rPr>
          <w:rFonts w:ascii="Arial" w:cs="Arial" w:eastAsia="Arial" w:hAnsi="Arial"/>
          <w:sz w:val="19"/>
          <w:szCs w:val="19"/>
          <w:color w:val="auto"/>
        </w:rPr>
        <w:t>Holder’s participation in the Plan, or as required to comply with legal or regulatory obligations, including tax and securities laws. This period may extend beyond the Holder’s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b w:val="1"/>
          <w:bCs w:val="1"/>
          <w:color w:val="auto"/>
        </w:rPr>
        <w:t>Holder’s Rights</w:t>
      </w:r>
      <w:r>
        <w:rPr>
          <w:rFonts w:ascii="Arial" w:cs="Arial" w:eastAsia="Arial" w:hAnsi="Arial"/>
          <w:sz w:val="19"/>
          <w:szCs w:val="19"/>
          <w:color w:val="auto"/>
        </w:rPr>
        <w:t>. To the extent provided by law, the Holder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the Holder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Holder feels its processing is inappropriate, (v) object, in certain circumstances, to the processing of Personal Data for legitimate interests, (vi) request portability of Personal Data that the Holder has actively or passively provided to the Company, where the processing of such Personal Data is based on consent or a contractual agreement with the Holder and is carried out by automated means, or (vii) lodge a complaint with the competent local data protection authority. To receive additional information regarding the Holder’s rights, raise any other questions regarding the practices described in the Award Terms or to exercise his or her rights, the Holder should contact the Company at: employeeprivacy@activision.com.</w:t>
      </w:r>
    </w:p>
    <w:p>
      <w:pPr>
        <w:spacing w:after="0" w:line="154"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b w:val="1"/>
          <w:bCs w:val="1"/>
          <w:color w:val="auto"/>
        </w:rPr>
        <w:t>Contractual Requirement</w:t>
      </w:r>
      <w:r>
        <w:rPr>
          <w:rFonts w:ascii="Arial" w:cs="Arial" w:eastAsia="Arial" w:hAnsi="Arial"/>
          <w:sz w:val="20"/>
          <w:szCs w:val="20"/>
          <w:color w:val="auto"/>
        </w:rPr>
        <w:t>. The Holder’s provision of Personal Data and its processing as described above is a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 and a condition to the Holder’s ability to participate in the Plan. The Holder understands that, as a consequence of the Holder’s refusing to provide Personal Data, the Company may not be able to allow the Holder to participate in the Plan, grant Stock Options to the Holder or administer or maintain such Stock Options. However, the Holder’s participation in the Plan and his or her acceptance of the Award Terms are purely voluntary. While the Holder will not receive Stock Options if he or she decides against participating in the Plan or providing Personal Data as described above, the Holder’s career and salary will not be affected in any way. For more information on the consequences of the refusal to provide Personal Data, the Holder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B-6</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80"/>
          </w:cols>
          <w:pgMar w:left="320" w:top="1358" w:right="399" w:bottom="1440" w:gutter="0" w:footer="0" w:header="0"/>
        </w:sectPr>
      </w:pPr>
    </w:p>
    <w:bookmarkStart w:id="144" w:name="page145"/>
    <w:bookmarkEnd w:id="144"/>
    <w:p>
      <w:pPr>
        <w:ind w:left="4580"/>
        <w:spacing w:after="0"/>
        <w:rPr>
          <w:sz w:val="20"/>
          <w:szCs w:val="20"/>
          <w:color w:val="auto"/>
        </w:rPr>
      </w:pPr>
      <w:r>
        <w:rPr>
          <w:rFonts w:ascii="Arial" w:cs="Arial" w:eastAsia="Arial" w:hAnsi="Arial"/>
          <w:sz w:val="21"/>
          <w:szCs w:val="21"/>
          <w:b w:val="1"/>
          <w:bCs w:val="1"/>
          <w:color w:val="auto"/>
        </w:rPr>
        <w:t>Appendix for Australia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9"/>
        <w:spacing w:after="0"/>
        <w:rPr>
          <w:sz w:val="20"/>
          <w:szCs w:val="20"/>
          <w:color w:val="auto"/>
        </w:rPr>
      </w:pPr>
      <w:r>
        <w:rPr>
          <w:rFonts w:ascii="Arial" w:cs="Arial" w:eastAsia="Arial" w:hAnsi="Arial"/>
          <w:sz w:val="21"/>
          <w:szCs w:val="21"/>
          <w:b w:val="1"/>
          <w:bCs w:val="1"/>
          <w:color w:val="auto"/>
        </w:rPr>
        <w:t>Stock Option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If the Holder exercises the Stock Option and subsequently offers the Shares purchased upon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for sale to a person or entity resident in Australia, the offer may be subject to disclosure requirements under Australian law and the Holder should obtain legal advice regarding any applicable disclosure obligations prior to making any such offer.</w:t>
      </w:r>
    </w:p>
    <w:p>
      <w:pPr>
        <w:spacing w:after="0" w:line="129" w:lineRule="exact"/>
        <w:rPr>
          <w:sz w:val="20"/>
          <w:szCs w:val="20"/>
          <w:color w:val="auto"/>
        </w:rPr>
      </w:pPr>
    </w:p>
    <w:p>
      <w:pPr>
        <w:ind w:right="480"/>
        <w:spacing w:after="0" w:line="241"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Exchange control reporting is required for cash transactions exceeding A$10,000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international fund transfers. The Australian bank assisting with the transaction will file the report for the Holder. If there is no Australian bank involved in the transfer, the Holder will be required to file the report him/herself.</w:t>
      </w:r>
    </w:p>
    <w:p>
      <w:pPr>
        <w:spacing w:after="0" w:line="146"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Tax Information</w:t>
      </w:r>
      <w:r>
        <w:rPr>
          <w:rFonts w:ascii="Arial" w:cs="Arial" w:eastAsia="Arial" w:hAnsi="Arial"/>
          <w:sz w:val="21"/>
          <w:szCs w:val="21"/>
          <w:color w:val="auto"/>
        </w:rPr>
        <w:t>. 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B-7</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040"/>
          </w:cols>
          <w:pgMar w:left="320" w:top="1358" w:right="53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21"/>
          <w:szCs w:val="21"/>
          <w:b w:val="1"/>
          <w:bCs w:val="1"/>
          <w:color w:val="auto"/>
        </w:rPr>
        <w:t>Appendix for Brazil</w:t>
      </w:r>
    </w:p>
    <w:p>
      <w:pPr>
        <w:jc w:val="center"/>
        <w:ind w:right="-39"/>
        <w:spacing w:after="0" w:line="208" w:lineRule="auto"/>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9"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8" w:lineRule="auto"/>
        <w:rPr>
          <w:sz w:val="20"/>
          <w:szCs w:val="20"/>
          <w:color w:val="auto"/>
        </w:rPr>
      </w:pPr>
      <w:r>
        <w:rPr>
          <w:rFonts w:ascii="Arial" w:cs="Arial" w:eastAsia="Arial" w:hAnsi="Arial"/>
          <w:sz w:val="21"/>
          <w:szCs w:val="21"/>
          <w:b w:val="1"/>
          <w:bCs w:val="1"/>
          <w:color w:val="auto"/>
        </w:rPr>
        <w:t>2014 Incentive Plan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Compliance with Law. </w:t>
      </w:r>
      <w:r>
        <w:rPr>
          <w:rFonts w:ascii="Arial" w:cs="Arial" w:eastAsia="Arial" w:hAnsi="Arial"/>
          <w:sz w:val="20"/>
          <w:szCs w:val="20"/>
          <w:color w:val="auto"/>
        </w:rPr>
        <w:t>By accepting the Stock Option, the Holder acknowledges that he or she agrees to comply with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Brazilian laws and to pay any and all applicable taxes associated with the Holder’s participation in the Plan, including the exercise of the Stock Option, the receipt of any dividends, and the sale of any Shares acquired under the Plan.</w:t>
      </w:r>
    </w:p>
    <w:p>
      <w:pPr>
        <w:spacing w:after="0" w:line="173" w:lineRule="exact"/>
        <w:rPr>
          <w:sz w:val="20"/>
          <w:szCs w:val="20"/>
          <w:color w:val="auto"/>
        </w:rPr>
      </w:pPr>
    </w:p>
    <w:p>
      <w:pPr>
        <w:ind w:right="200"/>
        <w:spacing w:after="0" w:line="229" w:lineRule="auto"/>
        <w:rPr>
          <w:sz w:val="20"/>
          <w:szCs w:val="20"/>
          <w:color w:val="auto"/>
        </w:rPr>
      </w:pPr>
      <w:r>
        <w:rPr>
          <w:rFonts w:ascii="Arial" w:cs="Arial" w:eastAsia="Arial" w:hAnsi="Arial"/>
          <w:sz w:val="21"/>
          <w:szCs w:val="21"/>
          <w:b w:val="1"/>
          <w:bCs w:val="1"/>
          <w:color w:val="auto"/>
        </w:rPr>
        <w:t xml:space="preserve">Nature of Company Stock Option Grants. </w:t>
      </w:r>
      <w:r>
        <w:rPr>
          <w:rFonts w:ascii="Arial" w:cs="Arial" w:eastAsia="Arial" w:hAnsi="Arial"/>
          <w:sz w:val="21"/>
          <w:szCs w:val="21"/>
          <w:color w:val="auto"/>
        </w:rPr>
        <w:t>By accepting the Stock Option, the Holder agrees that (1) he or she is making an</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decision and (2) the value of the underlying Shares is not fixed and may increase or decrease in value over time without compensation to the Holder.</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Exchange Control Notification</w:t>
      </w:r>
      <w:r>
        <w:rPr>
          <w:rFonts w:ascii="Arial" w:cs="Arial" w:eastAsia="Arial" w:hAnsi="Arial"/>
          <w:sz w:val="20"/>
          <w:szCs w:val="20"/>
          <w:color w:val="auto"/>
        </w:rPr>
        <w:t>. If the Holder is resident or domiciled in Brazil, he or she will be required to submit a declaration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rights held outside of Brazil to the Central Bank of Brazil if the aggregate value of such assets and rights equals or exceeds US$1,000,000. Assets and rights that must be reported include any Shares acquired under the Plan.</w:t>
      </w:r>
    </w:p>
    <w:p>
      <w:pPr>
        <w:spacing w:after="0" w:line="173"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funds into Brazil and the conversion between BRL and US$ associated with such fund transfers may be subject to the Tax on Financial Transactions. It is the Holder’s responsibility to comply with any applicable Tax on Financial Transactions arising from the Holder’s participation in the Plan. The Holder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B-8</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350" w:right="35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21"/>
          <w:szCs w:val="21"/>
          <w:b w:val="1"/>
          <w:bCs w:val="1"/>
          <w:color w:val="auto"/>
        </w:rPr>
        <w:t>Appendix for Canada</w:t>
      </w:r>
    </w:p>
    <w:p>
      <w:pPr>
        <w:jc w:val="center"/>
        <w:ind w:right="-19"/>
        <w:spacing w:after="0" w:line="208" w:lineRule="auto"/>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9"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8" w:lineRule="auto"/>
        <w:rPr>
          <w:sz w:val="20"/>
          <w:szCs w:val="20"/>
          <w:color w:val="auto"/>
        </w:rPr>
      </w:pPr>
      <w:r>
        <w:rPr>
          <w:rFonts w:ascii="Arial" w:cs="Arial" w:eastAsia="Arial" w:hAnsi="Arial"/>
          <w:sz w:val="21"/>
          <w:szCs w:val="21"/>
          <w:b w:val="1"/>
          <w:bCs w:val="1"/>
          <w:color w:val="auto"/>
        </w:rPr>
        <w:t>2014 Incentive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300"/>
        <w:spacing w:after="0" w:line="239" w:lineRule="auto"/>
        <w:rPr>
          <w:sz w:val="20"/>
          <w:szCs w:val="20"/>
          <w:color w:val="auto"/>
        </w:rPr>
      </w:pPr>
      <w:r>
        <w:rPr>
          <w:rFonts w:ascii="Arial" w:cs="Arial" w:eastAsia="Arial" w:hAnsi="Arial"/>
          <w:sz w:val="21"/>
          <w:szCs w:val="21"/>
          <w:b w:val="1"/>
          <w:bCs w:val="1"/>
          <w:color w:val="auto"/>
        </w:rPr>
        <w:t xml:space="preserve">Form of Payment. </w:t>
      </w:r>
      <w:r>
        <w:rPr>
          <w:rFonts w:ascii="Arial" w:cs="Arial" w:eastAsia="Arial" w:hAnsi="Arial"/>
          <w:sz w:val="21"/>
          <w:szCs w:val="21"/>
          <w:color w:val="auto"/>
        </w:rPr>
        <w:t>The Holder is prohibited from surrendering Shares that he or she already owns or attesting to the ownership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to pay the Exercise Price or any Withholding Taxes in connection with the Stock Option.</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Notwithstanding anything to the contrary in Section 4(c) of the Award Terms, unless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otherwise, in the event of the termination of the Holder’s continuous service (regardless of the reason for such termination and whether or not later found to be invalid or in breach of employment laws in the jurisdiction in which the Holder is employed or the terms of the Holder’s employment agreement or service contract, if any), vesting will terminate and the period remaining to exercise the Stock Option will be measured effective as of the date that is the earliest of: (1) the date the Holder’s employment or service with the Company Group is terminated, (2) the date the Holder receives notice of termination of employment or service from the Employer or any other entity in the Company Group, and (3) the date the Holder is no longer actively employed or rendering services to the Company Group, regardless of any notice period or period of pay in lieu of such notice required under local law(including, but not limited to, statutory law, regulatory law and/or common law). In the event the date the Holder is no longer actively employed or rendering services cannot be reasonably determined under the Award Terms and/or the Plan, the Committee shall have the exclusive discretion to determine when the Holder is no longer actively employed for purposes of the Stock Option (including whether the Holder may still be considered actively employed while on a leave of absence).</w:t>
      </w:r>
    </w:p>
    <w:p>
      <w:pPr>
        <w:spacing w:after="0" w:line="182" w:lineRule="exact"/>
        <w:rPr>
          <w:sz w:val="20"/>
          <w:szCs w:val="20"/>
          <w:color w:val="auto"/>
        </w:rPr>
      </w:pPr>
    </w:p>
    <w:p>
      <w:pPr>
        <w:jc w:val="both"/>
        <w:ind w:right="280"/>
        <w:spacing w:after="0" w:line="219" w:lineRule="auto"/>
        <w:rPr>
          <w:sz w:val="20"/>
          <w:szCs w:val="20"/>
          <w:color w:val="auto"/>
        </w:rPr>
      </w:pPr>
      <w:r>
        <w:rPr>
          <w:rFonts w:ascii="Arial" w:cs="Arial" w:eastAsia="Arial" w:hAnsi="Arial"/>
          <w:sz w:val="21"/>
          <w:szCs w:val="21"/>
          <w:color w:val="auto"/>
        </w:rPr>
        <w:t>Notwithstanding the foregoing, if applicable employment standards legislation explicitly requires continued entitlement to vesting during a statutory notice period, the Holder’s right to vest in the Stock Options under the Plan, if any, will terminate effective as of the last day of the Holder’s minimum statutory notice period, but the Holder will not earn or be entitled to pro-rated vesting if the vesting date falls after the end of the Holder’s statutory notice period, nor will the Holder be entitled to any compensation for lost vesting.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Holders who are residents of Quebec:</w:t>
      </w:r>
    </w:p>
    <w:p>
      <w:pPr>
        <w:spacing w:after="0" w:line="204" w:lineRule="exact"/>
        <w:rPr>
          <w:sz w:val="20"/>
          <w:szCs w:val="20"/>
          <w:color w:val="auto"/>
        </w:rPr>
      </w:pPr>
    </w:p>
    <w:p>
      <w:pPr>
        <w:ind w:right="100"/>
        <w:spacing w:after="0" w:line="229" w:lineRule="auto"/>
        <w:rPr>
          <w:sz w:val="20"/>
          <w:szCs w:val="20"/>
          <w:color w:val="auto"/>
        </w:rPr>
      </w:pPr>
      <w:r>
        <w:rPr>
          <w:rFonts w:ascii="Arial" w:cs="Arial" w:eastAsia="Arial" w:hAnsi="Arial"/>
          <w:sz w:val="21"/>
          <w:szCs w:val="21"/>
          <w:b w:val="1"/>
          <w:bCs w:val="1"/>
          <w:color w:val="auto"/>
        </w:rPr>
        <w:t xml:space="preserve">Language Acknowledgement. </w:t>
      </w:r>
      <w:r>
        <w:rPr>
          <w:rFonts w:ascii="Arial" w:cs="Arial" w:eastAsia="Arial" w:hAnsi="Arial"/>
          <w:sz w:val="21"/>
          <w:szCs w:val="21"/>
          <w:color w:val="auto"/>
        </w:rPr>
        <w:t>The parties acknowledge that it is their express wish that the Award Terms, including this Appendix,</w:t>
      </w:r>
      <w:r>
        <w:rPr>
          <w:rFonts w:ascii="Arial" w:cs="Arial" w:eastAsia="Arial" w:hAnsi="Arial"/>
          <w:sz w:val="21"/>
          <w:szCs w:val="21"/>
          <w:b w:val="1"/>
          <w:bCs w:val="1"/>
          <w:color w:val="auto"/>
        </w:rPr>
        <w:t xml:space="preserve"> </w:t>
      </w:r>
      <w:r>
        <w:rPr>
          <w:rFonts w:ascii="Arial" w:cs="Arial" w:eastAsia="Arial" w:hAnsi="Arial"/>
          <w:sz w:val="21"/>
          <w:szCs w:val="21"/>
          <w:color w:val="auto"/>
        </w:rPr>
        <w:t>as well as all documents, notices, and legal proceedings entered into, given or instituted pursuant hereto or relating directly or indirectly hereto, be drawn up in English.</w:t>
      </w:r>
    </w:p>
    <w:p>
      <w:pPr>
        <w:spacing w:after="0" w:line="180" w:lineRule="exact"/>
        <w:rPr>
          <w:sz w:val="20"/>
          <w:szCs w:val="20"/>
          <w:color w:val="auto"/>
        </w:rPr>
      </w:pPr>
    </w:p>
    <w:p>
      <w:pPr>
        <w:ind w:right="60"/>
        <w:spacing w:after="0" w:line="227"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convention afférente, ainsi que de tous documents, avis donnés et procédures judiciaires, exécutés, donnés ou intentés en vertu de, ou liés directement ou indirectement aux présentes.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Holders outside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186" w:lineRule="exact"/>
        <w:rPr>
          <w:sz w:val="20"/>
          <w:szCs w:val="20"/>
          <w:color w:val="auto"/>
        </w:rPr>
      </w:pPr>
    </w:p>
    <w:p>
      <w:pPr>
        <w:ind w:right="300"/>
        <w:spacing w:after="0" w:line="236" w:lineRule="auto"/>
        <w:rPr>
          <w:sz w:val="20"/>
          <w:szCs w:val="20"/>
          <w:color w:val="auto"/>
        </w:rPr>
      </w:pPr>
      <w:r>
        <w:rPr>
          <w:rFonts w:ascii="Arial" w:cs="Arial" w:eastAsia="Arial" w:hAnsi="Arial"/>
          <w:sz w:val="21"/>
          <w:szCs w:val="21"/>
          <w:color w:val="auto"/>
        </w:rPr>
        <w:t>The Holder hereby authorizes the Company and the Company’s representatives to discuss with and obtain all relevant information from all personnel, professional or not, involved in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B-9</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0" w:right="339" w:bottom="1440" w:gutter="0" w:footer="0" w:header="0"/>
        </w:sectPr>
      </w:pPr>
    </w:p>
    <w:bookmarkStart w:id="147" w:name="page148"/>
    <w:bookmarkEnd w:id="147"/>
    <w:p>
      <w:pPr>
        <w:spacing w:after="0" w:line="257" w:lineRule="auto"/>
        <w:rPr>
          <w:sz w:val="20"/>
          <w:szCs w:val="20"/>
          <w:color w:val="auto"/>
        </w:rPr>
      </w:pPr>
      <w:r>
        <w:rPr>
          <w:rFonts w:ascii="Arial" w:cs="Arial" w:eastAsia="Arial" w:hAnsi="Arial"/>
          <w:sz w:val="19"/>
          <w:szCs w:val="19"/>
          <w:color w:val="auto"/>
        </w:rPr>
        <w:t>administration and operation of the Plan. The Holder further authorizes the Company Group, Equity Account Administrator and any other broker(s) designated by the Company to disclose and discuss the Plan with their respective advisors. The Holder further authorizes the Company Group to record such information and to keep such information in the Holder’s employee file.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Holder is permitted to sell any Shares acquired under the Plan through the Equity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provided that the resale of Shares acquired under the Plan takes place outside of Canada through the facilities of a stock exchange on which the Shares are listed. The Shares are currently listed on the Nasdaq.</w:t>
      </w:r>
    </w:p>
    <w:p>
      <w:pPr>
        <w:spacing w:after="0" w:line="173"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Foreign specified property (including Shares) held by Canadian residents must be</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annually on Form T1135 (Foreign Income Verification Statement) if the total value of such foreign specified property exceeds C$100,000 at any time during the year. Foreign specified property includes any Shares acquired under the Plan and may include the Stock Option. The Stock Option must be reported—generally at a nil cost—if the C$100,000 cost threshold is exceeded because of other foreign specified property the Holder holds. If Shares are acquired, their cost generally is the adjusted cost base (“ACB”) of the Shares. The ACB would normally equal the fair market value of the Shares at exercise, but if the Holder owns other shares of the Company’s common stock, this ACB may have to be averaged with the ACB of those other shares. If due, the form must be filed by April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year. The Holder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B-10</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20"/>
          </w:cols>
          <w:pgMar w:left="320" w:top="1364" w:right="459" w:bottom="1440" w:gutter="0" w:footer="0" w:header="0"/>
        </w:sectPr>
      </w:pPr>
    </w:p>
    <w:bookmarkStart w:id="148" w:name="page149"/>
    <w:bookmarkEnd w:id="148"/>
    <w:p>
      <w:pPr>
        <w:ind w:left="4720"/>
        <w:spacing w:after="0"/>
        <w:rPr>
          <w:sz w:val="20"/>
          <w:szCs w:val="20"/>
          <w:color w:val="auto"/>
        </w:rPr>
      </w:pPr>
      <w:r>
        <w:rPr>
          <w:rFonts w:ascii="Arial" w:cs="Arial" w:eastAsia="Arial" w:hAnsi="Arial"/>
          <w:sz w:val="21"/>
          <w:szCs w:val="21"/>
          <w:b w:val="1"/>
          <w:bCs w:val="1"/>
          <w:color w:val="auto"/>
        </w:rPr>
        <w:t>Appendix for China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Stock Option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The Holder understands, acknowledges and agrees that certain exchange control restrictions may</w:t>
      </w:r>
      <w:r>
        <w:rPr>
          <w:rFonts w:ascii="Arial" w:cs="Arial" w:eastAsia="Arial" w:hAnsi="Arial"/>
          <w:sz w:val="20"/>
          <w:szCs w:val="20"/>
          <w:b w:val="1"/>
          <w:bCs w:val="1"/>
          <w:color w:val="auto"/>
        </w:rPr>
        <w:t xml:space="preserve"> </w:t>
      </w:r>
      <w:r>
        <w:rPr>
          <w:rFonts w:ascii="Arial" w:cs="Arial" w:eastAsia="Arial" w:hAnsi="Arial"/>
          <w:sz w:val="20"/>
          <w:szCs w:val="20"/>
          <w:color w:val="auto"/>
        </w:rPr>
        <w:t>apply to the Holder’s participation in the Plan, including to the remittance of funds out of China to pay the Exercise Price and the remittance into China of any sale proceeds or dividends paid on any Shares acquired under the Plan. The Holder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B-11</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49" w:name="page150"/>
    <w:bookmarkEnd w:id="149"/>
    <w:p>
      <w:pPr>
        <w:ind w:left="4580"/>
        <w:spacing w:after="0"/>
        <w:rPr>
          <w:sz w:val="20"/>
          <w:szCs w:val="20"/>
          <w:color w:val="auto"/>
        </w:rPr>
      </w:pPr>
      <w:r>
        <w:rPr>
          <w:rFonts w:ascii="Arial" w:cs="Arial" w:eastAsia="Arial" w:hAnsi="Arial"/>
          <w:sz w:val="21"/>
          <w:szCs w:val="21"/>
          <w:b w:val="1"/>
          <w:bCs w:val="1"/>
          <w:color w:val="auto"/>
        </w:rPr>
        <w:t>Appendix for Denmark</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340"/>
        <w:spacing w:after="0" w:line="236" w:lineRule="auto"/>
        <w:rPr>
          <w:sz w:val="20"/>
          <w:szCs w:val="20"/>
          <w:color w:val="auto"/>
        </w:rPr>
      </w:pPr>
      <w:r>
        <w:rPr>
          <w:rFonts w:ascii="Arial" w:cs="Arial" w:eastAsia="Arial" w:hAnsi="Arial"/>
          <w:sz w:val="21"/>
          <w:szCs w:val="21"/>
          <w:color w:val="auto"/>
        </w:rPr>
        <w:t>By participating in the Plan, the Holder acknowledges that he or she understands and agrees that the grant of the Option relates to future services to be performed and is not a bonus or compensation for past services.</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Stock Option Act. </w:t>
      </w:r>
      <w:r>
        <w:rPr>
          <w:rFonts w:ascii="Arial" w:cs="Arial" w:eastAsia="Arial" w:hAnsi="Arial"/>
          <w:sz w:val="21"/>
          <w:szCs w:val="21"/>
          <w:color w:val="auto"/>
        </w:rPr>
        <w:t>The Holder acknowledges that they have received an “Employer Statement” in Danish which sets forth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the Stock Options, to the extent that the Danish Stock Option Act applies to the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80"/>
        <w:spacing w:after="0" w:line="22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B-12</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358" w:right="359" w:bottom="1440" w:gutter="0" w:footer="0" w:header="0"/>
        </w:sectPr>
      </w:pPr>
    </w:p>
    <w:bookmarkStart w:id="150" w:name="page151"/>
    <w:bookmarkEnd w:id="150"/>
    <w:p>
      <w:pPr>
        <w:ind w:left="4680"/>
        <w:spacing w:after="0"/>
        <w:rPr>
          <w:sz w:val="20"/>
          <w:szCs w:val="20"/>
          <w:color w:val="auto"/>
        </w:rPr>
      </w:pPr>
      <w:r>
        <w:rPr>
          <w:rFonts w:ascii="Arial" w:cs="Arial" w:eastAsia="Arial" w:hAnsi="Arial"/>
          <w:sz w:val="21"/>
          <w:szCs w:val="21"/>
          <w:b w:val="1"/>
          <w:bCs w:val="1"/>
          <w:color w:val="auto"/>
        </w:rPr>
        <w:t>Appendix for France</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Stock Option Not Tax-Qualified. </w:t>
      </w:r>
      <w:r>
        <w:rPr>
          <w:rFonts w:ascii="Arial" w:cs="Arial" w:eastAsia="Arial" w:hAnsi="Arial"/>
          <w:sz w:val="20"/>
          <w:szCs w:val="20"/>
          <w:color w:val="auto"/>
        </w:rPr>
        <w:t>The Holder understands that the Stock Option is not intended to be French tax-qualified.</w:t>
      </w:r>
    </w:p>
    <w:p>
      <w:pPr>
        <w:spacing w:after="0" w:line="216"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the Holder confirms that he or she has read and understood the documents relating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Stock Option (the Grant Notice, the Plan, and the Award Terms, including this Appendix) which were provided in the English language. The Holder accepts the terms of these documents accordingly.</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i w:val="1"/>
          <w:iCs w:val="1"/>
          <w:color w:val="auto"/>
        </w:rPr>
        <w:t xml:space="preserve">Consentement relatif à la langue utilisée: </w:t>
      </w:r>
      <w:r>
        <w:rPr>
          <w:rFonts w:ascii="Arial" w:cs="Arial" w:eastAsia="Arial" w:hAnsi="Arial"/>
          <w:sz w:val="20"/>
          <w:szCs w:val="20"/>
          <w:i w:val="1"/>
          <w:iCs w:val="1"/>
          <w:color w:val="auto"/>
        </w:rPr>
        <w:t>En acceptant l’Attribution, le Titulaire confirme qu’il ou qu’elle a lu et compris les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documents afférents à l’Option (la Notification d’Attribution, le Plan et les Termes de l’Attribution, ainsi que la présente Annexe) qui sont produits en langue anglaise. Le Titulaire accepte les termes de ces documents en connaissance de cause.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 xml:space="preserve">Foreign Asset/Account Reporting Notification. </w:t>
      </w:r>
      <w:r>
        <w:rPr>
          <w:rFonts w:ascii="Arial" w:cs="Arial" w:eastAsia="Arial" w:hAnsi="Arial"/>
          <w:sz w:val="18"/>
          <w:szCs w:val="18"/>
          <w:color w:val="auto"/>
        </w:rPr>
        <w:t>If the Holder retains Shares acquired under the Plan outside of France or maintains</w:t>
      </w:r>
      <w:r>
        <w:rPr>
          <w:rFonts w:ascii="Arial" w:cs="Arial" w:eastAsia="Arial" w:hAnsi="Arial"/>
          <w:sz w:val="18"/>
          <w:szCs w:val="18"/>
          <w:b w:val="1"/>
          <w:bCs w:val="1"/>
          <w:color w:val="auto"/>
        </w:rPr>
        <w:t xml:space="preserve"> </w:t>
      </w:r>
      <w:r>
        <w:rPr>
          <w:rFonts w:ascii="Arial" w:cs="Arial" w:eastAsia="Arial" w:hAnsi="Arial"/>
          <w:sz w:val="18"/>
          <w:szCs w:val="18"/>
          <w:color w:val="auto"/>
        </w:rPr>
        <w:t>a foreign bank account, the Holder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B-13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51" w:name="page152"/>
    <w:bookmarkEnd w:id="151"/>
    <w:p>
      <w:pPr>
        <w:ind w:left="4580"/>
        <w:spacing w:after="0"/>
        <w:rPr>
          <w:sz w:val="20"/>
          <w:szCs w:val="20"/>
          <w:color w:val="auto"/>
        </w:rPr>
      </w:pPr>
      <w:r>
        <w:rPr>
          <w:rFonts w:ascii="Arial" w:cs="Arial" w:eastAsia="Arial" w:hAnsi="Arial"/>
          <w:sz w:val="21"/>
          <w:szCs w:val="21"/>
          <w:b w:val="1"/>
          <w:bCs w:val="1"/>
          <w:color w:val="auto"/>
        </w:rPr>
        <w:t>Appendix for Germany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Cross-border payments in excess of €12,500 must be reported monthly to the German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Bank. No report is required for payments less than €12,500. In case of payments in connection with securities (including proceeds realized upon the sale of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20"/>
          <w:szCs w:val="20"/>
          <w:i w:val="1"/>
          <w:iCs w:val="1"/>
          <w:color w:val="auto"/>
        </w:rPr>
        <w:t>Allgemeine Meldeportal</w:t>
      </w:r>
      <w:r>
        <w:rPr>
          <w:rFonts w:ascii="Arial" w:cs="Arial" w:eastAsia="Arial" w:hAnsi="Arial"/>
          <w:sz w:val="20"/>
          <w:szCs w:val="20"/>
          <w:color w:val="auto"/>
        </w:rPr>
        <w:t xml:space="preserve"> </w:t>
      </w:r>
      <w:r>
        <w:rPr>
          <w:rFonts w:ascii="Arial" w:cs="Arial" w:eastAsia="Arial" w:hAnsi="Arial"/>
          <w:sz w:val="20"/>
          <w:szCs w:val="20"/>
          <w:i w:val="1"/>
          <w:iCs w:val="1"/>
          <w:color w:val="auto"/>
        </w:rPr>
        <w:t>Statistik</w:t>
      </w:r>
      <w:r>
        <w:rPr>
          <w:rFonts w:ascii="Arial" w:cs="Arial" w:eastAsia="Arial" w:hAnsi="Arial"/>
          <w:sz w:val="20"/>
          <w:szCs w:val="20"/>
          <w:color w:val="auto"/>
        </w:rPr>
        <w:t>”) can be accessed via the</w:t>
      </w:r>
      <w:r>
        <w:rPr>
          <w:rFonts w:ascii="Arial" w:cs="Arial" w:eastAsia="Arial" w:hAnsi="Arial"/>
          <w:sz w:val="20"/>
          <w:szCs w:val="20"/>
          <w:i w:val="1"/>
          <w:iCs w:val="1"/>
          <w:color w:val="auto"/>
        </w:rPr>
        <w:t xml:space="preserve"> Bundesbank’s </w:t>
      </w:r>
      <w:r>
        <w:rPr>
          <w:rFonts w:ascii="Arial" w:cs="Arial" w:eastAsia="Arial" w:hAnsi="Arial"/>
          <w:sz w:val="20"/>
          <w:szCs w:val="20"/>
          <w:color w:val="auto"/>
        </w:rPr>
        <w:t>website (www.bundesbank.de) and is available in both German and English. The</w:t>
      </w:r>
      <w:r>
        <w:rPr>
          <w:rFonts w:ascii="Arial" w:cs="Arial" w:eastAsia="Arial" w:hAnsi="Arial"/>
          <w:sz w:val="20"/>
          <w:szCs w:val="20"/>
          <w:i w:val="1"/>
          <w:iCs w:val="1"/>
          <w:color w:val="auto"/>
        </w:rPr>
        <w:t xml:space="preserve"> </w:t>
      </w:r>
      <w:r>
        <w:rPr>
          <w:rFonts w:ascii="Arial" w:cs="Arial" w:eastAsia="Arial" w:hAnsi="Arial"/>
          <w:sz w:val="20"/>
          <w:szCs w:val="20"/>
          <w:color w:val="auto"/>
        </w:rPr>
        <w:t>Holder is responsible for satisfying the reporting obligation.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Holder’s acquisition of Shares under the Plan leads to a “qualified</w:t>
      </w:r>
    </w:p>
    <w:p>
      <w:pPr>
        <w:spacing w:after="0" w:line="234" w:lineRule="auto"/>
        <w:rPr>
          <w:sz w:val="20"/>
          <w:szCs w:val="20"/>
          <w:color w:val="auto"/>
        </w:rPr>
      </w:pPr>
      <w:r>
        <w:rPr>
          <w:rFonts w:ascii="Arial" w:cs="Arial" w:eastAsia="Arial" w:hAnsi="Arial"/>
          <w:sz w:val="19"/>
          <w:szCs w:val="19"/>
          <w:color w:val="auto"/>
        </w:rPr>
        <w:t>participation” at any point during the calendar year, the Holder will need to report the acquisition of such shares when the Holder</w:t>
      </w:r>
    </w:p>
    <w:p>
      <w:pPr>
        <w:spacing w:after="0" w:line="219" w:lineRule="auto"/>
        <w:rPr>
          <w:sz w:val="20"/>
          <w:szCs w:val="20"/>
          <w:color w:val="auto"/>
        </w:rPr>
      </w:pPr>
      <w:r>
        <w:rPr>
          <w:rFonts w:ascii="Arial" w:cs="Arial" w:eastAsia="Arial" w:hAnsi="Arial"/>
          <w:sz w:val="20"/>
          <w:szCs w:val="20"/>
          <w:color w:val="auto"/>
        </w:rPr>
        <w:t>files his or her tax return for the relevant year. A qualified participation is attained if (1) the value of the Stock acquired exceeds</w:t>
      </w:r>
    </w:p>
    <w:p>
      <w:pPr>
        <w:spacing w:after="0" w:line="231" w:lineRule="auto"/>
        <w:rPr>
          <w:sz w:val="20"/>
          <w:szCs w:val="20"/>
          <w:color w:val="auto"/>
        </w:rPr>
      </w:pPr>
      <w:r>
        <w:rPr>
          <w:rFonts w:ascii="Arial" w:cs="Arial" w:eastAsia="Arial" w:hAnsi="Arial"/>
          <w:sz w:val="19"/>
          <w:szCs w:val="19"/>
          <w:color w:val="auto"/>
        </w:rPr>
        <w:t>€150,000 or (2) the shares of Stock held exceed 10% of the Company’s total common stock. However, provided the Shares are listed</w:t>
      </w:r>
    </w:p>
    <w:p>
      <w:pPr>
        <w:spacing w:after="0"/>
        <w:rPr>
          <w:sz w:val="20"/>
          <w:szCs w:val="20"/>
          <w:color w:val="auto"/>
        </w:rPr>
      </w:pPr>
      <w:r>
        <w:rPr>
          <w:rFonts w:ascii="Arial" w:cs="Arial" w:eastAsia="Arial" w:hAnsi="Arial"/>
          <w:sz w:val="18"/>
          <w:szCs w:val="18"/>
          <w:color w:val="auto"/>
        </w:rPr>
        <w:t>on a recognized stock exchange (</w:t>
      </w:r>
      <w:r>
        <w:rPr>
          <w:rFonts w:ascii="Arial" w:cs="Arial" w:eastAsia="Arial" w:hAnsi="Arial"/>
          <w:sz w:val="18"/>
          <w:szCs w:val="18"/>
          <w:i w:val="1"/>
          <w:iCs w:val="1"/>
          <w:color w:val="auto"/>
        </w:rPr>
        <w:t>e.g.</w:t>
      </w:r>
      <w:r>
        <w:rPr>
          <w:rFonts w:ascii="Arial" w:cs="Arial" w:eastAsia="Arial" w:hAnsi="Arial"/>
          <w:sz w:val="18"/>
          <w:szCs w:val="18"/>
          <w:color w:val="auto"/>
        </w:rPr>
        <w:t>, the Nasdaq Stock Market) and the Holder owns less than 1% of the Company, this requirement</w:t>
      </w:r>
    </w:p>
    <w:p>
      <w:pPr>
        <w:spacing w:after="0" w:line="233" w:lineRule="auto"/>
        <w:rPr>
          <w:sz w:val="20"/>
          <w:szCs w:val="20"/>
          <w:color w:val="auto"/>
        </w:rPr>
      </w:pPr>
      <w:r>
        <w:rPr>
          <w:rFonts w:ascii="Arial" w:cs="Arial" w:eastAsia="Arial" w:hAnsi="Arial"/>
          <w:sz w:val="19"/>
          <w:szCs w:val="19"/>
          <w:color w:val="auto"/>
        </w:rPr>
        <w:t>will not apply. The Holder should consult with his or her personal tax advisor to ensure the Holder complies with applicable reporting</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B-14</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8" w:right="339" w:bottom="1440" w:gutter="0" w:footer="0" w:header="0"/>
        </w:sectPr>
      </w:pPr>
    </w:p>
    <w:bookmarkStart w:id="152" w:name="page153"/>
    <w:bookmarkEnd w:id="152"/>
    <w:p>
      <w:pPr>
        <w:ind w:left="4480"/>
        <w:spacing w:after="0"/>
        <w:rPr>
          <w:sz w:val="20"/>
          <w:szCs w:val="20"/>
          <w:color w:val="auto"/>
        </w:rPr>
      </w:pPr>
      <w:r>
        <w:rPr>
          <w:rFonts w:ascii="Arial" w:cs="Arial" w:eastAsia="Arial" w:hAnsi="Arial"/>
          <w:sz w:val="21"/>
          <w:szCs w:val="21"/>
          <w:b w:val="1"/>
          <w:bCs w:val="1"/>
          <w:color w:val="auto"/>
        </w:rPr>
        <w:t>Appendix for Hong Kong</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auto"/>
        </w:rPr>
        <w:t>Sale Restriction</w:t>
      </w:r>
      <w:r>
        <w:rPr>
          <w:rFonts w:ascii="Arial" w:cs="Arial" w:eastAsia="Arial" w:hAnsi="Arial"/>
          <w:sz w:val="18"/>
          <w:szCs w:val="18"/>
          <w:color w:val="auto"/>
        </w:rPr>
        <w:t>. Any Shares received at exercise are accepted as a personal investment. Notwithstanding anything contrary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the Plan, in the event the Stock Option vests and Shares are issued to the Holder or his or her legal representatives or estate within six months of the Date of Grant, the Holder agrees that the Holder or his or her legal representatives or estate will not offer to the public or otherwise dispose of any Shares acquired prior to the six-month anniversary of the Date of Grant.</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color w:val="auto"/>
        </w:rPr>
        <w:t>Securities Warning</w:t>
      </w:r>
      <w:r>
        <w:rPr>
          <w:rFonts w:ascii="Arial" w:cs="Arial" w:eastAsia="Arial" w:hAnsi="Arial"/>
          <w:sz w:val="20"/>
          <w:szCs w:val="20"/>
          <w:color w:val="auto"/>
        </w:rPr>
        <w:t>. The contents of this document have not been reviewed by any regulatory authority in Hong Kong. The Holder</w:t>
      </w:r>
      <w:r>
        <w:rPr>
          <w:rFonts w:ascii="Arial" w:cs="Arial" w:eastAsia="Arial" w:hAnsi="Arial"/>
          <w:sz w:val="20"/>
          <w:szCs w:val="20"/>
          <w:b w:val="1"/>
          <w:bCs w:val="1"/>
          <w:color w:val="auto"/>
        </w:rPr>
        <w:t xml:space="preserve"> </w:t>
      </w:r>
      <w:r>
        <w:rPr>
          <w:rFonts w:ascii="Arial" w:cs="Arial" w:eastAsia="Arial" w:hAnsi="Arial"/>
          <w:sz w:val="20"/>
          <w:szCs w:val="20"/>
          <w:color w:val="auto"/>
        </w:rPr>
        <w:t>is advised to exercise caution in relation to the offer. If the Holder is in any doubt about any of the contents of this document, he or she should obtain independent professional advice. The Stock Options and any Shares acquired upon vesting of the Stock Options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Stock Options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B-15</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358" w:right="359" w:bottom="1440" w:gutter="0" w:footer="0" w:header="0"/>
        </w:sectPr>
      </w:pPr>
    </w:p>
    <w:bookmarkStart w:id="153" w:name="page154"/>
    <w:bookmarkEnd w:id="153"/>
    <w:p>
      <w:pPr>
        <w:ind w:left="4600"/>
        <w:spacing w:after="0"/>
        <w:rPr>
          <w:sz w:val="20"/>
          <w:szCs w:val="20"/>
          <w:color w:val="auto"/>
        </w:rPr>
      </w:pPr>
      <w:r>
        <w:rPr>
          <w:rFonts w:ascii="Arial" w:cs="Arial" w:eastAsia="Arial" w:hAnsi="Arial"/>
          <w:sz w:val="21"/>
          <w:szCs w:val="21"/>
          <w:b w:val="1"/>
          <w:bCs w:val="1"/>
          <w:color w:val="auto"/>
        </w:rPr>
        <w:t>Appendix for Hungary</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1"/>
          <w:szCs w:val="21"/>
          <w:b w:val="1"/>
          <w:bCs w:val="1"/>
          <w:color w:val="auto"/>
        </w:rPr>
        <w:t>Stock Option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B-16</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0139"/>
          </w:cols>
          <w:pgMar w:left="320" w:top="1358" w:right="1440" w:bottom="1440" w:gutter="0" w:footer="0" w:header="0"/>
        </w:sectPr>
      </w:pPr>
    </w:p>
    <w:bookmarkStart w:id="154" w:name="page155"/>
    <w:bookmarkEnd w:id="154"/>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21"/>
          <w:szCs w:val="21"/>
          <w:color w:val="auto"/>
        </w:rPr>
        <w:t>In accepting the grant of the Stock Option, the Holder acknowledges that he or she understands and agrees that the benefits received under the Plan will not be taken into account for any redundancy or unfair dismissal claim.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the Holder is a director, shadow director or secretary of an Irish Subsidiary and the 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the Holder must notify the Irish Subsidiary in writing within a certain time period of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xml:space="preserve"> Stock Options,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The Holder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B-17</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8" w:right="339" w:bottom="1440" w:gutter="0" w:footer="0" w:header="0"/>
        </w:sectPr>
      </w:pPr>
    </w:p>
    <w:bookmarkStart w:id="155" w:name="page156"/>
    <w:bookmarkEnd w:id="155"/>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Stock Option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140"/>
        <w:spacing w:after="0" w:line="217" w:lineRule="auto"/>
        <w:rPr>
          <w:sz w:val="20"/>
          <w:szCs w:val="20"/>
          <w:color w:val="auto"/>
        </w:rPr>
      </w:pPr>
      <w:r>
        <w:rPr>
          <w:rFonts w:ascii="Arial" w:cs="Arial" w:eastAsia="Arial" w:hAnsi="Arial"/>
          <w:sz w:val="21"/>
          <w:szCs w:val="21"/>
          <w:b w:val="1"/>
          <w:bCs w:val="1"/>
          <w:color w:val="auto"/>
        </w:rPr>
        <w:t>Plan Document Acknowledgment</w:t>
      </w:r>
      <w:r>
        <w:rPr>
          <w:rFonts w:ascii="Arial" w:cs="Arial" w:eastAsia="Arial" w:hAnsi="Arial"/>
          <w:sz w:val="21"/>
          <w:szCs w:val="21"/>
          <w:color w:val="auto"/>
        </w:rPr>
        <w:t>. By accepting the Stock Options, the Holder acknowledges that he or she has received a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Plan and the Grant Agreement and has reviewed the Plan and the Grant Agreement, including this Appendix B, in their entirety and fully understands and accepts all provisions of the Plan and the Grant Agreement, including this Appendix B. The Holder acknowledges having read and specifically and expressly approves the following sections of the Grant Agreement: Section 3 (“Vesting Schedule”), Section 4 (“Termination of Employment”), Section 5 (“Taxes Withholding”), Section 15 (“No Right to Employment”), Section 16 (“No Rights as Stockholder”), Section 18 (“Venue and Governing Law”), and “Data Privacy Information and Consent” and “Language” as described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The Holder is advised to consult his or her personal legal advisor to ensure compliance with applicable reporting requirements.</w:t>
      </w:r>
    </w:p>
    <w:p>
      <w:pPr>
        <w:spacing w:after="0" w:line="170"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b w:val="1"/>
          <w:bCs w:val="1"/>
          <w:color w:val="auto"/>
        </w:rPr>
        <w:t>Foreign Asset Tax Information</w:t>
      </w:r>
      <w:r>
        <w:rPr>
          <w:rFonts w:ascii="Arial" w:cs="Arial" w:eastAsia="Arial" w:hAnsi="Arial"/>
          <w:sz w:val="21"/>
          <w:szCs w:val="21"/>
          <w:color w:val="auto"/>
        </w:rPr>
        <w:t>. Italian residents who, at any time during the fiscal year, hold foreign financial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B-18</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8" w:right="339" w:bottom="1440" w:gutter="0" w:footer="0" w:header="0"/>
        </w:sectPr>
      </w:pPr>
    </w:p>
    <w:bookmarkStart w:id="156" w:name="page157"/>
    <w:bookmarkEnd w:id="156"/>
    <w:p>
      <w:pPr>
        <w:ind w:left="4720"/>
        <w:spacing w:after="0"/>
        <w:rPr>
          <w:sz w:val="20"/>
          <w:szCs w:val="20"/>
          <w:color w:val="auto"/>
        </w:rPr>
      </w:pPr>
      <w:r>
        <w:rPr>
          <w:rFonts w:ascii="Arial" w:cs="Arial" w:eastAsia="Arial" w:hAnsi="Arial"/>
          <w:sz w:val="21"/>
          <w:szCs w:val="21"/>
          <w:b w:val="1"/>
          <w:bCs w:val="1"/>
          <w:color w:val="auto"/>
        </w:rPr>
        <w:t>Appendix for Japan</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460"/>
        <w:spacing w:after="0" w:line="22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the Holder is a Japanese resident and acquires Shares valued at more than ¥100,000,000 in a</w:t>
      </w:r>
      <w:r>
        <w:rPr>
          <w:rFonts w:ascii="Arial" w:cs="Arial" w:eastAsia="Arial" w:hAnsi="Arial"/>
          <w:sz w:val="21"/>
          <w:szCs w:val="21"/>
          <w:b w:val="1"/>
          <w:bCs w:val="1"/>
          <w:color w:val="auto"/>
        </w:rPr>
        <w:t xml:space="preserve"> </w:t>
      </w:r>
      <w:r>
        <w:rPr>
          <w:rFonts w:ascii="Arial" w:cs="Arial" w:eastAsia="Arial" w:hAnsi="Arial"/>
          <w:sz w:val="21"/>
          <w:szCs w:val="21"/>
          <w:color w:val="auto"/>
        </w:rPr>
        <w:t>single transaction, the Holder must file a Securities Acquisition Report with the Ministry of Finance through the Bank of Japan within 20 days of the purchase of such Shares.</w:t>
      </w:r>
    </w:p>
    <w:p>
      <w:pPr>
        <w:spacing w:after="0" w:line="180" w:lineRule="exact"/>
        <w:rPr>
          <w:sz w:val="20"/>
          <w:szCs w:val="20"/>
          <w:color w:val="auto"/>
        </w:rPr>
      </w:pPr>
    </w:p>
    <w:p>
      <w:pPr>
        <w:spacing w:after="0" w:line="222" w:lineRule="auto"/>
        <w:rPr>
          <w:sz w:val="20"/>
          <w:szCs w:val="20"/>
          <w:color w:val="auto"/>
        </w:rPr>
      </w:pPr>
      <w:r>
        <w:rPr>
          <w:rFonts w:ascii="Arial" w:cs="Arial" w:eastAsia="Arial" w:hAnsi="Arial"/>
          <w:sz w:val="21"/>
          <w:szCs w:val="21"/>
          <w:color w:val="auto"/>
        </w:rPr>
        <w:t>In addition, if the Holder is a Japanese resident and pays more than ¥30,000,000 in a single transaction for the purchase of Shares upon the exercise of the Stock Option, the Holder must file a Payment Report with the Ministry of Finance through the Bank of Japan by the 20th day of the month following the month in which the payment was made. The precise reporting requirements vary depending on whether or not the relevant payment is made through a bank in Japan.</w:t>
      </w:r>
    </w:p>
    <w:p>
      <w:pPr>
        <w:spacing w:after="0" w:line="182" w:lineRule="exact"/>
        <w:rPr>
          <w:sz w:val="20"/>
          <w:szCs w:val="20"/>
          <w:color w:val="auto"/>
        </w:rPr>
      </w:pPr>
    </w:p>
    <w:p>
      <w:pPr>
        <w:ind w:right="20"/>
        <w:spacing w:after="0" w:line="227" w:lineRule="auto"/>
        <w:rPr>
          <w:sz w:val="20"/>
          <w:szCs w:val="20"/>
          <w:color w:val="auto"/>
        </w:rPr>
      </w:pPr>
      <w:r>
        <w:rPr>
          <w:rFonts w:ascii="Arial" w:cs="Arial" w:eastAsia="Arial" w:hAnsi="Arial"/>
          <w:sz w:val="21"/>
          <w:szCs w:val="21"/>
          <w:color w:val="auto"/>
        </w:rPr>
        <w:t>A Payment Report is required independently from a Securities Acquisition Report. Therefore, if the total amount that the Holder pays upon a one-time transaction for exercising the Stock Option and purchasing Shares exceeds ¥100,000,000, then the Holder must file both a Payment Report and a Securities Acquisition Report.</w:t>
      </w:r>
    </w:p>
    <w:p>
      <w:pPr>
        <w:spacing w:after="0" w:line="174" w:lineRule="exact"/>
        <w:rPr>
          <w:sz w:val="20"/>
          <w:szCs w:val="20"/>
          <w:color w:val="auto"/>
        </w:rPr>
      </w:pPr>
    </w:p>
    <w:p>
      <w:pPr>
        <w:ind w:right="60"/>
        <w:spacing w:after="0" w:line="207"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The Holder will be required to report details of any assets (including any Shares</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held outside of Japan as of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year, to the extent such assets have a total net fair market value exceeding ¥50,000,000. Such report will be due by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year. The Holder should consult with his or her personal tax advisor as to whether the reporting obligation applies to the Holder and whether the Holder will be required to report details of any outstanding Stock Options or Shares held by the Holder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B-19</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8" w:right="339" w:bottom="1440" w:gutter="0" w:footer="0" w:header="0"/>
        </w:sectPr>
      </w:pPr>
    </w:p>
    <w:bookmarkStart w:id="157" w:name="page158"/>
    <w:bookmarkEnd w:id="157"/>
    <w:p>
      <w:pPr>
        <w:ind w:left="4720"/>
        <w:spacing w:after="0"/>
        <w:rPr>
          <w:sz w:val="20"/>
          <w:szCs w:val="20"/>
          <w:color w:val="auto"/>
        </w:rPr>
      </w:pPr>
      <w:r>
        <w:rPr>
          <w:rFonts w:ascii="Arial" w:cs="Arial" w:eastAsia="Arial" w:hAnsi="Arial"/>
          <w:sz w:val="21"/>
          <w:szCs w:val="21"/>
          <w:b w:val="1"/>
          <w:bCs w:val="1"/>
          <w:color w:val="auto"/>
        </w:rPr>
        <w:t>Appendix for Korea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w:t>
      </w:r>
      <w:r>
        <w:rPr>
          <w:rFonts w:ascii="Arial" w:cs="Arial" w:eastAsia="Arial" w:hAnsi="Arial"/>
          <w:sz w:val="21"/>
          <w:szCs w:val="21"/>
          <w:i w:val="1"/>
          <w:iCs w:val="1"/>
          <w:color w:val="auto"/>
        </w:rPr>
        <w:t>e.g.</w:t>
      </w:r>
      <w:r>
        <w:rPr>
          <w:rFonts w:ascii="Arial" w:cs="Arial" w:eastAsia="Arial" w:hAnsi="Arial"/>
          <w:sz w:val="21"/>
          <w:szCs w:val="21"/>
          <w:color w:val="auto"/>
        </w:rPr>
        <w:t>,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The Holder should consult with his or her personal tax advisor to determine how to value the Holder’s foreign accounts for purposes of this reporting requirement and whether the Holder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B-20</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8" w:right="339" w:bottom="1440" w:gutter="0" w:footer="0" w:header="0"/>
        </w:sectPr>
      </w:pPr>
    </w:p>
    <w:bookmarkStart w:id="158" w:name="page159"/>
    <w:bookmarkEnd w:id="158"/>
    <w:p>
      <w:pPr>
        <w:ind w:left="4420"/>
        <w:spacing w:after="0"/>
        <w:rPr>
          <w:sz w:val="20"/>
          <w:szCs w:val="20"/>
          <w:color w:val="auto"/>
        </w:rPr>
      </w:pPr>
      <w:r>
        <w:rPr>
          <w:rFonts w:ascii="Arial" w:cs="Arial" w:eastAsia="Arial" w:hAnsi="Arial"/>
          <w:sz w:val="21"/>
          <w:szCs w:val="21"/>
          <w:b w:val="1"/>
          <w:bCs w:val="1"/>
          <w:color w:val="auto"/>
        </w:rPr>
        <w:t>Appendix for Luxembourg</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B-21</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0139"/>
          </w:cols>
          <w:pgMar w:left="320" w:top="1358"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21"/>
          <w:szCs w:val="21"/>
          <w:b w:val="1"/>
          <w:bCs w:val="1"/>
          <w:color w:val="auto"/>
        </w:rPr>
        <w:t>Appendix for Mexico</w:t>
      </w:r>
    </w:p>
    <w:p>
      <w:pPr>
        <w:jc w:val="center"/>
        <w:spacing w:after="0" w:line="208" w:lineRule="auto"/>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8" w:lineRule="auto"/>
        <w:rPr>
          <w:sz w:val="20"/>
          <w:szCs w:val="20"/>
          <w:color w:val="auto"/>
        </w:rPr>
      </w:pPr>
      <w:r>
        <w:rPr>
          <w:rFonts w:ascii="Arial" w:cs="Arial" w:eastAsia="Arial" w:hAnsi="Arial"/>
          <w:sz w:val="21"/>
          <w:szCs w:val="21"/>
          <w:b w:val="1"/>
          <w:bCs w:val="1"/>
          <w:color w:val="auto"/>
        </w:rPr>
        <w:t>2014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Option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20"/>
        <w:spacing w:after="0" w:line="221"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Stock Option, the Holder acknowledges that he or she has received a</w:t>
      </w:r>
      <w:r>
        <w:rPr>
          <w:rFonts w:ascii="Arial" w:cs="Arial" w:eastAsia="Arial" w:hAnsi="Arial"/>
          <w:sz w:val="21"/>
          <w:szCs w:val="21"/>
          <w:b w:val="1"/>
          <w:bCs w:val="1"/>
          <w:color w:val="auto"/>
        </w:rPr>
        <w:t xml:space="preserve"> </w:t>
      </w:r>
      <w:r>
        <w:rPr>
          <w:rFonts w:ascii="Arial" w:cs="Arial" w:eastAsia="Arial" w:hAnsi="Arial"/>
          <w:sz w:val="21"/>
          <w:szCs w:val="21"/>
          <w:color w:val="auto"/>
        </w:rPr>
        <w:t>copy of the Plan and the Award Terms, including this Appendix, which he or she has reviewed. The Holder further acknowledges that he or she accepts all the provisions of the Plan and the Award Terms, including this Appendix. The Holder also acknowledges that he or she has read and specifically and expressly approves the terms and conditions set forth in the “Nature of Grant” Section of the Appendix, which clearly provide as follows:</w:t>
      </w:r>
    </w:p>
    <w:p>
      <w:pPr>
        <w:spacing w:after="0" w:line="179" w:lineRule="exact"/>
        <w:rPr>
          <w:sz w:val="20"/>
          <w:szCs w:val="20"/>
          <w:color w:val="auto"/>
        </w:rPr>
      </w:pPr>
    </w:p>
    <w:p>
      <w:pPr>
        <w:ind w:left="1080" w:hanging="446"/>
        <w:spacing w:after="0"/>
        <w:tabs>
          <w:tab w:leader="none" w:pos="10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Holder’s participation in the Plan does not constitute an acquired right;</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Plan and the Holder’s participation in it are offered by the Company on a wholly discretionary basis;</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Holder’s participation in the Plan is voluntary; and</w:t>
      </w:r>
    </w:p>
    <w:p>
      <w:pPr>
        <w:spacing w:after="0" w:line="178" w:lineRule="exact"/>
        <w:rPr>
          <w:rFonts w:ascii="Arial" w:cs="Arial" w:eastAsia="Arial" w:hAnsi="Arial"/>
          <w:sz w:val="21"/>
          <w:szCs w:val="21"/>
          <w:color w:val="auto"/>
        </w:rPr>
      </w:pPr>
    </w:p>
    <w:p>
      <w:pPr>
        <w:ind w:left="1260" w:right="440" w:hanging="626"/>
        <w:spacing w:after="0" w:line="236" w:lineRule="auto"/>
        <w:tabs>
          <w:tab w:leader="none" w:pos="1081"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Shares acquired upon settlement of the Stock Option.</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Stock Option, the Holder acknowledges that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with registered offices at 3100 Ocean Park Boulevard, Santa Monica, California 90405, U.S.A., is solely responsible for the administration of the Plan. The Holder further acknowledges that his or her participation in the Plan, the grant of the Stock Option and any acquisition of Shares under the Plan do not constitute an employment relationship between the Holder and the Company because the Holder is participating in the Plan on a wholly commercial basis and his or her sole employer is Actibliz Mexico S. de RL de CV, Tihuatlan 41,602, San Jerónimo Aculco, Federal District, México (“Activision-Mexico”). Based on the foregoing, the Holder expressly acknowledges that the Plan and the benefits that he or she may derive from participation in the Plan do not establish any rights between the Holder and his or her employer, Activision-Mexico, and do not form part of the employment conditions and/or benefits provided by Activision-Mexico, and any modification of the Plan or its termination shall not constitute a change or impairment of the terms and conditions of the Holder’s employment.</w:t>
      </w:r>
    </w:p>
    <w:p>
      <w:pPr>
        <w:spacing w:after="0" w:line="394"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The Holder further understands that his or her participation in the Plan is the result of a unilateral and discretionary decision of the Company and, therefore, the Company reserves the absolute right to amend and/or discontinue the Holder’s participation in the Plan at any time, without any liability to the Holder.</w:t>
      </w:r>
    </w:p>
    <w:p>
      <w:pPr>
        <w:spacing w:after="0" w:line="180"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Finally, the Holder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B-22</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50" w:right="339" w:bottom="1440" w:gutter="0" w:footer="0" w:header="0"/>
        </w:sectPr>
      </w:pPr>
    </w:p>
    <w:bookmarkStart w:id="160" w:name="page161"/>
    <w:bookmarkEnd w:id="160"/>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204" w:lineRule="exact"/>
        <w:rPr>
          <w:sz w:val="20"/>
          <w:szCs w:val="20"/>
          <w:color w:val="auto"/>
        </w:rPr>
      </w:pPr>
    </w:p>
    <w:p>
      <w:pPr>
        <w:ind w:right="340"/>
        <w:spacing w:after="0" w:line="243"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Opciones Acciones, el Tenedor reconoce que ha</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recibido una copia del Plan y de los Términos del Otorgamiento de acciones, incluyendo este anexo, los cuales ha revisado. El Tenedor también reconoce que acepta los términos del Plan y del Otorgamiento de Acciones, incluyendo este anexo. Así mismo el Tenedor reconoce que ha leído y expresamente aprueba los términos y condiciones establecidas en la cláusula 1 de los Términos Generales para Tenedores fuera de los Estados Unidos, las cuales claramente establecen lo siguiente:</w:t>
      </w:r>
    </w:p>
    <w:p>
      <w:pPr>
        <w:spacing w:after="0" w:line="179" w:lineRule="exact"/>
        <w:rPr>
          <w:sz w:val="20"/>
          <w:szCs w:val="20"/>
          <w:color w:val="auto"/>
        </w:rPr>
      </w:pPr>
    </w:p>
    <w:p>
      <w:pPr>
        <w:ind w:left="300" w:hanging="295"/>
        <w:spacing w:after="0"/>
        <w:tabs>
          <w:tab w:leader="none" w:pos="300" w:val="left"/>
        </w:tabs>
        <w:numPr>
          <w:ilvl w:val="0"/>
          <w:numId w:val="88"/>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Tenedor en el Plan no constituye un derecho adquirido</w:t>
      </w:r>
    </w:p>
    <w:p>
      <w:pPr>
        <w:spacing w:after="0" w:line="204" w:lineRule="exact"/>
        <w:rPr>
          <w:rFonts w:ascii="Arial" w:cs="Arial" w:eastAsia="Arial" w:hAnsi="Arial"/>
          <w:sz w:val="21"/>
          <w:szCs w:val="21"/>
          <w:i w:val="1"/>
          <w:iCs w:val="1"/>
          <w:color w:val="auto"/>
        </w:rPr>
      </w:pPr>
    </w:p>
    <w:p>
      <w:pPr>
        <w:ind w:left="300" w:hanging="295"/>
        <w:spacing w:after="0"/>
        <w:tabs>
          <w:tab w:leader="none" w:pos="300" w:val="left"/>
        </w:tabs>
        <w:numPr>
          <w:ilvl w:val="0"/>
          <w:numId w:val="88"/>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Tenedor en dicho Plan son ofrecidos por la Empresa en forma totalmente discrecional.</w:t>
      </w:r>
    </w:p>
    <w:p>
      <w:pPr>
        <w:spacing w:after="0" w:line="178" w:lineRule="exact"/>
        <w:rPr>
          <w:rFonts w:ascii="Arial" w:cs="Arial" w:eastAsia="Arial" w:hAnsi="Arial"/>
          <w:sz w:val="21"/>
          <w:szCs w:val="21"/>
          <w:i w:val="1"/>
          <w:iCs w:val="1"/>
          <w:color w:val="auto"/>
        </w:rPr>
      </w:pPr>
    </w:p>
    <w:p>
      <w:pPr>
        <w:ind w:left="300" w:hanging="295"/>
        <w:spacing w:after="0"/>
        <w:tabs>
          <w:tab w:leader="none" w:pos="300" w:val="left"/>
        </w:tabs>
        <w:numPr>
          <w:ilvl w:val="0"/>
          <w:numId w:val="88"/>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Tenedor en el Plan es voluntaria; y</w:t>
      </w:r>
    </w:p>
    <w:p>
      <w:pPr>
        <w:spacing w:after="0" w:line="178" w:lineRule="exact"/>
        <w:rPr>
          <w:rFonts w:ascii="Arial" w:cs="Arial" w:eastAsia="Arial" w:hAnsi="Arial"/>
          <w:sz w:val="21"/>
          <w:szCs w:val="21"/>
          <w:i w:val="1"/>
          <w:iCs w:val="1"/>
          <w:color w:val="auto"/>
        </w:rPr>
      </w:pPr>
    </w:p>
    <w:p>
      <w:pPr>
        <w:ind w:right="660" w:firstLine="5"/>
        <w:spacing w:after="0" w:line="236" w:lineRule="auto"/>
        <w:tabs>
          <w:tab w:leader="none" w:pos="297" w:val="left"/>
        </w:tabs>
        <w:numPr>
          <w:ilvl w:val="0"/>
          <w:numId w:val="88"/>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Opciones Accionarias.</w:t>
      </w:r>
    </w:p>
    <w:p>
      <w:pPr>
        <w:spacing w:after="0" w:line="155"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i w:val="1"/>
          <w:iCs w:val="1"/>
          <w:color w:val="auto"/>
        </w:rPr>
        <w:t>Política de Ley Laboral y Reconocimiento</w:t>
      </w:r>
      <w:r>
        <w:rPr>
          <w:rFonts w:ascii="Arial" w:cs="Arial" w:eastAsia="Arial" w:hAnsi="Arial"/>
          <w:sz w:val="20"/>
          <w:szCs w:val="20"/>
          <w:i w:val="1"/>
          <w:iCs w:val="1"/>
          <w:color w:val="auto"/>
        </w:rPr>
        <w:t>. Al aceptar las Opciones Accionarias, el Tenedor expresamente reconoce que la Empresa,</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con domicilio ubicado en 310 Ocean Park Boulevard, Santa Mónica, California, 90405 U.S.A., es el único responsable para la administración de Plan y que su participación en los Plan y adquisición de acciones no constituye una relación de trabajo entre la Empresa y el Tenedor, toda vez que su participación en el Plan es totalmente en base a una relación comercial entre mi único patrón Actibliz Mexico S. de RL de CV, Tihuatlan 41,602, San Jerónimo Aculco, Federal District, México (“Activision Mexico”) Derivado de lo anterior, el Tenedor expresamente reconoce que el Plan y beneficios que pudieran derivar de su participación en el Plan no establecen derechos entre mi único patrón Activision Mexico y el suscrito, no forman parte de mis condiciones y/o prestaciones de trabajo otorgadas por Ativision Mexico y cualquier modificación del Plan o su terminación no constituye un cambio o detrimento en los términos y condiciones de mi relación de trabajo.</w:t>
      </w:r>
    </w:p>
    <w:p>
      <w:pPr>
        <w:spacing w:after="0" w:line="158" w:lineRule="exact"/>
        <w:rPr>
          <w:sz w:val="20"/>
          <w:szCs w:val="20"/>
          <w:color w:val="auto"/>
        </w:rPr>
      </w:pPr>
    </w:p>
    <w:p>
      <w:pPr>
        <w:ind w:right="20"/>
        <w:spacing w:after="0" w:line="227" w:lineRule="auto"/>
        <w:rPr>
          <w:sz w:val="20"/>
          <w:szCs w:val="20"/>
          <w:color w:val="auto"/>
        </w:rPr>
      </w:pPr>
      <w:r>
        <w:rPr>
          <w:rFonts w:ascii="Arial" w:cs="Arial" w:eastAsia="Arial" w:hAnsi="Arial"/>
          <w:sz w:val="21"/>
          <w:szCs w:val="21"/>
          <w:i w:val="1"/>
          <w:iCs w:val="1"/>
          <w:color w:val="auto"/>
        </w:rPr>
        <w:t>Asimismo, el Tenedor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Tenedor.</w:t>
      </w:r>
    </w:p>
    <w:p>
      <w:pPr>
        <w:spacing w:after="0" w:line="180" w:lineRule="exact"/>
        <w:rPr>
          <w:sz w:val="20"/>
          <w:szCs w:val="20"/>
          <w:color w:val="auto"/>
        </w:rPr>
      </w:pPr>
    </w:p>
    <w:p>
      <w:pPr>
        <w:ind w:right="360"/>
        <w:spacing w:after="0" w:line="248" w:lineRule="auto"/>
        <w:rPr>
          <w:sz w:val="20"/>
          <w:szCs w:val="20"/>
          <w:color w:val="auto"/>
        </w:rPr>
      </w:pPr>
      <w:r>
        <w:rPr>
          <w:rFonts w:ascii="Arial" w:cs="Arial" w:eastAsia="Arial" w:hAnsi="Arial"/>
          <w:sz w:val="19"/>
          <w:szCs w:val="19"/>
          <w:i w:val="1"/>
          <w:iCs w:val="1"/>
          <w:color w:val="auto"/>
        </w:rPr>
        <w:t>Finalmente, en este acto el Tenedor declara que no se reserva acción o derecho alguno para presentar cualquier reclamación en contra de la Empresa por cualquier compensación o daño en relación con cualquier disposición del Plan o de los beneficios derivados del Plan y, por lo tanto, usted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64" w:right="339" w:bottom="1440" w:gutter="0" w:footer="0" w:header="0"/>
        </w:sectPr>
      </w:pPr>
    </w:p>
    <w:bookmarkStart w:id="161" w:name="page162"/>
    <w:bookmarkEnd w:id="161"/>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Stock Option and the Common Shares offered under the Plan have not been registered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 Register of Securities maintained by the Mexican National Banking and Securities Commission and cannot be offered or sold publicly in Mexico. In addition, the Plan, the Award Terms and any other document relating to the Stock Option may not be publicly distributed in Mexico. These materials are addressed to the Holder only because of the Holder’s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B-24</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060"/>
          </w:cols>
          <w:pgMar w:left="320" w:top="1364" w:right="519" w:bottom="1440" w:gutter="0" w:footer="0" w:header="0"/>
        </w:sectPr>
      </w:pPr>
    </w:p>
    <w:bookmarkStart w:id="162" w:name="page163"/>
    <w:bookmarkEnd w:id="162"/>
    <w:p>
      <w:pPr>
        <w:ind w:left="4280"/>
        <w:spacing w:after="0"/>
        <w:rPr>
          <w:sz w:val="20"/>
          <w:szCs w:val="20"/>
          <w:color w:val="auto"/>
        </w:rPr>
      </w:pPr>
      <w:r>
        <w:rPr>
          <w:rFonts w:ascii="Arial" w:cs="Arial" w:eastAsia="Arial" w:hAnsi="Arial"/>
          <w:sz w:val="21"/>
          <w:szCs w:val="21"/>
          <w:b w:val="1"/>
          <w:bCs w:val="1"/>
          <w:color w:val="auto"/>
        </w:rPr>
        <w:t>Appendix for the Netherlands</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In accepting the grant of the Stock Option, the Holder acknowledges that the Stock Option granted under the Plan is intended as an incentive for the Holder to remain employed with the Employer and is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B-25</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000"/>
          </w:cols>
          <w:pgMar w:left="320" w:top="1358" w:right="579" w:bottom="1440" w:gutter="0" w:footer="0" w:header="0"/>
        </w:sectPr>
      </w:pPr>
    </w:p>
    <w:bookmarkStart w:id="163" w:name="page164"/>
    <w:bookmarkEnd w:id="163"/>
    <w:p>
      <w:pPr>
        <w:ind w:left="4400"/>
        <w:spacing w:after="0"/>
        <w:rPr>
          <w:sz w:val="20"/>
          <w:szCs w:val="20"/>
          <w:color w:val="auto"/>
        </w:rPr>
      </w:pPr>
      <w:r>
        <w:rPr>
          <w:rFonts w:ascii="Arial" w:cs="Arial" w:eastAsia="Arial" w:hAnsi="Arial"/>
          <w:sz w:val="21"/>
          <w:szCs w:val="21"/>
          <w:b w:val="1"/>
          <w:bCs w:val="1"/>
          <w:color w:val="auto"/>
        </w:rPr>
        <w:t>Appendix for New Zealand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Stock Option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ind w:right="140"/>
        <w:spacing w:after="0" w:line="229"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exercise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Stock Option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 xml:space="preserve">terms of the Plan and the Award Terms. </w:t>
      </w:r>
      <w:r>
        <w:rPr>
          <w:rFonts w:ascii="Arial" w:cs="Arial" w:eastAsia="Arial" w:hAnsi="Arial"/>
          <w:sz w:val="21"/>
          <w:szCs w:val="21"/>
          <w:color w:val="auto"/>
        </w:rPr>
        <w:t>Stock Options give the Holder a stake in the ownership of the Company. The Holder may</w:t>
      </w:r>
      <w:r>
        <w:rPr>
          <w:rFonts w:ascii="Arial" w:cs="Arial" w:eastAsia="Arial" w:hAnsi="Arial"/>
          <w:sz w:val="21"/>
          <w:szCs w:val="21"/>
          <w:color w:val="auto"/>
          <w:highlight w:val="white"/>
        </w:rPr>
        <w:t xml:space="preserve"> receive a return if dividends are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-287655</wp:posOffset>
            </wp:positionV>
            <wp:extent cx="4013835" cy="141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4013835" cy="141605"/>
                    </a:xfrm>
                    <a:prstGeom prst="rect">
                      <a:avLst/>
                    </a:prstGeom>
                    <a:noFill/>
                  </pic:spPr>
                </pic:pic>
              </a:graphicData>
            </a:graphic>
          </wp:anchor>
        </w:drawing>
      </w:r>
    </w:p>
    <w:p>
      <w:pPr>
        <w:spacing w:after="0" w:line="134" w:lineRule="exact"/>
        <w:rPr>
          <w:sz w:val="20"/>
          <w:szCs w:val="20"/>
          <w:color w:val="auto"/>
        </w:rPr>
      </w:pPr>
    </w:p>
    <w:p>
      <w:pPr>
        <w:ind w:right="620"/>
        <w:spacing w:after="0" w:line="236" w:lineRule="auto"/>
        <w:rPr>
          <w:sz w:val="20"/>
          <w:szCs w:val="20"/>
          <w:color w:val="auto"/>
        </w:rPr>
      </w:pPr>
      <w:r>
        <w:rPr>
          <w:rFonts w:ascii="Arial" w:cs="Arial" w:eastAsia="Arial" w:hAnsi="Arial"/>
          <w:sz w:val="21"/>
          <w:szCs w:val="21"/>
          <w:color w:val="auto"/>
        </w:rPr>
        <w:t>If the Company runs into financial difficulties and is wound up, the Holder will be paid only after all creditors and holders of preferred shares have been paid. The Holder may lose some or all of their investment.</w:t>
      </w:r>
    </w:p>
    <w:p>
      <w:pPr>
        <w:spacing w:after="0" w:line="155" w:lineRule="exact"/>
        <w:rPr>
          <w:sz w:val="20"/>
          <w:szCs w:val="20"/>
          <w:color w:val="auto"/>
        </w:rPr>
      </w:pPr>
    </w:p>
    <w:p>
      <w:pPr>
        <w:ind w:right="320"/>
        <w:spacing w:after="0" w:line="236"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ind w:right="80"/>
        <w:spacing w:after="0" w:line="283" w:lineRule="auto"/>
        <w:rPr>
          <w:sz w:val="20"/>
          <w:szCs w:val="20"/>
          <w:color w:val="auto"/>
        </w:rPr>
      </w:pPr>
      <w:r>
        <w:rPr>
          <w:rFonts w:ascii="Arial" w:cs="Arial" w:eastAsia="Arial" w:hAnsi="Arial"/>
          <w:sz w:val="19"/>
          <w:szCs w:val="19"/>
          <w:color w:val="auto"/>
        </w:rPr>
        <w:t>The usual rules do not apply to this offer because it is made under an employee share purchase scheme. As a result, the Holder may not be given all the information usually required. The Holder will also have fewer other legal protections for this investment.</w:t>
      </w:r>
    </w:p>
    <w:p>
      <w:pPr>
        <w:spacing w:after="0" w:line="114" w:lineRule="exact"/>
        <w:rPr>
          <w:sz w:val="20"/>
          <w:szCs w:val="20"/>
          <w:color w:val="auto"/>
        </w:rPr>
      </w:pPr>
    </w:p>
    <w:p>
      <w:pPr>
        <w:ind w:right="760"/>
        <w:spacing w:after="0" w:line="236" w:lineRule="auto"/>
        <w:rPr>
          <w:sz w:val="20"/>
          <w:szCs w:val="20"/>
          <w:color w:val="auto"/>
        </w:rPr>
      </w:pPr>
      <w:r>
        <w:rPr>
          <w:rFonts w:ascii="Arial" w:cs="Arial" w:eastAsia="Arial" w:hAnsi="Arial"/>
          <w:sz w:val="21"/>
          <w:szCs w:val="21"/>
          <w:color w:val="auto"/>
        </w:rPr>
        <w:t>The Holder should ask questions, read all documents carefully, and seek independent financial advice before committing to participate in the Plan.</w:t>
      </w:r>
    </w:p>
    <w:p>
      <w:pPr>
        <w:spacing w:after="0" w:line="155" w:lineRule="exact"/>
        <w:rPr>
          <w:sz w:val="20"/>
          <w:szCs w:val="20"/>
          <w:color w:val="auto"/>
        </w:rPr>
      </w:pPr>
    </w:p>
    <w:p>
      <w:pPr>
        <w:ind w:right="260"/>
        <w:spacing w:after="0" w:line="233" w:lineRule="auto"/>
        <w:rPr>
          <w:sz w:val="20"/>
          <w:szCs w:val="20"/>
          <w:color w:val="auto"/>
        </w:rPr>
      </w:pPr>
      <w:r>
        <w:rPr>
          <w:rFonts w:ascii="Arial" w:cs="Arial" w:eastAsia="Arial" w:hAnsi="Arial"/>
          <w:sz w:val="20"/>
          <w:szCs w:val="20"/>
          <w:color w:val="auto"/>
        </w:rPr>
        <w:t>In addition, the Holder is hereby notified that the Company’s most recent Annual Report on Form 10-K, the Plan and the Plan prospectus are available for review on the Company intranet site at Finance - The Hub (activisionblizzard.com). The Company’s most recent Annual Report can also be found at: https://investor.activision.com/#ir-reports-filings. And your Award Terms can be found in your E*Trade account at www.etrade.com by navigating to My Account/Plan Elections.</w:t>
      </w:r>
    </w:p>
    <w:p>
      <w:pPr>
        <w:spacing w:after="0" w:line="156"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As noted above, the Holder should carefully read the materials provided before making a decision whether to participate in the Plan. The Holder is also encouraged to contact their personal tax advisor for specific information concerning the Holder’s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B-26</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20"/>
          </w:cols>
          <w:pgMar w:left="320" w:top="1358" w:right="459" w:bottom="1440" w:gutter="0" w:footer="0" w:header="0"/>
        </w:sectPr>
      </w:pPr>
    </w:p>
    <w:bookmarkStart w:id="164" w:name="page165"/>
    <w:bookmarkEnd w:id="164"/>
    <w:p>
      <w:pPr>
        <w:ind w:left="4680"/>
        <w:spacing w:after="0"/>
        <w:rPr>
          <w:sz w:val="20"/>
          <w:szCs w:val="20"/>
          <w:color w:val="auto"/>
        </w:rPr>
      </w:pPr>
      <w:r>
        <w:rPr>
          <w:rFonts w:ascii="Arial" w:cs="Arial" w:eastAsia="Arial" w:hAnsi="Arial"/>
          <w:sz w:val="21"/>
          <w:szCs w:val="21"/>
          <w:b w:val="1"/>
          <w:bCs w:val="1"/>
          <w:color w:val="auto"/>
        </w:rPr>
        <w:t>Appendix for Poland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Stock Option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ind w:right="160"/>
        <w:spacing w:after="0" w:line="250"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Polish residents holding foreign securities (including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the Holder transfers funds into Poland in excess of a certain threshold (currently €15,000, unless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transfer of funds is considered to be connected with the business activity of an entrepreneur, in which case a lower threshold may apply) in connection with the sale of Shares under the Plan, the funds must be transferred via a bank account held at a bank in Poland. The Holder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B-27</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60"/>
          </w:cols>
          <w:pgMar w:left="320" w:top="1358" w:right="419" w:bottom="1440" w:gutter="0" w:footer="0" w:header="0"/>
        </w:sectPr>
      </w:pPr>
    </w:p>
    <w:bookmarkStart w:id="165" w:name="page166"/>
    <w:bookmarkEnd w:id="165"/>
    <w:p>
      <w:pPr>
        <w:ind w:left="4600"/>
        <w:spacing w:after="0"/>
        <w:rPr>
          <w:sz w:val="20"/>
          <w:szCs w:val="20"/>
          <w:color w:val="auto"/>
        </w:rPr>
      </w:pPr>
      <w:r>
        <w:rPr>
          <w:rFonts w:ascii="Arial" w:cs="Arial" w:eastAsia="Arial" w:hAnsi="Arial"/>
          <w:sz w:val="21"/>
          <w:szCs w:val="21"/>
          <w:b w:val="1"/>
          <w:bCs w:val="1"/>
          <w:color w:val="auto"/>
        </w:rPr>
        <w:t>Appendix for Portugal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9"/>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140"/>
        <w:spacing w:after="0" w:line="290"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The Holder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B-28</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20"/>
          </w:cols>
          <w:pgMar w:left="320" w:top="1358" w:right="459" w:bottom="1440" w:gutter="0" w:footer="0" w:header="0"/>
        </w:sectPr>
      </w:pPr>
    </w:p>
    <w:bookmarkStart w:id="166" w:name="page167"/>
    <w:bookmarkEnd w:id="166"/>
    <w:p>
      <w:pPr>
        <w:spacing w:after="0" w:line="15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The Holder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the Holder acquires 10% or more of the registered capital of a non-resident company, the Holder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B-29</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80"/>
          </w:cols>
          <w:pgMar w:left="320" w:top="1440" w:right="399" w:bottom="1440" w:gutter="0" w:footer="0" w:header="0"/>
        </w:sectPr>
      </w:pPr>
    </w:p>
    <w:bookmarkStart w:id="167" w:name="page168"/>
    <w:bookmarkEnd w:id="167"/>
    <w:p>
      <w:pPr>
        <w:ind w:left="4700"/>
        <w:spacing w:after="0"/>
        <w:rPr>
          <w:sz w:val="20"/>
          <w:szCs w:val="20"/>
          <w:color w:val="auto"/>
        </w:rPr>
      </w:pPr>
      <w:r>
        <w:rPr>
          <w:rFonts w:ascii="Arial" w:cs="Arial" w:eastAsia="Arial" w:hAnsi="Arial"/>
          <w:sz w:val="21"/>
          <w:szCs w:val="21"/>
          <w:b w:val="1"/>
          <w:bCs w:val="1"/>
          <w:color w:val="auto"/>
        </w:rPr>
        <w:t>Appendix for Russia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Stock Option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Employer is not in any way involved in the offer of Stock Options or administration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These materials do not constitute advertising or an offering of securities in Russia nor do they constitute placement of the Shares in Russia. The issuance of Shares pursuant to the Stock Options described herein has not and will not be registered in Russia and hence, the Shares described herein may not be admitted or used for offering, placement or public circulation in Russia.</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4"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The Holder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his or her participation in the Plan.</w:t>
      </w:r>
    </w:p>
    <w:p>
      <w:pPr>
        <w:spacing w:after="0" w:line="155"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The Holder understands that the Company, any Affiliate and/or the Employer may hold certain personal data about the Holder, including, but not limited to, the Holder’s name, home address and telephone number, email address, date of birth, social insurance, passport or other identification number, salary, nationality, job title, any Shares of stock or directorships held in the Company, details of all Stock Options or any other entitlement to Shares awarded, canceled, vested, unvested or outstanding in his or her favor (“Data”), for the purpose of implementing, administering and managing the Plan.</w:t>
      </w:r>
    </w:p>
    <w:p>
      <w:pPr>
        <w:spacing w:after="0" w:line="157"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The Holder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his or her country, or elsewhere, and that the recipients’ country (</w:t>
      </w:r>
      <w:r>
        <w:rPr>
          <w:rFonts w:ascii="Arial" w:cs="Arial" w:eastAsia="Arial" w:hAnsi="Arial"/>
          <w:sz w:val="20"/>
          <w:szCs w:val="20"/>
          <w:i w:val="1"/>
          <w:iCs w:val="1"/>
          <w:color w:val="auto"/>
        </w:rPr>
        <w:t>e.g.</w:t>
      </w:r>
      <w:r>
        <w:rPr>
          <w:rFonts w:ascii="Arial" w:cs="Arial" w:eastAsia="Arial" w:hAnsi="Arial"/>
          <w:sz w:val="20"/>
          <w:szCs w:val="20"/>
          <w:color w:val="auto"/>
        </w:rPr>
        <w:t>, the United States) may have different data privacy laws and protections than his or her country. The Holder understands that the Holder may request a list with the names and addresses of any potential recipients of the Data by contacting the U.S. human resources representative or stock plan services. The Holder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his or her participation in the Plan, including any requisite transfer of such Data as may be required to a broker, escrow agent or other third party with whom the Shares received upon vesting of the Stock Options may be deposited. The Holder understands that Data will be held only as long as is necessary to implement, administer and manage the Holder’s participation in the Plan.</w:t>
      </w:r>
    </w:p>
    <w:p>
      <w:pPr>
        <w:spacing w:after="0" w:line="163" w:lineRule="exact"/>
        <w:rPr>
          <w:sz w:val="20"/>
          <w:szCs w:val="20"/>
          <w:color w:val="auto"/>
        </w:rPr>
      </w:pPr>
    </w:p>
    <w:p>
      <w:pPr>
        <w:jc w:val="both"/>
        <w:ind w:right="140"/>
        <w:spacing w:after="0" w:line="257" w:lineRule="auto"/>
        <w:rPr>
          <w:sz w:val="20"/>
          <w:szCs w:val="20"/>
          <w:color w:val="auto"/>
        </w:rPr>
      </w:pPr>
      <w:r>
        <w:rPr>
          <w:rFonts w:ascii="Arial" w:cs="Arial" w:eastAsia="Arial" w:hAnsi="Arial"/>
          <w:sz w:val="19"/>
          <w:szCs w:val="19"/>
          <w:color w:val="auto"/>
        </w:rPr>
        <w:t>The Holder understands that the Holder may, at any time, view Data, request information about the storage and processing of Data, require any necessary amendments to Data or refuse or withdraw the consents herein, in any case and without cost, by contacting in writing the U.S. human resources representative. The Holder understands that refusal or withdrawal, rescission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B-30</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68" w:name="page169"/>
    <w:bookmarkEnd w:id="168"/>
    <w:p>
      <w:pPr>
        <w:jc w:val="both"/>
        <w:ind w:right="400"/>
        <w:spacing w:after="0" w:line="227" w:lineRule="auto"/>
        <w:rPr>
          <w:sz w:val="20"/>
          <w:szCs w:val="20"/>
          <w:color w:val="auto"/>
        </w:rPr>
      </w:pPr>
      <w:r>
        <w:rPr>
          <w:rFonts w:ascii="Arial" w:cs="Arial" w:eastAsia="Arial" w:hAnsi="Arial"/>
          <w:sz w:val="21"/>
          <w:szCs w:val="21"/>
          <w:color w:val="auto"/>
        </w:rPr>
        <w:t>or termination of consent may affect his or her ability to participate in the Plan. For more information on the consequences of the Holder’s refusal to consent or withdrawal of consent, the Holder understands that Holder may contact the U.S. human resources representative or stock plan services.</w:t>
      </w:r>
    </w:p>
    <w:p>
      <w:pPr>
        <w:spacing w:after="0" w:line="148"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Stock Options shall be delivered to the Holder through a brokerage account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U.S. The Holder may hold Shares in his or her brokerage account in the U.S.; however, in no event will Shares issued to the Holder and/or Share certificates or other instruments be delivered to the Holder in Russia. The Holder is not permitted to make any public advertising or announcements regarding the Stock Options or Shares in Russia, or promote these Shares to other Russian legal entities or individuals, and the Holder is not permitted to sell or otherwise dispose of Shares directly to other Russian legal entities or individuals. The Holder is permitted to sell Shares only on the Nasdaq Stock Market and only through a U.S. broker.</w:t>
      </w:r>
    </w:p>
    <w:p>
      <w:pPr>
        <w:spacing w:after="0" w:line="147"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 xml:space="preserve">Settlement of Stock Options and Sale of Shares. </w:t>
      </w:r>
      <w:r>
        <w:rPr>
          <w:rFonts w:ascii="Arial" w:cs="Arial" w:eastAsia="Arial" w:hAnsi="Arial"/>
          <w:sz w:val="19"/>
          <w:szCs w:val="19"/>
          <w:color w:val="auto"/>
        </w:rPr>
        <w:t>Due to local regulatory requirements, the Company reserves the right to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the immediate sale of any Shares to be issued to the Holder upon vesting of the Stock Options. The Holder agrees that the Company is authorized to instruct its designated broker to assist with any such mandatory sale of the Shares (on his or her behalf pursuant to this authorization) and the Holder expressly authorizes the Company’s designated broker to complete the sale of such Shares, if so instructed by the Company. In such case, the Holder acknowledges that the Company’s designated broker is under no obligation to arrange for the sale of the Shares at any particular price. Upon the sale of the Shares, the Company agrees to pay Holder the cash proceeds from the sale of the Shares, less any brokerage fees or commissions and subject to any obligation to satisfy Withholding Tax-related items. The Holder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The Holder acknowledge that Holder is not aware of any material nonpublic information with respect to the Company or any securities of the Company as of the date of this Agreement.</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the Holder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the Holder receives with respect to the Stock Options to Russia as soon as the Holder intends to use those cash amounts for any purpose, including reinvestment. If the repatriation requirements apply, such funds must initially be credited to the Holder through a foreign currency account at an authorized bank in Russia. After the funds are initially received in Russia, they may be further remitted to foreign banks in accordance with Russian exchange control laws.</w:t>
      </w:r>
    </w:p>
    <w:p>
      <w:pPr>
        <w:spacing w:after="0" w:line="153"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the Holder should inform the Company if the Holder is covered by these laws because Holder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B-31</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64" w:right="339" w:bottom="1440" w:gutter="0" w:footer="0" w:header="0"/>
        </w:sectPr>
      </w:pPr>
    </w:p>
    <w:bookmarkStart w:id="169" w:name="page170"/>
    <w:bookmarkEnd w:id="169"/>
    <w:p>
      <w:pPr>
        <w:ind w:left="4540"/>
        <w:spacing w:after="0"/>
        <w:rPr>
          <w:sz w:val="20"/>
          <w:szCs w:val="20"/>
          <w:color w:val="auto"/>
        </w:rPr>
      </w:pPr>
      <w:r>
        <w:rPr>
          <w:rFonts w:ascii="Arial" w:cs="Arial" w:eastAsia="Arial" w:hAnsi="Arial"/>
          <w:sz w:val="21"/>
          <w:szCs w:val="21"/>
          <w:b w:val="1"/>
          <w:bCs w:val="1"/>
          <w:color w:val="auto"/>
        </w:rPr>
        <w:t>Appendix for Singapore</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jc w:val="both"/>
        <w:ind w:right="100"/>
        <w:spacing w:after="0" w:line="260" w:lineRule="auto"/>
        <w:rPr>
          <w:sz w:val="20"/>
          <w:szCs w:val="20"/>
          <w:color w:val="auto"/>
        </w:rPr>
      </w:pPr>
      <w:r>
        <w:rPr>
          <w:rFonts w:ascii="Arial" w:cs="Arial" w:eastAsia="Arial" w:hAnsi="Arial"/>
          <w:sz w:val="19"/>
          <w:szCs w:val="19"/>
          <w:b w:val="1"/>
          <w:bCs w:val="1"/>
          <w:color w:val="auto"/>
        </w:rPr>
        <w:t xml:space="preserve">Sale Restriction. </w:t>
      </w:r>
      <w:r>
        <w:rPr>
          <w:rFonts w:ascii="Arial" w:cs="Arial" w:eastAsia="Arial" w:hAnsi="Arial"/>
          <w:sz w:val="19"/>
          <w:szCs w:val="19"/>
          <w:color w:val="auto"/>
        </w:rPr>
        <w:t>The Holder agrees that any Shares acquired pursuant to the Stock Option will not be offered for sale in 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six-month anniversary of the Date of Grant, unless such offer or sale is made pursuant to the exemptions under Part XIII Division (1) Subdivision (4) (other than section 280) of the Securities and Futures Act (Chapter 289, 2006 Ed.) (“SFA”).</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the Stock Option is being made pursuant to the “Qualifying Person exemption”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273(1)(f)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the Holder is a director of a Singapore Subsidiary of the Company, the Holder must notify</w:t>
      </w:r>
      <w:r>
        <w:rPr>
          <w:rFonts w:ascii="Arial" w:cs="Arial" w:eastAsia="Arial" w:hAnsi="Arial"/>
          <w:sz w:val="19"/>
          <w:szCs w:val="19"/>
          <w:b w:val="1"/>
          <w:bCs w:val="1"/>
          <w:color w:val="auto"/>
        </w:rPr>
        <w:t xml:space="preserve"> </w:t>
      </w:r>
      <w:r>
        <w:rPr>
          <w:rFonts w:ascii="Arial" w:cs="Arial" w:eastAsia="Arial" w:hAnsi="Arial"/>
          <w:sz w:val="19"/>
          <w:szCs w:val="19"/>
          <w:color w:val="auto"/>
        </w:rPr>
        <w:t>the Singapore Subsidiary in writing within two business days of: (i) receiving or disposing of an interest (</w:t>
      </w:r>
      <w:r>
        <w:rPr>
          <w:rFonts w:ascii="Arial" w:cs="Arial" w:eastAsia="Arial" w:hAnsi="Arial"/>
          <w:sz w:val="19"/>
          <w:szCs w:val="19"/>
          <w:i w:val="1"/>
          <w:iCs w:val="1"/>
          <w:color w:val="auto"/>
        </w:rPr>
        <w:t>e.g.</w:t>
      </w:r>
      <w:r>
        <w:rPr>
          <w:rFonts w:ascii="Arial" w:cs="Arial" w:eastAsia="Arial" w:hAnsi="Arial"/>
          <w:sz w:val="19"/>
          <w:szCs w:val="19"/>
          <w:color w:val="auto"/>
        </w:rPr>
        <w:t>, Stock Options, Shares) in the Company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exercise of Stock Options, Shares, etc.) or (iii) becoming a director if such an interest exists at the time. This notification requirement also applies to an associate director and to a shadow director (</w:t>
      </w:r>
      <w:r>
        <w:rPr>
          <w:rFonts w:ascii="Arial" w:cs="Arial" w:eastAsia="Arial" w:hAnsi="Arial"/>
          <w:sz w:val="19"/>
          <w:szCs w:val="19"/>
          <w:i w:val="1"/>
          <w:iCs w:val="1"/>
          <w:color w:val="auto"/>
        </w:rPr>
        <w:t>i.e.</w:t>
      </w:r>
      <w:r>
        <w:rPr>
          <w:rFonts w:ascii="Arial" w:cs="Arial" w:eastAsia="Arial" w:hAnsi="Arial"/>
          <w:sz w:val="19"/>
          <w:szCs w:val="19"/>
          <w:color w:val="auto"/>
        </w:rPr>
        <w:t>, an individual who is not on the board of directors but who has sufficient control so that the board of directors acts in accordance with the “directions and instructions” of the individual) of a Singapore Subsidiary or affiliate of the Company. The Holder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B-32</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70" w:name="page171"/>
    <w:bookmarkEnd w:id="170"/>
    <w:p>
      <w:pPr>
        <w:ind w:left="4740"/>
        <w:spacing w:after="0"/>
        <w:rPr>
          <w:sz w:val="20"/>
          <w:szCs w:val="20"/>
          <w:color w:val="auto"/>
        </w:rPr>
      </w:pPr>
      <w:r>
        <w:rPr>
          <w:rFonts w:ascii="Arial" w:cs="Arial" w:eastAsia="Arial" w:hAnsi="Arial"/>
          <w:sz w:val="21"/>
          <w:szCs w:val="21"/>
          <w:b w:val="1"/>
          <w:bCs w:val="1"/>
          <w:color w:val="auto"/>
        </w:rPr>
        <w:t>Appendix for Spain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220"/>
        <w:spacing w:after="0" w:line="236" w:lineRule="auto"/>
        <w:rPr>
          <w:sz w:val="20"/>
          <w:szCs w:val="20"/>
          <w:color w:val="auto"/>
        </w:rPr>
      </w:pPr>
      <w:r>
        <w:rPr>
          <w:rFonts w:ascii="Arial" w:cs="Arial" w:eastAsia="Arial" w:hAnsi="Arial"/>
          <w:sz w:val="21"/>
          <w:szCs w:val="21"/>
          <w:color w:val="auto"/>
        </w:rPr>
        <w:t>In accepting the Stock Option, the Holder consents to participate in the Plan and acknowledges having received and read a copy of the Plan.</w:t>
      </w:r>
    </w:p>
    <w:p>
      <w:pPr>
        <w:spacing w:after="0" w:line="181"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The Holder understands that the Company has unilaterally, gratuitously and discretionally decided to grant an Option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the Holder understands that the Stock Option is granted on the assumption and condition that such Option and any Shares acquired upon exercise of the Stock Option shall not become a part of any employment contract (either with the Company or any other entity in the Company Group) and shall not be considered a mandatory benefit, salary for any purposes (including severance compensation) or any other right whatsoever. In addition, the Holder understands that the Stock Option would not granted but for the assumptions and conditions referred to above; thus, the Holder acknowledges and freely accepts that should any or all of the assumptions be mistaken or should any of the conditions not be met for any reason, then any grant of the Stock Option shall be null and void.</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Further, the vesting of the Stock Options is expressly conditioned on the Holder’s active employment, such that if the Holder’s employment or service terminates for any reason whatsoever, the Stock Options cease vesting immediately effective on the date of termination of employment. This will be the case, for example, even if the Holder (1) is considered to be unfairly dismissed without good cause (i.e.,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the Holder’s termination of employment for any of the above reasons, the Holder may automatically lose any rights to Stock Options that were unvested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71" w:name="page172"/>
    <w:bookmarkEnd w:id="171"/>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08"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The acquisition, ownership and sale of Shares under the Plan must be declared for statistical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Shares owned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prior year, by means of a D-6 form; however, if the value of the Shares acquired or sold exceeds €1,502,530 (or if the Holder holds 10% or more of the share capital of the Company or such other amount that would entitle the Holder to join the Company’s board of directors), the declaration must be filed also within one month of the acquisition or sale, as applicable.</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The Holder is required to declare electronically to the Bank of Spain any securities accounts (including brokerage accounts held abroad), and foreign instruments (including any Shares acquired under the Plan) and any transactions with non-Spanish residents (including any payments of Shares made to the Holder by the Company) depending on the amount of the transactions during the relevant year or the balances in such accounts as of December 31 of the relevant year. Generally, the report is required on an annual basis (by January 20 of each year). The Holder should consult with his or her personal advisor to ensure that the Holder is properly complying with his or her reporting obligations.</w:t>
      </w:r>
    </w:p>
    <w:p>
      <w:pPr>
        <w:spacing w:after="0" w:line="164"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the Holder holds rights or assets (e.g., Shares or cash held in a bank or brokerage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outside of Spain with a value in excess of €50,000 per type of right or asset (e.g., Shares, cash, etc.) as of December 31 each year, the Holder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The Holder should consult his or her personal tax advisor for details regarding this requirement.</w:t>
      </w:r>
    </w:p>
    <w:p>
      <w:pPr>
        <w:spacing w:after="0" w:line="147"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Stock Options described in this document do not qualify as securities under Spanish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 “offer of securities to the public,” within the meaning of Spanish law, has taken place or will take place in the Spanish territory. The Plan, the Award Terms (including this Appendix), and any other documents evidencing the award of Stock Options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B-34</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64" w:right="339" w:bottom="1440" w:gutter="0" w:footer="0" w:header="0"/>
        </w:sectPr>
      </w:pPr>
    </w:p>
    <w:bookmarkStart w:id="172" w:name="page173"/>
    <w:bookmarkEnd w:id="172"/>
    <w:p>
      <w:pPr>
        <w:ind w:left="4660"/>
        <w:spacing w:after="0"/>
        <w:rPr>
          <w:sz w:val="20"/>
          <w:szCs w:val="20"/>
          <w:color w:val="auto"/>
        </w:rPr>
      </w:pPr>
      <w:r>
        <w:rPr>
          <w:rFonts w:ascii="Arial" w:cs="Arial" w:eastAsia="Arial" w:hAnsi="Arial"/>
          <w:sz w:val="21"/>
          <w:szCs w:val="21"/>
          <w:b w:val="1"/>
          <w:bCs w:val="1"/>
          <w:color w:val="auto"/>
        </w:rPr>
        <w:t>Appendix for Sweden</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Stock Option Award Terms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5 of the Award Terms: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Without limiting the Company’s and the Employer’s authority to satisfy their obligations for Withholding Taxes as set forth in Section 5 of the Award Terms, by accepting the Stock Options, the Holder authorizes the Company and/or the Employer to withhold Shares or to sell Shares otherwise deliverable to the Holder upon exercise of the Stock Options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B-35</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120"/>
          </w:cols>
          <w:pgMar w:left="320" w:top="1358" w:right="459" w:bottom="1440" w:gutter="0" w:footer="0" w:header="0"/>
        </w:sectPr>
      </w:pPr>
    </w:p>
    <w:bookmarkStart w:id="173" w:name="page174"/>
    <w:bookmarkEnd w:id="173"/>
    <w:p>
      <w:pPr>
        <w:ind w:left="4680"/>
        <w:spacing w:after="0"/>
        <w:rPr>
          <w:sz w:val="20"/>
          <w:szCs w:val="20"/>
          <w:color w:val="auto"/>
        </w:rPr>
      </w:pPr>
      <w:r>
        <w:rPr>
          <w:rFonts w:ascii="Arial" w:cs="Arial" w:eastAsia="Arial" w:hAnsi="Arial"/>
          <w:sz w:val="21"/>
          <w:szCs w:val="21"/>
          <w:b w:val="1"/>
          <w:bCs w:val="1"/>
          <w:color w:val="auto"/>
        </w:rPr>
        <w:t>Appendix for Taiwan</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Stock Option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The Holder hereby acknowledges that he or she has read and understands the terms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processing and transfer of Data contained in the “Data Privacy Information and Consent for Holders outside the European Economic Area” Section of the Appendix and, by participating in the Plan, the Holder agrees to such terms. In this regard, upon request of the Company or the Employer, the Holder agrees to provide an executed data privacy consent form to the Employer or the Company (or any other agreements or consents that may be required by the Employer or the Company) that the Company and/or the Employer may deem necessary to obtain under the data privacy laws in the Holder’s country, either now or in the future. The Holder understands that he or she will not be able to participate in the Plan if he or she fails to execute any such consent or agreement.</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w:t>
      </w:r>
      <w:r>
        <w:rPr>
          <w:rFonts w:ascii="Arial" w:cs="Arial" w:eastAsia="Arial" w:hAnsi="Arial"/>
          <w:sz w:val="21"/>
          <w:szCs w:val="21"/>
          <w:b w:val="1"/>
          <w:bCs w:val="1"/>
          <w:color w:val="auto"/>
        </w:rPr>
        <w:t xml:space="preserve"> </w:t>
      </w:r>
      <w:r>
        <w:rPr>
          <w:rFonts w:ascii="Arial" w:cs="Arial" w:eastAsia="Arial" w:hAnsi="Arial"/>
          <w:sz w:val="21"/>
          <w:szCs w:val="21"/>
          <w:color w:val="auto"/>
        </w:rPr>
        <w:t>of participation in the Plan is not a public offer of securities by a Taiwanese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The Holder may acquire and remit foreign currency (including proceeds from the sale of Shares or</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of any dividends paid on such Shares) into and out of Taiwan up to US$5,000,000 per year. If the transaction amount is TWD$500,000 or more in a single transaction, the Holder must submit a Foreign Exchange Transaction Form and provide supporting documentation to the satisfaction of the bank involved in the transaction. The Holder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B-36</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20"/>
          </w:cols>
          <w:pgMar w:left="320" w:top="1358" w:right="359" w:bottom="1440" w:gutter="0" w:footer="0" w:header="0"/>
        </w:sectPr>
      </w:pPr>
    </w:p>
    <w:bookmarkStart w:id="174" w:name="page175"/>
    <w:bookmarkEnd w:id="174"/>
    <w:p>
      <w:pPr>
        <w:ind w:left="4080"/>
        <w:spacing w:after="0"/>
        <w:rPr>
          <w:sz w:val="20"/>
          <w:szCs w:val="20"/>
          <w:color w:val="auto"/>
        </w:rPr>
      </w:pPr>
      <w:r>
        <w:rPr>
          <w:rFonts w:ascii="Arial" w:cs="Arial" w:eastAsia="Arial" w:hAnsi="Arial"/>
          <w:sz w:val="21"/>
          <w:szCs w:val="21"/>
          <w:b w:val="1"/>
          <w:bCs w:val="1"/>
          <w:color w:val="auto"/>
        </w:rPr>
        <w:t>Appendix for the United Kingdom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5 of the Award Terms:</w:t>
      </w:r>
    </w:p>
    <w:p>
      <w:pPr>
        <w:spacing w:after="0" w:line="21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Without limitation to Section 5 of the Award Terms, the Holder agrees that the Holder is liable for all Withholding Taxes and hereby covenants to pay all such Withholding Taxes, as and when requested by the Company or the Employer or by Her Majesty’s Revenue and Customs (“HMRC”) (or any other tax authority or any other relevant authority). The Holder also agrees to indemnify, and keep indemnified, the Company and the Employer against any Withholding Taxes that they are required to pay or withhold or have paid or will pay to HMRC (or any other tax authority or any other relevant authority) on the Holder’s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B-37</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00"/>
          </w:cols>
          <w:pgMar w:left="320" w:top="1358" w:right="379" w:bottom="1440" w:gutter="0" w:footer="0" w:header="0"/>
        </w:sectPr>
      </w:pPr>
    </w:p>
    <w:bookmarkStart w:id="175" w:name="page176"/>
    <w:bookmarkEnd w:id="175"/>
    <w:p>
      <w:pPr>
        <w:ind w:left="372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Stock Option Award Terms</w:t>
      </w:r>
    </w:p>
    <w:p>
      <w:pPr>
        <w:spacing w:after="0" w:line="186" w:lineRule="exact"/>
        <w:rPr>
          <w:sz w:val="20"/>
          <w:szCs w:val="20"/>
          <w:color w:val="auto"/>
        </w:rPr>
      </w:pPr>
    </w:p>
    <w:p>
      <w:pPr>
        <w:ind w:left="1260" w:hanging="626"/>
        <w:spacing w:after="0"/>
        <w:tabs>
          <w:tab w:leader="none" w:pos="126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sz w:val="20"/>
          <w:szCs w:val="20"/>
          <w:color w:val="auto"/>
        </w:rPr>
      </w:pPr>
    </w:p>
    <w:p>
      <w:pPr>
        <w:ind w:left="1900" w:hanging="636"/>
        <w:spacing w:after="0"/>
        <w:tabs>
          <w:tab w:leader="none" w:pos="1900" w:val="left"/>
        </w:tabs>
        <w:numPr>
          <w:ilvl w:val="0"/>
          <w:numId w:val="90"/>
        </w:numPr>
        <w:rPr>
          <w:rFonts w:ascii="Arial" w:cs="Arial" w:eastAsia="Arial" w:hAnsi="Arial"/>
          <w:sz w:val="21"/>
          <w:szCs w:val="21"/>
          <w:color w:val="auto"/>
        </w:rPr>
      </w:pPr>
      <w:r>
        <w:rPr>
          <w:rFonts w:ascii="Arial" w:cs="Arial" w:eastAsia="Arial" w:hAnsi="Arial"/>
          <w:sz w:val="21"/>
          <w:szCs w:val="21"/>
          <w:color w:val="auto"/>
        </w:rPr>
        <w:t>For U.S. Holders only, the following terms shall have the meanings set forth below:</w:t>
      </w:r>
    </w:p>
    <w:p>
      <w:pPr>
        <w:spacing w:after="0" w:line="172" w:lineRule="exact"/>
        <w:rPr>
          <w:sz w:val="20"/>
          <w:szCs w:val="20"/>
          <w:color w:val="auto"/>
        </w:rPr>
      </w:pPr>
    </w:p>
    <w:p>
      <w:pPr>
        <w:ind w:firstLine="1259"/>
        <w:spacing w:after="0" w:line="232"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the Holder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the Holder (with any breach of the post-termination obligations contained therein deemed to be material for purposes of this definition) and (2) a good faith belief by the Company, after investigation, that the Holder has engaged in harassment based on any legally protected category or has retaliated against anyone for reporting a concern or potential misconduct in good faith.</w:t>
      </w:r>
    </w:p>
    <w:p>
      <w:pPr>
        <w:spacing w:after="0" w:line="174"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the Holder, the period beginning on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which is 12 months prior to the date of such Employment Violation by the Holder and ending on the date of computation of the Recapture Amount with respect to such Employment Violation.</w:t>
      </w:r>
    </w:p>
    <w:p>
      <w:pPr>
        <w:spacing w:after="0" w:line="174" w:lineRule="exact"/>
        <w:rPr>
          <w:sz w:val="20"/>
          <w:szCs w:val="20"/>
          <w:color w:val="auto"/>
        </w:rPr>
      </w:pPr>
    </w:p>
    <w:p>
      <w:pPr>
        <w:ind w:right="360" w:firstLine="1259"/>
        <w:spacing w:after="0" w:line="229"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the Holder,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the Holder upon all exercises of the Stock Option during the Look-back Period with respect to such Employment Violation, which gain shall be calculated as the sum of:</w:t>
      </w:r>
    </w:p>
    <w:p>
      <w:pPr>
        <w:spacing w:after="0" w:line="154" w:lineRule="exact"/>
        <w:rPr>
          <w:sz w:val="20"/>
          <w:szCs w:val="20"/>
          <w:color w:val="auto"/>
        </w:rPr>
      </w:pPr>
    </w:p>
    <w:p>
      <w:pPr>
        <w:ind w:left="640" w:right="180" w:firstLine="624"/>
        <w:spacing w:after="0" w:line="222" w:lineRule="auto"/>
        <w:tabs>
          <w:tab w:leader="none" w:pos="1730"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exercise (in whole or in part) of the Stock Option, the issuance or transfer of any Shares upon exercise of the Stock Option or otherwise in connection with the Award during the Look-back Period by selling Shares on the Holder’s behalf or withholding Shares otherwise deliverable, the amount of the Withholding Taxes so satisfied; plus</w:t>
      </w:r>
    </w:p>
    <w:p>
      <w:pPr>
        <w:spacing w:after="0" w:line="155" w:lineRule="exact"/>
        <w:rPr>
          <w:rFonts w:ascii="Arial" w:cs="Arial" w:eastAsia="Arial" w:hAnsi="Arial"/>
          <w:sz w:val="21"/>
          <w:szCs w:val="21"/>
          <w:color w:val="auto"/>
        </w:rPr>
      </w:pPr>
    </w:p>
    <w:p>
      <w:pPr>
        <w:jc w:val="both"/>
        <w:ind w:left="640" w:right="260" w:firstLine="624"/>
        <w:spacing w:after="0" w:line="227" w:lineRule="auto"/>
        <w:tabs>
          <w:tab w:leader="none" w:pos="1736"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54" w:lineRule="exact"/>
        <w:rPr>
          <w:rFonts w:ascii="Arial" w:cs="Arial" w:eastAsia="Arial" w:hAnsi="Arial"/>
          <w:sz w:val="21"/>
          <w:szCs w:val="21"/>
          <w:color w:val="auto"/>
        </w:rPr>
      </w:pPr>
    </w:p>
    <w:p>
      <w:pPr>
        <w:ind w:left="640" w:firstLine="624"/>
        <w:spacing w:after="0" w:line="226" w:lineRule="auto"/>
        <w:tabs>
          <w:tab w:leader="none" w:pos="1794"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ectPr>
          <w:pgSz w:w="11900" w:h="16838" w:orient="portrait"/>
          <w:cols w:equalWidth="0" w:num="1">
            <w:col w:w="11220"/>
          </w:cols>
          <w:pgMar w:left="320" w:top="1358" w:right="359" w:bottom="1440" w:gutter="0" w:footer="0" w:header="0"/>
        </w:sectPr>
      </w:pPr>
    </w:p>
    <w:bookmarkStart w:id="176" w:name="page177"/>
    <w:bookmarkEnd w:id="176"/>
    <w:p>
      <w:pPr>
        <w:ind w:right="420" w:firstLine="634"/>
        <w:spacing w:after="0" w:line="243" w:lineRule="auto"/>
        <w:tabs>
          <w:tab w:leader="none" w:pos="1259"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the Holder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the Holder and any entity in the Company Group in effect at the time and the terms of the Plan, the terms of the Plan shall control.</w:t>
      </w:r>
    </w:p>
    <w:p>
      <w:pPr>
        <w:spacing w:after="0" w:line="152" w:lineRule="exact"/>
        <w:rPr>
          <w:rFonts w:ascii="Arial" w:cs="Arial" w:eastAsia="Arial" w:hAnsi="Arial"/>
          <w:sz w:val="19"/>
          <w:szCs w:val="19"/>
          <w:color w:val="auto"/>
        </w:rPr>
      </w:pPr>
    </w:p>
    <w:p>
      <w:pPr>
        <w:ind w:firstLine="634"/>
        <w:spacing w:after="0" w:line="236" w:lineRule="auto"/>
        <w:tabs>
          <w:tab w:leader="none" w:pos="1259"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Employment Violation</w:t>
      </w:r>
      <w:r>
        <w:rPr>
          <w:rFonts w:ascii="Arial" w:cs="Arial" w:eastAsia="Arial" w:hAnsi="Arial"/>
          <w:sz w:val="19"/>
          <w:szCs w:val="19"/>
          <w:color w:val="auto"/>
        </w:rPr>
        <w:t xml:space="preserve">. The terms of this Section 3 shall apply to the Stock Option if the Holder is or becomes subject to an employment agreement with any entity in the Company Group. In the event of an Employment Violation, the Company shall have the right to require (a) the termination and cancellation of the Stock Option, whether vested or unvested, and (b) payment by the Holder to the Company of the Recapture Amount with respect to such Employment Violation;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B-39</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 for Employees (as of October 2021)</w:t>
      </w:r>
    </w:p>
    <w:p>
      <w:pPr>
        <w:sectPr>
          <w:pgSz w:w="11900" w:h="16838" w:orient="portrait"/>
          <w:cols w:equalWidth="0" w:num="1">
            <w:col w:w="11240"/>
          </w:cols>
          <w:pgMar w:left="320" w:top="1364"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1"/>
          <w:szCs w:val="21"/>
          <w:b w:val="1"/>
          <w:bCs w:val="1"/>
          <w:color w:val="auto"/>
        </w:rPr>
        <w:t>Exhibit 10.16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244"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0" w:hanging="315"/>
        <w:spacing w:after="0"/>
        <w:tabs>
          <w:tab w:leader="none" w:pos="3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51" w:lineRule="exact"/>
        <w:rPr>
          <w:rFonts w:ascii="Arial" w:cs="Arial" w:eastAsia="Arial" w:hAnsi="Arial"/>
          <w:sz w:val="21"/>
          <w:szCs w:val="21"/>
          <w:color w:val="auto"/>
        </w:rPr>
      </w:pPr>
    </w:p>
    <w:p>
      <w:pPr>
        <w:ind w:left="620" w:hanging="300"/>
        <w:spacing w:after="0"/>
        <w:tabs>
          <w:tab w:leader="none" w:pos="620"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“Award Terms”); and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44" w:lineRule="exact"/>
        <w:rPr>
          <w:rFonts w:ascii="Arial" w:cs="Arial" w:eastAsia="Arial" w:hAnsi="Arial"/>
          <w:sz w:val="21"/>
          <w:szCs w:val="21"/>
          <w:color w:val="auto"/>
        </w:rPr>
      </w:pPr>
    </w:p>
    <w:p>
      <w:pPr>
        <w:ind w:left="320" w:hanging="315"/>
        <w:spacing w:after="0"/>
        <w:tabs>
          <w:tab w:leader="none" w:pos="320" w:val="left"/>
        </w:tabs>
        <w:numPr>
          <w:ilvl w:val="0"/>
          <w:numId w:val="93"/>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116" w:lineRule="exact"/>
        <w:rPr>
          <w:rFonts w:ascii="Arial" w:cs="Arial" w:eastAsia="Arial" w:hAnsi="Arial"/>
          <w:sz w:val="21"/>
          <w:szCs w:val="21"/>
          <w:color w:val="auto"/>
        </w:rPr>
      </w:pPr>
    </w:p>
    <w:p>
      <w:pPr>
        <w:ind w:left="320" w:right="260"/>
        <w:spacing w:after="0" w:line="236" w:lineRule="auto"/>
        <w:rPr>
          <w:rFonts w:ascii="Arial" w:cs="Arial" w:eastAsia="Arial" w:hAnsi="Arial"/>
          <w:sz w:val="21"/>
          <w:szCs w:val="21"/>
          <w:color w:val="auto"/>
        </w:rPr>
      </w:pPr>
      <w:r>
        <w:rPr>
          <w:rFonts w:ascii="Arial" w:cs="Arial" w:eastAsia="Arial" w:hAnsi="Arial"/>
          <w:sz w:val="21"/>
          <w:szCs w:val="21"/>
          <w:color w:val="auto"/>
        </w:rPr>
        <w:t>Except as otherwise provided under the Award Terms, the Restricted Share Units awarded to you will vest as follows, provided you continuously serve as a member of the Board through the applicable vesting date:</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Schedule for Vesting</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77"/>
        </w:trPr>
        <w:tc>
          <w:tcPr>
            <w:tcW w:w="2920" w:type="dxa"/>
            <w:vAlign w:val="bottom"/>
            <w:tcBorders>
              <w:top w:val="single" w:sz="8" w:color="auto"/>
            </w:tcBorders>
          </w:tcPr>
          <w:p>
            <w:pPr>
              <w:spacing w:after="0"/>
              <w:rPr>
                <w:sz w:val="15"/>
                <w:szCs w:val="15"/>
                <w:color w:val="auto"/>
              </w:rPr>
            </w:pPr>
          </w:p>
        </w:tc>
        <w:tc>
          <w:tcPr>
            <w:tcW w:w="4180" w:type="dxa"/>
            <w:vAlign w:val="bottom"/>
            <w:tcBorders>
              <w:top w:val="single" w:sz="8" w:color="auto"/>
            </w:tcBorders>
            <w:vMerge w:val="restart"/>
          </w:tcPr>
          <w:p>
            <w:pPr>
              <w:ind w:left="1640"/>
              <w:spacing w:after="0"/>
              <w:rPr>
                <w:sz w:val="20"/>
                <w:szCs w:val="20"/>
                <w:color w:val="auto"/>
              </w:rPr>
            </w:pPr>
            <w:r>
              <w:rPr>
                <w:rFonts w:ascii="Arial" w:cs="Arial" w:eastAsia="Arial" w:hAnsi="Arial"/>
                <w:sz w:val="19"/>
                <w:szCs w:val="19"/>
                <w:b w:val="1"/>
                <w:bCs w:val="1"/>
                <w:color w:val="auto"/>
                <w:w w:val="95"/>
              </w:rPr>
              <w:t>No. of Restricted Share Units</w:t>
            </w:r>
          </w:p>
        </w:tc>
        <w:tc>
          <w:tcPr>
            <w:tcW w:w="298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9"/>
                <w:szCs w:val="19"/>
                <w:b w:val="1"/>
                <w:bCs w:val="1"/>
                <w:color w:val="auto"/>
              </w:rPr>
              <w:t>Cumulative No. of Restricted</w:t>
            </w:r>
          </w:p>
        </w:tc>
        <w:tc>
          <w:tcPr>
            <w:tcW w:w="0" w:type="dxa"/>
            <w:vAlign w:val="bottom"/>
          </w:tcPr>
          <w:p>
            <w:pPr>
              <w:spacing w:after="0"/>
              <w:rPr>
                <w:sz w:val="1"/>
                <w:szCs w:val="1"/>
                <w:color w:val="auto"/>
              </w:rPr>
            </w:pPr>
          </w:p>
        </w:tc>
      </w:tr>
      <w:tr>
        <w:trPr>
          <w:trHeight w:val="184"/>
        </w:trPr>
        <w:tc>
          <w:tcPr>
            <w:tcW w:w="29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Date of Vesting</w:t>
            </w:r>
          </w:p>
        </w:tc>
        <w:tc>
          <w:tcPr>
            <w:tcW w:w="4180" w:type="dxa"/>
            <w:vAlign w:val="bottom"/>
            <w:vMerge w:val="continue"/>
          </w:tcPr>
          <w:p>
            <w:pPr>
              <w:spacing w:after="0"/>
              <w:rPr>
                <w:sz w:val="15"/>
                <w:szCs w:val="15"/>
                <w:color w:val="auto"/>
              </w:rPr>
            </w:pPr>
          </w:p>
        </w:tc>
        <w:tc>
          <w:tcPr>
            <w:tcW w:w="2980" w:type="dxa"/>
            <w:vAlign w:val="bottom"/>
          </w:tcPr>
          <w:p>
            <w:pPr>
              <w:ind w:left="120"/>
              <w:spacing w:after="0" w:line="183" w:lineRule="exact"/>
              <w:rPr>
                <w:sz w:val="20"/>
                <w:szCs w:val="20"/>
                <w:color w:val="auto"/>
              </w:rPr>
            </w:pPr>
            <w:r>
              <w:rPr>
                <w:rFonts w:ascii="Arial" w:cs="Arial" w:eastAsia="Arial" w:hAnsi="Arial"/>
                <w:sz w:val="19"/>
                <w:szCs w:val="19"/>
                <w:b w:val="1"/>
                <w:bCs w:val="1"/>
                <w:color w:val="auto"/>
              </w:rPr>
              <w:t>Share Units Vested at Vesting</w:t>
            </w:r>
          </w:p>
        </w:tc>
        <w:tc>
          <w:tcPr>
            <w:tcW w:w="0" w:type="dxa"/>
            <w:vAlign w:val="bottom"/>
          </w:tcPr>
          <w:p>
            <w:pPr>
              <w:spacing w:after="0"/>
              <w:rPr>
                <w:sz w:val="1"/>
                <w:szCs w:val="1"/>
                <w:color w:val="auto"/>
              </w:rPr>
            </w:pPr>
          </w:p>
        </w:tc>
      </w:tr>
      <w:tr>
        <w:trPr>
          <w:trHeight w:val="251"/>
        </w:trPr>
        <w:tc>
          <w:tcPr>
            <w:tcW w:w="2920" w:type="dxa"/>
            <w:vAlign w:val="bottom"/>
            <w:vMerge w:val="continue"/>
          </w:tcPr>
          <w:p>
            <w:pPr>
              <w:spacing w:after="0"/>
              <w:rPr>
                <w:sz w:val="21"/>
                <w:szCs w:val="21"/>
                <w:color w:val="auto"/>
              </w:rPr>
            </w:pPr>
          </w:p>
        </w:tc>
        <w:tc>
          <w:tcPr>
            <w:tcW w:w="4180" w:type="dxa"/>
            <w:vAlign w:val="bottom"/>
          </w:tcPr>
          <w:p>
            <w:pPr>
              <w:ind w:left="1640"/>
              <w:spacing w:after="0"/>
              <w:rPr>
                <w:sz w:val="20"/>
                <w:szCs w:val="20"/>
                <w:color w:val="auto"/>
              </w:rPr>
            </w:pPr>
            <w:r>
              <w:rPr>
                <w:rFonts w:ascii="Arial" w:cs="Arial" w:eastAsia="Arial" w:hAnsi="Arial"/>
                <w:sz w:val="19"/>
                <w:szCs w:val="19"/>
                <w:b w:val="1"/>
                <w:bCs w:val="1"/>
                <w:color w:val="auto"/>
              </w:rPr>
              <w:t>Vesting at Vesting Date</w:t>
            </w:r>
          </w:p>
        </w:tc>
        <w:tc>
          <w:tcPr>
            <w:tcW w:w="2980" w:type="dxa"/>
            <w:vAlign w:val="bottom"/>
          </w:tcPr>
          <w:p>
            <w:pPr>
              <w:ind w:left="120"/>
              <w:spacing w:after="0"/>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-8890</wp:posOffset>
            </wp:positionV>
            <wp:extent cx="63950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p>
      <w:pPr>
        <w:ind w:left="640" w:right="1080"/>
        <w:spacing w:after="0" w:line="307" w:lineRule="auto"/>
        <w:rPr>
          <w:sz w:val="20"/>
          <w:szCs w:val="20"/>
          <w:color w:val="auto"/>
        </w:rPr>
      </w:pPr>
      <w:r>
        <w:rPr>
          <w:rFonts w:ascii="Arial" w:cs="Arial" w:eastAsia="Arial" w:hAnsi="Arial"/>
          <w:sz w:val="17"/>
          <w:szCs w:val="17"/>
          <w:color w:val="auto"/>
        </w:rPr>
        <w:t>[Three months after Date of Grant] [Six months after Date of Grant] [Nine months after Date of Grant] [First anniversary of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w:t>
      </w:r>
    </w:p>
    <w:p>
      <w:pPr>
        <w:spacing w:after="0" w:line="293" w:lineRule="exact"/>
        <w:rPr>
          <w:sz w:val="20"/>
          <w:szCs w:val="20"/>
          <w:color w:val="auto"/>
        </w:rPr>
      </w:pPr>
    </w:p>
    <w:p>
      <w:pPr>
        <w:sectPr>
          <w:pgSz w:w="11900" w:h="16838" w:orient="portrait"/>
          <w:cols w:equalWidth="0" w:num="3">
            <w:col w:w="4460" w:space="720"/>
            <w:col w:w="1940" w:space="720"/>
            <w:col w:w="3400"/>
          </w:cols>
          <w:pgMar w:left="320" w:top="1384" w:right="339" w:bottom="1440" w:gutter="0" w:footer="0" w:header="0"/>
          <w:type w:val="continuous"/>
        </w:sectPr>
      </w:pPr>
    </w:p>
    <w:p>
      <w:pPr>
        <w:spacing w:after="0" w:line="258" w:lineRule="exact"/>
        <w:rPr>
          <w:sz w:val="20"/>
          <w:szCs w:val="20"/>
          <w:color w:val="auto"/>
        </w:rPr>
      </w:pPr>
    </w:p>
    <w:p>
      <w:pPr>
        <w:ind w:left="320" w:right="520" w:hanging="315"/>
        <w:spacing w:after="0" w:line="236" w:lineRule="auto"/>
        <w:tabs>
          <w:tab w:leader="none" w:pos="315" w:val="left"/>
        </w:tabs>
        <w:numPr>
          <w:ilvl w:val="0"/>
          <w:numId w:val="94"/>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65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133" w:lineRule="exact"/>
        <w:rPr>
          <w:sz w:val="20"/>
          <w:szCs w:val="20"/>
          <w:color w:val="auto"/>
        </w:rPr>
      </w:pPr>
    </w:p>
    <w:p>
      <w:pPr>
        <w:ind w:left="740" w:hanging="106"/>
        <w:spacing w:after="0"/>
        <w:tabs>
          <w:tab w:leader="none" w:pos="740" w:val="left"/>
        </w:tabs>
        <w:numPr>
          <w:ilvl w:val="0"/>
          <w:numId w:val="95"/>
        </w:numPr>
        <w:rPr>
          <w:rFonts w:ascii="Arial" w:cs="Arial" w:eastAsia="Arial" w:hAnsi="Arial"/>
          <w:sz w:val="27"/>
          <w:szCs w:val="27"/>
          <w:color w:val="auto"/>
          <w:vertAlign w:val="superscript"/>
        </w:rPr>
      </w:pPr>
      <w:r>
        <w:rPr>
          <w:rFonts w:ascii="Arial" w:cs="Arial" w:eastAsia="Arial" w:hAnsi="Arial"/>
          <w:sz w:val="17"/>
          <w:szCs w:val="17"/>
          <w:color w:val="auto"/>
        </w:rPr>
        <w:t>Revise as needed to reflect the vesting terms of the grant.</w:t>
      </w:r>
    </w:p>
    <w:p>
      <w:pPr>
        <w:sectPr>
          <w:pgSz w:w="11900" w:h="16838" w:orient="portrait"/>
          <w:cols w:equalWidth="0" w:num="1">
            <w:col w:w="11240"/>
          </w:cols>
          <w:pgMar w:left="320" w:top="1384" w:right="339" w:bottom="1440" w:gutter="0" w:footer="0" w:header="0"/>
          <w:type w:val="continuous"/>
        </w:sectPr>
      </w:pPr>
    </w:p>
    <w:bookmarkStart w:id="178" w:name="page179"/>
    <w:bookmarkEnd w:id="178"/>
    <w:p>
      <w:pPr>
        <w:ind w:left="320" w:hanging="315"/>
        <w:spacing w:after="0"/>
        <w:tabs>
          <w:tab w:leader="none" w:pos="320" w:val="left"/>
        </w:tabs>
        <w:numPr>
          <w:ilvl w:val="0"/>
          <w:numId w:val="96"/>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1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Activision Blizzard, Inc.</w:t>
      </w:r>
    </w:p>
    <w:p>
      <w:pPr>
        <w:ind w:left="3160"/>
        <w:spacing w:after="0" w:line="208" w:lineRule="auto"/>
        <w:rPr>
          <w:sz w:val="20"/>
          <w:szCs w:val="20"/>
          <w:color w:val="auto"/>
        </w:rPr>
      </w:pPr>
      <w:r>
        <w:rPr>
          <w:rFonts w:ascii="Arial" w:cs="Arial" w:eastAsia="Arial" w:hAnsi="Arial"/>
          <w:sz w:val="21"/>
          <w:szCs w:val="21"/>
          <w:color w:val="auto"/>
        </w:rPr>
        <w:t>3100 Ocean Park Boulevard</w:t>
      </w:r>
    </w:p>
    <w:p>
      <w:pPr>
        <w:ind w:left="3160"/>
        <w:spacing w:after="0" w:line="209" w:lineRule="auto"/>
        <w:rPr>
          <w:sz w:val="20"/>
          <w:szCs w:val="20"/>
          <w:color w:val="auto"/>
        </w:rPr>
      </w:pPr>
      <w:r>
        <w:rPr>
          <w:rFonts w:ascii="Arial" w:cs="Arial" w:eastAsia="Arial" w:hAnsi="Arial"/>
          <w:sz w:val="21"/>
          <w:szCs w:val="21"/>
          <w:color w:val="auto"/>
        </w:rPr>
        <w:t>Santa Monica, CA 90405</w:t>
      </w:r>
    </w:p>
    <w:p>
      <w:pPr>
        <w:ind w:left="3160"/>
        <w:spacing w:after="0"/>
        <w:rPr>
          <w:sz w:val="20"/>
          <w:szCs w:val="20"/>
          <w:color w:val="auto"/>
        </w:rPr>
      </w:pPr>
      <w:r>
        <w:rPr>
          <w:rFonts w:ascii="Arial" w:cs="Arial" w:eastAsia="Arial" w:hAnsi="Arial"/>
          <w:sz w:val="21"/>
          <w:szCs w:val="21"/>
          <w:color w:val="auto"/>
        </w:rPr>
        <w:t>Attn: Stock Plan Administration</w:t>
      </w:r>
    </w:p>
    <w:p>
      <w:pPr>
        <w:spacing w:after="0" w:line="160" w:lineRule="exact"/>
        <w:rPr>
          <w:sz w:val="20"/>
          <w:szCs w:val="20"/>
          <w:color w:val="auto"/>
        </w:rPr>
      </w:pPr>
    </w:p>
    <w:p>
      <w:pPr>
        <w:ind w:left="320" w:hanging="315"/>
        <w:spacing w:after="0" w:line="236" w:lineRule="auto"/>
        <w:tabs>
          <w:tab w:leader="none" w:pos="315" w:val="left"/>
        </w:tabs>
        <w:numPr>
          <w:ilvl w:val="0"/>
          <w:numId w:val="97"/>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are deemed to be bound by the terms and conditions set forth in the 2014 Incentive Plan, this Notice of Restricted Share Unit Award and the Award Terms.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195"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______________________________________</w:t>
      </w:r>
    </w:p>
    <w:p>
      <w:pPr>
        <w:ind w:left="4100"/>
        <w:spacing w:after="0" w:line="208" w:lineRule="auto"/>
        <w:rPr>
          <w:sz w:val="20"/>
          <w:szCs w:val="20"/>
          <w:color w:val="auto"/>
        </w:rPr>
      </w:pPr>
      <w:r>
        <w:rPr>
          <w:rFonts w:ascii="Arial" w:cs="Arial" w:eastAsia="Arial" w:hAnsi="Arial"/>
          <w:sz w:val="21"/>
          <w:szCs w:val="21"/>
          <w:color w:val="auto"/>
        </w:rPr>
        <w:t>Julie Hodges</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 _________________________________</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w:t>
      </w:r>
    </w:p>
    <w:p>
      <w:pPr>
        <w:spacing w:after="0"/>
        <w:rPr>
          <w:sz w:val="20"/>
          <w:szCs w:val="20"/>
          <w:color w:val="auto"/>
        </w:rPr>
      </w:pPr>
      <w:r>
        <w:rPr>
          <w:rFonts w:ascii="Arial" w:cs="Arial" w:eastAsia="Arial" w:hAnsi="Arial"/>
          <w:sz w:val="21"/>
          <w:szCs w:val="21"/>
          <w:b w:val="1"/>
          <w:bCs w:val="1"/>
          <w:color w:val="auto"/>
        </w:rPr>
        <w:t>[Name of Holder]</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840"/>
          </w:cols>
          <w:pgMar w:left="320" w:top="1364" w:right="739"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21"/>
          <w:szCs w:val="21"/>
          <w:b w:val="1"/>
          <w:bCs w:val="1"/>
          <w:u w:val="single" w:color="auto"/>
          <w:color w:val="auto"/>
        </w:rPr>
        <w:t>EXHIBIT 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ACTIVISION BLIZZARD, INC.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2014 INCENTIVE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84" w:lineRule="exact"/>
        <w:rPr>
          <w:sz w:val="20"/>
          <w:szCs w:val="20"/>
          <w:color w:val="auto"/>
        </w:rPr>
      </w:pPr>
    </w:p>
    <w:p>
      <w:pPr>
        <w:ind w:left="1260" w:hanging="626"/>
        <w:spacing w:after="0"/>
        <w:tabs>
          <w:tab w:leader="none" w:pos="126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98"/>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right="10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6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178" w:lineRule="exact"/>
        <w:rPr>
          <w:sz w:val="20"/>
          <w:szCs w:val="20"/>
          <w:color w:val="auto"/>
        </w:rPr>
      </w:pPr>
    </w:p>
    <w:p>
      <w:pPr>
        <w:ind w:right="140" w:firstLine="1259"/>
        <w:spacing w:after="0" w:line="263" w:lineRule="auto"/>
        <w:rPr>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“permanent and total disability” as defined in Section 22(e)(3) of the Code, as interpreted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such interpretation to be final, conclusive and binding for purposes of these Award Terms).</w:t>
      </w:r>
    </w:p>
    <w:p>
      <w:pPr>
        <w:spacing w:after="0" w:line="125" w:lineRule="exact"/>
        <w:rPr>
          <w:sz w:val="20"/>
          <w:szCs w:val="20"/>
          <w:color w:val="auto"/>
        </w:rPr>
      </w:pPr>
    </w:p>
    <w:p>
      <w:pPr>
        <w:ind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20" w:firstLine="1259"/>
        <w:spacing w:after="0" w:line="221" w:lineRule="auto"/>
        <w:rPr>
          <w:sz w:val="20"/>
          <w:szCs w:val="20"/>
          <w:color w:val="auto"/>
        </w:rPr>
      </w:pPr>
      <w:r>
        <w:rPr>
          <w:rFonts w:ascii="Arial" w:cs="Arial" w:eastAsia="Arial" w:hAnsi="Arial"/>
          <w:sz w:val="21"/>
          <w:szCs w:val="21"/>
          <w:b w:val="1"/>
          <w:bCs w:val="1"/>
          <w:color w:val="auto"/>
        </w:rPr>
        <w:t xml:space="preserve">“Exercise Rules and Regulations” </w:t>
      </w:r>
      <w:r>
        <w:rPr>
          <w:rFonts w:ascii="Arial" w:cs="Arial" w:eastAsia="Arial" w:hAnsi="Arial"/>
          <w:sz w:val="21"/>
          <w:szCs w:val="21"/>
          <w:color w:val="auto"/>
        </w:rPr>
        <w:t>means (i) the Securities Act or any comparable federal securities law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state securities 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 as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00"/>
          </w:cols>
          <w:pgMar w:left="320" w:top="1358" w:right="379" w:bottom="1440" w:gutter="0" w:footer="0" w:header="0"/>
        </w:sectPr>
      </w:pPr>
    </w:p>
    <w:bookmarkStart w:id="180" w:name="page181"/>
    <w:bookmarkEnd w:id="180"/>
    <w:p>
      <w:pPr>
        <w:jc w:val="both"/>
        <w:ind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Securities Act of 1933, as amended.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“Separation from Service” </w:t>
      </w:r>
      <w:r>
        <w:rPr>
          <w:rFonts w:ascii="Arial" w:cs="Arial" w:eastAsia="Arial" w:hAnsi="Arial"/>
          <w:sz w:val="21"/>
          <w:szCs w:val="21"/>
          <w:color w:val="auto"/>
        </w:rPr>
        <w:t>means “separation from service” within the meaning of Section 409A.</w:t>
      </w:r>
    </w:p>
    <w:p>
      <w:pPr>
        <w:spacing w:after="0" w:line="178" w:lineRule="exact"/>
        <w:rPr>
          <w:sz w:val="20"/>
          <w:szCs w:val="20"/>
          <w:color w:val="auto"/>
        </w:rPr>
      </w:pPr>
    </w:p>
    <w:p>
      <w:pPr>
        <w:ind w:right="6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8" w:lineRule="exact"/>
        <w:rPr>
          <w:sz w:val="20"/>
          <w:szCs w:val="20"/>
          <w:color w:val="auto"/>
        </w:rPr>
      </w:pPr>
    </w:p>
    <w:p>
      <w:pPr>
        <w:ind w:right="140" w:firstLine="1259"/>
        <w:spacing w:after="0" w:line="290" w:lineRule="auto"/>
        <w:rPr>
          <w:sz w:val="20"/>
          <w:szCs w:val="20"/>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means any taxes, including, but not limited to, social security and Medicare taxes and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and local income taxes, required under any applicable law to be withheld from amounts otherwise payable to Grantee.</w:t>
      </w:r>
    </w:p>
    <w:p>
      <w:pPr>
        <w:spacing w:after="0" w:line="107" w:lineRule="exact"/>
        <w:rPr>
          <w:sz w:val="20"/>
          <w:szCs w:val="20"/>
          <w:color w:val="auto"/>
        </w:rPr>
      </w:pPr>
    </w:p>
    <w:p>
      <w:pPr>
        <w:ind w:left="1880" w:hanging="616"/>
        <w:spacing w:after="0"/>
        <w:tabs>
          <w:tab w:leader="none" w:pos="18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140" w:firstLine="634"/>
        <w:spacing w:after="0" w:line="238" w:lineRule="auto"/>
        <w:tabs>
          <w:tab w:leader="none" w:pos="1259"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right="80" w:firstLine="1264"/>
        <w:spacing w:after="0" w:line="227" w:lineRule="auto"/>
        <w:tabs>
          <w:tab w:leader="none" w:pos="1885"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Unless the Committee determines otherwise, in the event that Grantee incurs a Separation from Service due to his or her death or Disability, the Restricted Share Units shall immediately vest as of the date of such Separation from Service.</w:t>
      </w:r>
    </w:p>
    <w:p>
      <w:pPr>
        <w:spacing w:after="0" w:line="154" w:lineRule="exact"/>
        <w:rPr>
          <w:rFonts w:ascii="Arial" w:cs="Arial" w:eastAsia="Arial" w:hAnsi="Arial"/>
          <w:sz w:val="21"/>
          <w:szCs w:val="21"/>
          <w:color w:val="auto"/>
        </w:rPr>
      </w:pPr>
    </w:p>
    <w:p>
      <w:pPr>
        <w:ind w:right="120" w:firstLine="1264"/>
        <w:spacing w:after="0" w:line="227" w:lineRule="auto"/>
        <w:tabs>
          <w:tab w:leader="none" w:pos="1884"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Unless the Committee determines otherwise, in the event that Grantee incurs a Separation from Service pursuant to the terms of any business combination or similar transaction involving the Company, the Restricted Share Units shall immediately vest as of the date of such Separation from Service.</w:t>
      </w:r>
    </w:p>
    <w:p>
      <w:pPr>
        <w:spacing w:after="0" w:line="154" w:lineRule="exact"/>
        <w:rPr>
          <w:rFonts w:ascii="Arial" w:cs="Arial" w:eastAsia="Arial" w:hAnsi="Arial"/>
          <w:sz w:val="21"/>
          <w:szCs w:val="21"/>
          <w:color w:val="auto"/>
        </w:rPr>
      </w:pPr>
    </w:p>
    <w:p>
      <w:pPr>
        <w:jc w:val="both"/>
        <w:ind w:right="40" w:firstLine="1264"/>
        <w:spacing w:after="0" w:line="233" w:lineRule="auto"/>
        <w:tabs>
          <w:tab w:leader="none" w:pos="1885"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Other</w:t>
      </w:r>
      <w:r>
        <w:rPr>
          <w:rFonts w:ascii="Arial" w:cs="Arial" w:eastAsia="Arial" w:hAnsi="Arial"/>
          <w:sz w:val="20"/>
          <w:szCs w:val="20"/>
          <w:color w:val="auto"/>
        </w:rPr>
        <w:t>. Unless the Committee determines otherwise, in the event that Grantee incurs a Separation from Service for any reason not addressed by Section 4(a) or 4(b) hereof, as of the date of such Separation from Service all Restricted Share Units shall cease to vest and, with the exception of any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0"/>
          <w:szCs w:val="20"/>
          <w:color w:val="auto"/>
        </w:rPr>
      </w:pPr>
    </w:p>
    <w:p>
      <w:pPr>
        <w:ind w:right="160" w:firstLine="634"/>
        <w:spacing w:after="0" w:line="217" w:lineRule="auto"/>
        <w:tabs>
          <w:tab w:leader="none" w:pos="1259"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20"/>
          </w:cols>
          <w:pgMar w:left="320" w:top="1358" w:right="359" w:bottom="1440" w:gutter="0" w:footer="0" w:header="0"/>
        </w:sectPr>
      </w:pPr>
    </w:p>
    <w:bookmarkStart w:id="181" w:name="page182"/>
    <w:bookmarkEnd w:id="181"/>
    <w:p>
      <w:pPr>
        <w:spacing w:after="0" w:line="232" w:lineRule="auto"/>
        <w:rPr>
          <w:sz w:val="20"/>
          <w:szCs w:val="20"/>
          <w:color w:val="auto"/>
        </w:rPr>
      </w:pPr>
      <w:r>
        <w:rPr>
          <w:rFonts w:ascii="Arial" w:cs="Arial" w:eastAsia="Arial" w:hAnsi="Arial"/>
          <w:sz w:val="19"/>
          <w:szCs w:val="19"/>
          <w:color w:val="auto"/>
        </w:rPr>
        <w:t>instructions, in a form acceptable to the Company, that the Company withhold Vested Shares otherwise then deliverable having a value equal to the aggregate amount of the Withholding Taxes (valued in the same manner used in computing the amount of such Withholding Taxes); (c) if securities of the Company of the same class as the Vested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Grantee) to sell some or all of the Vested Shares and to thereafter deliver promptly to the Company from the proceeds of such sale an amount in cash equal to the aggregate amount of such Withholding Taxes; or (d) by any combination of (a), (b) and (c) above. Notwithstanding anything to the contrary contained herein, any entity in the Company Group shall have the right to ensure that all Withholding Taxes contemplated by this Section 4 are satisfied by (i) withholding from any compensation paid to Grantee, (ii) withholding Vested Shares otherwise then deliverable (in which case Grantee will be deemed to have been issued the full number of Vested Shares), and</w:t>
      </w:r>
    </w:p>
    <w:p>
      <w:pPr>
        <w:spacing w:after="0" w:line="3" w:lineRule="exact"/>
        <w:rPr>
          <w:sz w:val="20"/>
          <w:szCs w:val="20"/>
          <w:color w:val="auto"/>
        </w:rPr>
      </w:pPr>
    </w:p>
    <w:p>
      <w:pPr>
        <w:ind w:right="160" w:firstLine="5"/>
        <w:spacing w:after="0" w:line="263" w:lineRule="auto"/>
        <w:tabs>
          <w:tab w:leader="none" w:pos="36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arranging for the sale, on Grantee’s behalf, of Vested Shares otherwise then deliverable. The Company shall have no obligation to deliver any Vested Shares unless and until all Withholding Taxes contemplated by this Section 4 have been satisfied.</w:t>
      </w:r>
    </w:p>
    <w:p>
      <w:pPr>
        <w:spacing w:after="0" w:line="126" w:lineRule="exact"/>
        <w:rPr>
          <w:rFonts w:ascii="Arial" w:cs="Arial" w:eastAsia="Arial" w:hAnsi="Arial"/>
          <w:sz w:val="19"/>
          <w:szCs w:val="19"/>
          <w:color w:val="auto"/>
        </w:rPr>
      </w:pPr>
    </w:p>
    <w:p>
      <w:pPr>
        <w:ind w:right="300" w:firstLine="634"/>
        <w:spacing w:after="0" w:line="239" w:lineRule="auto"/>
        <w:tabs>
          <w:tab w:leader="none" w:pos="1259"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20" w:firstLine="634"/>
        <w:spacing w:after="0" w:line="257" w:lineRule="auto"/>
        <w:tabs>
          <w:tab w:leader="none" w:pos="1259"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20" w:firstLine="634"/>
        <w:spacing w:after="0" w:line="257" w:lineRule="auto"/>
        <w:tabs>
          <w:tab w:leader="none" w:pos="1259"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firstLine="634"/>
        <w:spacing w:after="0" w:line="239" w:lineRule="auto"/>
        <w:tabs>
          <w:tab w:leader="none" w:pos="1259"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5" w:lineRule="exact"/>
        <w:rPr>
          <w:rFonts w:ascii="Arial" w:cs="Arial" w:eastAsia="Arial" w:hAnsi="Arial"/>
          <w:sz w:val="19"/>
          <w:szCs w:val="19"/>
          <w:color w:val="auto"/>
        </w:rPr>
      </w:pPr>
    </w:p>
    <w:p>
      <w:pPr>
        <w:ind w:left="1260" w:hanging="626"/>
        <w:spacing w:after="0"/>
        <w:tabs>
          <w:tab w:leader="none" w:pos="1260"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20" w:firstLine="5"/>
        <w:spacing w:after="0" w:line="223" w:lineRule="auto"/>
        <w:tabs>
          <w:tab w:leader="none" w:pos="28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00"/>
          </w:cols>
          <w:pgMar w:left="320" w:top="1364" w:right="379" w:bottom="1440" w:gutter="0" w:footer="0" w:header="0"/>
        </w:sectPr>
      </w:pPr>
    </w:p>
    <w:bookmarkStart w:id="182" w:name="page183"/>
    <w:bookmarkEnd w:id="182"/>
    <w:p>
      <w:pPr>
        <w:ind w:right="200"/>
        <w:spacing w:after="0" w:line="222" w:lineRule="auto"/>
        <w:rPr>
          <w:sz w:val="20"/>
          <w:szCs w:val="20"/>
          <w:color w:val="auto"/>
        </w:rPr>
      </w:pPr>
      <w:r>
        <w:rPr>
          <w:rFonts w:ascii="Arial" w:cs="Arial" w:eastAsia="Arial" w:hAnsi="Arial"/>
          <w:sz w:val="21"/>
          <w:szCs w:val="21"/>
          <w:color w:val="auto"/>
        </w:rPr>
        <w:t>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6" w:lineRule="exact"/>
        <w:rPr>
          <w:sz w:val="20"/>
          <w:szCs w:val="20"/>
          <w:color w:val="auto"/>
        </w:rPr>
      </w:pPr>
    </w:p>
    <w:p>
      <w:pPr>
        <w:ind w:firstLine="634"/>
        <w:spacing w:after="0" w:line="225" w:lineRule="auto"/>
        <w:tabs>
          <w:tab w:leader="none" w:pos="1259"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7" w:lineRule="exact"/>
        <w:rPr>
          <w:rFonts w:ascii="Arial" w:cs="Arial" w:eastAsia="Arial" w:hAnsi="Arial"/>
          <w:sz w:val="20"/>
          <w:szCs w:val="20"/>
          <w:color w:val="auto"/>
        </w:rPr>
      </w:pPr>
    </w:p>
    <w:p>
      <w:pPr>
        <w:ind w:firstLine="634"/>
        <w:spacing w:after="0" w:line="235" w:lineRule="auto"/>
        <w:tabs>
          <w:tab w:leader="none" w:pos="125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0" w:lineRule="exact"/>
        <w:rPr>
          <w:rFonts w:ascii="Arial" w:cs="Arial" w:eastAsia="Arial" w:hAnsi="Arial"/>
          <w:sz w:val="19"/>
          <w:szCs w:val="19"/>
          <w:color w:val="auto"/>
        </w:rPr>
      </w:pPr>
    </w:p>
    <w:p>
      <w:pPr>
        <w:ind w:firstLine="634"/>
        <w:spacing w:after="0" w:line="257" w:lineRule="auto"/>
        <w:tabs>
          <w:tab w:leader="none" w:pos="125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the terms of the Plan and only with the Company’s consent, Grantee may transfer Restricted Share Units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38" w:lineRule="exact"/>
        <w:rPr>
          <w:rFonts w:ascii="Arial" w:cs="Arial" w:eastAsia="Arial" w:hAnsi="Arial"/>
          <w:sz w:val="18"/>
          <w:szCs w:val="18"/>
          <w:color w:val="auto"/>
        </w:rPr>
      </w:pPr>
    </w:p>
    <w:p>
      <w:pPr>
        <w:ind w:left="1260" w:hanging="626"/>
        <w:spacing w:after="0"/>
        <w:tabs>
          <w:tab w:leader="none" w:pos="126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364" w:right="339" w:bottom="1440" w:gutter="0" w:footer="0" w:header="0"/>
        </w:sectPr>
      </w:pPr>
    </w:p>
    <w:bookmarkStart w:id="183" w:name="page184"/>
    <w:bookmarkEnd w:id="183"/>
    <w:p>
      <w:pPr>
        <w:ind w:left="-200" w:right="160" w:firstLine="1264"/>
        <w:spacing w:after="0" w:line="236" w:lineRule="auto"/>
        <w:tabs>
          <w:tab w:leader="none" w:pos="1502" w:val="left"/>
        </w:tabs>
        <w:numPr>
          <w:ilvl w:val="1"/>
          <w:numId w:val="104"/>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taxation laws applicable to Grantee in connection with the Award and (ii) all Exercise Rules and Regulations.</w:t>
      </w:r>
    </w:p>
    <w:p>
      <w:pPr>
        <w:spacing w:after="0" w:line="154" w:lineRule="exact"/>
        <w:rPr>
          <w:rFonts w:ascii="Arial" w:cs="Arial" w:eastAsia="Arial" w:hAnsi="Arial"/>
          <w:sz w:val="21"/>
          <w:szCs w:val="21"/>
          <w:color w:val="auto"/>
        </w:rPr>
      </w:pPr>
    </w:p>
    <w:p>
      <w:pPr>
        <w:ind w:left="-200" w:right="40" w:firstLine="1264"/>
        <w:spacing w:after="0" w:line="236" w:lineRule="auto"/>
        <w:tabs>
          <w:tab w:leader="none" w:pos="1509" w:val="left"/>
        </w:tabs>
        <w:numPr>
          <w:ilvl w:val="1"/>
          <w:numId w:val="104"/>
        </w:numPr>
        <w:rPr>
          <w:rFonts w:ascii="Arial" w:cs="Arial" w:eastAsia="Arial" w:hAnsi="Arial"/>
          <w:sz w:val="21"/>
          <w:szCs w:val="21"/>
          <w:color w:val="auto"/>
        </w:rPr>
      </w:pPr>
      <w:r>
        <w:rPr>
          <w:rFonts w:ascii="Arial" w:cs="Arial" w:eastAsia="Arial" w:hAnsi="Arial"/>
          <w:sz w:val="21"/>
          <w:szCs w:val="21"/>
          <w:color w:val="auto"/>
        </w:rPr>
        <w:t>The Award is subject to the terms and conditions any policy requiring or permitting the Company to recover any gains realized by Grantee in connection with the Award.</w:t>
      </w:r>
    </w:p>
    <w:p>
      <w:pPr>
        <w:spacing w:after="0" w:line="154" w:lineRule="exact"/>
        <w:rPr>
          <w:rFonts w:ascii="Arial" w:cs="Arial" w:eastAsia="Arial" w:hAnsi="Arial"/>
          <w:sz w:val="21"/>
          <w:szCs w:val="21"/>
          <w:color w:val="auto"/>
        </w:rPr>
      </w:pPr>
    </w:p>
    <w:p>
      <w:pPr>
        <w:ind w:left="1060" w:hanging="626"/>
        <w:spacing w:after="0"/>
        <w:tabs>
          <w:tab w:leader="none" w:pos="106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200" w:firstLine="1264"/>
        <w:spacing w:after="0" w:line="236" w:lineRule="auto"/>
        <w:tabs>
          <w:tab w:leader="none" w:pos="168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left="-200" w:right="100" w:firstLine="1264"/>
        <w:spacing w:after="0" w:line="230" w:lineRule="auto"/>
        <w:tabs>
          <w:tab w:leader="none" w:pos="1684" w:val="left"/>
        </w:tabs>
        <w:numPr>
          <w:ilvl w:val="1"/>
          <w:numId w:val="105"/>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left="-200" w:right="140" w:firstLine="1264"/>
        <w:spacing w:after="0" w:line="239" w:lineRule="auto"/>
        <w:tabs>
          <w:tab w:leader="none" w:pos="168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if (i) the Committee determines in good faith that the Restricted Share Units are deferred compensation for purposes of Section 409A, (ii) Grantee is a “specified employee” (as defined in Section 409A) and (iii) a delay in the issuance or transfer of Vested Shares to Grantee or his or her estate or beneficiaries hereunder by reason of Grantee’s Separation from Service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0980"/>
          </w:cols>
          <w:pgMar w:left="520" w:top="1364" w:right="399" w:bottom="1440" w:gutter="0" w:footer="0" w:header="0"/>
        </w:sectPr>
      </w:pPr>
    </w:p>
    <w:bookmarkStart w:id="184" w:name="page185"/>
    <w:bookmarkEnd w:id="184"/>
    <w:p>
      <w:pPr>
        <w:ind w:left="-200" w:right="80" w:firstLine="634"/>
        <w:spacing w:after="0" w:line="236" w:lineRule="auto"/>
        <w:tabs>
          <w:tab w:leader="none" w:pos="1059"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0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left="-200" w:right="380" w:firstLine="634"/>
        <w:spacing w:after="0" w:line="227" w:lineRule="auto"/>
        <w:tabs>
          <w:tab w:leader="none" w:pos="1059"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Nothing contained in the Grant Notice or these Award Terms shall be construed to confer upon Grantee any right to continued service on the Board or derogate from any right of the Company or its stockholders remove Grantee from the Board at any time, with or without cause.</w:t>
      </w:r>
    </w:p>
    <w:p>
      <w:pPr>
        <w:spacing w:after="0" w:line="154" w:lineRule="exact"/>
        <w:rPr>
          <w:rFonts w:ascii="Arial" w:cs="Arial" w:eastAsia="Arial" w:hAnsi="Arial"/>
          <w:sz w:val="21"/>
          <w:szCs w:val="21"/>
          <w:color w:val="auto"/>
        </w:rPr>
      </w:pPr>
    </w:p>
    <w:p>
      <w:pPr>
        <w:ind w:left="-200" w:right="40" w:firstLine="634"/>
        <w:spacing w:after="0" w:line="222" w:lineRule="auto"/>
        <w:tabs>
          <w:tab w:leader="none" w:pos="1059"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left="-200" w:right="140" w:firstLine="634"/>
        <w:spacing w:after="0" w:line="227" w:lineRule="auto"/>
        <w:tabs>
          <w:tab w:leader="none" w:pos="1059"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060" w:hanging="626"/>
        <w:spacing w:after="0"/>
        <w:tabs>
          <w:tab w:leader="none" w:pos="1060"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200" w:right="100" w:firstLine="1264"/>
        <w:spacing w:after="0" w:line="228" w:lineRule="auto"/>
        <w:tabs>
          <w:tab w:leader="none" w:pos="1685" w:val="left"/>
        </w:tabs>
        <w:numPr>
          <w:ilvl w:val="1"/>
          <w:numId w:val="107"/>
        </w:numPr>
        <w:rPr>
          <w:rFonts w:ascii="Arial" w:cs="Arial" w:eastAsia="Arial" w:hAnsi="Arial"/>
          <w:sz w:val="20"/>
          <w:szCs w:val="20"/>
          <w:color w:val="auto"/>
        </w:rPr>
      </w:pPr>
      <w:r>
        <w:rPr>
          <w:rFonts w:ascii="Arial" w:cs="Arial" w:eastAsia="Arial" w:hAnsi="Arial"/>
          <w:sz w:val="20"/>
          <w:szCs w:val="20"/>
          <w:color w:val="auto"/>
        </w:rPr>
        <w:t xml:space="preserve">For purposes of litigating any dispute that arises directly or indirectly from the Grant Notice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regardless of where the grant of the Restricted Share Units is made and/or to be performed;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0"/>
          <w:szCs w:val="20"/>
          <w:color w:val="auto"/>
        </w:rPr>
      </w:pPr>
    </w:p>
    <w:p>
      <w:pPr>
        <w:ind w:left="-200" w:firstLine="1264"/>
        <w:spacing w:after="0" w:line="227" w:lineRule="auto"/>
        <w:tabs>
          <w:tab w:leader="none" w:pos="1684" w:val="left"/>
        </w:tabs>
        <w:numPr>
          <w:ilvl w:val="1"/>
          <w:numId w:val="107"/>
        </w:numPr>
        <w:rPr>
          <w:rFonts w:ascii="Arial" w:cs="Arial" w:eastAsia="Arial" w:hAnsi="Arial"/>
          <w:sz w:val="21"/>
          <w:szCs w:val="21"/>
          <w:color w:val="auto"/>
        </w:rPr>
      </w:pPr>
      <w:r>
        <w:rPr>
          <w:rFonts w:ascii="Arial" w:cs="Arial" w:eastAsia="Arial" w:hAnsi="Arial"/>
          <w:sz w:val="21"/>
          <w:szCs w:val="21"/>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4" w:lineRule="exact"/>
        <w:rPr>
          <w:rFonts w:ascii="Arial" w:cs="Arial" w:eastAsia="Arial" w:hAnsi="Arial"/>
          <w:sz w:val="21"/>
          <w:szCs w:val="21"/>
          <w:color w:val="auto"/>
        </w:rPr>
      </w:pPr>
    </w:p>
    <w:p>
      <w:pPr>
        <w:ind w:left="-200" w:right="20" w:firstLine="634"/>
        <w:spacing w:after="0" w:line="257" w:lineRule="auto"/>
        <w:tabs>
          <w:tab w:leader="none" w:pos="1059"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7" w:lineRule="exact"/>
        <w:rPr>
          <w:rFonts w:ascii="Arial" w:cs="Arial" w:eastAsia="Arial" w:hAnsi="Arial"/>
          <w:sz w:val="19"/>
          <w:szCs w:val="19"/>
          <w:color w:val="auto"/>
        </w:rPr>
      </w:pPr>
    </w:p>
    <w:p>
      <w:pPr>
        <w:ind w:left="1060" w:hanging="626"/>
        <w:spacing w:after="0"/>
        <w:tabs>
          <w:tab w:leader="none" w:pos="1060"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200" w:right="40" w:firstLine="1264"/>
        <w:spacing w:after="0" w:line="236" w:lineRule="auto"/>
        <w:tabs>
          <w:tab w:leader="none" w:pos="1685"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Any notice or other document which Grantee may be required or permitted to deliver to the Company pursuant to or in connection with the Grant Notice or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040"/>
          </w:cols>
          <w:pgMar w:left="520" w:top="1364" w:right="339" w:bottom="1440" w:gutter="0" w:footer="0" w:header="0"/>
        </w:sectPr>
      </w:pPr>
    </w:p>
    <w:bookmarkStart w:id="185" w:name="page186"/>
    <w:bookmarkEnd w:id="185"/>
    <w:p>
      <w:pPr>
        <w:ind w:right="100"/>
        <w:spacing w:after="0" w:line="222" w:lineRule="auto"/>
        <w:rPr>
          <w:sz w:val="20"/>
          <w:szCs w:val="20"/>
          <w:color w:val="auto"/>
        </w:rPr>
      </w:pPr>
      <w:r>
        <w:rPr>
          <w:rFonts w:ascii="Arial" w:cs="Arial" w:eastAsia="Arial" w:hAnsi="Arial"/>
          <w:sz w:val="21"/>
          <w:szCs w:val="21"/>
          <w:color w:val="auto"/>
        </w:rPr>
        <w:t>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Grantee may designate in writing from time to time. Notices shall be effective upon delivery.</w:t>
      </w:r>
    </w:p>
    <w:p>
      <w:pPr>
        <w:spacing w:after="0" w:line="156" w:lineRule="exact"/>
        <w:rPr>
          <w:sz w:val="20"/>
          <w:szCs w:val="20"/>
          <w:color w:val="auto"/>
        </w:rPr>
      </w:pPr>
    </w:p>
    <w:p>
      <w:pPr>
        <w:ind w:firstLine="1264"/>
        <w:spacing w:after="0" w:line="226" w:lineRule="auto"/>
        <w:tabs>
          <w:tab w:leader="none" w:pos="1884"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the records of the Company,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55" w:lineRule="exact"/>
        <w:rPr>
          <w:rFonts w:ascii="Arial" w:cs="Arial" w:eastAsia="Arial" w:hAnsi="Arial"/>
          <w:sz w:val="20"/>
          <w:szCs w:val="20"/>
          <w:color w:val="auto"/>
        </w:rPr>
      </w:pPr>
    </w:p>
    <w:p>
      <w:pPr>
        <w:ind w:right="180" w:firstLine="634"/>
        <w:spacing w:after="0" w:line="236" w:lineRule="auto"/>
        <w:tabs>
          <w:tab w:leader="none" w:pos="1259"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of any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80" w:firstLine="634"/>
        <w:spacing w:after="0" w:line="248" w:lineRule="auto"/>
        <w:tabs>
          <w:tab w:leader="none" w:pos="1259"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local law or facilitate the administration of the Plan, and to require Grantee to sign any additional agreements or undertakings that may be necessary to accomplish the foregoing.</w:t>
      </w:r>
    </w:p>
    <w:p>
      <w:pPr>
        <w:spacing w:after="0" w:line="145" w:lineRule="exact"/>
        <w:rPr>
          <w:rFonts w:ascii="Arial" w:cs="Arial" w:eastAsia="Arial" w:hAnsi="Arial"/>
          <w:sz w:val="19"/>
          <w:szCs w:val="19"/>
          <w:color w:val="auto"/>
        </w:rPr>
      </w:pPr>
    </w:p>
    <w:p>
      <w:pPr>
        <w:ind w:firstLine="634"/>
        <w:spacing w:after="0" w:line="227" w:lineRule="auto"/>
        <w:tabs>
          <w:tab w:leader="none" w:pos="1259"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A-7</w:t>
      </w:r>
    </w:p>
    <w:p>
      <w:pPr>
        <w:sectPr>
          <w:pgSz w:w="11900" w:h="16838" w:orient="portrait"/>
          <w:cols w:equalWidth="0" w:num="1">
            <w:col w:w="11200"/>
          </w:cols>
          <w:pgMar w:left="320" w:top="1364" w:right="379" w:bottom="1440" w:gutter="0" w:footer="0" w:header="0"/>
        </w:sectPr>
      </w:pPr>
    </w:p>
    <w:bookmarkStart w:id="186" w:name="page187"/>
    <w:bookmarkEnd w:id="186"/>
    <w:p>
      <w:pPr>
        <w:jc w:val="right"/>
        <w:spacing w:after="0"/>
        <w:rPr>
          <w:sz w:val="20"/>
          <w:szCs w:val="20"/>
          <w:color w:val="auto"/>
        </w:rPr>
      </w:pPr>
      <w:r>
        <w:rPr>
          <w:rFonts w:ascii="Arial" w:cs="Arial" w:eastAsia="Arial" w:hAnsi="Arial"/>
          <w:sz w:val="21"/>
          <w:szCs w:val="21"/>
          <w:b w:val="1"/>
          <w:bCs w:val="1"/>
          <w:color w:val="auto"/>
        </w:rPr>
        <w:t>Exhibit 10.17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0" w:hanging="315"/>
        <w:spacing w:after="0"/>
        <w:tabs>
          <w:tab w:leader="none" w:pos="3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51" w:lineRule="exact"/>
        <w:rPr>
          <w:rFonts w:ascii="Arial" w:cs="Arial" w:eastAsia="Arial" w:hAnsi="Arial"/>
          <w:sz w:val="21"/>
          <w:szCs w:val="21"/>
          <w:color w:val="auto"/>
        </w:rPr>
      </w:pPr>
    </w:p>
    <w:p>
      <w:pPr>
        <w:ind w:left="620" w:hanging="300"/>
        <w:spacing w:after="0"/>
        <w:tabs>
          <w:tab w:leader="none" w:pos="62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8" w:lineRule="exact"/>
        <w:rPr>
          <w:rFonts w:ascii="Arial" w:cs="Arial" w:eastAsia="Arial" w:hAnsi="Arial"/>
          <w:sz w:val="21"/>
          <w:szCs w:val="21"/>
          <w:color w:val="auto"/>
        </w:rPr>
      </w:pPr>
    </w:p>
    <w:p>
      <w:pPr>
        <w:ind w:left="640" w:right="160" w:hanging="320"/>
        <w:spacing w:after="0" w:line="236" w:lineRule="auto"/>
        <w:tabs>
          <w:tab w:leader="none" w:pos="635"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28" w:lineRule="exact"/>
        <w:rPr>
          <w:rFonts w:ascii="Arial" w:cs="Arial" w:eastAsia="Arial" w:hAnsi="Arial"/>
          <w:sz w:val="21"/>
          <w:szCs w:val="21"/>
          <w:color w:val="auto"/>
        </w:rPr>
      </w:pPr>
    </w:p>
    <w:p>
      <w:pPr>
        <w:ind w:left="620" w:hanging="300"/>
        <w:spacing w:after="0"/>
        <w:tabs>
          <w:tab w:leader="none" w:pos="62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right="200" w:hanging="315"/>
        <w:spacing w:after="0" w:line="238" w:lineRule="auto"/>
        <w:tabs>
          <w:tab w:leader="none" w:pos="31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15" w:lineRule="exact"/>
        <w:rPr>
          <w:rFonts w:ascii="Arial" w:cs="Arial" w:eastAsia="Arial" w:hAnsi="Arial"/>
          <w:sz w:val="20"/>
          <w:szCs w:val="20"/>
          <w:color w:val="auto"/>
        </w:rPr>
      </w:pPr>
    </w:p>
    <w:p>
      <w:pPr>
        <w:ind w:left="320" w:right="20" w:hanging="315"/>
        <w:spacing w:after="0" w:line="219" w:lineRule="auto"/>
        <w:tabs>
          <w:tab w:leader="none" w:pos="315" w:val="left"/>
        </w:tabs>
        <w:numPr>
          <w:ilvl w:val="0"/>
          <w:numId w:val="110"/>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 the Restricted Share Units shall vest shall vest and become exercisable as 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1360" w:type="dxa"/>
        <w:tblCellMar>
          <w:top w:w="0" w:type="dxa"/>
          <w:left w:w="0" w:type="dxa"/>
          <w:bottom w:w="0" w:type="dxa"/>
          <w:right w:w="0" w:type="dxa"/>
        </w:tblCellMar>
      </w:tblPr>
      <w:tr>
        <w:trPr>
          <w:trHeight w:val="251"/>
        </w:trPr>
        <w:tc>
          <w:tcPr>
            <w:tcW w:w="3360" w:type="dxa"/>
            <w:vAlign w:val="bottom"/>
            <w:vMerge w:val="restart"/>
          </w:tcPr>
          <w:p>
            <w:pPr>
              <w:ind w:left="1320"/>
              <w:spacing w:after="0"/>
              <w:rPr>
                <w:sz w:val="20"/>
                <w:szCs w:val="20"/>
                <w:color w:val="auto"/>
              </w:rPr>
            </w:pPr>
            <w:r>
              <w:rPr>
                <w:rFonts w:ascii="Arial" w:cs="Arial" w:eastAsia="Arial" w:hAnsi="Arial"/>
                <w:sz w:val="19"/>
                <w:szCs w:val="19"/>
                <w:b w:val="1"/>
                <w:bCs w:val="1"/>
                <w:color w:val="auto"/>
              </w:rPr>
              <w:t>Date of Vesting</w:t>
            </w:r>
          </w:p>
        </w:tc>
        <w:tc>
          <w:tcPr>
            <w:tcW w:w="4040" w:type="dxa"/>
            <w:vAlign w:val="bottom"/>
          </w:tcPr>
          <w:p>
            <w:pPr>
              <w:jc w:val="center"/>
              <w:ind w:left="444"/>
              <w:spacing w:after="0"/>
              <w:rPr>
                <w:sz w:val="20"/>
                <w:szCs w:val="20"/>
                <w:color w:val="auto"/>
              </w:rPr>
            </w:pPr>
            <w:r>
              <w:rPr>
                <w:rFonts w:ascii="Arial" w:cs="Arial" w:eastAsia="Arial" w:hAnsi="Arial"/>
                <w:sz w:val="19"/>
                <w:szCs w:val="19"/>
                <w:b w:val="1"/>
                <w:bCs w:val="1"/>
                <w:color w:val="auto"/>
                <w:w w:val="89"/>
              </w:rPr>
              <w:t>No. of Shares Vesting at Vesting Date</w:t>
            </w:r>
          </w:p>
        </w:tc>
        <w:tc>
          <w:tcPr>
            <w:tcW w:w="0" w:type="dxa"/>
            <w:vAlign w:val="bottom"/>
          </w:tcPr>
          <w:p>
            <w:pPr>
              <w:spacing w:after="0"/>
              <w:rPr>
                <w:sz w:val="1"/>
                <w:szCs w:val="1"/>
                <w:color w:val="auto"/>
              </w:rPr>
            </w:pPr>
          </w:p>
        </w:tc>
      </w:tr>
      <w:tr>
        <w:trPr>
          <w:trHeight w:val="99"/>
        </w:trPr>
        <w:tc>
          <w:tcPr>
            <w:tcW w:w="3360" w:type="dxa"/>
            <w:vAlign w:val="bottom"/>
            <w:tcBorders>
              <w:bottom w:val="single" w:sz="8" w:color="auto"/>
            </w:tcBorders>
            <w:vMerge w:val="continue"/>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60"/>
              <w:spacing w:after="0"/>
              <w:rPr>
                <w:sz w:val="20"/>
                <w:szCs w:val="20"/>
                <w:color w:val="auto"/>
              </w:rPr>
            </w:pPr>
            <w:r>
              <w:rPr>
                <w:rFonts w:ascii="Arial" w:cs="Arial" w:eastAsia="Arial" w:hAnsi="Arial"/>
                <w:sz w:val="21"/>
                <w:szCs w:val="21"/>
                <w:b w:val="1"/>
                <w:bCs w:val="1"/>
                <w:color w:val="auto"/>
              </w:rPr>
              <w:t>December 15, 2020</w:t>
            </w:r>
          </w:p>
        </w:tc>
        <w:tc>
          <w:tcPr>
            <w:tcW w:w="4040" w:type="dxa"/>
            <w:vAlign w:val="bottom"/>
          </w:tcPr>
          <w:p>
            <w:pPr>
              <w:jc w:val="center"/>
              <w:ind w:left="444"/>
              <w:spacing w:after="0"/>
              <w:rPr>
                <w:sz w:val="20"/>
                <w:szCs w:val="20"/>
                <w:color w:val="auto"/>
              </w:rPr>
            </w:pPr>
            <w:r>
              <w:rPr>
                <w:rFonts w:ascii="Arial" w:cs="Arial" w:eastAsia="Arial" w:hAnsi="Arial"/>
                <w:sz w:val="19"/>
                <w:szCs w:val="19"/>
                <w:b w:val="1"/>
                <w:bCs w:val="1"/>
                <w:color w:val="auto"/>
                <w:w w:val="91"/>
              </w:rPr>
              <w:t>[________________]</w:t>
            </w:r>
          </w:p>
        </w:tc>
        <w:tc>
          <w:tcPr>
            <w:tcW w:w="0" w:type="dxa"/>
            <w:vAlign w:val="bottom"/>
          </w:tcPr>
          <w:p>
            <w:pPr>
              <w:spacing w:after="0"/>
              <w:rPr>
                <w:sz w:val="1"/>
                <w:szCs w:val="1"/>
                <w:color w:val="auto"/>
              </w:rPr>
            </w:pPr>
          </w:p>
        </w:tc>
      </w:tr>
      <w:tr>
        <w:trPr>
          <w:trHeight w:val="273"/>
        </w:trPr>
        <w:tc>
          <w:tcPr>
            <w:tcW w:w="3360" w:type="dxa"/>
            <w:vAlign w:val="bottom"/>
          </w:tcPr>
          <w:p>
            <w:pPr>
              <w:ind w:left="60"/>
              <w:spacing w:after="0"/>
              <w:rPr>
                <w:sz w:val="20"/>
                <w:szCs w:val="20"/>
                <w:color w:val="auto"/>
              </w:rPr>
            </w:pPr>
            <w:r>
              <w:rPr>
                <w:rFonts w:ascii="Arial" w:cs="Arial" w:eastAsia="Arial" w:hAnsi="Arial"/>
                <w:sz w:val="21"/>
                <w:szCs w:val="21"/>
                <w:b w:val="1"/>
                <w:bCs w:val="1"/>
                <w:color w:val="auto"/>
              </w:rPr>
              <w:t>March 15, 2024</w:t>
            </w:r>
          </w:p>
        </w:tc>
        <w:tc>
          <w:tcPr>
            <w:tcW w:w="4040" w:type="dxa"/>
            <w:vAlign w:val="bottom"/>
          </w:tcPr>
          <w:p>
            <w:pPr>
              <w:jc w:val="center"/>
              <w:ind w:left="444"/>
              <w:spacing w:after="0"/>
              <w:rPr>
                <w:sz w:val="20"/>
                <w:szCs w:val="20"/>
                <w:color w:val="auto"/>
              </w:rPr>
            </w:pPr>
            <w:r>
              <w:rPr>
                <w:rFonts w:ascii="Arial" w:cs="Arial" w:eastAsia="Arial" w:hAnsi="Arial"/>
                <w:sz w:val="19"/>
                <w:szCs w:val="19"/>
                <w:b w:val="1"/>
                <w:bCs w:val="1"/>
                <w:color w:val="auto"/>
                <w:w w:val="91"/>
              </w:rPr>
              <w:t>[________________]</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right="520" w:hanging="315"/>
        <w:spacing w:after="0" w:line="236" w:lineRule="auto"/>
        <w:tabs>
          <w:tab w:leader="none" w:pos="315" w:val="left"/>
        </w:tabs>
        <w:numPr>
          <w:ilvl w:val="0"/>
          <w:numId w:val="111"/>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pacing w:after="0" w:line="115" w:lineRule="exact"/>
        <w:rPr>
          <w:rFonts w:ascii="Arial" w:cs="Arial" w:eastAsia="Arial" w:hAnsi="Arial"/>
          <w:sz w:val="21"/>
          <w:szCs w:val="21"/>
          <w:color w:val="auto"/>
        </w:rPr>
      </w:pPr>
    </w:p>
    <w:p>
      <w:pPr>
        <w:ind w:left="320" w:hanging="315"/>
        <w:spacing w:after="0"/>
        <w:tabs>
          <w:tab w:leader="none" w:pos="320" w:val="left"/>
        </w:tabs>
        <w:numPr>
          <w:ilvl w:val="0"/>
          <w:numId w:val="111"/>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ectPr>
          <w:pgSz w:w="11900" w:h="16838" w:orient="portrait"/>
          <w:cols w:equalWidth="0" w:num="1">
            <w:col w:w="11240"/>
          </w:cols>
          <w:pgMar w:left="320" w:top="1384" w:right="339" w:bottom="1440" w:gutter="0" w:footer="0" w:header="0"/>
        </w:sectPr>
      </w:pPr>
    </w:p>
    <w:bookmarkStart w:id="187" w:name="page188"/>
    <w:bookmarkEnd w:id="187"/>
    <w:p>
      <w:pPr>
        <w:ind w:left="3160"/>
        <w:spacing w:after="0"/>
        <w:rPr>
          <w:sz w:val="20"/>
          <w:szCs w:val="20"/>
          <w:color w:val="auto"/>
        </w:rPr>
      </w:pPr>
      <w:r>
        <w:rPr>
          <w:rFonts w:ascii="Arial" w:cs="Arial" w:eastAsia="Arial" w:hAnsi="Arial"/>
          <w:sz w:val="21"/>
          <w:szCs w:val="21"/>
          <w:color w:val="auto"/>
        </w:rPr>
        <w:t>Activision Blizzard, Inc.</w:t>
      </w:r>
    </w:p>
    <w:p>
      <w:pPr>
        <w:ind w:left="3160"/>
        <w:spacing w:after="0" w:line="208" w:lineRule="auto"/>
        <w:rPr>
          <w:sz w:val="20"/>
          <w:szCs w:val="20"/>
          <w:color w:val="auto"/>
        </w:rPr>
      </w:pPr>
      <w:r>
        <w:rPr>
          <w:rFonts w:ascii="Arial" w:cs="Arial" w:eastAsia="Arial" w:hAnsi="Arial"/>
          <w:sz w:val="21"/>
          <w:szCs w:val="21"/>
          <w:color w:val="auto"/>
        </w:rPr>
        <w:t>3100 Ocean Park Boulevard</w:t>
      </w:r>
    </w:p>
    <w:p>
      <w:pPr>
        <w:ind w:left="3160"/>
        <w:spacing w:after="0" w:line="209" w:lineRule="auto"/>
        <w:rPr>
          <w:sz w:val="20"/>
          <w:szCs w:val="20"/>
          <w:color w:val="auto"/>
        </w:rPr>
      </w:pPr>
      <w:r>
        <w:rPr>
          <w:rFonts w:ascii="Arial" w:cs="Arial" w:eastAsia="Arial" w:hAnsi="Arial"/>
          <w:sz w:val="21"/>
          <w:szCs w:val="21"/>
          <w:color w:val="auto"/>
        </w:rPr>
        <w:t>Santa Monica, CA 90405</w:t>
      </w:r>
    </w:p>
    <w:p>
      <w:pPr>
        <w:ind w:left="3160"/>
        <w:spacing w:after="0"/>
        <w:rPr>
          <w:sz w:val="20"/>
          <w:szCs w:val="20"/>
          <w:color w:val="auto"/>
        </w:rPr>
      </w:pPr>
      <w:r>
        <w:rPr>
          <w:rFonts w:ascii="Arial" w:cs="Arial" w:eastAsia="Arial" w:hAnsi="Arial"/>
          <w:sz w:val="21"/>
          <w:szCs w:val="21"/>
          <w:color w:val="auto"/>
        </w:rPr>
        <w:t>Attn: Stock Plan Administration</w:t>
      </w:r>
    </w:p>
    <w:p>
      <w:pPr>
        <w:spacing w:after="0" w:line="160" w:lineRule="exact"/>
        <w:rPr>
          <w:sz w:val="20"/>
          <w:szCs w:val="20"/>
          <w:color w:val="auto"/>
        </w:rPr>
      </w:pPr>
    </w:p>
    <w:p>
      <w:pPr>
        <w:ind w:left="320" w:hanging="315"/>
        <w:spacing w:after="0"/>
        <w:tabs>
          <w:tab w:leader="none" w:pos="3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01" w:lineRule="exact"/>
        <w:rPr>
          <w:rFonts w:ascii="Arial" w:cs="Arial" w:eastAsia="Arial" w:hAnsi="Arial"/>
          <w:sz w:val="19"/>
          <w:szCs w:val="19"/>
          <w:color w:val="auto"/>
        </w:rPr>
      </w:pPr>
    </w:p>
    <w:p>
      <w:pPr>
        <w:ind w:left="320" w:right="120" w:hanging="315"/>
        <w:spacing w:after="0" w:line="248" w:lineRule="auto"/>
        <w:tabs>
          <w:tab w:leader="none" w:pos="315" w:val="left"/>
        </w:tabs>
        <w:numPr>
          <w:ilvl w:val="0"/>
          <w:numId w:val="112"/>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5" w:lineRule="exact"/>
        <w:rPr>
          <w:rFonts w:ascii="Arial" w:cs="Arial" w:eastAsia="Arial" w:hAnsi="Arial"/>
          <w:sz w:val="19"/>
          <w:szCs w:val="19"/>
          <w:color w:val="auto"/>
        </w:rPr>
      </w:pPr>
    </w:p>
    <w:p>
      <w:pPr>
        <w:ind w:left="320" w:hanging="315"/>
        <w:spacing w:after="0" w:line="219" w:lineRule="auto"/>
        <w:tabs>
          <w:tab w:leader="none" w:pos="315" w:val="left"/>
        </w:tabs>
        <w:numPr>
          <w:ilvl w:val="0"/>
          <w:numId w:val="112"/>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______________________________________</w:t>
      </w:r>
    </w:p>
    <w:p>
      <w:pPr>
        <w:ind w:left="4100"/>
        <w:spacing w:after="0" w:line="208" w:lineRule="auto"/>
        <w:rPr>
          <w:sz w:val="20"/>
          <w:szCs w:val="20"/>
          <w:color w:val="auto"/>
        </w:rPr>
      </w:pPr>
      <w:r>
        <w:rPr>
          <w:rFonts w:ascii="Arial" w:cs="Arial" w:eastAsia="Arial" w:hAnsi="Arial"/>
          <w:sz w:val="21"/>
          <w:szCs w:val="21"/>
          <w:color w:val="auto"/>
        </w:rPr>
        <w:t>Julie Hodges</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 _________________________________</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w:t>
      </w:r>
    </w:p>
    <w:p>
      <w:pPr>
        <w:spacing w:after="0"/>
        <w:rPr>
          <w:sz w:val="20"/>
          <w:szCs w:val="20"/>
          <w:color w:val="auto"/>
        </w:rPr>
      </w:pPr>
      <w:r>
        <w:rPr>
          <w:rFonts w:ascii="Arial" w:cs="Arial" w:eastAsia="Arial" w:hAnsi="Arial"/>
          <w:sz w:val="21"/>
          <w:szCs w:val="21"/>
          <w:b w:val="1"/>
          <w:bCs w:val="1"/>
          <w:color w:val="auto"/>
        </w:rPr>
        <w:t>[Name of Grantee]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_________________________________</w:t>
      </w:r>
    </w:p>
    <w:p>
      <w:pPr>
        <w:sectPr>
          <w:pgSz w:w="11900" w:h="16838" w:orient="portrait"/>
          <w:cols w:equalWidth="0" w:num="1">
            <w:col w:w="11180"/>
          </w:cols>
          <w:pgMar w:left="320" w:top="1350" w:right="399" w:bottom="1440" w:gutter="0" w:footer="0" w:header="0"/>
        </w:sectPr>
      </w:pPr>
    </w:p>
    <w:bookmarkStart w:id="188" w:name="page189"/>
    <w:bookmarkEnd w:id="188"/>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0" w:lineRule="exact"/>
        <w:rPr>
          <w:sz w:val="20"/>
          <w:szCs w:val="20"/>
          <w:color w:val="auto"/>
        </w:rPr>
      </w:pPr>
    </w:p>
    <w:p>
      <w:pPr>
        <w:ind w:left="1260" w:hanging="626"/>
        <w:spacing w:after="0"/>
        <w:tabs>
          <w:tab w:leader="none" w:pos="126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firstLine="1259"/>
        <w:spacing w:after="0" w:line="23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 shall have the meaning given to such term in any employment agreement, service contract or offer letter</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Grantee and 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w:t>
      </w:r>
    </w:p>
    <w:p>
      <w:pPr>
        <w:spacing w:after="0" w:line="1" w:lineRule="exact"/>
        <w:rPr>
          <w:sz w:val="20"/>
          <w:szCs w:val="20"/>
          <w:color w:val="auto"/>
        </w:rPr>
      </w:pPr>
    </w:p>
    <w:p>
      <w:pPr>
        <w:ind w:right="80" w:firstLine="5"/>
        <w:spacing w:after="0" w:line="218" w:lineRule="auto"/>
        <w:tabs>
          <w:tab w:leader="none" w:pos="30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breached his or her fiduciary duties to the Company Group. Without limiting the generality of the foregoing, “cause” under clauses (i) and (ii) of the preceding sentence shall also mean a good faith belief by the Company, after investigation, that Grantee has engaged in harassment based on any legally protected category or has retaliated against anyone for reporting a concern or potential misconduct in good faith.</w:t>
      </w:r>
    </w:p>
    <w:p>
      <w:pPr>
        <w:spacing w:after="0" w:line="148"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10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189" w:name="page190"/>
    <w:bookmarkEnd w:id="189"/>
    <w:p>
      <w:pPr>
        <w:ind w:right="20"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120" w:firstLine="1259"/>
        <w:spacing w:after="0" w:line="238"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jc w:val="both"/>
        <w:ind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8" w:lineRule="exact"/>
        <w:rPr>
          <w:sz w:val="20"/>
          <w:szCs w:val="20"/>
          <w:color w:val="auto"/>
        </w:rPr>
      </w:pPr>
    </w:p>
    <w:p>
      <w:pPr>
        <w:ind w:right="6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8"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54" w:lineRule="exact"/>
        <w:rPr>
          <w:sz w:val="20"/>
          <w:szCs w:val="20"/>
          <w:color w:val="auto"/>
        </w:rPr>
      </w:pPr>
    </w:p>
    <w:p>
      <w:pPr>
        <w:ind w:left="1880" w:hanging="616"/>
        <w:spacing w:after="0"/>
        <w:tabs>
          <w:tab w:leader="none" w:pos="18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140" w:firstLine="634"/>
        <w:spacing w:after="0" w:line="236" w:lineRule="auto"/>
        <w:tabs>
          <w:tab w:leader="none" w:pos="1259"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Except as otherwise set forth in these Award Terms, the Restricted Share Units shall vest in accordance with the “Schedule for Vesting” set forth on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58" w:right="359" w:bottom="1440" w:gutter="0" w:footer="0" w:header="0"/>
        </w:sectPr>
      </w:pPr>
    </w:p>
    <w:bookmarkStart w:id="190" w:name="page191"/>
    <w:bookmarkEnd w:id="190"/>
    <w:p>
      <w:pPr>
        <w:ind w:right="320"/>
        <w:spacing w:after="0" w:line="236" w:lineRule="auto"/>
        <w:rPr>
          <w:sz w:val="20"/>
          <w:szCs w:val="20"/>
          <w:color w:val="auto"/>
        </w:rPr>
      </w:pPr>
      <w:r>
        <w:rPr>
          <w:rFonts w:ascii="Arial" w:cs="Arial" w:eastAsia="Arial" w:hAnsi="Arial"/>
          <w:sz w:val="21"/>
          <w:szCs w:val="21"/>
          <w:color w:val="auto"/>
        </w:rPr>
        <w:t>Notice. Each Restricted Share Unit, upon vesting thereof, shall entitle the holder thereof to receive one Common Share (subject to adjustment pursuant to Section 10 hereof).</w:t>
      </w:r>
    </w:p>
    <w:p>
      <w:pPr>
        <w:spacing w:after="0" w:line="155" w:lineRule="exact"/>
        <w:rPr>
          <w:sz w:val="20"/>
          <w:szCs w:val="20"/>
          <w:color w:val="auto"/>
        </w:rPr>
      </w:pPr>
    </w:p>
    <w:p>
      <w:pPr>
        <w:ind w:left="1260" w:hanging="626"/>
        <w:spacing w:after="0"/>
        <w:tabs>
          <w:tab w:leader="none" w:pos="1260"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2" w:lineRule="auto"/>
        <w:tabs>
          <w:tab w:leader="none" w:pos="1885" w:val="left"/>
        </w:tabs>
        <w:numPr>
          <w:ilvl w:val="2"/>
          <w:numId w:val="117"/>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jc w:val="both"/>
        <w:ind w:right="160" w:firstLine="1264"/>
        <w:spacing w:after="0" w:line="222" w:lineRule="auto"/>
        <w:tabs>
          <w:tab w:leader="none" w:pos="1884" w:val="left"/>
        </w:tabs>
        <w:numPr>
          <w:ilvl w:val="2"/>
          <w:numId w:val="117"/>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ind w:left="1260" w:hanging="626"/>
        <w:spacing w:after="0"/>
        <w:tabs>
          <w:tab w:leader="none" w:pos="1260"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23" w:lineRule="auto"/>
        <w:tabs>
          <w:tab w:leader="none" w:pos="1885" w:val="left"/>
        </w:tabs>
        <w:numPr>
          <w:ilvl w:val="2"/>
          <w:numId w:val="117"/>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63" w:lineRule="exact"/>
        <w:rPr>
          <w:rFonts w:ascii="Arial" w:cs="Arial" w:eastAsia="Arial" w:hAnsi="Arial"/>
          <w:sz w:val="20"/>
          <w:szCs w:val="20"/>
          <w:color w:val="auto"/>
        </w:rPr>
      </w:pPr>
    </w:p>
    <w:p>
      <w:pPr>
        <w:ind w:right="120" w:firstLine="1264"/>
        <w:spacing w:after="0" w:line="232" w:lineRule="auto"/>
        <w:tabs>
          <w:tab w:leader="none" w:pos="1884" w:val="left"/>
        </w:tabs>
        <w:numPr>
          <w:ilvl w:val="2"/>
          <w:numId w:val="117"/>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w:t>
      </w:r>
    </w:p>
    <w:p>
      <w:pPr>
        <w:spacing w:after="0" w:line="4" w:lineRule="exact"/>
        <w:rPr>
          <w:rFonts w:ascii="Arial" w:cs="Arial" w:eastAsia="Arial" w:hAnsi="Arial"/>
          <w:sz w:val="19"/>
          <w:szCs w:val="19"/>
          <w:color w:val="auto"/>
        </w:rPr>
      </w:pPr>
    </w:p>
    <w:p>
      <w:pPr>
        <w:ind w:right="140" w:firstLine="5"/>
        <w:spacing w:after="0" w:line="221" w:lineRule="auto"/>
        <w:tabs>
          <w:tab w:leader="none" w:pos="30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A-3</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191" w:name="page192"/>
    <w:bookmarkEnd w:id="191"/>
    <w:p>
      <w:pPr>
        <w:ind w:right="140" w:firstLine="1264"/>
        <w:spacing w:after="0" w:line="224" w:lineRule="auto"/>
        <w:tabs>
          <w:tab w:leader="none" w:pos="1885" w:val="left"/>
        </w:tabs>
        <w:numPr>
          <w:ilvl w:val="2"/>
          <w:numId w:val="119"/>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155" w:lineRule="exact"/>
        <w:rPr>
          <w:rFonts w:ascii="Arial" w:cs="Arial" w:eastAsia="Arial" w:hAnsi="Arial"/>
          <w:sz w:val="20"/>
          <w:szCs w:val="20"/>
          <w:color w:val="auto"/>
        </w:rPr>
      </w:pPr>
    </w:p>
    <w:p>
      <w:pPr>
        <w:ind w:right="300" w:firstLine="634"/>
        <w:spacing w:after="0" w:line="239" w:lineRule="auto"/>
        <w:tabs>
          <w:tab w:leader="none" w:pos="1259" w:val="left"/>
        </w:tabs>
        <w:numPr>
          <w:ilvl w:val="1"/>
          <w:numId w:val="120"/>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20" w:firstLine="634"/>
        <w:spacing w:after="0" w:line="257" w:lineRule="auto"/>
        <w:tabs>
          <w:tab w:leader="none" w:pos="1259" w:val="left"/>
        </w:tabs>
        <w:numPr>
          <w:ilvl w:val="1"/>
          <w:numId w:val="120"/>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20" w:firstLine="634"/>
        <w:spacing w:after="0" w:line="257" w:lineRule="auto"/>
        <w:tabs>
          <w:tab w:leader="none" w:pos="1259" w:val="left"/>
        </w:tabs>
        <w:numPr>
          <w:ilvl w:val="1"/>
          <w:numId w:val="12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firstLine="634"/>
        <w:spacing w:after="0" w:line="239" w:lineRule="auto"/>
        <w:tabs>
          <w:tab w:leader="none" w:pos="1259"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5" w:lineRule="exact"/>
        <w:rPr>
          <w:rFonts w:ascii="Arial" w:cs="Arial" w:eastAsia="Arial" w:hAnsi="Arial"/>
          <w:sz w:val="19"/>
          <w:szCs w:val="19"/>
          <w:color w:val="auto"/>
        </w:rPr>
      </w:pPr>
    </w:p>
    <w:p>
      <w:pPr>
        <w:ind w:left="1260" w:hanging="626"/>
        <w:spacing w:after="0"/>
        <w:tabs>
          <w:tab w:leader="none" w:pos="1260"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20" w:firstLine="5"/>
        <w:spacing w:after="0" w:line="222" w:lineRule="auto"/>
        <w:tabs>
          <w:tab w:leader="none" w:pos="28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A-4</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64" w:right="37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interpretations thereof, or (iii) to prevent the Award from becoming subject to any adverse consequences under Section 409A.</w:t>
      </w:r>
    </w:p>
    <w:p>
      <w:pPr>
        <w:spacing w:after="0" w:line="190" w:lineRule="exact"/>
        <w:rPr>
          <w:sz w:val="20"/>
          <w:szCs w:val="20"/>
          <w:color w:val="auto"/>
        </w:rPr>
      </w:pPr>
    </w:p>
    <w:p>
      <w:pPr>
        <w:ind w:firstLine="634"/>
        <w:spacing w:after="0" w:line="225" w:lineRule="auto"/>
        <w:tabs>
          <w:tab w:leader="none" w:pos="1259"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7" w:lineRule="exact"/>
        <w:rPr>
          <w:rFonts w:ascii="Arial" w:cs="Arial" w:eastAsia="Arial" w:hAnsi="Arial"/>
          <w:sz w:val="20"/>
          <w:szCs w:val="20"/>
          <w:color w:val="auto"/>
        </w:rPr>
      </w:pPr>
    </w:p>
    <w:p>
      <w:pPr>
        <w:ind w:right="40" w:firstLine="634"/>
        <w:spacing w:after="0" w:line="235" w:lineRule="auto"/>
        <w:tabs>
          <w:tab w:leader="none" w:pos="1251"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0" w:lineRule="exact"/>
        <w:rPr>
          <w:rFonts w:ascii="Arial" w:cs="Arial" w:eastAsia="Arial" w:hAnsi="Arial"/>
          <w:sz w:val="19"/>
          <w:szCs w:val="19"/>
          <w:color w:val="auto"/>
        </w:rPr>
      </w:pPr>
    </w:p>
    <w:p>
      <w:pPr>
        <w:ind w:right="60" w:firstLine="634"/>
        <w:spacing w:after="0" w:line="227" w:lineRule="auto"/>
        <w:tabs>
          <w:tab w:leader="none" w:pos="1259"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40" w:firstLine="1264"/>
        <w:spacing w:after="0" w:line="227" w:lineRule="auto"/>
        <w:tabs>
          <w:tab w:leader="none" w:pos="1885" w:val="left"/>
        </w:tabs>
        <w:numPr>
          <w:ilvl w:val="1"/>
          <w:numId w:val="122"/>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A-5</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193" w:name="page194"/>
    <w:bookmarkEnd w:id="193"/>
    <w:p>
      <w:pPr>
        <w:ind w:right="40" w:firstLine="1264"/>
        <w:spacing w:after="0" w:line="227" w:lineRule="auto"/>
        <w:tabs>
          <w:tab w:leader="none" w:pos="1884"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54" w:lineRule="exact"/>
        <w:rPr>
          <w:rFonts w:ascii="Arial" w:cs="Arial" w:eastAsia="Arial" w:hAnsi="Arial"/>
          <w:sz w:val="21"/>
          <w:szCs w:val="21"/>
          <w:color w:val="auto"/>
        </w:rPr>
      </w:pPr>
    </w:p>
    <w:p>
      <w:pPr>
        <w:ind w:right="220" w:firstLine="1264"/>
        <w:spacing w:after="0" w:line="227" w:lineRule="auto"/>
        <w:tabs>
          <w:tab w:leader="none" w:pos="1885" w:val="left"/>
        </w:tabs>
        <w:numPr>
          <w:ilvl w:val="1"/>
          <w:numId w:val="123"/>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60" w:firstLine="1264"/>
        <w:spacing w:after="0" w:line="236" w:lineRule="auto"/>
        <w:tabs>
          <w:tab w:leader="none" w:pos="1885"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right="160" w:firstLine="1264"/>
        <w:spacing w:after="0" w:line="230" w:lineRule="auto"/>
        <w:tabs>
          <w:tab w:leader="none" w:pos="1884" w:val="left"/>
        </w:tabs>
        <w:numPr>
          <w:ilvl w:val="1"/>
          <w:numId w:val="124"/>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firstLine="1264"/>
        <w:spacing w:after="0" w:line="215" w:lineRule="auto"/>
        <w:tabs>
          <w:tab w:leader="none" w:pos="1885" w:val="left"/>
        </w:tabs>
        <w:numPr>
          <w:ilvl w:val="1"/>
          <w:numId w:val="124"/>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194" w:name="page195"/>
    <w:bookmarkEnd w:id="194"/>
    <w:p>
      <w:pPr>
        <w:ind w:right="80" w:firstLine="634"/>
        <w:spacing w:after="0" w:line="236" w:lineRule="auto"/>
        <w:tabs>
          <w:tab w:leader="none" w:pos="1259"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2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20" w:firstLine="634"/>
        <w:spacing w:after="0" w:line="222" w:lineRule="auto"/>
        <w:tabs>
          <w:tab w:leader="none" w:pos="1259"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55" w:lineRule="exact"/>
        <w:rPr>
          <w:rFonts w:ascii="Arial" w:cs="Arial" w:eastAsia="Arial" w:hAnsi="Arial"/>
          <w:sz w:val="21"/>
          <w:szCs w:val="21"/>
          <w:color w:val="auto"/>
        </w:rPr>
      </w:pPr>
    </w:p>
    <w:p>
      <w:pPr>
        <w:ind w:right="40" w:firstLine="634"/>
        <w:spacing w:after="0" w:line="222" w:lineRule="auto"/>
        <w:tabs>
          <w:tab w:leader="none" w:pos="1259"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16" w:lineRule="auto"/>
        <w:tabs>
          <w:tab w:leader="none" w:pos="188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1"/>
          <w:szCs w:val="21"/>
          <w:color w:val="auto"/>
        </w:rPr>
      </w:pPr>
    </w:p>
    <w:p>
      <w:pPr>
        <w:ind w:firstLine="1264"/>
        <w:spacing w:after="0" w:line="227" w:lineRule="auto"/>
        <w:tabs>
          <w:tab w:leader="none" w:pos="1884" w:val="left"/>
        </w:tabs>
        <w:numPr>
          <w:ilvl w:val="1"/>
          <w:numId w:val="126"/>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4" w:lineRule="exact"/>
        <w:rPr>
          <w:rFonts w:ascii="Arial" w:cs="Arial" w:eastAsia="Arial" w:hAnsi="Arial"/>
          <w:sz w:val="21"/>
          <w:szCs w:val="21"/>
          <w:color w:val="auto"/>
        </w:rPr>
      </w:pPr>
    </w:p>
    <w:p>
      <w:pPr>
        <w:ind w:right="20" w:firstLine="634"/>
        <w:spacing w:after="0" w:line="227" w:lineRule="auto"/>
        <w:tabs>
          <w:tab w:leader="none" w:pos="1259"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the Grant Notice and these Award Terms shall be binding upon and inure to the benefit of the Company, its successors and assigns, and Grantee and, to the extent applicable, Grantee’s permitted assigns under Section 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195" w:name="page196"/>
    <w:bookmarkEnd w:id="195"/>
    <w:p>
      <w:pPr>
        <w:spacing w:after="0"/>
        <w:rPr>
          <w:sz w:val="20"/>
          <w:szCs w:val="20"/>
          <w:color w:val="auto"/>
        </w:rPr>
      </w:pPr>
      <w:r>
        <w:rPr>
          <w:rFonts w:ascii="Arial" w:cs="Arial" w:eastAsia="Arial" w:hAnsi="Arial"/>
          <w:sz w:val="21"/>
          <w:szCs w:val="21"/>
          <w:color w:val="auto"/>
        </w:rPr>
        <w:t>and Grantee’s estate or beneficiaries as determined by will or the laws of descent and distribution.</w:t>
      </w:r>
    </w:p>
    <w:p>
      <w:pPr>
        <w:spacing w:after="0" w:line="178" w:lineRule="exact"/>
        <w:rPr>
          <w:sz w:val="20"/>
          <w:szCs w:val="20"/>
          <w:color w:val="auto"/>
        </w:rPr>
      </w:pPr>
    </w:p>
    <w:p>
      <w:pPr>
        <w:ind w:left="1260" w:hanging="626"/>
        <w:spacing w:after="0"/>
        <w:tabs>
          <w:tab w:leader="none" w:pos="1260"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30" w:lineRule="auto"/>
        <w:tabs>
          <w:tab w:leader="none" w:pos="1885"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Grantee may designate in writing from time to time. Notices shall be effective upon delivery.</w:t>
      </w:r>
    </w:p>
    <w:p>
      <w:pPr>
        <w:spacing w:after="0" w:line="156" w:lineRule="exact"/>
        <w:rPr>
          <w:rFonts w:ascii="Arial" w:cs="Arial" w:eastAsia="Arial" w:hAnsi="Arial"/>
          <w:sz w:val="20"/>
          <w:szCs w:val="20"/>
          <w:color w:val="auto"/>
        </w:rPr>
      </w:pPr>
    </w:p>
    <w:p>
      <w:pPr>
        <w:ind w:firstLine="1264"/>
        <w:spacing w:after="0" w:line="214" w:lineRule="auto"/>
        <w:tabs>
          <w:tab w:leader="none" w:pos="1884"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0" w:lineRule="exact"/>
        <w:rPr>
          <w:rFonts w:ascii="Arial" w:cs="Arial" w:eastAsia="Arial" w:hAnsi="Arial"/>
          <w:sz w:val="21"/>
          <w:szCs w:val="21"/>
          <w:color w:val="auto"/>
        </w:rPr>
      </w:pPr>
    </w:p>
    <w:p>
      <w:pPr>
        <w:ind w:right="460" w:firstLine="634"/>
        <w:spacing w:after="0" w:line="236" w:lineRule="auto"/>
        <w:tabs>
          <w:tab w:leader="none" w:pos="1259"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40" w:firstLine="634"/>
        <w:spacing w:after="0" w:line="217" w:lineRule="auto"/>
        <w:tabs>
          <w:tab w:leader="none" w:pos="1259"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8" w:lineRule="exact"/>
        <w:rPr>
          <w:rFonts w:ascii="Arial" w:cs="Arial" w:eastAsia="Arial" w:hAnsi="Arial"/>
          <w:sz w:val="21"/>
          <w:szCs w:val="21"/>
          <w:color w:val="auto"/>
        </w:rPr>
      </w:pPr>
    </w:p>
    <w:p>
      <w:pPr>
        <w:ind w:right="240" w:firstLine="634"/>
        <w:spacing w:after="0" w:line="266" w:lineRule="auto"/>
        <w:tabs>
          <w:tab w:leader="none" w:pos="125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31" w:lineRule="exact"/>
        <w:rPr>
          <w:rFonts w:ascii="Arial" w:cs="Arial" w:eastAsia="Arial" w:hAnsi="Arial"/>
          <w:sz w:val="18"/>
          <w:szCs w:val="18"/>
          <w:color w:val="auto"/>
        </w:rPr>
      </w:pPr>
    </w:p>
    <w:p>
      <w:pPr>
        <w:ind w:right="20" w:firstLine="634"/>
        <w:spacing w:after="0" w:line="227" w:lineRule="auto"/>
        <w:tabs>
          <w:tab w:leader="none" w:pos="1259"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A-8</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64" w:right="3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APPENDIX</w:t>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right="200"/>
        <w:spacing w:after="0" w:line="227"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5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8"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84" w:lineRule="exact"/>
        <w:rPr>
          <w:sz w:val="20"/>
          <w:szCs w:val="20"/>
          <w:color w:val="auto"/>
        </w:rPr>
      </w:pPr>
    </w:p>
    <w:p>
      <w:pPr>
        <w:ind w:right="200" w:firstLine="5"/>
        <w:spacing w:after="0" w:line="257" w:lineRule="auto"/>
        <w:tabs>
          <w:tab w:leader="none" w:pos="31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197" w:name="page198"/>
    <w:bookmarkEnd w:id="197"/>
    <w:p>
      <w:pPr>
        <w:spacing w:after="0" w:line="160" w:lineRule="exact"/>
        <w:rPr>
          <w:sz w:val="20"/>
          <w:szCs w:val="20"/>
          <w:color w:val="auto"/>
        </w:rPr>
      </w:pPr>
    </w:p>
    <w:p>
      <w:pPr>
        <w:jc w:val="both"/>
        <w:ind w:right="120" w:firstLine="5"/>
        <w:spacing w:after="0" w:line="227" w:lineRule="auto"/>
        <w:tabs>
          <w:tab w:leader="none" w:pos="31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80" w:lineRule="exact"/>
        <w:rPr>
          <w:rFonts w:ascii="Arial" w:cs="Arial" w:eastAsia="Arial" w:hAnsi="Arial"/>
          <w:sz w:val="21"/>
          <w:szCs w:val="21"/>
          <w:color w:val="auto"/>
        </w:rPr>
      </w:pPr>
    </w:p>
    <w:p>
      <w:pPr>
        <w:ind w:right="820" w:firstLine="5"/>
        <w:spacing w:after="0" w:line="236" w:lineRule="auto"/>
        <w:tabs>
          <w:tab w:leader="none" w:pos="31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all decisions with respect to future grants of rights to receive Common Shares, if any, will be at the sole discretion of the Company;</w:t>
      </w:r>
    </w:p>
    <w:p>
      <w:pPr>
        <w:spacing w:after="0" w:line="180" w:lineRule="exact"/>
        <w:rPr>
          <w:rFonts w:ascii="Arial" w:cs="Arial" w:eastAsia="Arial" w:hAnsi="Arial"/>
          <w:sz w:val="21"/>
          <w:szCs w:val="21"/>
          <w:color w:val="auto"/>
        </w:rPr>
      </w:pPr>
    </w:p>
    <w:p>
      <w:pPr>
        <w:ind w:left="320" w:hanging="315"/>
        <w:spacing w:after="0"/>
        <w:tabs>
          <w:tab w:leader="none" w:pos="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204" w:lineRule="exact"/>
        <w:rPr>
          <w:rFonts w:ascii="Arial" w:cs="Arial" w:eastAsia="Arial" w:hAnsi="Arial"/>
          <w:sz w:val="21"/>
          <w:szCs w:val="21"/>
          <w:color w:val="auto"/>
        </w:rPr>
      </w:pPr>
    </w:p>
    <w:p>
      <w:pPr>
        <w:ind w:right="100" w:firstLine="5"/>
        <w:spacing w:after="0" w:line="233" w:lineRule="auto"/>
        <w:tabs>
          <w:tab w:leader="none" w:pos="31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82" w:lineRule="exact"/>
        <w:rPr>
          <w:rFonts w:ascii="Arial" w:cs="Arial" w:eastAsia="Arial" w:hAnsi="Arial"/>
          <w:sz w:val="20"/>
          <w:szCs w:val="20"/>
          <w:color w:val="auto"/>
        </w:rPr>
      </w:pPr>
    </w:p>
    <w:p>
      <w:pPr>
        <w:ind w:right="220" w:firstLine="5"/>
        <w:spacing w:after="0" w:line="236" w:lineRule="auto"/>
        <w:tabs>
          <w:tab w:leader="none" w:pos="31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80" w:lineRule="exact"/>
        <w:rPr>
          <w:rFonts w:ascii="Arial" w:cs="Arial" w:eastAsia="Arial" w:hAnsi="Arial"/>
          <w:sz w:val="21"/>
          <w:szCs w:val="21"/>
          <w:color w:val="auto"/>
        </w:rPr>
      </w:pPr>
    </w:p>
    <w:p>
      <w:pPr>
        <w:ind w:right="220" w:firstLine="5"/>
        <w:spacing w:after="0" w:line="233" w:lineRule="auto"/>
        <w:tabs>
          <w:tab w:leader="none" w:pos="31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2" w:lineRule="exact"/>
        <w:rPr>
          <w:rFonts w:ascii="Arial" w:cs="Arial" w:eastAsia="Arial" w:hAnsi="Arial"/>
          <w:sz w:val="20"/>
          <w:szCs w:val="20"/>
          <w:color w:val="auto"/>
        </w:rPr>
      </w:pPr>
    </w:p>
    <w:p>
      <w:pPr>
        <w:ind w:right="240" w:firstLine="5"/>
        <w:spacing w:after="0" w:line="238" w:lineRule="auto"/>
        <w:tabs>
          <w:tab w:leader="none" w:pos="31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81" w:lineRule="exact"/>
        <w:rPr>
          <w:rFonts w:ascii="Arial" w:cs="Arial" w:eastAsia="Arial" w:hAnsi="Arial"/>
          <w:sz w:val="20"/>
          <w:szCs w:val="20"/>
          <w:color w:val="auto"/>
        </w:rPr>
      </w:pPr>
    </w:p>
    <w:p>
      <w:pPr>
        <w:ind w:left="620" w:hanging="379"/>
        <w:spacing w:after="0"/>
        <w:tabs>
          <w:tab w:leader="none" w:pos="62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204" w:lineRule="exact"/>
        <w:rPr>
          <w:rFonts w:ascii="Arial" w:cs="Arial" w:eastAsia="Arial" w:hAnsi="Arial"/>
          <w:sz w:val="21"/>
          <w:szCs w:val="21"/>
          <w:color w:val="auto"/>
        </w:rPr>
      </w:pPr>
    </w:p>
    <w:p>
      <w:pPr>
        <w:jc w:val="both"/>
        <w:ind w:firstLine="241"/>
        <w:spacing w:after="0" w:line="227" w:lineRule="auto"/>
        <w:tabs>
          <w:tab w:leader="none" w:pos="625" w:val="left"/>
        </w:tabs>
        <w:numPr>
          <w:ilvl w:val="1"/>
          <w:numId w:val="129"/>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80" w:lineRule="exact"/>
        <w:rPr>
          <w:rFonts w:ascii="Arial" w:cs="Arial" w:eastAsia="Arial" w:hAnsi="Arial"/>
          <w:sz w:val="21"/>
          <w:szCs w:val="21"/>
          <w:color w:val="auto"/>
        </w:rPr>
      </w:pPr>
    </w:p>
    <w:p>
      <w:pPr>
        <w:ind w:right="20" w:firstLine="241"/>
        <w:spacing w:after="0" w:line="248" w:lineRule="auto"/>
        <w:tabs>
          <w:tab w:leader="none" w:pos="617" w:val="left"/>
        </w:tabs>
        <w:numPr>
          <w:ilvl w:val="1"/>
          <w:numId w:val="129"/>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72" w:lineRule="exact"/>
        <w:rPr>
          <w:rFonts w:ascii="Arial" w:cs="Arial" w:eastAsia="Arial" w:hAnsi="Arial"/>
          <w:sz w:val="19"/>
          <w:szCs w:val="19"/>
          <w:color w:val="auto"/>
        </w:rPr>
      </w:pPr>
    </w:p>
    <w:p>
      <w:pPr>
        <w:ind w:right="280" w:firstLine="241"/>
        <w:spacing w:after="0" w:line="233" w:lineRule="auto"/>
        <w:tabs>
          <w:tab w:leader="none" w:pos="625" w:val="left"/>
        </w:tabs>
        <w:numPr>
          <w:ilvl w:val="1"/>
          <w:numId w:val="129"/>
        </w:numPr>
        <w:rPr>
          <w:rFonts w:ascii="Arial" w:cs="Arial" w:eastAsia="Arial" w:hAnsi="Arial"/>
          <w:sz w:val="20"/>
          <w:szCs w:val="20"/>
          <w:color w:val="auto"/>
        </w:rPr>
      </w:pPr>
      <w:r>
        <w:rPr>
          <w:rFonts w:ascii="Arial" w:cs="Arial" w:eastAsia="Arial" w:hAnsi="Arial"/>
          <w:sz w:val="20"/>
          <w:szCs w:val="20"/>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440" w:right="339" w:bottom="1440" w:gutter="0" w:footer="0" w:header="0"/>
        </w:sectPr>
      </w:pPr>
    </w:p>
    <w:bookmarkStart w:id="198" w:name="page199"/>
    <w:bookmarkEnd w:id="198"/>
    <w:p>
      <w:pPr>
        <w:ind w:right="120"/>
        <w:spacing w:after="0" w:line="219" w:lineRule="auto"/>
        <w:rPr>
          <w:sz w:val="20"/>
          <w:szCs w:val="20"/>
          <w:color w:val="auto"/>
        </w:rPr>
      </w:pPr>
      <w:r>
        <w:rPr>
          <w:rFonts w:ascii="Arial" w:cs="Arial" w:eastAsia="Arial" w:hAnsi="Arial"/>
          <w:sz w:val="21"/>
          <w:szCs w:val="21"/>
          <w:color w:val="auto"/>
        </w:rPr>
        <w:t>Restricted Share Units under the Plan, if any, will terminate effective as of the date that Grantee is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83" w:lineRule="exact"/>
        <w:rPr>
          <w:sz w:val="20"/>
          <w:szCs w:val="20"/>
          <w:color w:val="auto"/>
        </w:rPr>
      </w:pPr>
    </w:p>
    <w:p>
      <w:pPr>
        <w:ind w:right="80" w:firstLine="241"/>
        <w:spacing w:after="0" w:line="257" w:lineRule="auto"/>
        <w:tabs>
          <w:tab w:leader="none" w:pos="62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3" w:lineRule="exact"/>
        <w:rPr>
          <w:rFonts w:ascii="Arial" w:cs="Arial" w:eastAsia="Arial" w:hAnsi="Arial"/>
          <w:sz w:val="20"/>
          <w:szCs w:val="20"/>
          <w:color w:val="auto"/>
        </w:rPr>
      </w:pPr>
    </w:p>
    <w:p>
      <w:pPr>
        <w:ind w:right="120" w:firstLine="241"/>
        <w:spacing w:after="0" w:line="236" w:lineRule="auto"/>
        <w:tabs>
          <w:tab w:leader="none" w:pos="62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80" w:lineRule="exact"/>
        <w:rPr>
          <w:rFonts w:ascii="Arial" w:cs="Arial" w:eastAsia="Arial" w:hAnsi="Arial"/>
          <w:sz w:val="21"/>
          <w:szCs w:val="21"/>
          <w:color w:val="auto"/>
        </w:rPr>
      </w:pPr>
    </w:p>
    <w:p>
      <w:pPr>
        <w:ind w:right="60" w:firstLine="241"/>
        <w:spacing w:after="0" w:line="222" w:lineRule="auto"/>
        <w:tabs>
          <w:tab w:leader="none" w:pos="62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81" w:lineRule="exact"/>
        <w:rPr>
          <w:rFonts w:ascii="Arial" w:cs="Arial" w:eastAsia="Arial" w:hAnsi="Arial"/>
          <w:sz w:val="21"/>
          <w:szCs w:val="21"/>
          <w:color w:val="auto"/>
        </w:rPr>
      </w:pPr>
    </w:p>
    <w:p>
      <w:pPr>
        <w:jc w:val="both"/>
        <w:ind w:firstLine="241"/>
        <w:spacing w:after="0" w:line="222" w:lineRule="auto"/>
        <w:tabs>
          <w:tab w:leader="none" w:pos="62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6"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color w:val="auto"/>
        </w:rPr>
        <w:t>Foreign Asset/Account Reporting Requirements</w:t>
      </w:r>
      <w:r>
        <w:rPr>
          <w:rFonts w:ascii="Arial" w:cs="Arial" w:eastAsia="Arial" w:hAnsi="Arial"/>
          <w:sz w:val="20"/>
          <w:szCs w:val="20"/>
          <w:color w:val="auto"/>
        </w:rPr>
        <w:t>. Grantee acknowledges that there may be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74" w:lineRule="exact"/>
        <w:rPr>
          <w:sz w:val="20"/>
          <w:szCs w:val="20"/>
          <w:color w:val="auto"/>
        </w:rPr>
      </w:pPr>
    </w:p>
    <w:p>
      <w:pPr>
        <w:ind w:right="60"/>
        <w:spacing w:after="0" w:line="221"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178" w:lineRule="exact"/>
        <w:rPr>
          <w:sz w:val="20"/>
          <w:szCs w:val="20"/>
          <w:color w:val="auto"/>
        </w:rPr>
      </w:pPr>
    </w:p>
    <w:p>
      <w:pPr>
        <w:jc w:val="both"/>
        <w:ind w:right="140"/>
        <w:spacing w:after="0" w:line="229"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form, of Grantee’s personal data as described in the Grant Notice and these Award Terms by and among, as applicable, the Employer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64" w:right="379" w:bottom="1440" w:gutter="0" w:footer="0" w:header="0"/>
        </w:sectPr>
      </w:pPr>
    </w:p>
    <w:bookmarkStart w:id="199" w:name="page200"/>
    <w:bookmarkEnd w:id="199"/>
    <w:p>
      <w:pPr>
        <w:spacing w:after="0" w:line="236" w:lineRule="auto"/>
        <w:rPr>
          <w:sz w:val="20"/>
          <w:szCs w:val="20"/>
          <w:color w:val="auto"/>
        </w:rPr>
      </w:pPr>
      <w:r>
        <w:rPr>
          <w:rFonts w:ascii="Arial" w:cs="Arial" w:eastAsia="Arial" w:hAnsi="Arial"/>
          <w:sz w:val="21"/>
          <w:szCs w:val="21"/>
          <w:color w:val="auto"/>
        </w:rPr>
        <w:t>other entity in the Company Group for the exclusive purpose of implementing, administering and managing Grantee’s participation in the Plan.</w:t>
      </w:r>
    </w:p>
    <w:p>
      <w:pPr>
        <w:spacing w:after="0" w:line="149"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52"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9"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1" w:lineRule="exact"/>
        <w:rPr>
          <w:sz w:val="20"/>
          <w:szCs w:val="20"/>
          <w:color w:val="auto"/>
        </w:rPr>
      </w:pPr>
    </w:p>
    <w:p>
      <w:pPr>
        <w:jc w:val="both"/>
        <w:ind w:right="760"/>
        <w:spacing w:after="0" w:line="229"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name, home address and telephone number, email address, date of birth, social insurance, passport number or other identification number,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B-4</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200" w:name="page201"/>
    <w:bookmarkEnd w:id="200"/>
    <w:p>
      <w:pPr>
        <w:ind w:right="140"/>
        <w:spacing w:after="0" w:line="222" w:lineRule="auto"/>
        <w:rPr>
          <w:sz w:val="20"/>
          <w:szCs w:val="20"/>
          <w:color w:val="auto"/>
        </w:rPr>
      </w:pPr>
      <w:r>
        <w:rPr>
          <w:rFonts w:ascii="Arial" w:cs="Arial" w:eastAsia="Arial" w:hAnsi="Arial"/>
          <w:sz w:val="21"/>
          <w:szCs w:val="21"/>
          <w:color w:val="auto"/>
        </w:rPr>
        <w:t>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50"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48" w:lineRule="exact"/>
        <w:rPr>
          <w:sz w:val="20"/>
          <w:szCs w:val="20"/>
          <w:color w:val="auto"/>
        </w:rPr>
      </w:pPr>
    </w:p>
    <w:p>
      <w:pPr>
        <w:ind w:right="40"/>
        <w:spacing w:after="0" w:line="221"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3" w:lineRule="exact"/>
        <w:rPr>
          <w:sz w:val="20"/>
          <w:szCs w:val="20"/>
          <w:color w:val="auto"/>
        </w:rPr>
      </w:pPr>
    </w:p>
    <w:p>
      <w:pPr>
        <w:ind w:right="260"/>
        <w:spacing w:after="0" w:line="217" w:lineRule="auto"/>
        <w:rPr>
          <w:sz w:val="20"/>
          <w:szCs w:val="20"/>
          <w:color w:val="auto"/>
        </w:rPr>
      </w:pPr>
      <w:r>
        <w:rPr>
          <w:rFonts w:ascii="Arial" w:cs="Arial" w:eastAsia="Arial" w:hAnsi="Arial"/>
          <w:sz w:val="21"/>
          <w:szCs w:val="21"/>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53"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44" w:lineRule="exact"/>
        <w:rPr>
          <w:sz w:val="20"/>
          <w:szCs w:val="20"/>
          <w:color w:val="auto"/>
        </w:rPr>
      </w:pPr>
    </w:p>
    <w:p>
      <w:pPr>
        <w:ind w:right="400"/>
        <w:spacing w:after="0" w:line="239" w:lineRule="auto"/>
        <w:rPr>
          <w:sz w:val="20"/>
          <w:szCs w:val="20"/>
          <w:color w:val="auto"/>
        </w:rPr>
      </w:pPr>
      <w:r>
        <w:rPr>
          <w:rFonts w:ascii="Arial" w:cs="Arial" w:eastAsia="Arial" w:hAnsi="Arial"/>
          <w:sz w:val="21"/>
          <w:szCs w:val="21"/>
          <w:b w:val="1"/>
          <w:bCs w:val="1"/>
          <w:color w:val="auto"/>
        </w:rPr>
        <w:t>Grantee’s Rights</w:t>
      </w:r>
      <w:r>
        <w:rPr>
          <w:rFonts w:ascii="Arial" w:cs="Arial" w:eastAsia="Arial" w:hAnsi="Arial"/>
          <w:sz w:val="21"/>
          <w:szCs w:val="21"/>
          <w:color w:val="auto"/>
        </w:rPr>
        <w:t>. To the extent provided by law, Grantee has the right to (i) inquire whether and what kind of Personal Data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holds about Grantee and how it is processed,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64" w:right="359" w:bottom="1440" w:gutter="0" w:footer="0" w:header="0"/>
        </w:sectPr>
      </w:pPr>
    </w:p>
    <w:bookmarkStart w:id="201" w:name="page202"/>
    <w:bookmarkEnd w:id="201"/>
    <w:p>
      <w:pPr>
        <w:ind w:right="60"/>
        <w:spacing w:after="0" w:line="224" w:lineRule="auto"/>
        <w:rPr>
          <w:sz w:val="20"/>
          <w:szCs w:val="20"/>
          <w:color w:val="auto"/>
        </w:rPr>
      </w:pPr>
      <w:r>
        <w:rPr>
          <w:rFonts w:ascii="Arial" w:cs="Arial" w:eastAsia="Arial" w:hAnsi="Arial"/>
          <w:sz w:val="20"/>
          <w:szCs w:val="20"/>
          <w:color w:val="auto"/>
        </w:rPr>
        <w:t>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5" w:lineRule="exact"/>
        <w:rPr>
          <w:sz w:val="20"/>
          <w:szCs w:val="20"/>
          <w:color w:val="auto"/>
        </w:rPr>
      </w:pPr>
    </w:p>
    <w:p>
      <w:pPr>
        <w:spacing w:after="0" w:line="216" w:lineRule="auto"/>
        <w:rPr>
          <w:sz w:val="20"/>
          <w:szCs w:val="20"/>
          <w:color w:val="auto"/>
        </w:rPr>
      </w:pPr>
      <w:r>
        <w:rPr>
          <w:rFonts w:ascii="Arial" w:cs="Arial" w:eastAsia="Arial" w:hAnsi="Arial"/>
          <w:sz w:val="21"/>
          <w:szCs w:val="21"/>
          <w:b w:val="1"/>
          <w:bCs w:val="1"/>
          <w:color w:val="auto"/>
        </w:rPr>
        <w:t>Contractual Requirement</w:t>
      </w:r>
      <w:r>
        <w:rPr>
          <w:rFonts w:ascii="Arial" w:cs="Arial" w:eastAsia="Arial" w:hAnsi="Arial"/>
          <w:sz w:val="21"/>
          <w:szCs w:val="21"/>
          <w:color w:val="auto"/>
        </w:rPr>
        <w:t>. Grantee’s provision of Personal Data and its processing as described above is a contractual requirement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B-6</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202" w:name="page203"/>
    <w:bookmarkEnd w:id="202"/>
    <w:p>
      <w:pPr>
        <w:ind w:left="4580"/>
        <w:spacing w:after="0"/>
        <w:rPr>
          <w:sz w:val="20"/>
          <w:szCs w:val="20"/>
          <w:color w:val="auto"/>
        </w:rPr>
      </w:pPr>
      <w:r>
        <w:rPr>
          <w:rFonts w:ascii="Arial" w:cs="Arial" w:eastAsia="Arial" w:hAnsi="Arial"/>
          <w:sz w:val="21"/>
          <w:szCs w:val="21"/>
          <w:b w:val="1"/>
          <w:bCs w:val="1"/>
          <w:color w:val="auto"/>
        </w:rPr>
        <w:t>Appendix for Australia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grant of Restricted Share Units under the Plan is intended to comply with the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Act 2001, ASIC Regulatory Guide 49 and ASIC Class Order CO 14/1000. Additional details are set forth in the Australia Offer Document, which is provided with the Award Terms.</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B-7</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040"/>
          </w:cols>
          <w:pgMar w:left="320" w:top="1358" w:right="539" w:bottom="1440" w:gutter="0" w:footer="0" w:header="0"/>
        </w:sectPr>
      </w:pPr>
    </w:p>
    <w:bookmarkStart w:id="203" w:name="page204"/>
    <w:bookmarkEnd w:id="203"/>
    <w:p>
      <w:pPr>
        <w:ind w:left="4620"/>
        <w:spacing w:after="0"/>
        <w:rPr>
          <w:sz w:val="20"/>
          <w:szCs w:val="20"/>
          <w:color w:val="auto"/>
        </w:rPr>
      </w:pPr>
      <w:r>
        <w:rPr>
          <w:rFonts w:ascii="Arial" w:cs="Arial" w:eastAsia="Arial" w:hAnsi="Arial"/>
          <w:sz w:val="21"/>
          <w:szCs w:val="21"/>
          <w:b w:val="1"/>
          <w:bCs w:val="1"/>
          <w:color w:val="auto"/>
        </w:rPr>
        <w:t>Appendix for Belgium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5"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51"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b w:val="1"/>
          <w:bCs w:val="1"/>
          <w:color w:val="auto"/>
        </w:rPr>
        <w:t>Annual Securities Accounts Tax</w:t>
      </w:r>
      <w:r>
        <w:rPr>
          <w:rFonts w:ascii="Arial" w:cs="Arial" w:eastAsia="Arial" w:hAnsi="Arial"/>
          <w:sz w:val="19"/>
          <w:szCs w:val="19"/>
          <w:color w:val="auto"/>
        </w:rPr>
        <w:t>. If the value of securities held in a Belgian or foreign securities account exceeds EUR 1 million, a</w:t>
      </w:r>
      <w:r>
        <w:rPr>
          <w:rFonts w:ascii="Arial" w:cs="Arial" w:eastAsia="Arial" w:hAnsi="Arial"/>
          <w:sz w:val="19"/>
          <w:szCs w:val="19"/>
          <w:b w:val="1"/>
          <w:bCs w:val="1"/>
          <w:color w:val="auto"/>
        </w:rPr>
        <w:t xml:space="preserve"> </w:t>
      </w:r>
      <w:r>
        <w:rPr>
          <w:rFonts w:ascii="Arial" w:cs="Arial" w:eastAsia="Arial" w:hAnsi="Arial"/>
          <w:sz w:val="19"/>
          <w:szCs w:val="19"/>
          <w:color w:val="auto"/>
        </w:rPr>
        <w:t>new “annual securities accounts tax” applies. Belgian residents should consult with their personal tax advisor regarding the new tax.</w:t>
      </w:r>
    </w:p>
    <w:p>
      <w:pPr>
        <w:spacing w:after="0" w:line="101" w:lineRule="exact"/>
        <w:rPr>
          <w:sz w:val="20"/>
          <w:szCs w:val="20"/>
          <w:color w:val="auto"/>
        </w:rPr>
      </w:pPr>
    </w:p>
    <w:p>
      <w:pPr>
        <w:ind w:right="140"/>
        <w:spacing w:after="0" w:line="224"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B-8</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40"/>
          </w:cols>
          <w:pgMar w:left="320" w:top="1358" w:right="439" w:bottom="1440" w:gutter="0" w:footer="0" w:header="0"/>
        </w:sectPr>
      </w:pPr>
    </w:p>
    <w:bookmarkStart w:id="204" w:name="page205"/>
    <w:bookmarkEnd w:id="204"/>
    <w:p>
      <w:pPr>
        <w:spacing w:after="0" w:line="364"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Appendix for Brazil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700"/>
        <w:spacing w:after="0" w:line="290"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Restricted Share Units, Grantee acknowledges that he or she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Brazilian laws and to pay any and all applicable taxes associated with Grantee’s participation in the Plan.</w:t>
      </w:r>
    </w:p>
    <w:p>
      <w:pPr>
        <w:spacing w:after="0" w:line="101"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is resident or domiciled in Brazil, he or she will be required to submit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equals or exceeds US$1,000,000. Assets and rights that must be reported include the Common Shares.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B-9</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440" w:right="359" w:bottom="1440" w:gutter="0" w:footer="0" w:header="0"/>
        </w:sectPr>
      </w:pPr>
    </w:p>
    <w:bookmarkStart w:id="205" w:name="page206"/>
    <w:bookmarkEnd w:id="205"/>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60"/>
        <w:spacing w:after="0" w:line="263" w:lineRule="auto"/>
        <w:rPr>
          <w:sz w:val="20"/>
          <w:szCs w:val="20"/>
          <w:color w:val="auto"/>
        </w:rPr>
      </w:pPr>
      <w:r>
        <w:rPr>
          <w:rFonts w:ascii="Arial" w:cs="Arial" w:eastAsia="Arial" w:hAnsi="Arial"/>
          <w:sz w:val="20"/>
          <w:szCs w:val="20"/>
          <w:b w:val="1"/>
          <w:bCs w:val="1"/>
          <w:color w:val="auto"/>
        </w:rPr>
        <w:t>Restricted Share Units Payable Only in Common Shares</w:t>
      </w:r>
      <w:r>
        <w:rPr>
          <w:rFonts w:ascii="Arial" w:cs="Arial" w:eastAsia="Arial" w:hAnsi="Arial"/>
          <w:sz w:val="20"/>
          <w:szCs w:val="20"/>
          <w:color w:val="auto"/>
        </w:rPr>
        <w:t>. The grant of Restricted Share Units does not provide any right for</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to receive a cash payment, and the Restricted Share Units are payable in Common Shares only.</w:t>
      </w:r>
    </w:p>
    <w:p>
      <w:pPr>
        <w:spacing w:after="0" w:line="125"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Notwithstanding anything to the contrary in Section 3(b) of the Award Terms, unless the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204" w:lineRule="exact"/>
        <w:rPr>
          <w:sz w:val="20"/>
          <w:szCs w:val="20"/>
          <w:color w:val="auto"/>
        </w:rPr>
      </w:pPr>
    </w:p>
    <w:p>
      <w:pPr>
        <w:ind w:right="200"/>
        <w:spacing w:after="0" w:line="229" w:lineRule="auto"/>
        <w:rPr>
          <w:sz w:val="20"/>
          <w:szCs w:val="20"/>
          <w:color w:val="auto"/>
        </w:rPr>
      </w:pPr>
      <w:r>
        <w:rPr>
          <w:rFonts w:ascii="Arial" w:cs="Arial" w:eastAsia="Arial" w:hAnsi="Arial"/>
          <w:sz w:val="21"/>
          <w:szCs w:val="21"/>
          <w:b w:val="1"/>
          <w:bCs w:val="1"/>
          <w:color w:val="auto"/>
        </w:rPr>
        <w:t xml:space="preserve">Language Acknowledgment. </w:t>
      </w:r>
      <w:r>
        <w:rPr>
          <w:rFonts w:ascii="Arial" w:cs="Arial" w:eastAsia="Arial" w:hAnsi="Arial"/>
          <w:sz w:val="21"/>
          <w:szCs w:val="21"/>
          <w:color w:val="auto"/>
        </w:rPr>
        <w:t>The parties acknowledge that it is their express wish that the Award Terms, including this Appendix,</w:t>
      </w:r>
      <w:r>
        <w:rPr>
          <w:rFonts w:ascii="Arial" w:cs="Arial" w:eastAsia="Arial" w:hAnsi="Arial"/>
          <w:sz w:val="21"/>
          <w:szCs w:val="21"/>
          <w:b w:val="1"/>
          <w:bCs w:val="1"/>
          <w:color w:val="auto"/>
        </w:rPr>
        <w:t xml:space="preserve"> </w:t>
      </w:r>
      <w:r>
        <w:rPr>
          <w:rFonts w:ascii="Arial" w:cs="Arial" w:eastAsia="Arial" w:hAnsi="Arial"/>
          <w:sz w:val="21"/>
          <w:szCs w:val="21"/>
          <w:color w:val="auto"/>
        </w:rPr>
        <w:t>as well as all documents, notices, and legal proceedings entered into, given or instituted pursuant hereto or relating directly or indirectly hereto, be drawn up in English.</w:t>
      </w:r>
    </w:p>
    <w:p>
      <w:pPr>
        <w:spacing w:after="0" w:line="180" w:lineRule="exact"/>
        <w:rPr>
          <w:sz w:val="20"/>
          <w:szCs w:val="20"/>
          <w:color w:val="auto"/>
        </w:rPr>
      </w:pPr>
    </w:p>
    <w:p>
      <w:pPr>
        <w:ind w:right="100"/>
        <w:spacing w:after="0" w:line="227"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convention afférente, ainsi que de tous documents, avis donnés et procédures judiciaires exécutés, donnés ou intentés en vertu de, ou liés directement ou indirectement aux présentes.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B-10</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206" w:name="page207"/>
    <w:bookmarkEnd w:id="206"/>
    <w:p>
      <w:pPr>
        <w:ind w:right="80"/>
        <w:spacing w:after="0" w:line="219" w:lineRule="auto"/>
        <w:rPr>
          <w:sz w:val="20"/>
          <w:szCs w:val="20"/>
          <w:color w:val="auto"/>
        </w:rPr>
      </w:pPr>
      <w:r>
        <w:rPr>
          <w:rFonts w:ascii="Arial" w:cs="Arial" w:eastAsia="Arial" w:hAnsi="Arial"/>
          <w:sz w:val="21"/>
          <w:szCs w:val="21"/>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540"/>
        <w:spacing w:after="0" w:line="2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w:t>
      </w:r>
      <w:r>
        <w:rPr>
          <w:rFonts w:ascii="Arial" w:cs="Arial" w:eastAsia="Arial" w:hAnsi="Arial"/>
          <w:sz w:val="19"/>
          <w:szCs w:val="19"/>
          <w:b w:val="1"/>
          <w:bCs w:val="1"/>
          <w:color w:val="auto"/>
        </w:rPr>
        <w:t xml:space="preserve"> </w:t>
      </w:r>
      <w:r>
        <w:rPr>
          <w:rFonts w:ascii="Arial" w:cs="Arial" w:eastAsia="Arial" w:hAnsi="Arial"/>
          <w:sz w:val="19"/>
          <w:szCs w:val="19"/>
          <w:color w:val="auto"/>
        </w:rPr>
        <w:t>on 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B-11</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207" w:name="page208"/>
    <w:bookmarkEnd w:id="207"/>
    <w:p>
      <w:pPr>
        <w:ind w:left="4720"/>
        <w:spacing w:after="0"/>
        <w:rPr>
          <w:sz w:val="20"/>
          <w:szCs w:val="20"/>
          <w:color w:val="auto"/>
        </w:rPr>
      </w:pPr>
      <w:r>
        <w:rPr>
          <w:rFonts w:ascii="Arial" w:cs="Arial" w:eastAsia="Arial" w:hAnsi="Arial"/>
          <w:sz w:val="21"/>
          <w:szCs w:val="21"/>
          <w:b w:val="1"/>
          <w:bCs w:val="1"/>
          <w:color w:val="auto"/>
        </w:rPr>
        <w:t>Appendix for China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54"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Grantee understands, acknowledges and agrees that certain exchange control restrictions may apply</w:t>
      </w:r>
      <w:r>
        <w:rPr>
          <w:rFonts w:ascii="Arial" w:cs="Arial" w:eastAsia="Arial" w:hAnsi="Arial"/>
          <w:sz w:val="21"/>
          <w:szCs w:val="21"/>
          <w:b w:val="1"/>
          <w:bCs w:val="1"/>
          <w:color w:val="auto"/>
        </w:rPr>
        <w:t xml:space="preserve"> </w:t>
      </w:r>
      <w:r>
        <w:rPr>
          <w:rFonts w:ascii="Arial" w:cs="Arial" w:eastAsia="Arial" w:hAnsi="Arial"/>
          <w:sz w:val="21"/>
          <w:szCs w:val="21"/>
          <w:color w:val="auto"/>
        </w:rPr>
        <w:t>to Grantee’s 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B-12</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58" w:right="379" w:bottom="1440" w:gutter="0" w:footer="0" w:header="0"/>
        </w:sectPr>
      </w:pPr>
    </w:p>
    <w:bookmarkStart w:id="208" w:name="page209"/>
    <w:bookmarkEnd w:id="208"/>
    <w:p>
      <w:pPr>
        <w:ind w:left="4580"/>
        <w:spacing w:after="0"/>
        <w:rPr>
          <w:sz w:val="20"/>
          <w:szCs w:val="20"/>
          <w:color w:val="auto"/>
        </w:rPr>
      </w:pPr>
      <w:r>
        <w:rPr>
          <w:rFonts w:ascii="Arial" w:cs="Arial" w:eastAsia="Arial" w:hAnsi="Arial"/>
          <w:sz w:val="21"/>
          <w:szCs w:val="21"/>
          <w:b w:val="1"/>
          <w:bCs w:val="1"/>
          <w:color w:val="auto"/>
        </w:rPr>
        <w:t>Appendix for Denmark</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21"/>
          <w:szCs w:val="21"/>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B-13</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58" w:right="379" w:bottom="1440" w:gutter="0" w:footer="0" w:header="0"/>
        </w:sectPr>
      </w:pPr>
    </w:p>
    <w:bookmarkStart w:id="209" w:name="page210"/>
    <w:bookmarkEnd w:id="209"/>
    <w:p>
      <w:pPr>
        <w:ind w:left="4680"/>
        <w:spacing w:after="0"/>
        <w:rPr>
          <w:sz w:val="20"/>
          <w:szCs w:val="20"/>
          <w:color w:val="auto"/>
        </w:rPr>
      </w:pPr>
      <w:r>
        <w:rPr>
          <w:rFonts w:ascii="Arial" w:cs="Arial" w:eastAsia="Arial" w:hAnsi="Arial"/>
          <w:sz w:val="21"/>
          <w:szCs w:val="21"/>
          <w:b w:val="1"/>
          <w:bCs w:val="1"/>
          <w:color w:val="auto"/>
        </w:rPr>
        <w:t>Appendix for France</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80" w:lineRule="exact"/>
        <w:rPr>
          <w:sz w:val="20"/>
          <w:szCs w:val="20"/>
          <w:color w:val="auto"/>
        </w:rPr>
      </w:pPr>
    </w:p>
    <w:p>
      <w:pPr>
        <w:jc w:val="both"/>
        <w:ind w:right="140"/>
        <w:spacing w:after="0" w:line="222"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300"/>
        <w:spacing w:after="0" w:line="224"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B-14</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58" w:right="379" w:bottom="1440" w:gutter="0" w:footer="0" w:header="0"/>
        </w:sectPr>
      </w:pPr>
    </w:p>
    <w:bookmarkStart w:id="210" w:name="page211"/>
    <w:bookmarkEnd w:id="210"/>
    <w:p>
      <w:pPr>
        <w:ind w:left="4580"/>
        <w:spacing w:after="0"/>
        <w:rPr>
          <w:sz w:val="20"/>
          <w:szCs w:val="20"/>
          <w:color w:val="auto"/>
        </w:rPr>
      </w:pPr>
      <w:r>
        <w:rPr>
          <w:rFonts w:ascii="Arial" w:cs="Arial" w:eastAsia="Arial" w:hAnsi="Arial"/>
          <w:sz w:val="21"/>
          <w:szCs w:val="21"/>
          <w:b w:val="1"/>
          <w:bCs w:val="1"/>
          <w:color w:val="auto"/>
        </w:rPr>
        <w:t>Appendix for Germany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42"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9"/>
          <w:szCs w:val="19"/>
          <w:i w:val="1"/>
          <w:iCs w:val="1"/>
          <w:color w:val="auto"/>
        </w:rPr>
        <w:t>Allgemeine</w:t>
      </w:r>
      <w:r>
        <w:rPr>
          <w:rFonts w:ascii="Arial" w:cs="Arial" w:eastAsia="Arial" w:hAnsi="Arial"/>
          <w:sz w:val="19"/>
          <w:szCs w:val="19"/>
          <w:color w:val="auto"/>
        </w:rPr>
        <w:t xml:space="preserve"> </w:t>
      </w:r>
      <w:r>
        <w:rPr>
          <w:rFonts w:ascii="Arial" w:cs="Arial" w:eastAsia="Arial" w:hAnsi="Arial"/>
          <w:sz w:val="19"/>
          <w:szCs w:val="19"/>
          <w:i w:val="1"/>
          <w:iCs w:val="1"/>
          <w:color w:val="auto"/>
        </w:rPr>
        <w:t>Meldeportal Statistik</w:t>
      </w:r>
      <w:r>
        <w:rPr>
          <w:rFonts w:ascii="Arial" w:cs="Arial" w:eastAsia="Arial" w:hAnsi="Arial"/>
          <w:sz w:val="19"/>
          <w:szCs w:val="19"/>
          <w:color w:val="auto"/>
        </w:rPr>
        <w:t>”) can be accessed via the</w:t>
      </w:r>
      <w:r>
        <w:rPr>
          <w:rFonts w:ascii="Arial" w:cs="Arial" w:eastAsia="Arial" w:hAnsi="Arial"/>
          <w:sz w:val="19"/>
          <w:szCs w:val="19"/>
          <w:i w:val="1"/>
          <w:iCs w:val="1"/>
          <w:color w:val="auto"/>
        </w:rPr>
        <w:t xml:space="preserve"> Bundesbank’s </w:t>
      </w:r>
      <w:r>
        <w:rPr>
          <w:rFonts w:ascii="Arial" w:cs="Arial" w:eastAsia="Arial" w:hAnsi="Arial"/>
          <w:sz w:val="19"/>
          <w:szCs w:val="19"/>
          <w:color w:val="auto"/>
        </w:rPr>
        <w:t>website (www.bundesbank.de) and is available in both German and</w:t>
      </w:r>
      <w:r>
        <w:rPr>
          <w:rFonts w:ascii="Arial" w:cs="Arial" w:eastAsia="Arial" w:hAnsi="Arial"/>
          <w:sz w:val="19"/>
          <w:szCs w:val="19"/>
          <w:i w:val="1"/>
          <w:iCs w:val="1"/>
          <w:color w:val="auto"/>
        </w:rPr>
        <w:t xml:space="preserve"> </w:t>
      </w:r>
      <w:r>
        <w:rPr>
          <w:rFonts w:ascii="Arial" w:cs="Arial" w:eastAsia="Arial" w:hAnsi="Arial"/>
          <w:sz w:val="19"/>
          <w:szCs w:val="19"/>
          <w:color w:val="auto"/>
        </w:rPr>
        <w:t>English. Grantee is responsible for satisfying the reporting obligation.</w:t>
      </w:r>
    </w:p>
    <w:p>
      <w:pPr>
        <w:spacing w:after="0" w:line="173"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Grantee’s acquisition of Common Shares under the Plan leads to a “qualified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at any point during the calendar year, Grantee will need to report the acquisition of such shares when Grantee files his or her tax return for the relevant year. A qualified participation is attained if (1) the value of the Common Shares acquired exceeds €150,000 or (2) the Common Shares held exceed 10% of the Company’s total common stock. However, provided the Common Shares are listed on a recognized stock exchange (</w:t>
      </w:r>
      <w:r>
        <w:rPr>
          <w:rFonts w:ascii="Arial" w:cs="Arial" w:eastAsia="Arial" w:hAnsi="Arial"/>
          <w:sz w:val="21"/>
          <w:szCs w:val="21"/>
          <w:i w:val="1"/>
          <w:iCs w:val="1"/>
          <w:color w:val="auto"/>
        </w:rPr>
        <w:t>e.g.</w:t>
      </w:r>
      <w:r>
        <w:rPr>
          <w:rFonts w:ascii="Arial" w:cs="Arial" w:eastAsia="Arial" w:hAnsi="Arial"/>
          <w:sz w:val="21"/>
          <w:szCs w:val="21"/>
          <w:color w:val="auto"/>
        </w:rPr>
        <w:t>, the Nasdaq Stock Market) and Grantee owns less than 1% of the Company, this requirement will not apply. Grantee should consult with his or her personal tax advisor to ensure Grantee complies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B-15</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00"/>
          </w:cols>
          <w:pgMar w:left="320" w:top="1358" w:right="479" w:bottom="1440" w:gutter="0" w:footer="0" w:header="0"/>
        </w:sectPr>
      </w:pPr>
    </w:p>
    <w:bookmarkStart w:id="211" w:name="page212"/>
    <w:bookmarkEnd w:id="211"/>
    <w:p>
      <w:pPr>
        <w:ind w:left="4480"/>
        <w:spacing w:after="0"/>
        <w:rPr>
          <w:sz w:val="20"/>
          <w:szCs w:val="20"/>
          <w:color w:val="auto"/>
        </w:rPr>
      </w:pPr>
      <w:r>
        <w:rPr>
          <w:rFonts w:ascii="Arial" w:cs="Arial" w:eastAsia="Arial" w:hAnsi="Arial"/>
          <w:sz w:val="21"/>
          <w:szCs w:val="21"/>
          <w:b w:val="1"/>
          <w:bCs w:val="1"/>
          <w:color w:val="auto"/>
        </w:rPr>
        <w:t>Appendix for Hong Kong</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60"/>
        <w:spacing w:after="0" w:line="229"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paid in Shares only. In no event shall any of such Restricted Share Units be paid in cash, notwithstanding any discretion contained in the Plan to the contrary.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B-16</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58" w:right="379" w:bottom="1440" w:gutter="0" w:footer="0" w:header="0"/>
        </w:sectPr>
      </w:pPr>
    </w:p>
    <w:bookmarkStart w:id="212" w:name="page213"/>
    <w:bookmarkEnd w:id="212"/>
    <w:p>
      <w:pPr>
        <w:spacing w:after="0" w:line="36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Appendix for Hungary</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B-17</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0139"/>
          </w:cols>
          <w:pgMar w:left="320" w:top="1440" w:right="1440" w:bottom="1440" w:gutter="0" w:footer="0" w:header="0"/>
        </w:sectPr>
      </w:pPr>
    </w:p>
    <w:bookmarkStart w:id="213" w:name="page214"/>
    <w:bookmarkEnd w:id="213"/>
    <w:p>
      <w:pPr>
        <w:spacing w:after="0" w:line="364"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10" w:lineRule="exact"/>
        <w:rPr>
          <w:sz w:val="20"/>
          <w:szCs w:val="20"/>
          <w:color w:val="auto"/>
        </w:rPr>
      </w:pPr>
    </w:p>
    <w:p>
      <w:pPr>
        <w:ind w:right="360"/>
        <w:spacing w:after="0" w:line="236" w:lineRule="auto"/>
        <w:rPr>
          <w:sz w:val="20"/>
          <w:szCs w:val="20"/>
          <w:color w:val="auto"/>
        </w:rPr>
      </w:pPr>
      <w:r>
        <w:rPr>
          <w:rFonts w:ascii="Arial" w:cs="Arial" w:eastAsia="Arial" w:hAnsi="Arial"/>
          <w:sz w:val="21"/>
          <w:szCs w:val="21"/>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B-18</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440" w:right="339" w:bottom="1440" w:gutter="0" w:footer="0" w:header="0"/>
        </w:sectPr>
      </w:pPr>
    </w:p>
    <w:bookmarkStart w:id="214" w:name="page215"/>
    <w:bookmarkEnd w:id="214"/>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copy 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0"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b w:val="1"/>
          <w:bCs w:val="1"/>
          <w:color w:val="auto"/>
        </w:rPr>
        <w:t>Foreign Asset Tax Information</w:t>
      </w:r>
      <w:r>
        <w:rPr>
          <w:rFonts w:ascii="Arial" w:cs="Arial" w:eastAsia="Arial" w:hAnsi="Arial"/>
          <w:sz w:val="21"/>
          <w:szCs w:val="21"/>
          <w:color w:val="auto"/>
        </w:rPr>
        <w:t>. Italian residents who, at any time during the fiscal year, hold foreign financial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B-19</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215" w:name="page216"/>
    <w:bookmarkEnd w:id="215"/>
    <w:p>
      <w:pPr>
        <w:spacing w:after="0" w:line="391"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Appendix for Japan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B-20</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80"/>
          </w:cols>
          <w:pgMar w:left="320" w:top="1440" w:right="399" w:bottom="1440" w:gutter="0" w:footer="0" w:header="0"/>
        </w:sectPr>
      </w:pPr>
    </w:p>
    <w:bookmarkStart w:id="216" w:name="page217"/>
    <w:bookmarkEnd w:id="216"/>
    <w:p>
      <w:pPr>
        <w:ind w:left="4720"/>
        <w:spacing w:after="0"/>
        <w:rPr>
          <w:sz w:val="20"/>
          <w:szCs w:val="20"/>
          <w:color w:val="auto"/>
        </w:rPr>
      </w:pPr>
      <w:r>
        <w:rPr>
          <w:rFonts w:ascii="Arial" w:cs="Arial" w:eastAsia="Arial" w:hAnsi="Arial"/>
          <w:sz w:val="21"/>
          <w:szCs w:val="21"/>
          <w:b w:val="1"/>
          <w:bCs w:val="1"/>
          <w:color w:val="auto"/>
        </w:rPr>
        <w:t>Appendix for Korea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B-21</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217" w:name="page218"/>
    <w:bookmarkEnd w:id="217"/>
    <w:p>
      <w:pPr>
        <w:ind w:left="4420"/>
        <w:spacing w:after="0"/>
        <w:rPr>
          <w:sz w:val="20"/>
          <w:szCs w:val="20"/>
          <w:color w:val="auto"/>
        </w:rPr>
      </w:pPr>
      <w:r>
        <w:rPr>
          <w:rFonts w:ascii="Arial" w:cs="Arial" w:eastAsia="Arial" w:hAnsi="Arial"/>
          <w:sz w:val="21"/>
          <w:szCs w:val="21"/>
          <w:b w:val="1"/>
          <w:bCs w:val="1"/>
          <w:color w:val="auto"/>
        </w:rPr>
        <w:t>Appendix for Luxembourg</w:t>
      </w:r>
    </w:p>
    <w:p>
      <w:pPr>
        <w:spacing w:after="0" w:line="197"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B-22</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0139"/>
          </w:cols>
          <w:pgMar w:left="320" w:top="1358" w:right="1440" w:bottom="1440" w:gutter="0" w:footer="0" w:header="0"/>
        </w:sectPr>
      </w:pPr>
    </w:p>
    <w:bookmarkStart w:id="218" w:name="page219"/>
    <w:bookmarkEnd w:id="218"/>
    <w:p>
      <w:pPr>
        <w:spacing w:after="0" w:line="390"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w:t>
      </w:r>
      <w:r>
        <w:rPr>
          <w:rFonts w:ascii="Arial" w:cs="Arial" w:eastAsia="Arial" w:hAnsi="Arial"/>
          <w:sz w:val="21"/>
          <w:szCs w:val="21"/>
          <w:b w:val="1"/>
          <w:bCs w:val="1"/>
          <w:color w:val="auto"/>
        </w:rPr>
        <w:t xml:space="preserve"> </w:t>
      </w:r>
      <w:r>
        <w:rPr>
          <w:rFonts w:ascii="Arial" w:cs="Arial" w:eastAsia="Arial" w:hAnsi="Arial"/>
          <w:sz w:val="21"/>
          <w:szCs w:val="21"/>
          <w:color w:val="auto"/>
        </w:rPr>
        <w:t>in 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B-23</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60"/>
          </w:cols>
          <w:pgMar w:left="320" w:top="1440" w:right="419" w:bottom="1440" w:gutter="0" w:footer="0" w:header="0"/>
        </w:sectPr>
      </w:pPr>
    </w:p>
    <w:bookmarkStart w:id="219" w:name="page220"/>
    <w:bookmarkEnd w:id="219"/>
    <w:p>
      <w:pPr>
        <w:ind w:left="4680"/>
        <w:spacing w:after="0"/>
        <w:rPr>
          <w:sz w:val="20"/>
          <w:szCs w:val="20"/>
          <w:color w:val="auto"/>
        </w:rPr>
      </w:pPr>
      <w:r>
        <w:rPr>
          <w:rFonts w:ascii="Arial" w:cs="Arial" w:eastAsia="Arial" w:hAnsi="Arial"/>
          <w:sz w:val="21"/>
          <w:szCs w:val="21"/>
          <w:b w:val="1"/>
          <w:bCs w:val="1"/>
          <w:color w:val="auto"/>
        </w:rPr>
        <w:t>Appendix for Mexico</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w:t>
      </w:r>
      <w:r>
        <w:rPr>
          <w:rFonts w:ascii="Arial" w:cs="Arial" w:eastAsia="Arial" w:hAnsi="Arial"/>
          <w:sz w:val="21"/>
          <w:szCs w:val="21"/>
          <w:b w:val="1"/>
          <w:bCs w:val="1"/>
          <w:color w:val="auto"/>
        </w:rPr>
        <w:t xml:space="preserve"> </w:t>
      </w:r>
      <w:r>
        <w:rPr>
          <w:rFonts w:ascii="Arial" w:cs="Arial" w:eastAsia="Arial" w:hAnsi="Arial"/>
          <w:sz w:val="21"/>
          <w:szCs w:val="21"/>
          <w:color w:val="auto"/>
        </w:rPr>
        <w:t>a 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9" w:lineRule="exact"/>
        <w:rPr>
          <w:sz w:val="20"/>
          <w:szCs w:val="20"/>
          <w:color w:val="auto"/>
        </w:rPr>
      </w:pPr>
    </w:p>
    <w:p>
      <w:pPr>
        <w:ind w:left="1080" w:hanging="446"/>
        <w:spacing w:after="0"/>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8" w:lineRule="exact"/>
        <w:rPr>
          <w:rFonts w:ascii="Arial" w:cs="Arial" w:eastAsia="Arial" w:hAnsi="Arial"/>
          <w:sz w:val="21"/>
          <w:szCs w:val="21"/>
          <w:color w:val="auto"/>
        </w:rPr>
      </w:pPr>
    </w:p>
    <w:p>
      <w:pPr>
        <w:ind w:left="1260" w:right="200" w:hanging="626"/>
        <w:spacing w:after="0" w:line="236" w:lineRule="auto"/>
        <w:tabs>
          <w:tab w:leader="none" w:pos="1081"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3100 Ocean Park Boulevard, Santa Monica, California 90405,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8"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B-24</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58" w:right="359" w:bottom="1440" w:gutter="0" w:footer="0" w:header="0"/>
        </w:sectPr>
      </w:pPr>
    </w:p>
    <w:bookmarkStart w:id="220" w:name="page221"/>
    <w:bookmarkEnd w:id="220"/>
    <w:p>
      <w:pPr>
        <w:spacing w:after="0"/>
        <w:rPr>
          <w:sz w:val="20"/>
          <w:szCs w:val="20"/>
          <w:color w:val="auto"/>
        </w:rPr>
      </w:pPr>
      <w:r>
        <w:rPr>
          <w:rFonts w:ascii="Arial" w:cs="Arial" w:eastAsia="Arial" w:hAnsi="Arial"/>
          <w:sz w:val="21"/>
          <w:szCs w:val="21"/>
          <w:color w:val="auto"/>
        </w:rPr>
        <w:t>offices, shareholders, officers, agents or legal representatives, with respect to any claim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9" w:lineRule="exact"/>
        <w:rPr>
          <w:sz w:val="20"/>
          <w:szCs w:val="20"/>
          <w:color w:val="auto"/>
        </w:rPr>
      </w:pPr>
    </w:p>
    <w:p>
      <w:pPr>
        <w:ind w:left="300" w:hanging="295"/>
        <w:spacing w:after="0"/>
        <w:tabs>
          <w:tab w:leader="none" w:pos="300" w:val="left"/>
        </w:tabs>
        <w:numPr>
          <w:ilvl w:val="0"/>
          <w:numId w:val="132"/>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204" w:lineRule="exact"/>
        <w:rPr>
          <w:rFonts w:ascii="Arial" w:cs="Arial" w:eastAsia="Arial" w:hAnsi="Arial"/>
          <w:sz w:val="21"/>
          <w:szCs w:val="21"/>
          <w:i w:val="1"/>
          <w:iCs w:val="1"/>
          <w:color w:val="auto"/>
        </w:rPr>
      </w:pPr>
    </w:p>
    <w:p>
      <w:pPr>
        <w:ind w:left="300" w:hanging="295"/>
        <w:spacing w:after="0"/>
        <w:tabs>
          <w:tab w:leader="none" w:pos="300" w:val="left"/>
        </w:tabs>
        <w:numPr>
          <w:ilvl w:val="0"/>
          <w:numId w:val="132"/>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8" w:lineRule="exact"/>
        <w:rPr>
          <w:rFonts w:ascii="Arial" w:cs="Arial" w:eastAsia="Arial" w:hAnsi="Arial"/>
          <w:sz w:val="21"/>
          <w:szCs w:val="21"/>
          <w:i w:val="1"/>
          <w:iCs w:val="1"/>
          <w:color w:val="auto"/>
        </w:rPr>
      </w:pPr>
    </w:p>
    <w:p>
      <w:pPr>
        <w:ind w:left="300" w:hanging="295"/>
        <w:spacing w:after="0"/>
        <w:tabs>
          <w:tab w:leader="none" w:pos="300" w:val="left"/>
        </w:tabs>
        <w:numPr>
          <w:ilvl w:val="0"/>
          <w:numId w:val="132"/>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8" w:lineRule="exact"/>
        <w:rPr>
          <w:rFonts w:ascii="Arial" w:cs="Arial" w:eastAsia="Arial" w:hAnsi="Arial"/>
          <w:sz w:val="21"/>
          <w:szCs w:val="21"/>
          <w:i w:val="1"/>
          <w:iCs w:val="1"/>
          <w:color w:val="auto"/>
        </w:rPr>
      </w:pPr>
    </w:p>
    <w:p>
      <w:pPr>
        <w:ind w:right="660" w:firstLine="5"/>
        <w:spacing w:after="0" w:line="236" w:lineRule="auto"/>
        <w:tabs>
          <w:tab w:leader="none" w:pos="297" w:val="left"/>
        </w:tabs>
        <w:numPr>
          <w:ilvl w:val="0"/>
          <w:numId w:val="132"/>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310 Ocean Park Boulevard, Santa Mónica, California, 90405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56" w:lineRule="exact"/>
        <w:rPr>
          <w:sz w:val="20"/>
          <w:szCs w:val="20"/>
          <w:color w:val="auto"/>
        </w:rPr>
      </w:pPr>
    </w:p>
    <w:p>
      <w:pPr>
        <w:jc w:val="both"/>
        <w:ind w:right="20"/>
        <w:spacing w:after="0" w:line="227"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B-25</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64" w:right="339" w:bottom="1440" w:gutter="0" w:footer="0" w:header="0"/>
        </w:sectPr>
      </w:pPr>
    </w:p>
    <w:bookmarkStart w:id="221" w:name="page222"/>
    <w:bookmarkEnd w:id="221"/>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Restricted Share Units and the Common Shares offered under the Plan have not been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B-26</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40"/>
          </w:cols>
          <w:pgMar w:left="320" w:top="1364" w:right="439" w:bottom="1440" w:gutter="0" w:footer="0" w:header="0"/>
        </w:sectPr>
      </w:pPr>
    </w:p>
    <w:bookmarkStart w:id="222" w:name="page223"/>
    <w:bookmarkEnd w:id="222"/>
    <w:p>
      <w:pPr>
        <w:ind w:left="4280"/>
        <w:spacing w:after="0"/>
        <w:rPr>
          <w:sz w:val="20"/>
          <w:szCs w:val="20"/>
          <w:color w:val="auto"/>
        </w:rPr>
      </w:pPr>
      <w:r>
        <w:rPr>
          <w:rFonts w:ascii="Arial" w:cs="Arial" w:eastAsia="Arial" w:hAnsi="Arial"/>
          <w:sz w:val="21"/>
          <w:szCs w:val="21"/>
          <w:b w:val="1"/>
          <w:bCs w:val="1"/>
          <w:color w:val="auto"/>
        </w:rPr>
        <w:t>Appendix for the Netherlands</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B-27</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80"/>
          </w:cols>
          <w:pgMar w:left="320" w:top="1358" w:right="399" w:bottom="1440" w:gutter="0" w:footer="0" w:header="0"/>
        </w:sectPr>
      </w:pPr>
    </w:p>
    <w:bookmarkStart w:id="223" w:name="page224"/>
    <w:bookmarkEnd w:id="223"/>
    <w:p>
      <w:pPr>
        <w:ind w:left="4400"/>
        <w:spacing w:after="0"/>
        <w:rPr>
          <w:sz w:val="20"/>
          <w:szCs w:val="20"/>
          <w:color w:val="auto"/>
        </w:rPr>
      </w:pPr>
      <w:r>
        <w:rPr>
          <w:rFonts w:ascii="Arial" w:cs="Arial" w:eastAsia="Arial" w:hAnsi="Arial"/>
          <w:sz w:val="21"/>
          <w:szCs w:val="21"/>
          <w:b w:val="1"/>
          <w:bCs w:val="1"/>
          <w:color w:val="auto"/>
        </w:rPr>
        <w:t>Appendix for New Zealand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jc w:val="both"/>
        <w:ind w:right="80"/>
        <w:spacing w:after="0" w:line="229"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terms of the Plan and the Award Terms. Restricted Share Units give Grantee a stake in the ownership of the Company. Grantee </w:t>
      </w:r>
      <w:r>
        <w:rPr>
          <w:rFonts w:ascii="Arial" w:cs="Arial" w:eastAsia="Arial" w:hAnsi="Arial"/>
          <w:sz w:val="21"/>
          <w:szCs w:val="21"/>
          <w:color w:val="auto"/>
          <w:highlight w:val="white"/>
        </w:rPr>
        <w:t>may receive a return if dividends are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-287655</wp:posOffset>
            </wp:positionV>
            <wp:extent cx="3413760" cy="141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3413760" cy="141605"/>
                    </a:xfrm>
                    <a:prstGeom prst="rect">
                      <a:avLst/>
                    </a:prstGeom>
                    <a:noFill/>
                  </pic:spPr>
                </pic:pic>
              </a:graphicData>
            </a:graphic>
          </wp:anchor>
        </w:drawing>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their investment.</w:t>
      </w:r>
    </w:p>
    <w:p>
      <w:pPr>
        <w:spacing w:after="0" w:line="155" w:lineRule="exact"/>
        <w:rPr>
          <w:sz w:val="20"/>
          <w:szCs w:val="20"/>
          <w:color w:val="auto"/>
        </w:rPr>
      </w:pPr>
    </w:p>
    <w:p>
      <w:pPr>
        <w:ind w:right="440"/>
        <w:spacing w:after="0" w:line="236"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5" w:lineRule="exact"/>
        <w:rPr>
          <w:sz w:val="20"/>
          <w:szCs w:val="20"/>
          <w:color w:val="auto"/>
        </w:rPr>
      </w:pPr>
    </w:p>
    <w:p>
      <w:pPr>
        <w:ind w:right="380"/>
        <w:spacing w:after="0" w:line="233" w:lineRule="auto"/>
        <w:rPr>
          <w:sz w:val="20"/>
          <w:szCs w:val="20"/>
          <w:color w:val="auto"/>
        </w:rPr>
      </w:pPr>
      <w:r>
        <w:rPr>
          <w:rFonts w:ascii="Arial" w:cs="Arial" w:eastAsia="Arial" w:hAnsi="Arial"/>
          <w:sz w:val="20"/>
          <w:szCs w:val="20"/>
          <w:color w:val="auto"/>
        </w:rPr>
        <w:t>In addition, the Holder is hereby notified that the Company’s most recent Annual Report on Form 10-K, the Plan and the Plan prospectus are available for review on the Company intranet site at Finance - The Hub (activisionblizzard.com). The Company’s most recent Annual Report can also be found at: https://investor.activision.com/#ir-reports-filings. And your Award Terms can be found in your E*Trade account at www.etrade.com by navigating to My Account/Plan Elections.</w:t>
      </w:r>
    </w:p>
    <w:p>
      <w:pPr>
        <w:spacing w:after="0" w:line="156" w:lineRule="exact"/>
        <w:rPr>
          <w:sz w:val="20"/>
          <w:szCs w:val="20"/>
          <w:color w:val="auto"/>
        </w:rPr>
      </w:pPr>
    </w:p>
    <w:p>
      <w:pPr>
        <w:ind w:right="180"/>
        <w:spacing w:after="0" w:line="227"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their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B-28</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224" w:name="page225"/>
    <w:bookmarkEnd w:id="224"/>
    <w:p>
      <w:pPr>
        <w:ind w:left="4680"/>
        <w:spacing w:after="0"/>
        <w:rPr>
          <w:sz w:val="20"/>
          <w:szCs w:val="20"/>
          <w:color w:val="auto"/>
        </w:rPr>
      </w:pPr>
      <w:r>
        <w:rPr>
          <w:rFonts w:ascii="Arial" w:cs="Arial" w:eastAsia="Arial" w:hAnsi="Arial"/>
          <w:sz w:val="21"/>
          <w:szCs w:val="21"/>
          <w:b w:val="1"/>
          <w:bCs w:val="1"/>
          <w:color w:val="auto"/>
        </w:rPr>
        <w:t>Appendix for Poland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Foreign Asset/Accounting Reporting Notification</w:t>
      </w:r>
      <w:r>
        <w:rPr>
          <w:rFonts w:ascii="Arial" w:cs="Arial" w:eastAsia="Arial" w:hAnsi="Arial"/>
          <w:sz w:val="19"/>
          <w:szCs w:val="19"/>
          <w:color w:val="auto"/>
        </w:rPr>
        <w:t>. Polish residents holding foreign securities (including Common Shares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B-29</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58" w:right="379" w:bottom="1440" w:gutter="0" w:footer="0" w:header="0"/>
        </w:sectPr>
      </w:pPr>
    </w:p>
    <w:bookmarkStart w:id="225" w:name="page226"/>
    <w:bookmarkEnd w:id="225"/>
    <w:p>
      <w:pPr>
        <w:ind w:left="4600"/>
        <w:spacing w:after="0"/>
        <w:rPr>
          <w:sz w:val="20"/>
          <w:szCs w:val="20"/>
          <w:color w:val="auto"/>
        </w:rPr>
      </w:pPr>
      <w:r>
        <w:rPr>
          <w:rFonts w:ascii="Arial" w:cs="Arial" w:eastAsia="Arial" w:hAnsi="Arial"/>
          <w:sz w:val="21"/>
          <w:szCs w:val="21"/>
          <w:b w:val="1"/>
          <w:bCs w:val="1"/>
          <w:color w:val="auto"/>
        </w:rPr>
        <w:t>Appendix for Portugal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40"/>
        <w:spacing w:after="0" w:line="290"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8"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Shares upon vesting of the Restricted Share Units, the acquisition of Shares should</w:t>
      </w:r>
      <w:r>
        <w:rPr>
          <w:rFonts w:ascii="Arial" w:cs="Arial" w:eastAsia="Arial" w:hAnsi="Arial"/>
          <w:sz w:val="21"/>
          <w:szCs w:val="21"/>
          <w:b w:val="1"/>
          <w:bCs w:val="1"/>
          <w:color w:val="auto"/>
        </w:rPr>
        <w:t xml:space="preserve"> </w:t>
      </w:r>
      <w:r>
        <w:rPr>
          <w:rFonts w:ascii="Arial" w:cs="Arial" w:eastAsia="Arial" w:hAnsi="Arial"/>
          <w:sz w:val="21"/>
          <w:szCs w:val="21"/>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B-30</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58" w:right="359" w:bottom="1440" w:gutter="0" w:footer="0" w:header="0"/>
        </w:sectPr>
      </w:pPr>
    </w:p>
    <w:bookmarkStart w:id="226" w:name="page227"/>
    <w:bookmarkEnd w:id="226"/>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B-31</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227" w:name="page228"/>
    <w:bookmarkEnd w:id="227"/>
    <w:p>
      <w:pPr>
        <w:ind w:left="4700"/>
        <w:spacing w:after="0"/>
        <w:rPr>
          <w:sz w:val="20"/>
          <w:szCs w:val="20"/>
          <w:color w:val="auto"/>
        </w:rPr>
      </w:pPr>
      <w:r>
        <w:rPr>
          <w:rFonts w:ascii="Arial" w:cs="Arial" w:eastAsia="Arial" w:hAnsi="Arial"/>
          <w:sz w:val="21"/>
          <w:szCs w:val="21"/>
          <w:b w:val="1"/>
          <w:bCs w:val="1"/>
          <w:color w:val="auto"/>
        </w:rPr>
        <w:t>Appendix for Russia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Employer is not in any way involved in the offer of Restricted Share Units or administration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4" w:lineRule="exact"/>
        <w:rPr>
          <w:sz w:val="20"/>
          <w:szCs w:val="20"/>
          <w:color w:val="auto"/>
        </w:rPr>
      </w:pPr>
    </w:p>
    <w:p>
      <w:pPr>
        <w:jc w:val="both"/>
        <w:ind w:right="360"/>
        <w:spacing w:after="0" w:line="238"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7"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4" w:lineRule="exact"/>
        <w:rPr>
          <w:sz w:val="20"/>
          <w:szCs w:val="20"/>
          <w:color w:val="auto"/>
        </w:rPr>
      </w:pPr>
    </w:p>
    <w:p>
      <w:pPr>
        <w:jc w:val="both"/>
        <w:ind w:right="120"/>
        <w:spacing w:after="0" w:line="227" w:lineRule="auto"/>
        <w:rPr>
          <w:sz w:val="20"/>
          <w:szCs w:val="20"/>
          <w:color w:val="auto"/>
        </w:rPr>
      </w:pPr>
      <w:r>
        <w:rPr>
          <w:rFonts w:ascii="Arial" w:cs="Arial" w:eastAsia="Arial" w:hAnsi="Arial"/>
          <w:sz w:val="21"/>
          <w:szCs w:val="21"/>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B-32</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358" w:right="339" w:bottom="1440" w:gutter="0" w:footer="0" w:header="0"/>
        </w:sectPr>
      </w:pPr>
    </w:p>
    <w:bookmarkStart w:id="228" w:name="page229"/>
    <w:bookmarkEnd w:id="228"/>
    <w:p>
      <w:pPr>
        <w:ind w:right="60"/>
        <w:spacing w:after="0" w:line="257" w:lineRule="auto"/>
        <w:rPr>
          <w:sz w:val="20"/>
          <w:szCs w:val="20"/>
          <w:color w:val="auto"/>
        </w:rPr>
      </w:pPr>
      <w:r>
        <w:rPr>
          <w:rFonts w:ascii="Arial" w:cs="Arial" w:eastAsia="Arial" w:hAnsi="Arial"/>
          <w:sz w:val="19"/>
          <w:szCs w:val="19"/>
          <w:color w:val="auto"/>
        </w:rPr>
        <w:t>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1"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50"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Grantee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that Grantee receives with respect to the Restricted Share Units to Russia as soon as Grantee intends to use those cash amounts for any purpose, including reinvestment. If the repatriation requirements apply, such funds must initially be credited to Grantee through a foreign currency account at an authorized bank in Russia. After the funds are initially received in Russia, they may be further remitted to foreign banks in accordance with Russian exchange control laws.</w:t>
      </w:r>
    </w:p>
    <w:p>
      <w:pPr>
        <w:spacing w:after="0" w:line="153"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B-33</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64" w:right="359" w:bottom="1440" w:gutter="0" w:footer="0" w:header="0"/>
        </w:sectPr>
      </w:pPr>
    </w:p>
    <w:bookmarkStart w:id="229" w:name="page230"/>
    <w:bookmarkEnd w:id="229"/>
    <w:p>
      <w:pPr>
        <w:spacing w:after="0" w:line="364"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Appendix for Singapore</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Sale Restriction. </w:t>
      </w:r>
      <w:r>
        <w:rPr>
          <w:rFonts w:ascii="Arial" w:cs="Arial" w:eastAsia="Arial" w:hAnsi="Arial"/>
          <w:sz w:val="21"/>
          <w:szCs w:val="21"/>
          <w:color w:val="auto"/>
        </w:rPr>
        <w:t>Grantee agrees that any Common Shares acquired pursuant to the Restricted Share Units will not be offered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B-34</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40"/>
          </w:cols>
          <w:pgMar w:left="320" w:top="1440" w:right="339" w:bottom="1440" w:gutter="0" w:footer="0" w:header="0"/>
        </w:sectPr>
      </w:pPr>
    </w:p>
    <w:bookmarkStart w:id="230" w:name="page231"/>
    <w:bookmarkEnd w:id="230"/>
    <w:p>
      <w:pPr>
        <w:ind w:left="4740"/>
        <w:spacing w:after="0"/>
        <w:rPr>
          <w:sz w:val="20"/>
          <w:szCs w:val="20"/>
          <w:color w:val="auto"/>
        </w:rPr>
      </w:pPr>
      <w:r>
        <w:rPr>
          <w:rFonts w:ascii="Arial" w:cs="Arial" w:eastAsia="Arial" w:hAnsi="Arial"/>
          <w:sz w:val="21"/>
          <w:szCs w:val="21"/>
          <w:b w:val="1"/>
          <w:bCs w:val="1"/>
          <w:color w:val="auto"/>
        </w:rPr>
        <w:t>Appendix for Spain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380"/>
        <w:spacing w:after="0" w:line="236"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The acquisition, ownership and sale of Common Shares under the Plan must be declared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statistical purposes to the Spanish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B-35</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20"/>
          </w:cols>
          <w:pgMar w:left="320" w:top="1358" w:right="359" w:bottom="1440" w:gutter="0" w:footer="0" w:header="0"/>
        </w:sectPr>
      </w:pPr>
    </w:p>
    <w:bookmarkStart w:id="231" w:name="page232"/>
    <w:bookmarkEnd w:id="231"/>
    <w:p>
      <w:pPr>
        <w:spacing w:after="0" w:line="228"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65"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B-36</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77" w:right="379" w:bottom="1440" w:gutter="0" w:footer="0" w:header="0"/>
        </w:sectPr>
      </w:pPr>
    </w:p>
    <w:bookmarkStart w:id="232" w:name="page233"/>
    <w:bookmarkEnd w:id="232"/>
    <w:p>
      <w:pPr>
        <w:ind w:left="4660"/>
        <w:spacing w:after="0"/>
        <w:rPr>
          <w:sz w:val="20"/>
          <w:szCs w:val="20"/>
          <w:color w:val="auto"/>
        </w:rPr>
      </w:pPr>
      <w:r>
        <w:rPr>
          <w:rFonts w:ascii="Arial" w:cs="Arial" w:eastAsia="Arial" w:hAnsi="Arial"/>
          <w:sz w:val="21"/>
          <w:szCs w:val="21"/>
          <w:b w:val="1"/>
          <w:bCs w:val="1"/>
          <w:color w:val="auto"/>
        </w:rPr>
        <w:t>Appendix for Sweden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10"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B-37</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040"/>
          </w:cols>
          <w:pgMar w:left="320" w:top="1358" w:right="539" w:bottom="1440" w:gutter="0" w:footer="0" w:header="0"/>
        </w:sectPr>
      </w:pPr>
    </w:p>
    <w:bookmarkStart w:id="233" w:name="page234"/>
    <w:bookmarkEnd w:id="233"/>
    <w:p>
      <w:pPr>
        <w:jc w:val="center"/>
        <w:ind w:right="-59"/>
        <w:spacing w:after="0"/>
        <w:rPr>
          <w:sz w:val="20"/>
          <w:szCs w:val="20"/>
          <w:color w:val="auto"/>
        </w:rPr>
      </w:pPr>
      <w:r>
        <w:rPr>
          <w:rFonts w:ascii="Arial" w:cs="Arial" w:eastAsia="Arial" w:hAnsi="Arial"/>
          <w:sz w:val="21"/>
          <w:szCs w:val="21"/>
          <w:b w:val="1"/>
          <w:bCs w:val="1"/>
          <w:color w:val="auto"/>
        </w:rPr>
        <w:t>Appendix for Taiwan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Grantee hereby acknowledges that he or she has read and understands the terms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w:t>
      </w:r>
      <w:r>
        <w:rPr>
          <w:rFonts w:ascii="Arial" w:cs="Arial" w:eastAsia="Arial" w:hAnsi="Arial"/>
          <w:sz w:val="21"/>
          <w:szCs w:val="21"/>
          <w:b w:val="1"/>
          <w:bCs w:val="1"/>
          <w:color w:val="auto"/>
        </w:rPr>
        <w:t xml:space="preserve"> </w:t>
      </w:r>
      <w:r>
        <w:rPr>
          <w:rFonts w:ascii="Arial" w:cs="Arial" w:eastAsia="Arial" w:hAnsi="Arial"/>
          <w:sz w:val="21"/>
          <w:szCs w:val="21"/>
          <w:color w:val="auto"/>
        </w:rPr>
        <w:t>of participation in the Plan is not a public offer of securities by a Taiwanese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B-38</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200"/>
          </w:cols>
          <w:pgMar w:left="320" w:top="1358" w:right="379" w:bottom="1440" w:gutter="0" w:footer="0" w:header="0"/>
        </w:sectPr>
      </w:pPr>
    </w:p>
    <w:bookmarkStart w:id="234" w:name="page235"/>
    <w:bookmarkEnd w:id="234"/>
    <w:p>
      <w:pPr>
        <w:ind w:left="4080"/>
        <w:spacing w:after="0"/>
        <w:rPr>
          <w:sz w:val="20"/>
          <w:szCs w:val="20"/>
          <w:color w:val="auto"/>
        </w:rPr>
      </w:pPr>
      <w:r>
        <w:rPr>
          <w:rFonts w:ascii="Arial" w:cs="Arial" w:eastAsia="Arial" w:hAnsi="Arial"/>
          <w:sz w:val="21"/>
          <w:szCs w:val="21"/>
          <w:b w:val="1"/>
          <w:bCs w:val="1"/>
          <w:color w:val="auto"/>
        </w:rPr>
        <w:t>Appendix for the United Kingdom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B-39</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40"/>
          </w:cols>
          <w:pgMar w:left="320" w:top="1358" w:right="439" w:bottom="1440" w:gutter="0" w:footer="0" w:header="0"/>
        </w:sectPr>
      </w:pPr>
    </w:p>
    <w:bookmarkStart w:id="235" w:name="page236"/>
    <w:bookmarkEnd w:id="235"/>
    <w:p>
      <w:pPr>
        <w:ind w:left="372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hanging="626"/>
        <w:spacing w:after="0"/>
        <w:tabs>
          <w:tab w:leader="none" w:pos="126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72" w:lineRule="exact"/>
        <w:rPr>
          <w:sz w:val="20"/>
          <w:szCs w:val="20"/>
          <w:color w:val="auto"/>
        </w:rPr>
      </w:pPr>
    </w:p>
    <w:p>
      <w:pPr>
        <w:ind w:firstLine="1259"/>
        <w:spacing w:after="0" w:line="232"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4" w:lineRule="exact"/>
        <w:rPr>
          <w:sz w:val="20"/>
          <w:szCs w:val="20"/>
          <w:color w:val="auto"/>
        </w:rPr>
      </w:pPr>
    </w:p>
    <w:p>
      <w:pPr>
        <w:ind w:right="80" w:firstLine="1259"/>
        <w:spacing w:after="0" w:line="229"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74" w:lineRule="exact"/>
        <w:rPr>
          <w:sz w:val="20"/>
          <w:szCs w:val="20"/>
          <w:color w:val="auto"/>
        </w:rPr>
      </w:pPr>
    </w:p>
    <w:p>
      <w:pPr>
        <w:ind w:firstLine="1259"/>
        <w:spacing w:after="0" w:line="229"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54" w:lineRule="exact"/>
        <w:rPr>
          <w:sz w:val="20"/>
          <w:szCs w:val="20"/>
          <w:color w:val="auto"/>
        </w:rPr>
      </w:pPr>
    </w:p>
    <w:p>
      <w:pPr>
        <w:ind w:left="640" w:right="80" w:firstLine="624"/>
        <w:spacing w:after="0" w:line="222" w:lineRule="auto"/>
        <w:tabs>
          <w:tab w:leader="none" w:pos="1677"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55" w:lineRule="exact"/>
        <w:rPr>
          <w:rFonts w:ascii="Arial" w:cs="Arial" w:eastAsia="Arial" w:hAnsi="Arial"/>
          <w:sz w:val="21"/>
          <w:szCs w:val="21"/>
          <w:color w:val="auto"/>
        </w:rPr>
      </w:pPr>
    </w:p>
    <w:p>
      <w:pPr>
        <w:ind w:left="640" w:right="660" w:firstLine="624"/>
        <w:spacing w:after="0" w:line="236" w:lineRule="auto"/>
        <w:tabs>
          <w:tab w:leader="none" w:pos="173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54" w:lineRule="exact"/>
        <w:rPr>
          <w:rFonts w:ascii="Arial" w:cs="Arial" w:eastAsia="Arial" w:hAnsi="Arial"/>
          <w:sz w:val="21"/>
          <w:szCs w:val="21"/>
          <w:color w:val="auto"/>
        </w:rPr>
      </w:pPr>
    </w:p>
    <w:p>
      <w:pPr>
        <w:ind w:left="640" w:right="100" w:firstLine="624"/>
        <w:spacing w:after="0" w:line="254" w:lineRule="auto"/>
        <w:tabs>
          <w:tab w:leader="none" w:pos="17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ectPr>
          <w:pgSz w:w="11900" w:h="16838" w:orient="portrait"/>
          <w:cols w:equalWidth="0" w:num="1">
            <w:col w:w="11220"/>
          </w:cols>
          <w:pgMar w:left="320" w:top="1358" w:right="359" w:bottom="1440" w:gutter="0" w:footer="0" w:header="0"/>
        </w:sectPr>
      </w:pPr>
    </w:p>
    <w:bookmarkStart w:id="236" w:name="page237"/>
    <w:bookmarkEnd w:id="236"/>
    <w:p>
      <w:pPr>
        <w:ind w:right="120" w:firstLine="634"/>
        <w:spacing w:after="0" w:line="243" w:lineRule="auto"/>
        <w:tabs>
          <w:tab w:leader="none" w:pos="1259"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52" w:lineRule="exact"/>
        <w:rPr>
          <w:rFonts w:ascii="Arial" w:cs="Arial" w:eastAsia="Arial" w:hAnsi="Arial"/>
          <w:sz w:val="19"/>
          <w:szCs w:val="19"/>
          <w:color w:val="auto"/>
        </w:rPr>
      </w:pPr>
    </w:p>
    <w:p>
      <w:pPr>
        <w:ind w:firstLine="634"/>
        <w:spacing w:after="0" w:line="224" w:lineRule="auto"/>
        <w:tabs>
          <w:tab w:leader="none" w:pos="1259"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B-41</w:t>
      </w: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2021)</w:t>
      </w:r>
    </w:p>
    <w:p>
      <w:pPr>
        <w:sectPr>
          <w:pgSz w:w="11900" w:h="16838" w:orient="portrait"/>
          <w:cols w:equalWidth="0" w:num="1">
            <w:col w:w="11180"/>
          </w:cols>
          <w:pgMar w:left="320" w:top="1364" w:right="399" w:bottom="1440" w:gutter="0" w:footer="0" w:header="0"/>
        </w:sectPr>
      </w:pPr>
    </w:p>
    <w:bookmarkStart w:id="237" w:name="page238"/>
    <w:bookmarkEnd w:id="237"/>
    <w:p>
      <w:pPr>
        <w:jc w:val="right"/>
        <w:spacing w:after="0"/>
        <w:rPr>
          <w:sz w:val="20"/>
          <w:szCs w:val="20"/>
          <w:color w:val="auto"/>
        </w:rPr>
      </w:pPr>
      <w:r>
        <w:rPr>
          <w:rFonts w:ascii="Arial" w:cs="Arial" w:eastAsia="Arial" w:hAnsi="Arial"/>
          <w:sz w:val="21"/>
          <w:szCs w:val="21"/>
          <w:b w:val="1"/>
          <w:bCs w:val="1"/>
          <w:color w:val="auto"/>
        </w:rPr>
        <w:t>Exhibit 10.18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PERFORMANCE-VESTING RESTRICTED SHARE UNIT AWARD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0" w:hanging="315"/>
        <w:spacing w:after="0"/>
        <w:tabs>
          <w:tab w:leader="none" w:pos="32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51" w:lineRule="exact"/>
        <w:rPr>
          <w:rFonts w:ascii="Arial" w:cs="Arial" w:eastAsia="Arial" w:hAnsi="Arial"/>
          <w:sz w:val="21"/>
          <w:szCs w:val="21"/>
          <w:color w:val="auto"/>
        </w:rPr>
      </w:pPr>
    </w:p>
    <w:p>
      <w:pPr>
        <w:ind w:left="620" w:hanging="300"/>
        <w:spacing w:after="0"/>
        <w:tabs>
          <w:tab w:leader="none" w:pos="620" w:val="left"/>
        </w:tabs>
        <w:numPr>
          <w:ilvl w:val="1"/>
          <w:numId w:val="136"/>
        </w:numPr>
        <w:rPr>
          <w:rFonts w:ascii="Arial" w:cs="Arial" w:eastAsia="Arial" w:hAnsi="Arial"/>
          <w:sz w:val="21"/>
          <w:szCs w:val="21"/>
          <w:color w:val="auto"/>
        </w:rPr>
      </w:pPr>
      <w:r>
        <w:rPr>
          <w:rFonts w:ascii="Arial" w:cs="Arial" w:eastAsia="Arial" w:hAnsi="Arial"/>
          <w:sz w:val="21"/>
          <w:szCs w:val="21"/>
          <w:color w:val="auto"/>
        </w:rPr>
        <w:t>this Notice of Performance-Vesting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136"/>
        </w:numPr>
        <w:rPr>
          <w:rFonts w:ascii="Arial" w:cs="Arial" w:eastAsia="Arial" w:hAnsi="Arial"/>
          <w:sz w:val="21"/>
          <w:szCs w:val="21"/>
          <w:color w:val="auto"/>
        </w:rPr>
      </w:pPr>
      <w:r>
        <w:rPr>
          <w:rFonts w:ascii="Arial" w:cs="Arial" w:eastAsia="Arial" w:hAnsi="Arial"/>
          <w:sz w:val="21"/>
          <w:szCs w:val="21"/>
          <w:color w:val="auto"/>
        </w:rPr>
        <w:t xml:space="preserve">the Performance-Vesting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8" w:lineRule="exact"/>
        <w:rPr>
          <w:rFonts w:ascii="Arial" w:cs="Arial" w:eastAsia="Arial" w:hAnsi="Arial"/>
          <w:sz w:val="21"/>
          <w:szCs w:val="21"/>
          <w:color w:val="auto"/>
        </w:rPr>
      </w:pPr>
    </w:p>
    <w:p>
      <w:pPr>
        <w:ind w:left="640" w:right="160" w:hanging="320"/>
        <w:spacing w:after="0" w:line="236" w:lineRule="auto"/>
        <w:tabs>
          <w:tab w:leader="none" w:pos="635" w:val="left"/>
        </w:tabs>
        <w:numPr>
          <w:ilvl w:val="1"/>
          <w:numId w:val="136"/>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28" w:lineRule="exact"/>
        <w:rPr>
          <w:rFonts w:ascii="Arial" w:cs="Arial" w:eastAsia="Arial" w:hAnsi="Arial"/>
          <w:sz w:val="21"/>
          <w:szCs w:val="21"/>
          <w:color w:val="auto"/>
        </w:rPr>
      </w:pPr>
    </w:p>
    <w:p>
      <w:pPr>
        <w:ind w:left="620" w:hanging="300"/>
        <w:spacing w:after="0"/>
        <w:tabs>
          <w:tab w:leader="none" w:pos="620" w:val="left"/>
        </w:tabs>
        <w:numPr>
          <w:ilvl w:val="1"/>
          <w:numId w:val="136"/>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right="60" w:hanging="315"/>
        <w:spacing w:after="0" w:line="219" w:lineRule="auto"/>
        <w:tabs>
          <w:tab w:leader="none" w:pos="315" w:val="left"/>
        </w:tabs>
        <w:numPr>
          <w:ilvl w:val="0"/>
          <w:numId w:val="136"/>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Performance-Vesting Restricted Share Unit Award Terms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Performance-Vesting Restricted Share Units shall vest in accordance with the Performance-Vesting Restricted Share Unit Vesting Schedule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(the “Vesting Schedule”).</w:t>
      </w:r>
    </w:p>
    <w:p>
      <w:pPr>
        <w:spacing w:after="0" w:line="117" w:lineRule="exact"/>
        <w:rPr>
          <w:rFonts w:ascii="Arial" w:cs="Arial" w:eastAsia="Arial" w:hAnsi="Arial"/>
          <w:sz w:val="21"/>
          <w:szCs w:val="21"/>
          <w:color w:val="auto"/>
        </w:rPr>
      </w:pPr>
    </w:p>
    <w:p>
      <w:pPr>
        <w:ind w:left="320" w:hanging="315"/>
        <w:spacing w:after="0"/>
        <w:tabs>
          <w:tab w:leader="none" w:pos="32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ectPr>
          <w:pgSz w:w="11900" w:h="16838" w:orient="portrait"/>
          <w:cols w:equalWidth="0" w:num="1">
            <w:col w:w="11240"/>
          </w:cols>
          <w:pgMar w:left="320" w:top="1384" w:right="339" w:bottom="1440" w:gutter="0" w:footer="0" w:header="0"/>
        </w:sectPr>
      </w:pPr>
    </w:p>
    <w:bookmarkStart w:id="238" w:name="page239"/>
    <w:bookmarkEnd w:id="238"/>
    <w:p>
      <w:pPr>
        <w:ind w:left="320" w:right="180" w:hanging="315"/>
        <w:spacing w:after="0" w:line="248" w:lineRule="auto"/>
        <w:tabs>
          <w:tab w:leader="none" w:pos="315" w:val="left"/>
        </w:tabs>
        <w:numPr>
          <w:ilvl w:val="0"/>
          <w:numId w:val="137"/>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5" w:lineRule="exact"/>
        <w:rPr>
          <w:rFonts w:ascii="Arial" w:cs="Arial" w:eastAsia="Arial" w:hAnsi="Arial"/>
          <w:sz w:val="19"/>
          <w:szCs w:val="19"/>
          <w:color w:val="auto"/>
        </w:rPr>
      </w:pPr>
    </w:p>
    <w:p>
      <w:pPr>
        <w:ind w:left="320" w:right="60" w:hanging="315"/>
        <w:spacing w:after="0" w:line="243" w:lineRule="auto"/>
        <w:tabs>
          <w:tab w:leader="none" w:pos="315" w:val="left"/>
        </w:tabs>
        <w:numPr>
          <w:ilvl w:val="0"/>
          <w:numId w:val="137"/>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to be bound by the terms and conditions set forth in the 2014 Incentive Plan, this Notice of Performance-Vesting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Performance-Vesting Restricted Share Unit Award and the Award Terms.</w:t>
      </w:r>
    </w:p>
    <w:p>
      <w:pPr>
        <w:spacing w:after="0" w:line="147" w:lineRule="exact"/>
        <w:rPr>
          <w:sz w:val="20"/>
          <w:szCs w:val="20"/>
          <w:color w:val="auto"/>
        </w:rPr>
      </w:pPr>
    </w:p>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200" w:lineRule="exact"/>
        <w:rPr>
          <w:sz w:val="20"/>
          <w:szCs w:val="20"/>
          <w:color w:val="auto"/>
        </w:rPr>
      </w:pPr>
    </w:p>
    <w:p>
      <w:pPr>
        <w:spacing w:after="0" w:line="220" w:lineRule="exact"/>
        <w:rPr>
          <w:sz w:val="20"/>
          <w:szCs w:val="20"/>
          <w:color w:val="auto"/>
        </w:rPr>
      </w:pPr>
    </w:p>
    <w:p>
      <w:pPr>
        <w:ind w:left="1260" w:hanging="626"/>
        <w:spacing w:after="0"/>
        <w:tabs>
          <w:tab w:leader="none" w:pos="126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38"/>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firstLine="1259"/>
        <w:spacing w:after="0" w:line="23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 shall have the meaning given to such term in any employment agreement, service contract or offer letter</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Grantee and 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w:t>
      </w:r>
    </w:p>
    <w:p>
      <w:pPr>
        <w:spacing w:after="0" w:line="1" w:lineRule="exact"/>
        <w:rPr>
          <w:sz w:val="20"/>
          <w:szCs w:val="20"/>
          <w:color w:val="auto"/>
        </w:rPr>
      </w:pPr>
    </w:p>
    <w:p>
      <w:pPr>
        <w:ind w:right="80" w:firstLine="5"/>
        <w:spacing w:after="0" w:line="218" w:lineRule="auto"/>
        <w:tabs>
          <w:tab w:leader="none" w:pos="30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breached his or her fiduciary duties to the Company Group. Without limiting the generality of the foregoing, “cause” under clauses (i) and (ii) of the preceding sentence shall also mean a good faith belief by the Company, after investigation, that Grantee has engaged in harassment based on any legally protected category or has retaliated against anyone for reporting a concern or potential misconduct in good faith.</w:t>
      </w:r>
    </w:p>
    <w:p>
      <w:pPr>
        <w:spacing w:after="0" w:line="148"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64" w:right="339" w:bottom="1440" w:gutter="0" w:footer="0" w:header="0"/>
        </w:sectPr>
      </w:pPr>
    </w:p>
    <w:bookmarkStart w:id="239" w:name="page240"/>
    <w:bookmarkEnd w:id="239"/>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8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8" w:lineRule="exact"/>
        <w:rPr>
          <w:sz w:val="20"/>
          <w:szCs w:val="20"/>
          <w:color w:val="auto"/>
        </w:rPr>
      </w:pPr>
    </w:p>
    <w:p>
      <w:pPr>
        <w:ind w:right="20"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120" w:firstLine="1259"/>
        <w:spacing w:after="0" w:line="238"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9"/>
          <w:szCs w:val="19"/>
          <w:b w:val="1"/>
          <w:bCs w:val="1"/>
          <w:color w:val="auto"/>
        </w:rPr>
        <w:t xml:space="preserve">“Grant Notice” </w:t>
      </w:r>
      <w:r>
        <w:rPr>
          <w:rFonts w:ascii="Arial" w:cs="Arial" w:eastAsia="Arial" w:hAnsi="Arial"/>
          <w:sz w:val="19"/>
          <w:szCs w:val="19"/>
          <w:color w:val="auto"/>
        </w:rPr>
        <w:t>means the Notice of Performance-Vesting Restricted Share Unit Award to which these Award Terms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are attached.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jc w:val="both"/>
        <w:ind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8" w:lineRule="exact"/>
        <w:rPr>
          <w:sz w:val="20"/>
          <w:szCs w:val="20"/>
          <w:color w:val="auto"/>
        </w:rPr>
      </w:pPr>
    </w:p>
    <w:p>
      <w:pPr>
        <w:ind w:right="6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ectPr>
          <w:pgSz w:w="11900" w:h="16838" w:orient="portrait"/>
          <w:cols w:equalWidth="0" w:num="1">
            <w:col w:w="11220"/>
          </w:cols>
          <w:pgMar w:left="320" w:top="13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A-2</w:t>
      </w:r>
    </w:p>
    <w:p>
      <w:pPr>
        <w:sectPr>
          <w:pgSz w:w="11900" w:h="16838" w:orient="portrait"/>
          <w:cols w:equalWidth="0" w:num="2">
            <w:col w:w="4800" w:space="720"/>
            <w:col w:w="5700"/>
          </w:cols>
          <w:pgMar w:left="320" w:top="1358" w:right="359" w:bottom="1440" w:gutter="0" w:footer="0" w:header="0"/>
          <w:type w:val="continuous"/>
        </w:sectPr>
      </w:pPr>
    </w:p>
    <w:bookmarkStart w:id="240" w:name="page241"/>
    <w:bookmarkEnd w:id="240"/>
    <w:p>
      <w:pPr>
        <w:ind w:left="126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8" w:lineRule="exact"/>
        <w:rPr>
          <w:sz w:val="20"/>
          <w:szCs w:val="20"/>
          <w:color w:val="auto"/>
        </w:rPr>
      </w:pPr>
    </w:p>
    <w:p>
      <w:pPr>
        <w:ind w:right="160" w:firstLine="1259"/>
        <w:spacing w:after="0" w:line="229"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54" w:lineRule="exact"/>
        <w:rPr>
          <w:sz w:val="20"/>
          <w:szCs w:val="20"/>
          <w:color w:val="auto"/>
        </w:rPr>
      </w:pPr>
    </w:p>
    <w:p>
      <w:pPr>
        <w:ind w:left="1880" w:hanging="616"/>
        <w:spacing w:after="0"/>
        <w:tabs>
          <w:tab w:leader="none" w:pos="18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40" w:firstLine="634"/>
        <w:spacing w:after="0" w:line="227" w:lineRule="auto"/>
        <w:tabs>
          <w:tab w:leader="none" w:pos="1259"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Except as otherwise set forth in these Award Terms, the Restricted Share Units shall vest in accordance with the Vesting Schedule. Each Restricted Share Unit, upon vesting thereof, shall entitle the holder thereof to receive one Common Share (subject to adjustment pursuant to Section 10 hereof).</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2" w:lineRule="auto"/>
        <w:tabs>
          <w:tab w:leader="none" w:pos="1885" w:val="left"/>
        </w:tabs>
        <w:numPr>
          <w:ilvl w:val="1"/>
          <w:numId w:val="141"/>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jc w:val="both"/>
        <w:ind w:right="160" w:firstLine="1264"/>
        <w:spacing w:after="0" w:line="222" w:lineRule="auto"/>
        <w:tabs>
          <w:tab w:leader="none" w:pos="1884" w:val="left"/>
        </w:tabs>
        <w:numPr>
          <w:ilvl w:val="1"/>
          <w:numId w:val="141"/>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ind w:left="1260" w:hanging="626"/>
        <w:spacing w:after="0"/>
        <w:tabs>
          <w:tab w:leader="none" w:pos="1260"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23" w:lineRule="auto"/>
        <w:tabs>
          <w:tab w:leader="none" w:pos="1885" w:val="left"/>
        </w:tabs>
        <w:numPr>
          <w:ilvl w:val="1"/>
          <w:numId w:val="141"/>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63" w:lineRule="exact"/>
        <w:rPr>
          <w:rFonts w:ascii="Arial" w:cs="Arial" w:eastAsia="Arial" w:hAnsi="Arial"/>
          <w:sz w:val="20"/>
          <w:szCs w:val="20"/>
          <w:color w:val="auto"/>
        </w:rPr>
      </w:pPr>
    </w:p>
    <w:p>
      <w:pPr>
        <w:ind w:right="300" w:firstLine="1264"/>
        <w:spacing w:after="0" w:line="219" w:lineRule="auto"/>
        <w:tabs>
          <w:tab w:leader="none" w:pos="1884" w:val="left"/>
        </w:tabs>
        <w:numPr>
          <w:ilvl w:val="1"/>
          <w:numId w:val="141"/>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w:t>
      </w:r>
    </w:p>
    <w:p>
      <w:pPr>
        <w:sectPr>
          <w:pgSz w:w="11900" w:h="16838" w:orient="portrait"/>
          <w:cols w:equalWidth="0" w:num="1">
            <w:col w:w="11240"/>
          </w:cols>
          <w:pgMar w:left="320" w:top="1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A-3</w:t>
      </w:r>
    </w:p>
    <w:p>
      <w:pPr>
        <w:sectPr>
          <w:pgSz w:w="11900" w:h="16838" w:orient="portrait"/>
          <w:cols w:equalWidth="0" w:num="2">
            <w:col w:w="4800" w:space="720"/>
            <w:col w:w="5720"/>
          </w:cols>
          <w:pgMar w:left="320" w:top="1358" w:right="339" w:bottom="1440" w:gutter="0" w:footer="0" w:header="0"/>
          <w:type w:val="continuous"/>
        </w:sectPr>
      </w:pPr>
    </w:p>
    <w:bookmarkStart w:id="241" w:name="page242"/>
    <w:bookmarkEnd w:id="241"/>
    <w:p>
      <w:pPr>
        <w:ind w:right="40"/>
        <w:spacing w:after="0" w:line="238" w:lineRule="auto"/>
        <w:rPr>
          <w:sz w:val="20"/>
          <w:szCs w:val="20"/>
          <w:color w:val="auto"/>
        </w:rPr>
      </w:pPr>
      <w:r>
        <w:rPr>
          <w:rFonts w:ascii="Arial" w:cs="Arial" w:eastAsia="Arial" w:hAnsi="Arial"/>
          <w:sz w:val="19"/>
          <w:szCs w:val="19"/>
          <w:color w:val="auto"/>
        </w:rPr>
        <w:t>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55" w:lineRule="exact"/>
        <w:rPr>
          <w:sz w:val="20"/>
          <w:szCs w:val="20"/>
          <w:color w:val="auto"/>
        </w:rPr>
      </w:pPr>
    </w:p>
    <w:p>
      <w:pPr>
        <w:ind w:right="140" w:firstLine="1264"/>
        <w:spacing w:after="0" w:line="224" w:lineRule="auto"/>
        <w:tabs>
          <w:tab w:leader="none" w:pos="1885" w:val="left"/>
        </w:tabs>
        <w:numPr>
          <w:ilvl w:val="2"/>
          <w:numId w:val="142"/>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155" w:lineRule="exact"/>
        <w:rPr>
          <w:rFonts w:ascii="Arial" w:cs="Arial" w:eastAsia="Arial" w:hAnsi="Arial"/>
          <w:sz w:val="20"/>
          <w:szCs w:val="20"/>
          <w:color w:val="auto"/>
        </w:rPr>
      </w:pPr>
    </w:p>
    <w:p>
      <w:pPr>
        <w:ind w:right="300" w:firstLine="634"/>
        <w:spacing w:after="0" w:line="239" w:lineRule="auto"/>
        <w:tabs>
          <w:tab w:leader="none" w:pos="1259" w:val="left"/>
        </w:tabs>
        <w:numPr>
          <w:ilvl w:val="1"/>
          <w:numId w:val="143"/>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20" w:firstLine="634"/>
        <w:spacing w:after="0" w:line="257" w:lineRule="auto"/>
        <w:tabs>
          <w:tab w:leader="none" w:pos="1259"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20" w:firstLine="634"/>
        <w:spacing w:after="0" w:line="257" w:lineRule="auto"/>
        <w:tabs>
          <w:tab w:leader="none" w:pos="1259"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firstLine="634"/>
        <w:spacing w:after="0" w:line="239" w:lineRule="auto"/>
        <w:tabs>
          <w:tab w:leader="none" w:pos="1259"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5" w:lineRule="exact"/>
        <w:rPr>
          <w:rFonts w:ascii="Arial" w:cs="Arial" w:eastAsia="Arial" w:hAnsi="Arial"/>
          <w:sz w:val="19"/>
          <w:szCs w:val="19"/>
          <w:color w:val="auto"/>
        </w:rPr>
      </w:pPr>
    </w:p>
    <w:p>
      <w:pPr>
        <w:ind w:left="1260" w:hanging="626"/>
        <w:spacing w:after="0"/>
        <w:tabs>
          <w:tab w:leader="none" w:pos="1260"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jc w:val="both"/>
        <w:ind w:right="20" w:firstLine="5"/>
        <w:spacing w:after="0" w:line="218" w:lineRule="auto"/>
        <w:tabs>
          <w:tab w:leader="none" w:pos="285"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w:t>
      </w:r>
    </w:p>
    <w:p>
      <w:pPr>
        <w:sectPr>
          <w:pgSz w:w="11900" w:h="16838" w:orient="portrait"/>
          <w:cols w:equalWidth="0" w:num="1">
            <w:col w:w="11200"/>
          </w:cols>
          <w:pgMar w:left="320" w:top="136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A-4</w:t>
      </w:r>
    </w:p>
    <w:p>
      <w:pPr>
        <w:sectPr>
          <w:pgSz w:w="11900" w:h="16838" w:orient="portrait"/>
          <w:cols w:equalWidth="0" w:num="2">
            <w:col w:w="4800" w:space="720"/>
            <w:col w:w="5680"/>
          </w:cols>
          <w:pgMar w:left="320" w:top="1364" w:right="379" w:bottom="1440" w:gutter="0" w:footer="0" w:header="0"/>
          <w:type w:val="continuous"/>
        </w:sectPr>
      </w:pPr>
    </w:p>
    <w:bookmarkStart w:id="242" w:name="page243"/>
    <w:bookmarkEnd w:id="242"/>
    <w:p>
      <w:pPr>
        <w:ind w:right="40"/>
        <w:spacing w:after="0" w:line="225" w:lineRule="auto"/>
        <w:rPr>
          <w:sz w:val="20"/>
          <w:szCs w:val="20"/>
          <w:color w:val="auto"/>
        </w:rPr>
      </w:pPr>
      <w:r>
        <w:rPr>
          <w:rFonts w:ascii="Arial" w:cs="Arial" w:eastAsia="Arial" w:hAnsi="Arial"/>
          <w:sz w:val="20"/>
          <w:szCs w:val="20"/>
          <w:color w:val="auto"/>
        </w:rPr>
        <w:t>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8" w:lineRule="exact"/>
        <w:rPr>
          <w:sz w:val="20"/>
          <w:szCs w:val="20"/>
          <w:color w:val="auto"/>
        </w:rPr>
      </w:pPr>
    </w:p>
    <w:p>
      <w:pPr>
        <w:ind w:firstLine="634"/>
        <w:spacing w:after="0" w:line="225" w:lineRule="auto"/>
        <w:tabs>
          <w:tab w:leader="none" w:pos="1259"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7" w:lineRule="exact"/>
        <w:rPr>
          <w:rFonts w:ascii="Arial" w:cs="Arial" w:eastAsia="Arial" w:hAnsi="Arial"/>
          <w:sz w:val="20"/>
          <w:szCs w:val="20"/>
          <w:color w:val="auto"/>
        </w:rPr>
      </w:pPr>
    </w:p>
    <w:p>
      <w:pPr>
        <w:ind w:right="40" w:firstLine="634"/>
        <w:spacing w:after="0" w:line="235" w:lineRule="auto"/>
        <w:tabs>
          <w:tab w:leader="none" w:pos="1251"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0" w:lineRule="exact"/>
        <w:rPr>
          <w:rFonts w:ascii="Arial" w:cs="Arial" w:eastAsia="Arial" w:hAnsi="Arial"/>
          <w:sz w:val="19"/>
          <w:szCs w:val="19"/>
          <w:color w:val="auto"/>
        </w:rPr>
      </w:pPr>
    </w:p>
    <w:p>
      <w:pPr>
        <w:ind w:right="80" w:firstLine="634"/>
        <w:spacing w:after="0" w:line="241" w:lineRule="auto"/>
        <w:tabs>
          <w:tab w:leader="none" w:pos="1259"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Grantee will remain bound by the terms and conditions of the Plan, the Grant Notice and these Award Terms. Except as otherwise permitted under the Plan or this Section 12, the Restricted Share</w:t>
      </w:r>
    </w:p>
    <w:p>
      <w:pPr>
        <w:sectPr>
          <w:pgSz w:w="11900" w:h="16838" w:orient="portrait"/>
          <w:cols w:equalWidth="0" w:num="1">
            <w:col w:w="11240"/>
          </w:cols>
          <w:pgMar w:left="320" w:top="1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A-5</w:t>
      </w:r>
    </w:p>
    <w:p>
      <w:pPr>
        <w:sectPr>
          <w:pgSz w:w="11900" w:h="16838" w:orient="portrait"/>
          <w:cols w:equalWidth="0" w:num="2">
            <w:col w:w="4800" w:space="720"/>
            <w:col w:w="5720"/>
          </w:cols>
          <w:pgMar w:left="320" w:top="1364" w:right="339" w:bottom="1440" w:gutter="0" w:footer="0" w:header="0"/>
          <w:type w:val="continuous"/>
        </w:sectPr>
      </w:pPr>
    </w:p>
    <w:bookmarkStart w:id="243" w:name="page244"/>
    <w:bookmarkEnd w:id="243"/>
    <w:p>
      <w:pPr>
        <w:spacing w:after="0"/>
        <w:rPr>
          <w:sz w:val="20"/>
          <w:szCs w:val="20"/>
          <w:color w:val="auto"/>
        </w:rPr>
      </w:pPr>
      <w:r>
        <w:rPr>
          <w:rFonts w:ascii="Arial" w:cs="Arial" w:eastAsia="Arial" w:hAnsi="Arial"/>
          <w:sz w:val="21"/>
          <w:szCs w:val="21"/>
          <w:color w:val="auto"/>
        </w:rPr>
        <w:t>Units shall not be transferable by Grantee other than by will or the laws of descent and distribution.</w:t>
      </w:r>
    </w:p>
    <w:p>
      <w:pPr>
        <w:spacing w:after="0" w:line="178" w:lineRule="exact"/>
        <w:rPr>
          <w:sz w:val="20"/>
          <w:szCs w:val="20"/>
          <w:color w:val="auto"/>
        </w:rPr>
      </w:pPr>
    </w:p>
    <w:p>
      <w:pPr>
        <w:ind w:left="1260" w:hanging="626"/>
        <w:spacing w:after="0"/>
        <w:tabs>
          <w:tab w:leader="none" w:pos="126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0" w:firstLine="1264"/>
        <w:spacing w:after="0" w:line="227" w:lineRule="auto"/>
        <w:tabs>
          <w:tab w:leader="none" w:pos="1885" w:val="left"/>
        </w:tabs>
        <w:numPr>
          <w:ilvl w:val="1"/>
          <w:numId w:val="146"/>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54" w:lineRule="exact"/>
        <w:rPr>
          <w:rFonts w:ascii="Arial" w:cs="Arial" w:eastAsia="Arial" w:hAnsi="Arial"/>
          <w:sz w:val="21"/>
          <w:szCs w:val="21"/>
          <w:color w:val="auto"/>
        </w:rPr>
      </w:pPr>
    </w:p>
    <w:p>
      <w:pPr>
        <w:ind w:firstLine="1264"/>
        <w:spacing w:after="0" w:line="227" w:lineRule="auto"/>
        <w:tabs>
          <w:tab w:leader="none" w:pos="1884" w:val="left"/>
        </w:tabs>
        <w:numPr>
          <w:ilvl w:val="1"/>
          <w:numId w:val="146"/>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54" w:lineRule="exact"/>
        <w:rPr>
          <w:rFonts w:ascii="Arial" w:cs="Arial" w:eastAsia="Arial" w:hAnsi="Arial"/>
          <w:sz w:val="21"/>
          <w:szCs w:val="21"/>
          <w:color w:val="auto"/>
        </w:rPr>
      </w:pPr>
    </w:p>
    <w:p>
      <w:pPr>
        <w:ind w:right="180" w:firstLine="1264"/>
        <w:spacing w:after="0" w:line="227" w:lineRule="auto"/>
        <w:tabs>
          <w:tab w:leader="none" w:pos="1885" w:val="left"/>
        </w:tabs>
        <w:numPr>
          <w:ilvl w:val="1"/>
          <w:numId w:val="146"/>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36" w:lineRule="auto"/>
        <w:tabs>
          <w:tab w:leader="none" w:pos="1885"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right="120" w:firstLine="1264"/>
        <w:spacing w:after="0" w:line="230" w:lineRule="auto"/>
        <w:tabs>
          <w:tab w:leader="none" w:pos="1884" w:val="left"/>
        </w:tabs>
        <w:numPr>
          <w:ilvl w:val="1"/>
          <w:numId w:val="146"/>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right="20" w:firstLine="1264"/>
        <w:spacing w:after="0" w:line="217" w:lineRule="auto"/>
        <w:tabs>
          <w:tab w:leader="none" w:pos="1885" w:val="left"/>
        </w:tabs>
        <w:numPr>
          <w:ilvl w:val="1"/>
          <w:numId w:val="146"/>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w:t>
      </w:r>
    </w:p>
    <w:p>
      <w:pPr>
        <w:sectPr>
          <w:pgSz w:w="11900" w:h="16838" w:orient="portrait"/>
          <w:cols w:equalWidth="0" w:num="1">
            <w:col w:w="11200"/>
          </w:cols>
          <w:pgMar w:left="320" w:top="136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A-6</w:t>
      </w:r>
    </w:p>
    <w:p>
      <w:pPr>
        <w:sectPr>
          <w:pgSz w:w="11900" w:h="16838" w:orient="portrait"/>
          <w:cols w:equalWidth="0" w:num="2">
            <w:col w:w="4800" w:space="720"/>
            <w:col w:w="5680"/>
          </w:cols>
          <w:pgMar w:left="320" w:top="1364" w:right="379" w:bottom="1440" w:gutter="0" w:footer="0" w:header="0"/>
          <w:type w:val="continuous"/>
        </w:sectPr>
      </w:pPr>
    </w:p>
    <w:bookmarkStart w:id="244" w:name="page245"/>
    <w:bookmarkEnd w:id="244"/>
    <w:p>
      <w:pPr>
        <w:ind w:right="40"/>
        <w:spacing w:after="0" w:line="283" w:lineRule="auto"/>
        <w:rPr>
          <w:sz w:val="20"/>
          <w:szCs w:val="20"/>
          <w:color w:val="auto"/>
        </w:rPr>
      </w:pPr>
      <w:r>
        <w:rPr>
          <w:rFonts w:ascii="Arial" w:cs="Arial" w:eastAsia="Arial" w:hAnsi="Arial"/>
          <w:sz w:val="19"/>
          <w:szCs w:val="19"/>
          <w:color w:val="auto"/>
        </w:rPr>
        <w:t>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14" w:lineRule="exact"/>
        <w:rPr>
          <w:sz w:val="20"/>
          <w:szCs w:val="20"/>
          <w:color w:val="auto"/>
        </w:rPr>
      </w:pPr>
    </w:p>
    <w:p>
      <w:pPr>
        <w:ind w:right="80" w:firstLine="634"/>
        <w:spacing w:after="0" w:line="236" w:lineRule="auto"/>
        <w:tabs>
          <w:tab w:leader="none" w:pos="1259"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2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20" w:firstLine="634"/>
        <w:spacing w:after="0" w:line="222" w:lineRule="auto"/>
        <w:tabs>
          <w:tab w:leader="none" w:pos="1259"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55" w:lineRule="exact"/>
        <w:rPr>
          <w:rFonts w:ascii="Arial" w:cs="Arial" w:eastAsia="Arial" w:hAnsi="Arial"/>
          <w:sz w:val="21"/>
          <w:szCs w:val="21"/>
          <w:color w:val="auto"/>
        </w:rPr>
      </w:pPr>
    </w:p>
    <w:p>
      <w:pPr>
        <w:ind w:right="40" w:firstLine="634"/>
        <w:spacing w:after="0" w:line="222" w:lineRule="auto"/>
        <w:tabs>
          <w:tab w:leader="none" w:pos="1259"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16" w:lineRule="auto"/>
        <w:tabs>
          <w:tab w:leader="none" w:pos="1885" w:val="left"/>
        </w:tabs>
        <w:numPr>
          <w:ilvl w:val="1"/>
          <w:numId w:val="148"/>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1"/>
          <w:szCs w:val="21"/>
          <w:color w:val="auto"/>
        </w:rPr>
      </w:pPr>
    </w:p>
    <w:p>
      <w:pPr>
        <w:ind w:firstLine="1264"/>
        <w:spacing w:after="0" w:line="227" w:lineRule="auto"/>
        <w:tabs>
          <w:tab w:leader="none" w:pos="1884"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ectPr>
          <w:pgSz w:w="11900" w:h="16838" w:orient="portrait"/>
          <w:cols w:equalWidth="0" w:num="1">
            <w:col w:w="11240"/>
          </w:cols>
          <w:pgMar w:left="320" w:top="1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A-7</w:t>
      </w:r>
    </w:p>
    <w:p>
      <w:pPr>
        <w:sectPr>
          <w:pgSz w:w="11900" w:h="16838" w:orient="portrait"/>
          <w:cols w:equalWidth="0" w:num="2">
            <w:col w:w="4800" w:space="720"/>
            <w:col w:w="5720"/>
          </w:cols>
          <w:pgMar w:left="320" w:top="1364" w:right="339" w:bottom="1440" w:gutter="0" w:footer="0" w:header="0"/>
          <w:type w:val="continuous"/>
        </w:sectPr>
      </w:pPr>
    </w:p>
    <w:bookmarkStart w:id="245" w:name="page246"/>
    <w:bookmarkEnd w:id="245"/>
    <w:p>
      <w:pPr>
        <w:ind w:firstLine="634"/>
        <w:spacing w:after="0" w:line="257" w:lineRule="auto"/>
        <w:tabs>
          <w:tab w:leader="none" w:pos="1259"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7" w:lineRule="exact"/>
        <w:rPr>
          <w:rFonts w:ascii="Arial" w:cs="Arial" w:eastAsia="Arial" w:hAnsi="Arial"/>
          <w:sz w:val="19"/>
          <w:szCs w:val="19"/>
          <w:color w:val="auto"/>
        </w:rPr>
      </w:pPr>
    </w:p>
    <w:p>
      <w:pPr>
        <w:ind w:left="1260" w:hanging="626"/>
        <w:spacing w:after="0"/>
        <w:tabs>
          <w:tab w:leader="none" w:pos="1260"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30" w:lineRule="auto"/>
        <w:tabs>
          <w:tab w:leader="none" w:pos="1885"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Grantee may designate in writing from time to time. Notices shall be effective upon delivery.</w:t>
      </w:r>
    </w:p>
    <w:p>
      <w:pPr>
        <w:spacing w:after="0" w:line="156" w:lineRule="exact"/>
        <w:rPr>
          <w:rFonts w:ascii="Arial" w:cs="Arial" w:eastAsia="Arial" w:hAnsi="Arial"/>
          <w:sz w:val="20"/>
          <w:szCs w:val="20"/>
          <w:color w:val="auto"/>
        </w:rPr>
      </w:pPr>
    </w:p>
    <w:p>
      <w:pPr>
        <w:ind w:firstLine="1264"/>
        <w:spacing w:after="0" w:line="214" w:lineRule="auto"/>
        <w:tabs>
          <w:tab w:leader="none" w:pos="1884" w:val="left"/>
        </w:tabs>
        <w:numPr>
          <w:ilvl w:val="1"/>
          <w:numId w:val="149"/>
        </w:numPr>
        <w:rPr>
          <w:rFonts w:ascii="Arial" w:cs="Arial" w:eastAsia="Arial" w:hAnsi="Arial"/>
          <w:sz w:val="21"/>
          <w:szCs w:val="21"/>
          <w:color w:val="auto"/>
        </w:rPr>
      </w:pPr>
      <w:r>
        <w:rPr>
          <w:rFonts w:ascii="Arial" w:cs="Arial" w:eastAsia="Arial" w:hAnsi="Arial"/>
          <w:sz w:val="21"/>
          <w:szCs w:val="21"/>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0" w:lineRule="exact"/>
        <w:rPr>
          <w:rFonts w:ascii="Arial" w:cs="Arial" w:eastAsia="Arial" w:hAnsi="Arial"/>
          <w:sz w:val="21"/>
          <w:szCs w:val="21"/>
          <w:color w:val="auto"/>
        </w:rPr>
      </w:pPr>
    </w:p>
    <w:p>
      <w:pPr>
        <w:ind w:right="460" w:firstLine="634"/>
        <w:spacing w:after="0" w:line="236" w:lineRule="auto"/>
        <w:tabs>
          <w:tab w:leader="none" w:pos="1259"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40" w:firstLine="634"/>
        <w:spacing w:after="0" w:line="217" w:lineRule="auto"/>
        <w:tabs>
          <w:tab w:leader="none" w:pos="1259"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8" w:lineRule="exact"/>
        <w:rPr>
          <w:rFonts w:ascii="Arial" w:cs="Arial" w:eastAsia="Arial" w:hAnsi="Arial"/>
          <w:sz w:val="21"/>
          <w:szCs w:val="21"/>
          <w:color w:val="auto"/>
        </w:rPr>
      </w:pPr>
    </w:p>
    <w:p>
      <w:pPr>
        <w:ind w:right="240" w:firstLine="634"/>
        <w:spacing w:after="0" w:line="266" w:lineRule="auto"/>
        <w:tabs>
          <w:tab w:leader="none" w:pos="1259"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31" w:lineRule="exact"/>
        <w:rPr>
          <w:rFonts w:ascii="Arial" w:cs="Arial" w:eastAsia="Arial" w:hAnsi="Arial"/>
          <w:sz w:val="18"/>
          <w:szCs w:val="18"/>
          <w:color w:val="auto"/>
        </w:rPr>
      </w:pPr>
    </w:p>
    <w:p>
      <w:pPr>
        <w:ind w:right="20" w:firstLine="634"/>
        <w:spacing w:after="0" w:line="227" w:lineRule="auto"/>
        <w:tabs>
          <w:tab w:leader="none" w:pos="1259"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ectPr>
          <w:pgSz w:w="11900" w:h="16838" w:orient="portrait"/>
          <w:cols w:equalWidth="0" w:num="1">
            <w:col w:w="11220"/>
          </w:cols>
          <w:pgMar w:left="320" w:top="1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Online 3YP Grant Award Agreement (as of October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A-8</w:t>
      </w:r>
    </w:p>
    <w:p>
      <w:pPr>
        <w:sectPr>
          <w:pgSz w:w="11900" w:h="16838" w:orient="portrait"/>
          <w:cols w:equalWidth="0" w:num="2">
            <w:col w:w="4800" w:space="720"/>
            <w:col w:w="5700"/>
          </w:cols>
          <w:pgMar w:left="320" w:top="1364" w:right="359" w:bottom="1440" w:gutter="0" w:footer="0" w:header="0"/>
          <w:type w:val="continuous"/>
        </w:sectPr>
      </w:pPr>
    </w:p>
    <w:bookmarkStart w:id="246" w:name="page247"/>
    <w:bookmarkEnd w:id="246"/>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APPENDIX</w:t>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right="200"/>
        <w:spacing w:after="0" w:line="227"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5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8"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84" w:lineRule="exact"/>
        <w:rPr>
          <w:sz w:val="20"/>
          <w:szCs w:val="20"/>
          <w:color w:val="auto"/>
        </w:rPr>
      </w:pPr>
    </w:p>
    <w:p>
      <w:pPr>
        <w:ind w:right="200" w:firstLine="5"/>
        <w:spacing w:after="0" w:line="257" w:lineRule="auto"/>
        <w:tabs>
          <w:tab w:leader="none" w:pos="31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47" w:name="page248"/>
    <w:bookmarkEnd w:id="247"/>
    <w:p>
      <w:pPr>
        <w:spacing w:after="0" w:line="160" w:lineRule="exact"/>
        <w:rPr>
          <w:sz w:val="20"/>
          <w:szCs w:val="20"/>
          <w:color w:val="auto"/>
        </w:rPr>
      </w:pPr>
    </w:p>
    <w:p>
      <w:pPr>
        <w:jc w:val="both"/>
        <w:ind w:right="120" w:firstLine="5"/>
        <w:spacing w:after="0" w:line="227" w:lineRule="auto"/>
        <w:tabs>
          <w:tab w:leader="none" w:pos="31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80" w:lineRule="exact"/>
        <w:rPr>
          <w:rFonts w:ascii="Arial" w:cs="Arial" w:eastAsia="Arial" w:hAnsi="Arial"/>
          <w:sz w:val="21"/>
          <w:szCs w:val="21"/>
          <w:color w:val="auto"/>
        </w:rPr>
      </w:pPr>
    </w:p>
    <w:p>
      <w:pPr>
        <w:ind w:right="820" w:firstLine="5"/>
        <w:spacing w:after="0" w:line="236" w:lineRule="auto"/>
        <w:tabs>
          <w:tab w:leader="none" w:pos="31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all decisions with respect to future grants of rights to receive Common Shares, if any, will be at the sole discretion of the Company;</w:t>
      </w:r>
    </w:p>
    <w:p>
      <w:pPr>
        <w:spacing w:after="0" w:line="180" w:lineRule="exact"/>
        <w:rPr>
          <w:rFonts w:ascii="Arial" w:cs="Arial" w:eastAsia="Arial" w:hAnsi="Arial"/>
          <w:sz w:val="21"/>
          <w:szCs w:val="21"/>
          <w:color w:val="auto"/>
        </w:rPr>
      </w:pPr>
    </w:p>
    <w:p>
      <w:pPr>
        <w:ind w:left="320" w:hanging="315"/>
        <w:spacing w:after="0"/>
        <w:tabs>
          <w:tab w:leader="none" w:pos="32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204" w:lineRule="exact"/>
        <w:rPr>
          <w:rFonts w:ascii="Arial" w:cs="Arial" w:eastAsia="Arial" w:hAnsi="Arial"/>
          <w:sz w:val="21"/>
          <w:szCs w:val="21"/>
          <w:color w:val="auto"/>
        </w:rPr>
      </w:pPr>
    </w:p>
    <w:p>
      <w:pPr>
        <w:ind w:right="100" w:firstLine="5"/>
        <w:spacing w:after="0" w:line="233" w:lineRule="auto"/>
        <w:tabs>
          <w:tab w:leader="none" w:pos="31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82" w:lineRule="exact"/>
        <w:rPr>
          <w:rFonts w:ascii="Arial" w:cs="Arial" w:eastAsia="Arial" w:hAnsi="Arial"/>
          <w:sz w:val="20"/>
          <w:szCs w:val="20"/>
          <w:color w:val="auto"/>
        </w:rPr>
      </w:pPr>
    </w:p>
    <w:p>
      <w:pPr>
        <w:ind w:right="220" w:firstLine="5"/>
        <w:spacing w:after="0" w:line="236" w:lineRule="auto"/>
        <w:tabs>
          <w:tab w:leader="none" w:pos="31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80" w:lineRule="exact"/>
        <w:rPr>
          <w:rFonts w:ascii="Arial" w:cs="Arial" w:eastAsia="Arial" w:hAnsi="Arial"/>
          <w:sz w:val="21"/>
          <w:szCs w:val="21"/>
          <w:color w:val="auto"/>
        </w:rPr>
      </w:pPr>
    </w:p>
    <w:p>
      <w:pPr>
        <w:ind w:right="220" w:firstLine="5"/>
        <w:spacing w:after="0" w:line="233" w:lineRule="auto"/>
        <w:tabs>
          <w:tab w:leader="none" w:pos="31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2" w:lineRule="exact"/>
        <w:rPr>
          <w:rFonts w:ascii="Arial" w:cs="Arial" w:eastAsia="Arial" w:hAnsi="Arial"/>
          <w:sz w:val="20"/>
          <w:szCs w:val="20"/>
          <w:color w:val="auto"/>
        </w:rPr>
      </w:pPr>
    </w:p>
    <w:p>
      <w:pPr>
        <w:ind w:right="240" w:firstLine="5"/>
        <w:spacing w:after="0" w:line="238" w:lineRule="auto"/>
        <w:tabs>
          <w:tab w:leader="none" w:pos="31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81" w:lineRule="exact"/>
        <w:rPr>
          <w:rFonts w:ascii="Arial" w:cs="Arial" w:eastAsia="Arial" w:hAnsi="Arial"/>
          <w:sz w:val="20"/>
          <w:szCs w:val="20"/>
          <w:color w:val="auto"/>
        </w:rPr>
      </w:pPr>
    </w:p>
    <w:p>
      <w:pPr>
        <w:ind w:left="300" w:hanging="289"/>
        <w:spacing w:after="0"/>
        <w:tabs>
          <w:tab w:leader="none" w:pos="30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204" w:lineRule="exact"/>
        <w:rPr>
          <w:rFonts w:ascii="Arial" w:cs="Arial" w:eastAsia="Arial" w:hAnsi="Arial"/>
          <w:sz w:val="21"/>
          <w:szCs w:val="21"/>
          <w:color w:val="auto"/>
        </w:rPr>
      </w:pPr>
    </w:p>
    <w:p>
      <w:pPr>
        <w:jc w:val="both"/>
        <w:ind w:firstLine="241"/>
        <w:spacing w:after="0" w:line="227" w:lineRule="auto"/>
        <w:tabs>
          <w:tab w:leader="none" w:pos="625" w:val="left"/>
        </w:tabs>
        <w:numPr>
          <w:ilvl w:val="1"/>
          <w:numId w:val="151"/>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80" w:lineRule="exact"/>
        <w:rPr>
          <w:rFonts w:ascii="Arial" w:cs="Arial" w:eastAsia="Arial" w:hAnsi="Arial"/>
          <w:sz w:val="21"/>
          <w:szCs w:val="21"/>
          <w:color w:val="auto"/>
        </w:rPr>
      </w:pPr>
    </w:p>
    <w:p>
      <w:pPr>
        <w:ind w:right="20" w:firstLine="241"/>
        <w:spacing w:after="0" w:line="248" w:lineRule="auto"/>
        <w:tabs>
          <w:tab w:leader="none" w:pos="617" w:val="left"/>
        </w:tabs>
        <w:numPr>
          <w:ilvl w:val="1"/>
          <w:numId w:val="151"/>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72" w:lineRule="exact"/>
        <w:rPr>
          <w:rFonts w:ascii="Arial" w:cs="Arial" w:eastAsia="Arial" w:hAnsi="Arial"/>
          <w:sz w:val="19"/>
          <w:szCs w:val="19"/>
          <w:color w:val="auto"/>
        </w:rPr>
      </w:pPr>
    </w:p>
    <w:p>
      <w:pPr>
        <w:ind w:right="280" w:firstLine="241"/>
        <w:spacing w:after="0" w:line="233" w:lineRule="auto"/>
        <w:tabs>
          <w:tab w:leader="none" w:pos="625" w:val="left"/>
        </w:tabs>
        <w:numPr>
          <w:ilvl w:val="1"/>
          <w:numId w:val="151"/>
        </w:numPr>
        <w:rPr>
          <w:rFonts w:ascii="Arial" w:cs="Arial" w:eastAsia="Arial" w:hAnsi="Arial"/>
          <w:sz w:val="20"/>
          <w:szCs w:val="20"/>
          <w:color w:val="auto"/>
        </w:rPr>
      </w:pPr>
      <w:r>
        <w:rPr>
          <w:rFonts w:ascii="Arial" w:cs="Arial" w:eastAsia="Arial" w:hAnsi="Arial"/>
          <w:sz w:val="20"/>
          <w:szCs w:val="20"/>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440" w:right="339" w:bottom="1440" w:gutter="0" w:footer="0" w:header="0"/>
        </w:sectPr>
      </w:pPr>
    </w:p>
    <w:bookmarkStart w:id="248" w:name="page249"/>
    <w:bookmarkEnd w:id="248"/>
    <w:p>
      <w:pPr>
        <w:ind w:right="120"/>
        <w:spacing w:after="0" w:line="219" w:lineRule="auto"/>
        <w:rPr>
          <w:sz w:val="20"/>
          <w:szCs w:val="20"/>
          <w:color w:val="auto"/>
        </w:rPr>
      </w:pPr>
      <w:r>
        <w:rPr>
          <w:rFonts w:ascii="Arial" w:cs="Arial" w:eastAsia="Arial" w:hAnsi="Arial"/>
          <w:sz w:val="21"/>
          <w:szCs w:val="21"/>
          <w:color w:val="auto"/>
        </w:rPr>
        <w:t>Restricted Share Units under the Plan, if any, will terminate effective as of the date that Grantee is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83" w:lineRule="exact"/>
        <w:rPr>
          <w:sz w:val="20"/>
          <w:szCs w:val="20"/>
          <w:color w:val="auto"/>
        </w:rPr>
      </w:pPr>
    </w:p>
    <w:p>
      <w:pPr>
        <w:ind w:right="80" w:firstLine="241"/>
        <w:spacing w:after="0" w:line="257" w:lineRule="auto"/>
        <w:tabs>
          <w:tab w:leader="none" w:pos="62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3" w:lineRule="exact"/>
        <w:rPr>
          <w:rFonts w:ascii="Arial" w:cs="Arial" w:eastAsia="Arial" w:hAnsi="Arial"/>
          <w:sz w:val="20"/>
          <w:szCs w:val="20"/>
          <w:color w:val="auto"/>
        </w:rPr>
      </w:pPr>
    </w:p>
    <w:p>
      <w:pPr>
        <w:ind w:right="120" w:firstLine="241"/>
        <w:spacing w:after="0" w:line="236" w:lineRule="auto"/>
        <w:tabs>
          <w:tab w:leader="none" w:pos="62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80" w:lineRule="exact"/>
        <w:rPr>
          <w:rFonts w:ascii="Arial" w:cs="Arial" w:eastAsia="Arial" w:hAnsi="Arial"/>
          <w:sz w:val="21"/>
          <w:szCs w:val="21"/>
          <w:color w:val="auto"/>
        </w:rPr>
      </w:pPr>
    </w:p>
    <w:p>
      <w:pPr>
        <w:ind w:right="60" w:firstLine="241"/>
        <w:spacing w:after="0" w:line="222" w:lineRule="auto"/>
        <w:tabs>
          <w:tab w:leader="none" w:pos="62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81" w:lineRule="exact"/>
        <w:rPr>
          <w:rFonts w:ascii="Arial" w:cs="Arial" w:eastAsia="Arial" w:hAnsi="Arial"/>
          <w:sz w:val="21"/>
          <w:szCs w:val="21"/>
          <w:color w:val="auto"/>
        </w:rPr>
      </w:pPr>
    </w:p>
    <w:p>
      <w:pPr>
        <w:jc w:val="both"/>
        <w:ind w:firstLine="241"/>
        <w:spacing w:after="0" w:line="222" w:lineRule="auto"/>
        <w:tabs>
          <w:tab w:leader="none" w:pos="62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6"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color w:val="auto"/>
        </w:rPr>
        <w:t>Foreign Asset/Account Reporting Requirements</w:t>
      </w:r>
      <w:r>
        <w:rPr>
          <w:rFonts w:ascii="Arial" w:cs="Arial" w:eastAsia="Arial" w:hAnsi="Arial"/>
          <w:sz w:val="20"/>
          <w:szCs w:val="20"/>
          <w:color w:val="auto"/>
        </w:rPr>
        <w:t>. Grantee acknowledges that there may be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74" w:lineRule="exact"/>
        <w:rPr>
          <w:sz w:val="20"/>
          <w:szCs w:val="20"/>
          <w:color w:val="auto"/>
        </w:rPr>
      </w:pPr>
    </w:p>
    <w:p>
      <w:pPr>
        <w:ind w:right="60"/>
        <w:spacing w:after="0" w:line="221"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178" w:lineRule="exact"/>
        <w:rPr>
          <w:sz w:val="20"/>
          <w:szCs w:val="20"/>
          <w:color w:val="auto"/>
        </w:rPr>
      </w:pPr>
    </w:p>
    <w:p>
      <w:pPr>
        <w:jc w:val="both"/>
        <w:ind w:right="140"/>
        <w:spacing w:after="0" w:line="229"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form, of Grantee’s personal data as described in the Grant Notice and these Award Terms by and among, as applicable, the Employer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64" w:right="379" w:bottom="1440" w:gutter="0" w:footer="0" w:header="0"/>
        </w:sectPr>
      </w:pPr>
    </w:p>
    <w:bookmarkStart w:id="249" w:name="page250"/>
    <w:bookmarkEnd w:id="249"/>
    <w:p>
      <w:pPr>
        <w:spacing w:after="0" w:line="236" w:lineRule="auto"/>
        <w:rPr>
          <w:sz w:val="20"/>
          <w:szCs w:val="20"/>
          <w:color w:val="auto"/>
        </w:rPr>
      </w:pPr>
      <w:r>
        <w:rPr>
          <w:rFonts w:ascii="Arial" w:cs="Arial" w:eastAsia="Arial" w:hAnsi="Arial"/>
          <w:sz w:val="21"/>
          <w:szCs w:val="21"/>
          <w:color w:val="auto"/>
        </w:rPr>
        <w:t>other entity in the Company Group for the exclusive purpose of implementing, administering and managing Grantee’s participation in the Plan.</w:t>
      </w:r>
    </w:p>
    <w:p>
      <w:pPr>
        <w:spacing w:after="0" w:line="149"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52"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9"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1" w:lineRule="exact"/>
        <w:rPr>
          <w:sz w:val="20"/>
          <w:szCs w:val="20"/>
          <w:color w:val="auto"/>
        </w:rPr>
      </w:pPr>
    </w:p>
    <w:p>
      <w:pPr>
        <w:jc w:val="both"/>
        <w:ind w:right="760"/>
        <w:spacing w:after="0" w:line="229"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name, home address and telephone number, email address, date of birth, social insurance, passport number or other identification number,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B-4</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64" w:right="339" w:bottom="1440" w:gutter="0" w:footer="0" w:header="0"/>
        </w:sectPr>
      </w:pPr>
    </w:p>
    <w:bookmarkStart w:id="250" w:name="page251"/>
    <w:bookmarkEnd w:id="250"/>
    <w:p>
      <w:pPr>
        <w:ind w:right="140"/>
        <w:spacing w:after="0" w:line="222" w:lineRule="auto"/>
        <w:rPr>
          <w:sz w:val="20"/>
          <w:szCs w:val="20"/>
          <w:color w:val="auto"/>
        </w:rPr>
      </w:pPr>
      <w:r>
        <w:rPr>
          <w:rFonts w:ascii="Arial" w:cs="Arial" w:eastAsia="Arial" w:hAnsi="Arial"/>
          <w:sz w:val="21"/>
          <w:szCs w:val="21"/>
          <w:color w:val="auto"/>
        </w:rPr>
        <w:t>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50"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48" w:lineRule="exact"/>
        <w:rPr>
          <w:sz w:val="20"/>
          <w:szCs w:val="20"/>
          <w:color w:val="auto"/>
        </w:rPr>
      </w:pPr>
    </w:p>
    <w:p>
      <w:pPr>
        <w:ind w:right="40"/>
        <w:spacing w:after="0" w:line="221"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3" w:lineRule="exact"/>
        <w:rPr>
          <w:sz w:val="20"/>
          <w:szCs w:val="20"/>
          <w:color w:val="auto"/>
        </w:rPr>
      </w:pPr>
    </w:p>
    <w:p>
      <w:pPr>
        <w:ind w:right="260"/>
        <w:spacing w:after="0" w:line="217" w:lineRule="auto"/>
        <w:rPr>
          <w:sz w:val="20"/>
          <w:szCs w:val="20"/>
          <w:color w:val="auto"/>
        </w:rPr>
      </w:pPr>
      <w:r>
        <w:rPr>
          <w:rFonts w:ascii="Arial" w:cs="Arial" w:eastAsia="Arial" w:hAnsi="Arial"/>
          <w:sz w:val="21"/>
          <w:szCs w:val="21"/>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53"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20"/>
          </w:cols>
          <w:pgMar w:left="320" w:top="1364" w:right="359" w:bottom="1440" w:gutter="0" w:footer="0" w:header="0"/>
        </w:sectPr>
      </w:pPr>
    </w:p>
    <w:bookmarkStart w:id="251" w:name="page252"/>
    <w:bookmarkEnd w:id="251"/>
    <w:p>
      <w:pPr>
        <w:ind w:right="120"/>
        <w:spacing w:after="0" w:line="236"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391" w:lineRule="exact"/>
        <w:rPr>
          <w:sz w:val="20"/>
          <w:szCs w:val="20"/>
          <w:color w:val="auto"/>
        </w:rPr>
      </w:pPr>
    </w:p>
    <w:p>
      <w:pPr>
        <w:spacing w:after="0" w:line="216" w:lineRule="auto"/>
        <w:rPr>
          <w:sz w:val="20"/>
          <w:szCs w:val="20"/>
          <w:color w:val="auto"/>
        </w:rPr>
      </w:pPr>
      <w:r>
        <w:rPr>
          <w:rFonts w:ascii="Arial" w:cs="Arial" w:eastAsia="Arial" w:hAnsi="Arial"/>
          <w:sz w:val="21"/>
          <w:szCs w:val="21"/>
          <w:b w:val="1"/>
          <w:bCs w:val="1"/>
          <w:color w:val="auto"/>
        </w:rPr>
        <w:t>Contractual Requirement</w:t>
      </w:r>
      <w:r>
        <w:rPr>
          <w:rFonts w:ascii="Arial" w:cs="Arial" w:eastAsia="Arial" w:hAnsi="Arial"/>
          <w:sz w:val="21"/>
          <w:szCs w:val="21"/>
          <w:color w:val="auto"/>
        </w:rPr>
        <w:t>. Grantee’s provision of Personal Data and its processing as described above is a contractual requirement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B-6</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52" w:name="page253"/>
    <w:bookmarkEnd w:id="252"/>
    <w:p>
      <w:pPr>
        <w:ind w:left="4580"/>
        <w:spacing w:after="0"/>
        <w:rPr>
          <w:sz w:val="20"/>
          <w:szCs w:val="20"/>
          <w:color w:val="auto"/>
        </w:rPr>
      </w:pPr>
      <w:r>
        <w:rPr>
          <w:rFonts w:ascii="Arial" w:cs="Arial" w:eastAsia="Arial" w:hAnsi="Arial"/>
          <w:sz w:val="21"/>
          <w:szCs w:val="21"/>
          <w:b w:val="1"/>
          <w:bCs w:val="1"/>
          <w:color w:val="auto"/>
        </w:rPr>
        <w:t>Appendix for Australia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grant of Restricted Share Units under the Plan is intended to comply with the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Act 2001, ASIC Regulatory Guide 49 and ASIC Class Order CO 14/1000. Additional details are set forth in the Australia Offer Document, which is provided with the Award Terms.</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B-7</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040"/>
          </w:cols>
          <w:pgMar w:left="320" w:top="1358" w:right="539" w:bottom="1440" w:gutter="0" w:footer="0" w:header="0"/>
        </w:sectPr>
      </w:pPr>
    </w:p>
    <w:bookmarkStart w:id="253" w:name="page254"/>
    <w:bookmarkEnd w:id="253"/>
    <w:p>
      <w:pPr>
        <w:ind w:left="4620"/>
        <w:spacing w:after="0"/>
        <w:rPr>
          <w:sz w:val="20"/>
          <w:szCs w:val="20"/>
          <w:color w:val="auto"/>
        </w:rPr>
      </w:pPr>
      <w:r>
        <w:rPr>
          <w:rFonts w:ascii="Arial" w:cs="Arial" w:eastAsia="Arial" w:hAnsi="Arial"/>
          <w:sz w:val="21"/>
          <w:szCs w:val="21"/>
          <w:b w:val="1"/>
          <w:bCs w:val="1"/>
          <w:color w:val="auto"/>
        </w:rPr>
        <w:t>Appendix for Belgium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52"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b w:val="1"/>
          <w:bCs w:val="1"/>
          <w:color w:val="auto"/>
        </w:rPr>
        <w:t>Annual Securities Accounts Tax</w:t>
      </w:r>
      <w:r>
        <w:rPr>
          <w:rFonts w:ascii="Arial" w:cs="Arial" w:eastAsia="Arial" w:hAnsi="Arial"/>
          <w:sz w:val="19"/>
          <w:szCs w:val="19"/>
          <w:color w:val="auto"/>
        </w:rPr>
        <w:t>. If the value of securities held in a Belgian or foreign securities account exceeds EUR 1 million, a</w:t>
      </w:r>
      <w:r>
        <w:rPr>
          <w:rFonts w:ascii="Arial" w:cs="Arial" w:eastAsia="Arial" w:hAnsi="Arial"/>
          <w:sz w:val="19"/>
          <w:szCs w:val="19"/>
          <w:b w:val="1"/>
          <w:bCs w:val="1"/>
          <w:color w:val="auto"/>
        </w:rPr>
        <w:t xml:space="preserve"> </w:t>
      </w:r>
      <w:r>
        <w:rPr>
          <w:rFonts w:ascii="Arial" w:cs="Arial" w:eastAsia="Arial" w:hAnsi="Arial"/>
          <w:sz w:val="19"/>
          <w:szCs w:val="19"/>
          <w:color w:val="auto"/>
        </w:rPr>
        <w:t>new “annual securities accounts tax” applies. Belgian residents should consult with their personal tax advisor regarding the new tax.</w:t>
      </w:r>
    </w:p>
    <w:p>
      <w:pPr>
        <w:spacing w:after="0" w:line="101" w:lineRule="exact"/>
        <w:rPr>
          <w:sz w:val="20"/>
          <w:szCs w:val="20"/>
          <w:color w:val="auto"/>
        </w:rPr>
      </w:pPr>
    </w:p>
    <w:p>
      <w:pPr>
        <w:ind w:right="140"/>
        <w:spacing w:after="0" w:line="224"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B-8</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40"/>
          </w:cols>
          <w:pgMar w:left="320" w:top="1358" w:right="439" w:bottom="1440" w:gutter="0" w:footer="0" w:header="0"/>
        </w:sectPr>
      </w:pPr>
    </w:p>
    <w:bookmarkStart w:id="254" w:name="page255"/>
    <w:bookmarkEnd w:id="254"/>
    <w:p>
      <w:pPr>
        <w:spacing w:after="0" w:line="364"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Appendix for Brazil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700"/>
        <w:spacing w:after="0" w:line="290"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Restricted Share Units, Grantee acknowledges that he or she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Brazilian laws and to pay any and all applicable taxes associated with Grantee’s participation in the Plan.</w:t>
      </w:r>
    </w:p>
    <w:p>
      <w:pPr>
        <w:spacing w:after="0" w:line="101"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is resident or domiciled in Brazil, he or she will be required to submit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equals or exceeds US$1,000,000. Assets and rights that must be reported include the Common Shares.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B-9</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20"/>
          </w:cols>
          <w:pgMar w:left="320" w:top="1440" w:right="359" w:bottom="1440" w:gutter="0" w:footer="0" w:header="0"/>
        </w:sectPr>
      </w:pPr>
    </w:p>
    <w:bookmarkStart w:id="255" w:name="page256"/>
    <w:bookmarkEnd w:id="255"/>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60"/>
        <w:spacing w:after="0" w:line="263" w:lineRule="auto"/>
        <w:rPr>
          <w:sz w:val="20"/>
          <w:szCs w:val="20"/>
          <w:color w:val="auto"/>
        </w:rPr>
      </w:pPr>
      <w:r>
        <w:rPr>
          <w:rFonts w:ascii="Arial" w:cs="Arial" w:eastAsia="Arial" w:hAnsi="Arial"/>
          <w:sz w:val="20"/>
          <w:szCs w:val="20"/>
          <w:b w:val="1"/>
          <w:bCs w:val="1"/>
          <w:color w:val="auto"/>
        </w:rPr>
        <w:t>Restricted Share Units Payable Only in Common Shares</w:t>
      </w:r>
      <w:r>
        <w:rPr>
          <w:rFonts w:ascii="Arial" w:cs="Arial" w:eastAsia="Arial" w:hAnsi="Arial"/>
          <w:sz w:val="20"/>
          <w:szCs w:val="20"/>
          <w:color w:val="auto"/>
        </w:rPr>
        <w:t>. The grant of Restricted Share Units does not provide any right for</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to receive a cash payment, and the Restricted Share Units are payable in Common Shares only.</w:t>
      </w:r>
    </w:p>
    <w:p>
      <w:pPr>
        <w:spacing w:after="0" w:line="125"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Notwithstanding anything to the contrary in Section 3(b) of the Award Terms, unless the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204" w:lineRule="exact"/>
        <w:rPr>
          <w:sz w:val="20"/>
          <w:szCs w:val="20"/>
          <w:color w:val="auto"/>
        </w:rPr>
      </w:pPr>
    </w:p>
    <w:p>
      <w:pPr>
        <w:ind w:right="200"/>
        <w:spacing w:after="0" w:line="229" w:lineRule="auto"/>
        <w:rPr>
          <w:sz w:val="20"/>
          <w:szCs w:val="20"/>
          <w:color w:val="auto"/>
        </w:rPr>
      </w:pPr>
      <w:r>
        <w:rPr>
          <w:rFonts w:ascii="Arial" w:cs="Arial" w:eastAsia="Arial" w:hAnsi="Arial"/>
          <w:sz w:val="21"/>
          <w:szCs w:val="21"/>
          <w:b w:val="1"/>
          <w:bCs w:val="1"/>
          <w:color w:val="auto"/>
        </w:rPr>
        <w:t xml:space="preserve">Language Acknowledgment. </w:t>
      </w:r>
      <w:r>
        <w:rPr>
          <w:rFonts w:ascii="Arial" w:cs="Arial" w:eastAsia="Arial" w:hAnsi="Arial"/>
          <w:sz w:val="21"/>
          <w:szCs w:val="21"/>
          <w:color w:val="auto"/>
        </w:rPr>
        <w:t>The parties acknowledge that it is their express wish that the Award Terms, including this Appendix,</w:t>
      </w:r>
      <w:r>
        <w:rPr>
          <w:rFonts w:ascii="Arial" w:cs="Arial" w:eastAsia="Arial" w:hAnsi="Arial"/>
          <w:sz w:val="21"/>
          <w:szCs w:val="21"/>
          <w:b w:val="1"/>
          <w:bCs w:val="1"/>
          <w:color w:val="auto"/>
        </w:rPr>
        <w:t xml:space="preserve"> </w:t>
      </w:r>
      <w:r>
        <w:rPr>
          <w:rFonts w:ascii="Arial" w:cs="Arial" w:eastAsia="Arial" w:hAnsi="Arial"/>
          <w:sz w:val="21"/>
          <w:szCs w:val="21"/>
          <w:color w:val="auto"/>
        </w:rPr>
        <w:t>as well as all documents, notices, and legal proceedings entered into, given or instituted pursuant hereto or relating directly or indirectly hereto, be drawn up in English.</w:t>
      </w:r>
    </w:p>
    <w:p>
      <w:pPr>
        <w:spacing w:after="0" w:line="180" w:lineRule="exact"/>
        <w:rPr>
          <w:sz w:val="20"/>
          <w:szCs w:val="20"/>
          <w:color w:val="auto"/>
        </w:rPr>
      </w:pPr>
    </w:p>
    <w:p>
      <w:pPr>
        <w:ind w:right="100"/>
        <w:spacing w:after="0" w:line="227"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convention afférente, ainsi que de tous documents, avis donnés et procédures judiciaires exécutés, donnés ou intentés en vertu de, ou liés directement ou indirectement aux présentes.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B-10</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56" w:name="page257"/>
    <w:bookmarkEnd w:id="256"/>
    <w:p>
      <w:pPr>
        <w:ind w:right="80"/>
        <w:spacing w:after="0" w:line="219" w:lineRule="auto"/>
        <w:rPr>
          <w:sz w:val="20"/>
          <w:szCs w:val="20"/>
          <w:color w:val="auto"/>
        </w:rPr>
      </w:pPr>
      <w:r>
        <w:rPr>
          <w:rFonts w:ascii="Arial" w:cs="Arial" w:eastAsia="Arial" w:hAnsi="Arial"/>
          <w:sz w:val="21"/>
          <w:szCs w:val="21"/>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540"/>
        <w:spacing w:after="0" w:line="2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w:t>
      </w:r>
      <w:r>
        <w:rPr>
          <w:rFonts w:ascii="Arial" w:cs="Arial" w:eastAsia="Arial" w:hAnsi="Arial"/>
          <w:sz w:val="19"/>
          <w:szCs w:val="19"/>
          <w:b w:val="1"/>
          <w:bCs w:val="1"/>
          <w:color w:val="auto"/>
        </w:rPr>
        <w:t xml:space="preserve"> </w:t>
      </w:r>
      <w:r>
        <w:rPr>
          <w:rFonts w:ascii="Arial" w:cs="Arial" w:eastAsia="Arial" w:hAnsi="Arial"/>
          <w:sz w:val="19"/>
          <w:szCs w:val="19"/>
          <w:color w:val="auto"/>
        </w:rPr>
        <w:t>on 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B-11</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64" w:right="339" w:bottom="1440" w:gutter="0" w:footer="0" w:header="0"/>
        </w:sectPr>
      </w:pPr>
    </w:p>
    <w:bookmarkStart w:id="257" w:name="page258"/>
    <w:bookmarkEnd w:id="257"/>
    <w:p>
      <w:pPr>
        <w:ind w:left="4720"/>
        <w:spacing w:after="0"/>
        <w:rPr>
          <w:sz w:val="20"/>
          <w:szCs w:val="20"/>
          <w:color w:val="auto"/>
        </w:rPr>
      </w:pPr>
      <w:r>
        <w:rPr>
          <w:rFonts w:ascii="Arial" w:cs="Arial" w:eastAsia="Arial" w:hAnsi="Arial"/>
          <w:sz w:val="21"/>
          <w:szCs w:val="21"/>
          <w:b w:val="1"/>
          <w:bCs w:val="1"/>
          <w:color w:val="auto"/>
        </w:rPr>
        <w:t>Appendix for China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Grantee understands, acknowledges and agrees that certain exchange control restrictions may apply</w:t>
      </w:r>
      <w:r>
        <w:rPr>
          <w:rFonts w:ascii="Arial" w:cs="Arial" w:eastAsia="Arial" w:hAnsi="Arial"/>
          <w:sz w:val="21"/>
          <w:szCs w:val="21"/>
          <w:b w:val="1"/>
          <w:bCs w:val="1"/>
          <w:color w:val="auto"/>
        </w:rPr>
        <w:t xml:space="preserve"> </w:t>
      </w:r>
      <w:r>
        <w:rPr>
          <w:rFonts w:ascii="Arial" w:cs="Arial" w:eastAsia="Arial" w:hAnsi="Arial"/>
          <w:sz w:val="21"/>
          <w:szCs w:val="21"/>
          <w:color w:val="auto"/>
        </w:rPr>
        <w:t>to Grantee’s 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B-12</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58" w:right="379" w:bottom="1440" w:gutter="0" w:footer="0" w:header="0"/>
        </w:sectPr>
      </w:pPr>
    </w:p>
    <w:bookmarkStart w:id="258" w:name="page259"/>
    <w:bookmarkEnd w:id="258"/>
    <w:p>
      <w:pPr>
        <w:ind w:left="4580"/>
        <w:spacing w:after="0"/>
        <w:rPr>
          <w:sz w:val="20"/>
          <w:szCs w:val="20"/>
          <w:color w:val="auto"/>
        </w:rPr>
      </w:pPr>
      <w:r>
        <w:rPr>
          <w:rFonts w:ascii="Arial" w:cs="Arial" w:eastAsia="Arial" w:hAnsi="Arial"/>
          <w:sz w:val="21"/>
          <w:szCs w:val="21"/>
          <w:b w:val="1"/>
          <w:bCs w:val="1"/>
          <w:color w:val="auto"/>
        </w:rPr>
        <w:t>Appendix for Denmark</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21"/>
          <w:szCs w:val="21"/>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B-13</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58" w:right="379" w:bottom="1440" w:gutter="0" w:footer="0" w:header="0"/>
        </w:sectPr>
      </w:pPr>
    </w:p>
    <w:bookmarkStart w:id="259" w:name="page260"/>
    <w:bookmarkEnd w:id="259"/>
    <w:p>
      <w:pPr>
        <w:ind w:left="4680"/>
        <w:spacing w:after="0"/>
        <w:rPr>
          <w:sz w:val="20"/>
          <w:szCs w:val="20"/>
          <w:color w:val="auto"/>
        </w:rPr>
      </w:pPr>
      <w:r>
        <w:rPr>
          <w:rFonts w:ascii="Arial" w:cs="Arial" w:eastAsia="Arial" w:hAnsi="Arial"/>
          <w:sz w:val="21"/>
          <w:szCs w:val="21"/>
          <w:b w:val="1"/>
          <w:bCs w:val="1"/>
          <w:color w:val="auto"/>
        </w:rPr>
        <w:t>Appendix for France</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80" w:lineRule="exact"/>
        <w:rPr>
          <w:sz w:val="20"/>
          <w:szCs w:val="20"/>
          <w:color w:val="auto"/>
        </w:rPr>
      </w:pPr>
    </w:p>
    <w:p>
      <w:pPr>
        <w:jc w:val="both"/>
        <w:ind w:right="140"/>
        <w:spacing w:after="0" w:line="222"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300"/>
        <w:spacing w:after="0" w:line="224"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B-14</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58" w:right="379" w:bottom="1440" w:gutter="0" w:footer="0" w:header="0"/>
        </w:sectPr>
      </w:pPr>
    </w:p>
    <w:bookmarkStart w:id="260" w:name="page261"/>
    <w:bookmarkEnd w:id="260"/>
    <w:p>
      <w:pPr>
        <w:ind w:left="4580"/>
        <w:spacing w:after="0"/>
        <w:rPr>
          <w:sz w:val="20"/>
          <w:szCs w:val="20"/>
          <w:color w:val="auto"/>
        </w:rPr>
      </w:pPr>
      <w:r>
        <w:rPr>
          <w:rFonts w:ascii="Arial" w:cs="Arial" w:eastAsia="Arial" w:hAnsi="Arial"/>
          <w:sz w:val="21"/>
          <w:szCs w:val="21"/>
          <w:b w:val="1"/>
          <w:bCs w:val="1"/>
          <w:color w:val="auto"/>
        </w:rPr>
        <w:t>Appendix for Germany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42"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9"/>
          <w:szCs w:val="19"/>
          <w:i w:val="1"/>
          <w:iCs w:val="1"/>
          <w:color w:val="auto"/>
        </w:rPr>
        <w:t>Allgemeine</w:t>
      </w:r>
      <w:r>
        <w:rPr>
          <w:rFonts w:ascii="Arial" w:cs="Arial" w:eastAsia="Arial" w:hAnsi="Arial"/>
          <w:sz w:val="19"/>
          <w:szCs w:val="19"/>
          <w:color w:val="auto"/>
        </w:rPr>
        <w:t xml:space="preserve"> </w:t>
      </w:r>
      <w:r>
        <w:rPr>
          <w:rFonts w:ascii="Arial" w:cs="Arial" w:eastAsia="Arial" w:hAnsi="Arial"/>
          <w:sz w:val="19"/>
          <w:szCs w:val="19"/>
          <w:i w:val="1"/>
          <w:iCs w:val="1"/>
          <w:color w:val="auto"/>
        </w:rPr>
        <w:t>Meldeportal Statistik</w:t>
      </w:r>
      <w:r>
        <w:rPr>
          <w:rFonts w:ascii="Arial" w:cs="Arial" w:eastAsia="Arial" w:hAnsi="Arial"/>
          <w:sz w:val="19"/>
          <w:szCs w:val="19"/>
          <w:color w:val="auto"/>
        </w:rPr>
        <w:t>”) can be accessed via the</w:t>
      </w:r>
      <w:r>
        <w:rPr>
          <w:rFonts w:ascii="Arial" w:cs="Arial" w:eastAsia="Arial" w:hAnsi="Arial"/>
          <w:sz w:val="19"/>
          <w:szCs w:val="19"/>
          <w:i w:val="1"/>
          <w:iCs w:val="1"/>
          <w:color w:val="auto"/>
        </w:rPr>
        <w:t xml:space="preserve"> Bundesbank’s </w:t>
      </w:r>
      <w:r>
        <w:rPr>
          <w:rFonts w:ascii="Arial" w:cs="Arial" w:eastAsia="Arial" w:hAnsi="Arial"/>
          <w:sz w:val="19"/>
          <w:szCs w:val="19"/>
          <w:color w:val="auto"/>
        </w:rPr>
        <w:t>website (www.bundesbank.de) and is available in both German and</w:t>
      </w:r>
      <w:r>
        <w:rPr>
          <w:rFonts w:ascii="Arial" w:cs="Arial" w:eastAsia="Arial" w:hAnsi="Arial"/>
          <w:sz w:val="19"/>
          <w:szCs w:val="19"/>
          <w:i w:val="1"/>
          <w:iCs w:val="1"/>
          <w:color w:val="auto"/>
        </w:rPr>
        <w:t xml:space="preserve"> </w:t>
      </w:r>
      <w:r>
        <w:rPr>
          <w:rFonts w:ascii="Arial" w:cs="Arial" w:eastAsia="Arial" w:hAnsi="Arial"/>
          <w:sz w:val="19"/>
          <w:szCs w:val="19"/>
          <w:color w:val="auto"/>
        </w:rPr>
        <w:t>English. Grantee is responsible for satisfying the reporting obligation.</w:t>
      </w:r>
    </w:p>
    <w:p>
      <w:pPr>
        <w:spacing w:after="0" w:line="173"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Grantee’s acquisition of Common Shares under the Plan leads to a “qualified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at any point during the calendar year, Grantee will need to report the acquisition of such shares when Grantee files his or her tax return for the relevant year. A qualified participation is attained if (1) the value of the Common Shares acquired exceeds €150,000 or (2) the Common Shares held exceed 10% of the Company’s total common stock. However, provided the Common Shares are listed on a recognized stock exchange (</w:t>
      </w:r>
      <w:r>
        <w:rPr>
          <w:rFonts w:ascii="Arial" w:cs="Arial" w:eastAsia="Arial" w:hAnsi="Arial"/>
          <w:sz w:val="21"/>
          <w:szCs w:val="21"/>
          <w:i w:val="1"/>
          <w:iCs w:val="1"/>
          <w:color w:val="auto"/>
        </w:rPr>
        <w:t>e.g.</w:t>
      </w:r>
      <w:r>
        <w:rPr>
          <w:rFonts w:ascii="Arial" w:cs="Arial" w:eastAsia="Arial" w:hAnsi="Arial"/>
          <w:sz w:val="21"/>
          <w:szCs w:val="21"/>
          <w:color w:val="auto"/>
        </w:rPr>
        <w:t>, the Nasdaq Stock Market) and Grantee owns less than 1% of the Company, this requirement will not apply. Grantee should consult with his or her personal tax advisor to ensure Grantee complies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B-15</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00"/>
          </w:cols>
          <w:pgMar w:left="320" w:top="1358" w:right="479" w:bottom="1440" w:gutter="0" w:footer="0" w:header="0"/>
        </w:sectPr>
      </w:pPr>
    </w:p>
    <w:bookmarkStart w:id="261" w:name="page262"/>
    <w:bookmarkEnd w:id="261"/>
    <w:p>
      <w:pPr>
        <w:ind w:left="4480"/>
        <w:spacing w:after="0"/>
        <w:rPr>
          <w:sz w:val="20"/>
          <w:szCs w:val="20"/>
          <w:color w:val="auto"/>
        </w:rPr>
      </w:pPr>
      <w:r>
        <w:rPr>
          <w:rFonts w:ascii="Arial" w:cs="Arial" w:eastAsia="Arial" w:hAnsi="Arial"/>
          <w:sz w:val="21"/>
          <w:szCs w:val="21"/>
          <w:b w:val="1"/>
          <w:bCs w:val="1"/>
          <w:color w:val="auto"/>
        </w:rPr>
        <w:t>Appendix for Hong Kong</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60"/>
        <w:spacing w:after="0" w:line="229"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paid in Shares only. In no event shall any of such Restricted Share Units be paid in cash, notwithstanding any discretion contained in the Plan to the contrary.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B-16</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58" w:right="379" w:bottom="1440" w:gutter="0" w:footer="0" w:header="0"/>
        </w:sectPr>
      </w:pPr>
    </w:p>
    <w:bookmarkStart w:id="262" w:name="page263"/>
    <w:bookmarkEnd w:id="262"/>
    <w:p>
      <w:pPr>
        <w:spacing w:after="0" w:line="36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Appendix for Hungary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18"/>
          <w:szCs w:val="18"/>
          <w:b w:val="1"/>
          <w:bCs w:val="1"/>
          <w:color w:val="auto"/>
        </w:rPr>
        <w:t>Performance-vesting Restricted Share Unit Award Terms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B-17</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0139"/>
          </w:cols>
          <w:pgMar w:left="320" w:top="1440" w:right="1440" w:bottom="1440" w:gutter="0" w:footer="0" w:header="0"/>
        </w:sectPr>
      </w:pPr>
    </w:p>
    <w:bookmarkStart w:id="263" w:name="page264"/>
    <w:bookmarkEnd w:id="263"/>
    <w:p>
      <w:pPr>
        <w:spacing w:after="0" w:line="364"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10" w:lineRule="exact"/>
        <w:rPr>
          <w:sz w:val="20"/>
          <w:szCs w:val="20"/>
          <w:color w:val="auto"/>
        </w:rPr>
      </w:pPr>
    </w:p>
    <w:p>
      <w:pPr>
        <w:ind w:right="360"/>
        <w:spacing w:after="0" w:line="236" w:lineRule="auto"/>
        <w:rPr>
          <w:sz w:val="20"/>
          <w:szCs w:val="20"/>
          <w:color w:val="auto"/>
        </w:rPr>
      </w:pPr>
      <w:r>
        <w:rPr>
          <w:rFonts w:ascii="Arial" w:cs="Arial" w:eastAsia="Arial" w:hAnsi="Arial"/>
          <w:sz w:val="21"/>
          <w:szCs w:val="21"/>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B-18</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440" w:right="339" w:bottom="1440" w:gutter="0" w:footer="0" w:header="0"/>
        </w:sectPr>
      </w:pPr>
    </w:p>
    <w:bookmarkStart w:id="264" w:name="page265"/>
    <w:bookmarkEnd w:id="264"/>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copy 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0"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b w:val="1"/>
          <w:bCs w:val="1"/>
          <w:color w:val="auto"/>
        </w:rPr>
        <w:t>Foreign Asset Tax Information</w:t>
      </w:r>
      <w:r>
        <w:rPr>
          <w:rFonts w:ascii="Arial" w:cs="Arial" w:eastAsia="Arial" w:hAnsi="Arial"/>
          <w:sz w:val="21"/>
          <w:szCs w:val="21"/>
          <w:color w:val="auto"/>
        </w:rPr>
        <w:t>. Italian residents who, at any time during the fiscal year, hold foreign financial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B-19</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65" w:name="page266"/>
    <w:bookmarkEnd w:id="265"/>
    <w:p>
      <w:pPr>
        <w:spacing w:after="0" w:line="390"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Appendix for Japan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B-20</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80"/>
          </w:cols>
          <w:pgMar w:left="320" w:top="1440" w:right="399" w:bottom="1440" w:gutter="0" w:footer="0" w:header="0"/>
        </w:sectPr>
      </w:pPr>
    </w:p>
    <w:bookmarkStart w:id="266" w:name="page267"/>
    <w:bookmarkEnd w:id="266"/>
    <w:p>
      <w:pPr>
        <w:ind w:left="4720"/>
        <w:spacing w:after="0"/>
        <w:rPr>
          <w:sz w:val="20"/>
          <w:szCs w:val="20"/>
          <w:color w:val="auto"/>
        </w:rPr>
      </w:pPr>
      <w:r>
        <w:rPr>
          <w:rFonts w:ascii="Arial" w:cs="Arial" w:eastAsia="Arial" w:hAnsi="Arial"/>
          <w:sz w:val="21"/>
          <w:szCs w:val="21"/>
          <w:b w:val="1"/>
          <w:bCs w:val="1"/>
          <w:color w:val="auto"/>
        </w:rPr>
        <w:t>Appendix for Korea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B-21</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67" w:name="page268"/>
    <w:bookmarkEnd w:id="267"/>
    <w:p>
      <w:pPr>
        <w:ind w:left="4420"/>
        <w:spacing w:after="0"/>
        <w:rPr>
          <w:sz w:val="20"/>
          <w:szCs w:val="20"/>
          <w:color w:val="auto"/>
        </w:rPr>
      </w:pPr>
      <w:r>
        <w:rPr>
          <w:rFonts w:ascii="Arial" w:cs="Arial" w:eastAsia="Arial" w:hAnsi="Arial"/>
          <w:sz w:val="21"/>
          <w:szCs w:val="21"/>
          <w:b w:val="1"/>
          <w:bCs w:val="1"/>
          <w:color w:val="auto"/>
        </w:rPr>
        <w:t>Appendix for Luxembourg</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18"/>
          <w:szCs w:val="18"/>
          <w:b w:val="1"/>
          <w:bCs w:val="1"/>
          <w:color w:val="auto"/>
        </w:rPr>
        <w:t>Performance-vesting Restricted Share Unit Award Terms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B-22</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0139"/>
          </w:cols>
          <w:pgMar w:left="320" w:top="1358" w:right="1440" w:bottom="1440" w:gutter="0" w:footer="0" w:header="0"/>
        </w:sectPr>
      </w:pPr>
    </w:p>
    <w:bookmarkStart w:id="268" w:name="page269"/>
    <w:bookmarkEnd w:id="268"/>
    <w:p>
      <w:pPr>
        <w:spacing w:after="0" w:line="391"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w:t>
      </w:r>
      <w:r>
        <w:rPr>
          <w:rFonts w:ascii="Arial" w:cs="Arial" w:eastAsia="Arial" w:hAnsi="Arial"/>
          <w:sz w:val="21"/>
          <w:szCs w:val="21"/>
          <w:b w:val="1"/>
          <w:bCs w:val="1"/>
          <w:color w:val="auto"/>
        </w:rPr>
        <w:t xml:space="preserve"> </w:t>
      </w:r>
      <w:r>
        <w:rPr>
          <w:rFonts w:ascii="Arial" w:cs="Arial" w:eastAsia="Arial" w:hAnsi="Arial"/>
          <w:sz w:val="21"/>
          <w:szCs w:val="21"/>
          <w:color w:val="auto"/>
        </w:rPr>
        <w:t>in 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B-23</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60"/>
          </w:cols>
          <w:pgMar w:left="320" w:top="1440" w:right="419" w:bottom="1440" w:gutter="0" w:footer="0" w:header="0"/>
        </w:sectPr>
      </w:pPr>
    </w:p>
    <w:bookmarkStart w:id="269" w:name="page270"/>
    <w:bookmarkEnd w:id="269"/>
    <w:p>
      <w:pPr>
        <w:ind w:left="4680"/>
        <w:spacing w:after="0"/>
        <w:rPr>
          <w:sz w:val="20"/>
          <w:szCs w:val="20"/>
          <w:color w:val="auto"/>
        </w:rPr>
      </w:pPr>
      <w:r>
        <w:rPr>
          <w:rFonts w:ascii="Arial" w:cs="Arial" w:eastAsia="Arial" w:hAnsi="Arial"/>
          <w:sz w:val="21"/>
          <w:szCs w:val="21"/>
          <w:b w:val="1"/>
          <w:bCs w:val="1"/>
          <w:color w:val="auto"/>
        </w:rPr>
        <w:t>Appendix for Mexico</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w:t>
      </w:r>
      <w:r>
        <w:rPr>
          <w:rFonts w:ascii="Arial" w:cs="Arial" w:eastAsia="Arial" w:hAnsi="Arial"/>
          <w:sz w:val="21"/>
          <w:szCs w:val="21"/>
          <w:b w:val="1"/>
          <w:bCs w:val="1"/>
          <w:color w:val="auto"/>
        </w:rPr>
        <w:t xml:space="preserve"> </w:t>
      </w:r>
      <w:r>
        <w:rPr>
          <w:rFonts w:ascii="Arial" w:cs="Arial" w:eastAsia="Arial" w:hAnsi="Arial"/>
          <w:sz w:val="21"/>
          <w:szCs w:val="21"/>
          <w:color w:val="auto"/>
        </w:rPr>
        <w:t>a 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9" w:lineRule="exact"/>
        <w:rPr>
          <w:sz w:val="20"/>
          <w:szCs w:val="20"/>
          <w:color w:val="auto"/>
        </w:rPr>
      </w:pPr>
    </w:p>
    <w:p>
      <w:pPr>
        <w:ind w:left="1080" w:hanging="446"/>
        <w:spacing w:after="0"/>
        <w:tabs>
          <w:tab w:leader="none" w:pos="10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8" w:lineRule="exact"/>
        <w:rPr>
          <w:rFonts w:ascii="Arial" w:cs="Arial" w:eastAsia="Arial" w:hAnsi="Arial"/>
          <w:sz w:val="21"/>
          <w:szCs w:val="21"/>
          <w:color w:val="auto"/>
        </w:rPr>
      </w:pPr>
    </w:p>
    <w:p>
      <w:pPr>
        <w:ind w:left="1260" w:right="200" w:hanging="626"/>
        <w:spacing w:after="0" w:line="236" w:lineRule="auto"/>
        <w:tabs>
          <w:tab w:leader="none" w:pos="108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3100 Ocean Park Boulevard, Santa Monica, California 90405,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8"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80"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B-24</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20"/>
          </w:cols>
          <w:pgMar w:left="320" w:top="1358" w:right="359" w:bottom="1440" w:gutter="0" w:footer="0" w:header="0"/>
        </w:sectPr>
      </w:pPr>
    </w:p>
    <w:bookmarkStart w:id="270" w:name="page271"/>
    <w:bookmarkEnd w:id="270"/>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9" w:lineRule="exact"/>
        <w:rPr>
          <w:sz w:val="20"/>
          <w:szCs w:val="20"/>
          <w:color w:val="auto"/>
        </w:rPr>
      </w:pPr>
    </w:p>
    <w:p>
      <w:pPr>
        <w:ind w:left="300" w:hanging="295"/>
        <w:spacing w:after="0"/>
        <w:tabs>
          <w:tab w:leader="none" w:pos="300" w:val="left"/>
        </w:tabs>
        <w:numPr>
          <w:ilvl w:val="0"/>
          <w:numId w:val="154"/>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204" w:lineRule="exact"/>
        <w:rPr>
          <w:rFonts w:ascii="Arial" w:cs="Arial" w:eastAsia="Arial" w:hAnsi="Arial"/>
          <w:sz w:val="21"/>
          <w:szCs w:val="21"/>
          <w:i w:val="1"/>
          <w:iCs w:val="1"/>
          <w:color w:val="auto"/>
        </w:rPr>
      </w:pPr>
    </w:p>
    <w:p>
      <w:pPr>
        <w:ind w:left="300" w:hanging="295"/>
        <w:spacing w:after="0"/>
        <w:tabs>
          <w:tab w:leader="none" w:pos="300" w:val="left"/>
        </w:tabs>
        <w:numPr>
          <w:ilvl w:val="0"/>
          <w:numId w:val="154"/>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8" w:lineRule="exact"/>
        <w:rPr>
          <w:rFonts w:ascii="Arial" w:cs="Arial" w:eastAsia="Arial" w:hAnsi="Arial"/>
          <w:sz w:val="21"/>
          <w:szCs w:val="21"/>
          <w:i w:val="1"/>
          <w:iCs w:val="1"/>
          <w:color w:val="auto"/>
        </w:rPr>
      </w:pPr>
    </w:p>
    <w:p>
      <w:pPr>
        <w:ind w:left="300" w:hanging="295"/>
        <w:spacing w:after="0"/>
        <w:tabs>
          <w:tab w:leader="none" w:pos="300" w:val="left"/>
        </w:tabs>
        <w:numPr>
          <w:ilvl w:val="0"/>
          <w:numId w:val="154"/>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8" w:lineRule="exact"/>
        <w:rPr>
          <w:rFonts w:ascii="Arial" w:cs="Arial" w:eastAsia="Arial" w:hAnsi="Arial"/>
          <w:sz w:val="21"/>
          <w:szCs w:val="21"/>
          <w:i w:val="1"/>
          <w:iCs w:val="1"/>
          <w:color w:val="auto"/>
        </w:rPr>
      </w:pPr>
    </w:p>
    <w:p>
      <w:pPr>
        <w:ind w:right="660" w:firstLine="5"/>
        <w:spacing w:after="0" w:line="236" w:lineRule="auto"/>
        <w:tabs>
          <w:tab w:leader="none" w:pos="297" w:val="left"/>
        </w:tabs>
        <w:numPr>
          <w:ilvl w:val="0"/>
          <w:numId w:val="154"/>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310 Ocean Park Boulevard, Santa Mónica, California, 90405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56" w:lineRule="exact"/>
        <w:rPr>
          <w:sz w:val="20"/>
          <w:szCs w:val="20"/>
          <w:color w:val="auto"/>
        </w:rPr>
      </w:pPr>
    </w:p>
    <w:p>
      <w:pPr>
        <w:jc w:val="both"/>
        <w:ind w:right="20"/>
        <w:spacing w:after="0" w:line="227"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B-25</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64" w:right="339" w:bottom="1440" w:gutter="0" w:footer="0" w:header="0"/>
        </w:sectPr>
      </w:pPr>
    </w:p>
    <w:bookmarkStart w:id="271" w:name="page272"/>
    <w:bookmarkEnd w:id="271"/>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Restricted Share Units and the Common Shares offered under the Plan have not been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B-26</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40"/>
          </w:cols>
          <w:pgMar w:left="320" w:top="1364" w:right="439" w:bottom="1440" w:gutter="0" w:footer="0" w:header="0"/>
        </w:sectPr>
      </w:pPr>
    </w:p>
    <w:bookmarkStart w:id="272" w:name="page273"/>
    <w:bookmarkEnd w:id="272"/>
    <w:p>
      <w:pPr>
        <w:ind w:left="4280"/>
        <w:spacing w:after="0"/>
        <w:rPr>
          <w:sz w:val="20"/>
          <w:szCs w:val="20"/>
          <w:color w:val="auto"/>
        </w:rPr>
      </w:pPr>
      <w:r>
        <w:rPr>
          <w:rFonts w:ascii="Arial" w:cs="Arial" w:eastAsia="Arial" w:hAnsi="Arial"/>
          <w:sz w:val="21"/>
          <w:szCs w:val="21"/>
          <w:b w:val="1"/>
          <w:bCs w:val="1"/>
          <w:color w:val="auto"/>
        </w:rPr>
        <w:t>Appendix for the Netherlands</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B-27</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80"/>
          </w:cols>
          <w:pgMar w:left="320" w:top="1358" w:right="399" w:bottom="1440" w:gutter="0" w:footer="0" w:header="0"/>
        </w:sectPr>
      </w:pPr>
    </w:p>
    <w:bookmarkStart w:id="273" w:name="page274"/>
    <w:bookmarkEnd w:id="273"/>
    <w:p>
      <w:pPr>
        <w:ind w:left="4400"/>
        <w:spacing w:after="0"/>
        <w:rPr>
          <w:sz w:val="20"/>
          <w:szCs w:val="20"/>
          <w:color w:val="auto"/>
        </w:rPr>
      </w:pPr>
      <w:r>
        <w:rPr>
          <w:rFonts w:ascii="Arial" w:cs="Arial" w:eastAsia="Arial" w:hAnsi="Arial"/>
          <w:sz w:val="21"/>
          <w:szCs w:val="21"/>
          <w:b w:val="1"/>
          <w:bCs w:val="1"/>
          <w:color w:val="auto"/>
        </w:rPr>
        <w:t>Appendix for New Zealand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jc w:val="both"/>
        <w:ind w:right="80"/>
        <w:spacing w:after="0" w:line="229"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terms of the Plan and the Award Terms. Restricted Share Units give Grantee a stake in the ownership of the Company. Grantee </w:t>
      </w:r>
      <w:r>
        <w:rPr>
          <w:rFonts w:ascii="Arial" w:cs="Arial" w:eastAsia="Arial" w:hAnsi="Arial"/>
          <w:sz w:val="21"/>
          <w:szCs w:val="21"/>
          <w:color w:val="auto"/>
          <w:highlight w:val="white"/>
        </w:rPr>
        <w:t>may receive a return if dividends are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-287655</wp:posOffset>
            </wp:positionV>
            <wp:extent cx="3413760" cy="141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3413760" cy="141605"/>
                    </a:xfrm>
                    <a:prstGeom prst="rect">
                      <a:avLst/>
                    </a:prstGeom>
                    <a:noFill/>
                  </pic:spPr>
                </pic:pic>
              </a:graphicData>
            </a:graphic>
          </wp:anchor>
        </w:drawing>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their investment.</w:t>
      </w:r>
    </w:p>
    <w:p>
      <w:pPr>
        <w:spacing w:after="0" w:line="155" w:lineRule="exact"/>
        <w:rPr>
          <w:sz w:val="20"/>
          <w:szCs w:val="20"/>
          <w:color w:val="auto"/>
        </w:rPr>
      </w:pPr>
    </w:p>
    <w:p>
      <w:pPr>
        <w:ind w:right="440"/>
        <w:spacing w:after="0" w:line="236"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5" w:lineRule="exact"/>
        <w:rPr>
          <w:sz w:val="20"/>
          <w:szCs w:val="20"/>
          <w:color w:val="auto"/>
        </w:rPr>
      </w:pPr>
    </w:p>
    <w:p>
      <w:pPr>
        <w:ind w:right="380"/>
        <w:spacing w:after="0" w:line="233" w:lineRule="auto"/>
        <w:rPr>
          <w:sz w:val="20"/>
          <w:szCs w:val="20"/>
          <w:color w:val="auto"/>
        </w:rPr>
      </w:pPr>
      <w:r>
        <w:rPr>
          <w:rFonts w:ascii="Arial" w:cs="Arial" w:eastAsia="Arial" w:hAnsi="Arial"/>
          <w:sz w:val="20"/>
          <w:szCs w:val="20"/>
          <w:color w:val="auto"/>
        </w:rPr>
        <w:t>In addition, the Holder is hereby notified that the Company’s most recent Annual Report on Form 10-K, the Plan and the Plan prospectus are available for review on the Company intranet site at Finance - The Hub (activisionblizzard.com). The Company’s most recent Annual Report can also be found at: https://investor.activision.com/#ir-reports-filings. And your Award Terms can be found in your E*Trade account at www.etrade.com by navigating to My Account/Plan Elections.</w:t>
      </w:r>
    </w:p>
    <w:p>
      <w:pPr>
        <w:spacing w:after="0" w:line="156" w:lineRule="exact"/>
        <w:rPr>
          <w:sz w:val="20"/>
          <w:szCs w:val="20"/>
          <w:color w:val="auto"/>
        </w:rPr>
      </w:pPr>
    </w:p>
    <w:p>
      <w:pPr>
        <w:ind w:right="180"/>
        <w:spacing w:after="0" w:line="227"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their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B-28</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74" w:name="page275"/>
    <w:bookmarkEnd w:id="274"/>
    <w:p>
      <w:pPr>
        <w:ind w:left="4680"/>
        <w:spacing w:after="0"/>
        <w:rPr>
          <w:sz w:val="20"/>
          <w:szCs w:val="20"/>
          <w:color w:val="auto"/>
        </w:rPr>
      </w:pPr>
      <w:r>
        <w:rPr>
          <w:rFonts w:ascii="Arial" w:cs="Arial" w:eastAsia="Arial" w:hAnsi="Arial"/>
          <w:sz w:val="21"/>
          <w:szCs w:val="21"/>
          <w:b w:val="1"/>
          <w:bCs w:val="1"/>
          <w:color w:val="auto"/>
        </w:rPr>
        <w:t>Appendix for Poland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Foreign Asset/Accounting Reporting Notification</w:t>
      </w:r>
      <w:r>
        <w:rPr>
          <w:rFonts w:ascii="Arial" w:cs="Arial" w:eastAsia="Arial" w:hAnsi="Arial"/>
          <w:sz w:val="19"/>
          <w:szCs w:val="19"/>
          <w:color w:val="auto"/>
        </w:rPr>
        <w:t>. Polish residents holding foreign securities (including Common Shares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B-29</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58" w:right="379" w:bottom="1440" w:gutter="0" w:footer="0" w:header="0"/>
        </w:sectPr>
      </w:pPr>
    </w:p>
    <w:bookmarkStart w:id="275" w:name="page276"/>
    <w:bookmarkEnd w:id="275"/>
    <w:p>
      <w:pPr>
        <w:ind w:left="4600"/>
        <w:spacing w:after="0"/>
        <w:rPr>
          <w:sz w:val="20"/>
          <w:szCs w:val="20"/>
          <w:color w:val="auto"/>
        </w:rPr>
      </w:pPr>
      <w:r>
        <w:rPr>
          <w:rFonts w:ascii="Arial" w:cs="Arial" w:eastAsia="Arial" w:hAnsi="Arial"/>
          <w:sz w:val="21"/>
          <w:szCs w:val="21"/>
          <w:b w:val="1"/>
          <w:bCs w:val="1"/>
          <w:color w:val="auto"/>
        </w:rPr>
        <w:t>Appendix for Portugal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40"/>
        <w:spacing w:after="0" w:line="290"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8"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Shares upon vesting of the Restricted Share Units, the acquisition of Shares should</w:t>
      </w:r>
      <w:r>
        <w:rPr>
          <w:rFonts w:ascii="Arial" w:cs="Arial" w:eastAsia="Arial" w:hAnsi="Arial"/>
          <w:sz w:val="21"/>
          <w:szCs w:val="21"/>
          <w:b w:val="1"/>
          <w:bCs w:val="1"/>
          <w:color w:val="auto"/>
        </w:rPr>
        <w:t xml:space="preserve"> </w:t>
      </w:r>
      <w:r>
        <w:rPr>
          <w:rFonts w:ascii="Arial" w:cs="Arial" w:eastAsia="Arial" w:hAnsi="Arial"/>
          <w:sz w:val="21"/>
          <w:szCs w:val="21"/>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B-30</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20"/>
          </w:cols>
          <w:pgMar w:left="320" w:top="1358" w:right="359" w:bottom="1440" w:gutter="0" w:footer="0" w:header="0"/>
        </w:sectPr>
      </w:pPr>
    </w:p>
    <w:bookmarkStart w:id="276" w:name="page277"/>
    <w:bookmarkEnd w:id="276"/>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B-31</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77" w:name="page278"/>
    <w:bookmarkEnd w:id="277"/>
    <w:p>
      <w:pPr>
        <w:ind w:left="4700"/>
        <w:spacing w:after="0"/>
        <w:rPr>
          <w:sz w:val="20"/>
          <w:szCs w:val="20"/>
          <w:color w:val="auto"/>
        </w:rPr>
      </w:pPr>
      <w:r>
        <w:rPr>
          <w:rFonts w:ascii="Arial" w:cs="Arial" w:eastAsia="Arial" w:hAnsi="Arial"/>
          <w:sz w:val="21"/>
          <w:szCs w:val="21"/>
          <w:b w:val="1"/>
          <w:bCs w:val="1"/>
          <w:color w:val="auto"/>
        </w:rPr>
        <w:t>Appendix for Russia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Employer is not in any way involved in the offer of Restricted Share Units or administration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4" w:lineRule="exact"/>
        <w:rPr>
          <w:sz w:val="20"/>
          <w:szCs w:val="20"/>
          <w:color w:val="auto"/>
        </w:rPr>
      </w:pPr>
    </w:p>
    <w:p>
      <w:pPr>
        <w:jc w:val="both"/>
        <w:ind w:right="360"/>
        <w:spacing w:after="0" w:line="238"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7"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4" w:lineRule="exact"/>
        <w:rPr>
          <w:sz w:val="20"/>
          <w:szCs w:val="20"/>
          <w:color w:val="auto"/>
        </w:rPr>
      </w:pPr>
    </w:p>
    <w:p>
      <w:pPr>
        <w:ind w:right="120"/>
        <w:spacing w:after="0" w:line="222" w:lineRule="auto"/>
        <w:rPr>
          <w:sz w:val="20"/>
          <w:szCs w:val="20"/>
          <w:color w:val="auto"/>
        </w:rPr>
      </w:pPr>
      <w:r>
        <w:rPr>
          <w:rFonts w:ascii="Arial" w:cs="Arial" w:eastAsia="Arial" w:hAnsi="Arial"/>
          <w:sz w:val="21"/>
          <w:szCs w:val="21"/>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 resources representative. Grantee understands that refusal or withdrawal, rescission or termination of consent may affect his or her ability to participate in the Plan.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B-32</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sectPr>
      </w:pPr>
    </w:p>
    <w:bookmarkStart w:id="278" w:name="page279"/>
    <w:bookmarkEnd w:id="278"/>
    <w:p>
      <w:pPr>
        <w:ind w:right="360"/>
        <w:spacing w:after="0" w:line="236" w:lineRule="auto"/>
        <w:rPr>
          <w:sz w:val="20"/>
          <w:szCs w:val="20"/>
          <w:color w:val="auto"/>
        </w:rPr>
      </w:pPr>
      <w:r>
        <w:rPr>
          <w:rFonts w:ascii="Arial" w:cs="Arial" w:eastAsia="Arial" w:hAnsi="Arial"/>
          <w:sz w:val="21"/>
          <w:szCs w:val="21"/>
          <w:color w:val="auto"/>
        </w:rPr>
        <w:t>information on the consequences of Grantee’s refusal to consent or withdrawal of consent, Grantee understands that Grantee may contact the U.S. human resources representative or stock plan services.</w:t>
      </w:r>
    </w:p>
    <w:p>
      <w:pPr>
        <w:spacing w:after="0" w:line="149"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50"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Grantee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that Grantee receives with respect to the Restricted Share Units to Russia as soon as Grantee intends to use those cash amounts for any purpose, including reinvestment. If the repatriation requirements apply, such funds must initially be credited to Grantee through a foreign currency account at an authorized bank in Russia. After the funds are initially received in Russia, they may be further remitted to foreign banks in accordance with Russian exchange control laws.</w:t>
      </w:r>
    </w:p>
    <w:p>
      <w:pPr>
        <w:spacing w:after="0" w:line="153"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B-33</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20"/>
          </w:cols>
          <w:pgMar w:left="320" w:top="1364" w:right="359" w:bottom="1440" w:gutter="0" w:footer="0" w:header="0"/>
        </w:sectPr>
      </w:pPr>
    </w:p>
    <w:bookmarkStart w:id="279" w:name="page280"/>
    <w:bookmarkEnd w:id="279"/>
    <w:p>
      <w:pPr>
        <w:spacing w:after="0" w:line="364"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Appendix for Singapore</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Sale Restriction. </w:t>
      </w:r>
      <w:r>
        <w:rPr>
          <w:rFonts w:ascii="Arial" w:cs="Arial" w:eastAsia="Arial" w:hAnsi="Arial"/>
          <w:sz w:val="21"/>
          <w:szCs w:val="21"/>
          <w:color w:val="auto"/>
        </w:rPr>
        <w:t>Grantee agrees that any Common Shares acquired pursuant to the Restricted Share Units will not be offered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B-34</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440" w:right="339" w:bottom="1440" w:gutter="0" w:footer="0" w:header="0"/>
        </w:sectPr>
      </w:pPr>
    </w:p>
    <w:bookmarkStart w:id="280" w:name="page281"/>
    <w:bookmarkEnd w:id="280"/>
    <w:p>
      <w:pPr>
        <w:ind w:left="4740"/>
        <w:spacing w:after="0"/>
        <w:rPr>
          <w:sz w:val="20"/>
          <w:szCs w:val="20"/>
          <w:color w:val="auto"/>
        </w:rPr>
      </w:pPr>
      <w:r>
        <w:rPr>
          <w:rFonts w:ascii="Arial" w:cs="Arial" w:eastAsia="Arial" w:hAnsi="Arial"/>
          <w:sz w:val="21"/>
          <w:szCs w:val="21"/>
          <w:b w:val="1"/>
          <w:bCs w:val="1"/>
          <w:color w:val="auto"/>
        </w:rPr>
        <w:t>Appendix for Spain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380"/>
        <w:spacing w:after="0" w:line="236"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The acquisition, ownership and sale of Common Shares under the Plan must be declared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statistical purposes to the Spanish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B-35</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20"/>
          </w:cols>
          <w:pgMar w:left="320" w:top="1358" w:right="359" w:bottom="1440" w:gutter="0" w:footer="0" w:header="0"/>
        </w:sectPr>
      </w:pPr>
    </w:p>
    <w:bookmarkStart w:id="281" w:name="page282"/>
    <w:bookmarkEnd w:id="281"/>
    <w:p>
      <w:pPr>
        <w:spacing w:after="0" w:line="228"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65"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B-36</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77" w:right="379" w:bottom="1440" w:gutter="0" w:footer="0" w:header="0"/>
        </w:sectPr>
      </w:pPr>
    </w:p>
    <w:bookmarkStart w:id="282" w:name="page283"/>
    <w:bookmarkEnd w:id="282"/>
    <w:p>
      <w:pPr>
        <w:ind w:left="4660"/>
        <w:spacing w:after="0"/>
        <w:rPr>
          <w:sz w:val="20"/>
          <w:szCs w:val="20"/>
          <w:color w:val="auto"/>
        </w:rPr>
      </w:pPr>
      <w:r>
        <w:rPr>
          <w:rFonts w:ascii="Arial" w:cs="Arial" w:eastAsia="Arial" w:hAnsi="Arial"/>
          <w:sz w:val="21"/>
          <w:szCs w:val="21"/>
          <w:b w:val="1"/>
          <w:bCs w:val="1"/>
          <w:color w:val="auto"/>
        </w:rPr>
        <w:t>Appendix for Sweden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10"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B-37</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040"/>
          </w:cols>
          <w:pgMar w:left="320" w:top="1358" w:right="539" w:bottom="1440" w:gutter="0" w:footer="0" w:header="0"/>
        </w:sectPr>
      </w:pPr>
    </w:p>
    <w:bookmarkStart w:id="283" w:name="page284"/>
    <w:bookmarkEnd w:id="283"/>
    <w:p>
      <w:pPr>
        <w:jc w:val="center"/>
        <w:ind w:right="-59"/>
        <w:spacing w:after="0"/>
        <w:rPr>
          <w:sz w:val="20"/>
          <w:szCs w:val="20"/>
          <w:color w:val="auto"/>
        </w:rPr>
      </w:pPr>
      <w:r>
        <w:rPr>
          <w:rFonts w:ascii="Arial" w:cs="Arial" w:eastAsia="Arial" w:hAnsi="Arial"/>
          <w:sz w:val="21"/>
          <w:szCs w:val="21"/>
          <w:b w:val="1"/>
          <w:bCs w:val="1"/>
          <w:color w:val="auto"/>
        </w:rPr>
        <w:t>Appendix for Taiwan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Grantee hereby acknowledges that he or she has read and understands the terms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w:t>
      </w:r>
      <w:r>
        <w:rPr>
          <w:rFonts w:ascii="Arial" w:cs="Arial" w:eastAsia="Arial" w:hAnsi="Arial"/>
          <w:sz w:val="21"/>
          <w:szCs w:val="21"/>
          <w:b w:val="1"/>
          <w:bCs w:val="1"/>
          <w:color w:val="auto"/>
        </w:rPr>
        <w:t xml:space="preserve"> </w:t>
      </w:r>
      <w:r>
        <w:rPr>
          <w:rFonts w:ascii="Arial" w:cs="Arial" w:eastAsia="Arial" w:hAnsi="Arial"/>
          <w:sz w:val="21"/>
          <w:szCs w:val="21"/>
          <w:color w:val="auto"/>
        </w:rPr>
        <w:t>of participation in the Plan is not a public offer of securities by a Taiwanese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B-38</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00"/>
          </w:cols>
          <w:pgMar w:left="320" w:top="1358" w:right="379" w:bottom="1440" w:gutter="0" w:footer="0" w:header="0"/>
        </w:sectPr>
      </w:pPr>
    </w:p>
    <w:bookmarkStart w:id="284" w:name="page285"/>
    <w:bookmarkEnd w:id="284"/>
    <w:p>
      <w:pPr>
        <w:ind w:left="4080"/>
        <w:spacing w:after="0"/>
        <w:rPr>
          <w:sz w:val="20"/>
          <w:szCs w:val="20"/>
          <w:color w:val="auto"/>
        </w:rPr>
      </w:pPr>
      <w:r>
        <w:rPr>
          <w:rFonts w:ascii="Arial" w:cs="Arial" w:eastAsia="Arial" w:hAnsi="Arial"/>
          <w:sz w:val="21"/>
          <w:szCs w:val="21"/>
          <w:b w:val="1"/>
          <w:bCs w:val="1"/>
          <w:color w:val="auto"/>
        </w:rPr>
        <w:t>Appendix for the United Kingdom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B-39</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40"/>
          </w:cols>
          <w:pgMar w:left="320" w:top="1358" w:right="439" w:bottom="1440" w:gutter="0" w:footer="0" w:header="0"/>
        </w:sectPr>
      </w:pPr>
    </w:p>
    <w:bookmarkStart w:id="285" w:name="page286"/>
    <w:bookmarkEnd w:id="285"/>
    <w:p>
      <w:pPr>
        <w:ind w:left="372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4" w:lineRule="exact"/>
        <w:rPr>
          <w:sz w:val="20"/>
          <w:szCs w:val="20"/>
          <w:color w:val="auto"/>
        </w:rPr>
      </w:pPr>
    </w:p>
    <w:p>
      <w:pPr>
        <w:ind w:left="1260" w:hanging="626"/>
        <w:spacing w:after="0"/>
        <w:tabs>
          <w:tab w:leader="none" w:pos="126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55"/>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72" w:lineRule="exact"/>
        <w:rPr>
          <w:sz w:val="20"/>
          <w:szCs w:val="20"/>
          <w:color w:val="auto"/>
        </w:rPr>
      </w:pPr>
    </w:p>
    <w:p>
      <w:pPr>
        <w:ind w:firstLine="1259"/>
        <w:spacing w:after="0" w:line="232"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4" w:lineRule="exact"/>
        <w:rPr>
          <w:sz w:val="20"/>
          <w:szCs w:val="20"/>
          <w:color w:val="auto"/>
        </w:rPr>
      </w:pPr>
    </w:p>
    <w:p>
      <w:pPr>
        <w:ind w:right="80" w:firstLine="1259"/>
        <w:spacing w:after="0" w:line="229"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74" w:lineRule="exact"/>
        <w:rPr>
          <w:sz w:val="20"/>
          <w:szCs w:val="20"/>
          <w:color w:val="auto"/>
        </w:rPr>
      </w:pPr>
    </w:p>
    <w:p>
      <w:pPr>
        <w:ind w:firstLine="1259"/>
        <w:spacing w:after="0" w:line="229"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54" w:lineRule="exact"/>
        <w:rPr>
          <w:sz w:val="20"/>
          <w:szCs w:val="20"/>
          <w:color w:val="auto"/>
        </w:rPr>
      </w:pPr>
    </w:p>
    <w:p>
      <w:pPr>
        <w:ind w:left="640" w:right="80" w:firstLine="624"/>
        <w:spacing w:after="0" w:line="222" w:lineRule="auto"/>
        <w:tabs>
          <w:tab w:leader="none" w:pos="1677"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55" w:lineRule="exact"/>
        <w:rPr>
          <w:rFonts w:ascii="Arial" w:cs="Arial" w:eastAsia="Arial" w:hAnsi="Arial"/>
          <w:sz w:val="21"/>
          <w:szCs w:val="21"/>
          <w:color w:val="auto"/>
        </w:rPr>
      </w:pPr>
    </w:p>
    <w:p>
      <w:pPr>
        <w:ind w:left="640" w:right="660" w:firstLine="624"/>
        <w:spacing w:after="0" w:line="236" w:lineRule="auto"/>
        <w:tabs>
          <w:tab w:leader="none" w:pos="1736"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54" w:lineRule="exact"/>
        <w:rPr>
          <w:rFonts w:ascii="Arial" w:cs="Arial" w:eastAsia="Arial" w:hAnsi="Arial"/>
          <w:sz w:val="21"/>
          <w:szCs w:val="21"/>
          <w:color w:val="auto"/>
        </w:rPr>
      </w:pPr>
    </w:p>
    <w:p>
      <w:pPr>
        <w:ind w:left="640" w:right="100" w:firstLine="624"/>
        <w:spacing w:after="0" w:line="254" w:lineRule="auto"/>
        <w:tabs>
          <w:tab w:leader="none" w:pos="179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ectPr>
          <w:pgSz w:w="11900" w:h="16838" w:orient="portrait"/>
          <w:cols w:equalWidth="0" w:num="1">
            <w:col w:w="11220"/>
          </w:cols>
          <w:pgMar w:left="320" w:top="1358" w:right="359" w:bottom="1440" w:gutter="0" w:footer="0" w:header="0"/>
        </w:sectPr>
      </w:pPr>
    </w:p>
    <w:bookmarkStart w:id="286" w:name="page287"/>
    <w:bookmarkEnd w:id="286"/>
    <w:p>
      <w:pPr>
        <w:ind w:right="120" w:firstLine="634"/>
        <w:spacing w:after="0" w:line="243" w:lineRule="auto"/>
        <w:tabs>
          <w:tab w:leader="none" w:pos="1259"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52" w:lineRule="exact"/>
        <w:rPr>
          <w:rFonts w:ascii="Arial" w:cs="Arial" w:eastAsia="Arial" w:hAnsi="Arial"/>
          <w:sz w:val="19"/>
          <w:szCs w:val="19"/>
          <w:color w:val="auto"/>
        </w:rPr>
      </w:pPr>
    </w:p>
    <w:p>
      <w:pPr>
        <w:ind w:firstLine="634"/>
        <w:spacing w:after="0" w:line="224" w:lineRule="auto"/>
        <w:tabs>
          <w:tab w:leader="none" w:pos="1259"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B-41</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80"/>
          </w:cols>
          <w:pgMar w:left="320" w:top="1364" w:right="399" w:bottom="1440" w:gutter="0" w:footer="0" w:header="0"/>
        </w:sectPr>
      </w:pPr>
    </w:p>
    <w:bookmarkStart w:id="287" w:name="page288"/>
    <w:bookmarkEnd w:id="287"/>
    <w:p>
      <w:pPr>
        <w:jc w:val="center"/>
        <w:spacing w:after="0"/>
        <w:rPr>
          <w:sz w:val="20"/>
          <w:szCs w:val="20"/>
          <w:color w:val="auto"/>
        </w:rPr>
      </w:pPr>
      <w:r>
        <w:rPr>
          <w:rFonts w:ascii="Arial" w:cs="Arial" w:eastAsia="Arial" w:hAnsi="Arial"/>
          <w:sz w:val="21"/>
          <w:szCs w:val="21"/>
          <w:b w:val="1"/>
          <w:bCs w:val="1"/>
          <w:u w:val="single" w:color="auto"/>
          <w:color w:val="auto"/>
        </w:rPr>
        <w:t>EXHIBIT 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PERFORMANCE-VESTING RESTRICTED SHARE UNIT VESTING SCHEDULE</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Except as otherwise provided under the Award Terms, the Restricted Share Units awarded to you will vest in full on or prior to March 30, 2025, provided you remain continuously employed by the Company or one of its Subsidiaries through such date, as follows:</w:t>
      </w:r>
    </w:p>
    <w:p>
      <w:pPr>
        <w:spacing w:after="0" w:line="153" w:lineRule="exact"/>
        <w:rPr>
          <w:sz w:val="20"/>
          <w:szCs w:val="20"/>
          <w:color w:val="auto"/>
        </w:rPr>
      </w:pPr>
    </w:p>
    <w:p>
      <w:pPr>
        <w:ind w:left="2080"/>
        <w:spacing w:after="0"/>
        <w:tabs>
          <w:tab w:leader="none" w:pos="7440" w:val="left"/>
        </w:tabs>
        <w:rPr>
          <w:sz w:val="20"/>
          <w:szCs w:val="20"/>
          <w:color w:val="auto"/>
        </w:rPr>
      </w:pPr>
      <w:r>
        <w:rPr>
          <w:rFonts w:ascii="Arial" w:cs="Arial" w:eastAsia="Arial" w:hAnsi="Arial"/>
          <w:sz w:val="21"/>
          <w:szCs w:val="21"/>
          <w:b w:val="1"/>
          <w:bCs w:val="1"/>
          <w:color w:val="auto"/>
        </w:rPr>
        <w:t>No. of Restricted Share Units Vesting</w:t>
      </w:r>
      <w:r>
        <w:rPr>
          <w:sz w:val="20"/>
          <w:szCs w:val="20"/>
          <w:color w:val="auto"/>
        </w:rPr>
        <w:tab/>
      </w:r>
      <w:r>
        <w:rPr>
          <w:rFonts w:ascii="Arial" w:cs="Arial" w:eastAsia="Arial" w:hAnsi="Arial"/>
          <w:sz w:val="19"/>
          <w:szCs w:val="19"/>
          <w:b w:val="1"/>
          <w:bCs w:val="1"/>
          <w:color w:val="auto"/>
        </w:rPr>
        <w:t>If, and Only If, the Committee</w:t>
      </w:r>
    </w:p>
    <w:p>
      <w:pPr>
        <w:ind w:left="3060"/>
        <w:spacing w:after="0"/>
        <w:tabs>
          <w:tab w:leader="none" w:pos="7240" w:val="left"/>
        </w:tabs>
        <w:rPr>
          <w:sz w:val="20"/>
          <w:szCs w:val="20"/>
          <w:color w:val="auto"/>
        </w:rPr>
      </w:pPr>
      <w:r>
        <w:rPr>
          <w:rFonts w:ascii="Arial" w:cs="Arial" w:eastAsia="Arial" w:hAnsi="Arial"/>
          <w:sz w:val="21"/>
          <w:szCs w:val="21"/>
          <w:b w:val="1"/>
          <w:bCs w:val="1"/>
          <w:color w:val="auto"/>
        </w:rPr>
        <w:t>at Vesting Date</w:t>
      </w:r>
      <w:r>
        <w:rPr>
          <w:sz w:val="20"/>
          <w:szCs w:val="20"/>
          <w:color w:val="auto"/>
        </w:rPr>
        <w:tab/>
      </w:r>
      <w:r>
        <w:rPr>
          <w:rFonts w:ascii="Arial" w:cs="Arial" w:eastAsia="Arial" w:hAnsi="Arial"/>
          <w:sz w:val="18"/>
          <w:szCs w:val="18"/>
          <w:b w:val="1"/>
          <w:bCs w:val="1"/>
          <w:color w:val="auto"/>
        </w:rPr>
        <w:t>Determines that the Following Has</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21"/>
          <w:szCs w:val="21"/>
          <w:b w:val="1"/>
          <w:bCs w:val="1"/>
          <w:color w:val="auto"/>
        </w:rPr>
        <w:t>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6985</wp:posOffset>
            </wp:positionV>
            <wp:extent cx="64369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6436995" cy="825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p>
      <w:pPr>
        <w:spacing w:after="0" w:line="16" w:lineRule="exact"/>
        <w:rPr>
          <w:sz w:val="20"/>
          <w:szCs w:val="20"/>
          <w:color w:val="auto"/>
        </w:rPr>
      </w:pPr>
    </w:p>
    <w:p>
      <w:pPr>
        <w:ind w:left="640"/>
        <w:spacing w:after="0" w:line="227" w:lineRule="auto"/>
        <w:rPr>
          <w:sz w:val="20"/>
          <w:szCs w:val="20"/>
          <w:color w:val="auto"/>
        </w:rPr>
      </w:pPr>
      <w:r>
        <w:rPr>
          <w:rFonts w:ascii="Arial" w:cs="Arial" w:eastAsia="Arial" w:hAnsi="Arial"/>
          <w:sz w:val="21"/>
          <w:szCs w:val="21"/>
          <w:color w:val="auto"/>
        </w:rPr>
        <w:t>The number of Restricted Share Units awarded as set forth in the Grant Notice adjusted by the Performance Factor, rounded to the nearest whole number</w:t>
      </w:r>
    </w:p>
    <w:p>
      <w:pPr>
        <w:spacing w:after="0" w:line="20" w:lineRule="exact"/>
        <w:rPr>
          <w:sz w:val="20"/>
          <w:szCs w:val="20"/>
          <w:color w:val="auto"/>
        </w:rPr>
      </w:pPr>
      <w:r>
        <w:rPr>
          <w:sz w:val="20"/>
          <w:szCs w:val="20"/>
          <w:color w:val="auto"/>
        </w:rPr>
        <w:br w:type="column"/>
      </w:r>
    </w:p>
    <w:p>
      <w:pPr>
        <w:jc w:val="both"/>
        <w:ind w:right="680"/>
        <w:spacing w:after="0" w:line="227" w:lineRule="auto"/>
        <w:rPr>
          <w:sz w:val="20"/>
          <w:szCs w:val="20"/>
          <w:color w:val="auto"/>
        </w:rPr>
      </w:pPr>
      <w:r>
        <w:rPr>
          <w:rFonts w:ascii="Arial" w:cs="Arial" w:eastAsia="Arial" w:hAnsi="Arial"/>
          <w:sz w:val="21"/>
          <w:szCs w:val="21"/>
          <w:color w:val="auto"/>
        </w:rPr>
        <w:t>The sum of the Company’s Non-GAAP OI for 2022, 2023 and 2024 is at least 90% of the Objective</w:t>
      </w:r>
    </w:p>
    <w:p>
      <w:pPr>
        <w:spacing w:after="0" w:line="200" w:lineRule="exact"/>
        <w:rPr>
          <w:sz w:val="20"/>
          <w:szCs w:val="20"/>
          <w:color w:val="auto"/>
        </w:rPr>
      </w:pPr>
    </w:p>
    <w:p>
      <w:pPr>
        <w:sectPr>
          <w:pgSz w:w="11900" w:h="16838" w:orient="portrait"/>
          <w:cols w:equalWidth="0" w:num="2">
            <w:col w:w="6760" w:space="200"/>
            <w:col w:w="4280"/>
          </w:cols>
          <w:pgMar w:left="320" w:top="1358"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Vesting Schedule the following terms shall have the meanings set forth below:</w:t>
      </w:r>
    </w:p>
    <w:p>
      <w:pPr>
        <w:spacing w:after="0" w:line="172" w:lineRule="exact"/>
        <w:rPr>
          <w:sz w:val="20"/>
          <w:szCs w:val="20"/>
          <w:color w:val="auto"/>
        </w:rPr>
      </w:pPr>
    </w:p>
    <w:p>
      <w:pPr>
        <w:ind w:left="320" w:right="20"/>
        <w:spacing w:after="0" w:line="217" w:lineRule="auto"/>
        <w:rPr>
          <w:sz w:val="20"/>
          <w:szCs w:val="20"/>
          <w:color w:val="auto"/>
        </w:rPr>
      </w:pPr>
      <w:r>
        <w:rPr>
          <w:rFonts w:ascii="Arial" w:cs="Arial" w:eastAsia="Arial" w:hAnsi="Arial"/>
          <w:sz w:val="21"/>
          <w:szCs w:val="21"/>
          <w:b w:val="1"/>
          <w:bCs w:val="1"/>
          <w:color w:val="auto"/>
        </w:rPr>
        <w:t xml:space="preserve">“Non-GAAP OI” </w:t>
      </w:r>
      <w:r>
        <w:rPr>
          <w:rFonts w:ascii="Arial" w:cs="Arial" w:eastAsia="Arial" w:hAnsi="Arial"/>
          <w:sz w:val="21"/>
          <w:szCs w:val="21"/>
          <w:color w:val="auto"/>
        </w:rPr>
        <w:t>means non-GAAP operating income, calculated using the same accounting policies and otherwise in a manner</w:t>
      </w:r>
      <w:r>
        <w:rPr>
          <w:rFonts w:ascii="Arial" w:cs="Arial" w:eastAsia="Arial" w:hAnsi="Arial"/>
          <w:sz w:val="21"/>
          <w:szCs w:val="21"/>
          <w:b w:val="1"/>
          <w:bCs w:val="1"/>
          <w:color w:val="auto"/>
        </w:rPr>
        <w:t xml:space="preserve"> </w:t>
      </w:r>
      <w:r>
        <w:rPr>
          <w:rFonts w:ascii="Arial" w:cs="Arial" w:eastAsia="Arial" w:hAnsi="Arial"/>
          <w:sz w:val="21"/>
          <w:szCs w:val="21"/>
          <w:color w:val="auto"/>
        </w:rPr>
        <w:t>consistent with the calculation of such measurement in the long-range strategic plan that was presented to the Board for the three-year period consisting of 2022, 2023 and 2024. Moreover, for the purposes of this Award, consistent with historic executive compensation practices, non-GAAP OI currently excludes the impact of any extraordinary transaction (defined as a non-recurring corporate transaction or legal expense matter which results in expenses exceeding $10 million). Any proposed changes to the accounting policies, or the manner of calculation, that would affect Non-GAAP OI for purposes of this Award may be approved by the Committee in its sole discretion.</w:t>
      </w:r>
    </w:p>
    <w:p>
      <w:pPr>
        <w:spacing w:after="0" w:line="150" w:lineRule="exact"/>
        <w:rPr>
          <w:sz w:val="20"/>
          <w:szCs w:val="20"/>
          <w:color w:val="auto"/>
        </w:rPr>
      </w:pPr>
    </w:p>
    <w:p>
      <w:pPr>
        <w:ind w:left="320" w:right="80"/>
        <w:spacing w:after="0" w:line="239" w:lineRule="auto"/>
        <w:rPr>
          <w:sz w:val="20"/>
          <w:szCs w:val="20"/>
          <w:color w:val="auto"/>
        </w:rPr>
      </w:pPr>
      <w:r>
        <w:rPr>
          <w:rFonts w:ascii="Arial" w:cs="Arial" w:eastAsia="Arial" w:hAnsi="Arial"/>
          <w:sz w:val="21"/>
          <w:szCs w:val="21"/>
          <w:b w:val="1"/>
          <w:bCs w:val="1"/>
          <w:color w:val="auto"/>
        </w:rPr>
        <w:t xml:space="preserve">“Objective” </w:t>
      </w:r>
      <w:r>
        <w:rPr>
          <w:rFonts w:ascii="Arial" w:cs="Arial" w:eastAsia="Arial" w:hAnsi="Arial"/>
          <w:sz w:val="21"/>
          <w:szCs w:val="21"/>
          <w:color w:val="auto"/>
        </w:rPr>
        <w:t>means the non-GAAP OI objective established by the Committee for the three-year period consisting of 2022, 2023</w:t>
      </w:r>
      <w:r>
        <w:rPr>
          <w:rFonts w:ascii="Arial" w:cs="Arial" w:eastAsia="Arial" w:hAnsi="Arial"/>
          <w:sz w:val="21"/>
          <w:szCs w:val="21"/>
          <w:b w:val="1"/>
          <w:bCs w:val="1"/>
          <w:color w:val="auto"/>
        </w:rPr>
        <w:t xml:space="preserve"> </w:t>
      </w:r>
      <w:r>
        <w:rPr>
          <w:rFonts w:ascii="Arial" w:cs="Arial" w:eastAsia="Arial" w:hAnsi="Arial"/>
          <w:sz w:val="21"/>
          <w:szCs w:val="21"/>
          <w:color w:val="auto"/>
        </w:rPr>
        <w:t>and 2024.</w:t>
      </w:r>
    </w:p>
    <w:p>
      <w:pPr>
        <w:spacing w:after="0" w:line="148" w:lineRule="exact"/>
        <w:rPr>
          <w:sz w:val="20"/>
          <w:szCs w:val="20"/>
          <w:color w:val="auto"/>
        </w:rPr>
      </w:pPr>
    </w:p>
    <w:p>
      <w:pPr>
        <w:ind w:left="320" w:right="440"/>
        <w:spacing w:after="0" w:line="229" w:lineRule="auto"/>
        <w:rPr>
          <w:sz w:val="20"/>
          <w:szCs w:val="20"/>
          <w:color w:val="auto"/>
        </w:rPr>
      </w:pPr>
      <w:r>
        <w:rPr>
          <w:rFonts w:ascii="Arial" w:cs="Arial" w:eastAsia="Arial" w:hAnsi="Arial"/>
          <w:sz w:val="21"/>
          <w:szCs w:val="21"/>
          <w:b w:val="1"/>
          <w:bCs w:val="1"/>
          <w:color w:val="auto"/>
        </w:rPr>
        <w:t xml:space="preserve">“Performance Factor” </w:t>
      </w:r>
      <w:r>
        <w:rPr>
          <w:rFonts w:ascii="Arial" w:cs="Arial" w:eastAsia="Arial" w:hAnsi="Arial"/>
          <w:sz w:val="21"/>
          <w:szCs w:val="21"/>
          <w:color w:val="auto"/>
        </w:rPr>
        <w:t>is calculated as a percentage based on the sum of the Company’s Non-GAAP OI for 2022, 2023 and</w:t>
      </w:r>
      <w:r>
        <w:rPr>
          <w:rFonts w:ascii="Arial" w:cs="Arial" w:eastAsia="Arial" w:hAnsi="Arial"/>
          <w:sz w:val="21"/>
          <w:szCs w:val="21"/>
          <w:b w:val="1"/>
          <w:bCs w:val="1"/>
          <w:color w:val="auto"/>
        </w:rPr>
        <w:t xml:space="preserve"> </w:t>
      </w:r>
      <w:r>
        <w:rPr>
          <w:rFonts w:ascii="Arial" w:cs="Arial" w:eastAsia="Arial" w:hAnsi="Arial"/>
          <w:sz w:val="21"/>
          <w:szCs w:val="21"/>
          <w:color w:val="auto"/>
        </w:rPr>
        <w:t>2024 divided by the Objective (i.e., Actual Non-GAAP OI for three-year period / Objective = Performance Factor). The Performance Factor is then applied as follows:</w:t>
      </w:r>
    </w:p>
    <w:p>
      <w:pPr>
        <w:spacing w:after="0" w:line="180" w:lineRule="exact"/>
        <w:rPr>
          <w:sz w:val="20"/>
          <w:szCs w:val="20"/>
          <w:color w:val="auto"/>
        </w:rPr>
      </w:pPr>
    </w:p>
    <w:p>
      <w:pPr>
        <w:ind w:left="640" w:right="380" w:hanging="320"/>
        <w:spacing w:after="0" w:line="236" w:lineRule="auto"/>
        <w:tabs>
          <w:tab w:leader="none" w:pos="628" w:val="left"/>
        </w:tabs>
        <w:numPr>
          <w:ilvl w:val="0"/>
          <w:numId w:val="158"/>
        </w:numPr>
        <w:rPr>
          <w:rFonts w:ascii="Arial" w:cs="Arial" w:eastAsia="Arial" w:hAnsi="Arial"/>
          <w:sz w:val="21"/>
          <w:szCs w:val="21"/>
          <w:color w:val="auto"/>
        </w:rPr>
      </w:pPr>
      <w:r>
        <w:rPr>
          <w:rFonts w:ascii="Arial" w:cs="Arial" w:eastAsia="Arial" w:hAnsi="Arial"/>
          <w:sz w:val="21"/>
          <w:szCs w:val="21"/>
          <w:color w:val="auto"/>
        </w:rPr>
        <w:t>If the Performance Factor is above 100%, for every 1% difference above 100% the Annual Target Amount is increased by 1%, up to a maximum increase of 25%, with linear interpolation between points,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240"/>
          </w:cols>
          <w:pgMar w:left="320" w:top="1358" w:right="339" w:bottom="1440" w:gutter="0" w:footer="0" w:header="0"/>
          <w:type w:val="continuous"/>
        </w:sectPr>
      </w:pPr>
    </w:p>
    <w:bookmarkStart w:id="288" w:name="page289"/>
    <w:bookmarkEnd w:id="288"/>
    <w:p>
      <w:pPr>
        <w:spacing w:after="0" w:line="161" w:lineRule="exact"/>
        <w:rPr>
          <w:sz w:val="20"/>
          <w:szCs w:val="20"/>
          <w:color w:val="auto"/>
        </w:rPr>
      </w:pPr>
    </w:p>
    <w:p>
      <w:pPr>
        <w:ind w:left="640" w:right="180" w:hanging="320"/>
        <w:spacing w:after="0" w:line="236" w:lineRule="auto"/>
        <w:tabs>
          <w:tab w:leader="none" w:pos="63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If the Performance Factor is below 100%, for every 1% difference below 100% the Annual Target Amount is decreased by 5%, with linear interpolation between points.</w:t>
      </w:r>
    </w:p>
    <w:p>
      <w:pPr>
        <w:spacing w:after="0" w:line="181" w:lineRule="exact"/>
        <w:rPr>
          <w:sz w:val="20"/>
          <w:szCs w:val="20"/>
          <w:color w:val="auto"/>
        </w:rPr>
      </w:pPr>
    </w:p>
    <w:p>
      <w:pPr>
        <w:ind w:left="320"/>
        <w:spacing w:after="0" w:line="222" w:lineRule="auto"/>
        <w:rPr>
          <w:sz w:val="20"/>
          <w:szCs w:val="20"/>
          <w:color w:val="auto"/>
        </w:rPr>
      </w:pPr>
      <w:r>
        <w:rPr>
          <w:rFonts w:ascii="Arial" w:cs="Arial" w:eastAsia="Arial" w:hAnsi="Arial"/>
          <w:sz w:val="21"/>
          <w:szCs w:val="21"/>
          <w:color w:val="auto"/>
        </w:rPr>
        <w:t>For the sake of clarity: (1) if the Company’s aggregate Non-GAAP OI for the three-year period from 2022 to 2024 is $1,100,000 and the Objective is $1,000,000, then the Performance Factor will be 110%; and (2) if the Company’s aggregate Non-GAAP OI for the three-year period from 2022 to 2024 is $950,000 and the Objective is $1,000,000, then the Performance Factor will be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C-2</w:t>
      </w:r>
    </w:p>
    <w:p>
      <w:pPr>
        <w:spacing w:after="0"/>
        <w:rPr>
          <w:sz w:val="20"/>
          <w:szCs w:val="20"/>
          <w:color w:val="auto"/>
        </w:rPr>
      </w:pPr>
      <w:r>
        <w:rPr>
          <w:rFonts w:ascii="Arial" w:cs="Arial" w:eastAsia="Arial" w:hAnsi="Arial"/>
          <w:sz w:val="14"/>
          <w:szCs w:val="14"/>
          <w:i w:val="1"/>
          <w:iCs w:val="1"/>
          <w:color w:val="auto"/>
        </w:rPr>
        <w:t>Global Online 3YP Grant Award Agreement (as of October 2021)</w:t>
      </w:r>
    </w:p>
    <w:p>
      <w:pPr>
        <w:sectPr>
          <w:pgSz w:w="11900" w:h="16838" w:orient="portrait"/>
          <w:cols w:equalWidth="0" w:num="1">
            <w:col w:w="11120"/>
          </w:cols>
          <w:pgMar w:left="320" w:top="1440" w:right="459" w:bottom="1440" w:gutter="0" w:footer="0" w:header="0"/>
        </w:sectPr>
      </w:pPr>
    </w:p>
    <w:bookmarkStart w:id="289" w:name="page290"/>
    <w:bookmarkEnd w:id="289"/>
    <w:p>
      <w:pPr>
        <w:jc w:val="right"/>
        <w:spacing w:after="0"/>
        <w:rPr>
          <w:sz w:val="20"/>
          <w:szCs w:val="20"/>
          <w:color w:val="auto"/>
        </w:rPr>
      </w:pPr>
      <w:r>
        <w:rPr>
          <w:rFonts w:ascii="Arial" w:cs="Arial" w:eastAsia="Arial" w:hAnsi="Arial"/>
          <w:sz w:val="19"/>
          <w:szCs w:val="19"/>
          <w:b w:val="1"/>
          <w:bCs w:val="1"/>
          <w:color w:val="auto"/>
        </w:rPr>
        <w:t>Exhibit 10.28</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EMPLOYMENT AGREEMENT</w:t>
      </w:r>
    </w:p>
    <w:p>
      <w:pPr>
        <w:spacing w:after="0" w:line="217" w:lineRule="exact"/>
        <w:rPr>
          <w:sz w:val="20"/>
          <w:szCs w:val="20"/>
          <w:color w:val="auto"/>
        </w:rPr>
      </w:pPr>
    </w:p>
    <w:p>
      <w:pPr>
        <w:jc w:val="both"/>
        <w:ind w:right="200" w:firstLine="629"/>
        <w:spacing w:after="0" w:line="219" w:lineRule="auto"/>
        <w:rPr>
          <w:sz w:val="20"/>
          <w:szCs w:val="20"/>
          <w:color w:val="auto"/>
        </w:rPr>
      </w:pPr>
      <w:r>
        <w:rPr>
          <w:rFonts w:ascii="Arial" w:cs="Arial" w:eastAsia="Arial" w:hAnsi="Arial"/>
          <w:sz w:val="21"/>
          <w:szCs w:val="21"/>
          <w:color w:val="auto"/>
        </w:rPr>
        <w:t>THIS EMPLOYMENT AGREEMENT (this "Agreement") amends and restates in its entirety the employment agreement entered into by Activision Blizzard, Inc. ("Activision Blizzard" or "Employer") and Brian Bulatao ("you") with an effective date of February 1, 2021. Activision Blizzard and Employer includes Activision Blizzard, Inc.'s subsidiaries, as appropriate and are collectively referred to as the "Activision Blizzard Group." This Agreement shall be deemed effective as of February 1, 2021.</w:t>
      </w:r>
    </w:p>
    <w:p>
      <w:pPr>
        <w:spacing w:after="0" w:line="262" w:lineRule="exact"/>
        <w:rPr>
          <w:sz w:val="20"/>
          <w:szCs w:val="20"/>
          <w:color w:val="auto"/>
        </w:rPr>
      </w:pPr>
    </w:p>
    <w:p>
      <w:pPr>
        <w:jc w:val="center"/>
        <w:ind w:right="320"/>
        <w:spacing w:after="0"/>
        <w:rPr>
          <w:sz w:val="20"/>
          <w:szCs w:val="20"/>
          <w:color w:val="auto"/>
        </w:rPr>
      </w:pPr>
      <w:r>
        <w:rPr>
          <w:rFonts w:ascii="Arial" w:cs="Arial" w:eastAsia="Arial" w:hAnsi="Arial"/>
          <w:sz w:val="21"/>
          <w:szCs w:val="21"/>
          <w:u w:val="single" w:color="auto"/>
          <w:color w:val="auto"/>
        </w:rPr>
        <w:t>AGREEMENT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NOW, THEREFORE, in consideration of the premises and the mutual promises set forth in this Agreement, the</w:t>
      </w:r>
    </w:p>
    <w:p>
      <w:pPr>
        <w:spacing w:after="0"/>
        <w:rPr>
          <w:sz w:val="20"/>
          <w:szCs w:val="20"/>
          <w:color w:val="auto"/>
        </w:rPr>
      </w:pPr>
      <w:r>
        <w:rPr>
          <w:rFonts w:ascii="Arial" w:cs="Arial" w:eastAsia="Arial" w:hAnsi="Arial"/>
          <w:sz w:val="21"/>
          <w:szCs w:val="21"/>
          <w:color w:val="auto"/>
        </w:rPr>
        <w:t>Employer and you hereby agree as follows:</w:t>
      </w:r>
    </w:p>
    <w:p>
      <w:pPr>
        <w:spacing w:after="0" w:line="199" w:lineRule="exact"/>
        <w:rPr>
          <w:sz w:val="20"/>
          <w:szCs w:val="20"/>
          <w:color w:val="auto"/>
        </w:rPr>
      </w:pPr>
    </w:p>
    <w:p>
      <w:pPr>
        <w:ind w:left="620" w:hanging="620"/>
        <w:spacing w:after="0"/>
        <w:tabs>
          <w:tab w:leader="none" w:pos="620"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Term of Employment</w:t>
      </w:r>
    </w:p>
    <w:p>
      <w:pPr>
        <w:spacing w:after="0" w:line="217" w:lineRule="exact"/>
        <w:rPr>
          <w:rFonts w:ascii="Arial" w:cs="Arial" w:eastAsia="Arial" w:hAnsi="Arial"/>
          <w:sz w:val="21"/>
          <w:szCs w:val="21"/>
          <w:color w:val="auto"/>
        </w:rPr>
      </w:pPr>
    </w:p>
    <w:p>
      <w:pPr>
        <w:jc w:val="both"/>
        <w:ind w:right="200" w:firstLine="629"/>
        <w:spacing w:after="0" w:line="215" w:lineRule="auto"/>
        <w:tabs>
          <w:tab w:leader="none" w:pos="941" w:val="left"/>
        </w:tabs>
        <w:numPr>
          <w:ilvl w:val="1"/>
          <w:numId w:val="160"/>
        </w:numPr>
        <w:rPr>
          <w:rFonts w:ascii="Arial" w:cs="Arial" w:eastAsia="Arial" w:hAnsi="Arial"/>
          <w:sz w:val="21"/>
          <w:szCs w:val="21"/>
          <w:color w:val="auto"/>
        </w:rPr>
      </w:pPr>
      <w:r>
        <w:rPr>
          <w:rFonts w:ascii="Arial" w:cs="Arial" w:eastAsia="Arial" w:hAnsi="Arial"/>
          <w:sz w:val="21"/>
          <w:szCs w:val="21"/>
          <w:color w:val="auto"/>
        </w:rPr>
        <w:t>The term of your employment under this Agreement (the "Term") shall commence on February 1, 2021 (the "Effective Date") and shall end on March 31, 2023 (the "Expiration Date") (or such earlier date on which your employment is terminated under Section 9). The Employer shall have the option to extend the Term by up to one year by notifying you in writing of its intent to do so at least six (6) months prior to the original Expiration Date. The final date of any such extended Term shall thereafter be referred to as the "Expiration Date" for purposes of this Agreement and the Term shall end on such date (or such earlier date on which your employment is terminated). Except as set forth in Section 11(s), upon the Expiration Date (or such earlier date on which your employment is terminated) all obligations and rights under this Agreement shall immediately lapse.</w:t>
      </w:r>
    </w:p>
    <w:p>
      <w:pPr>
        <w:spacing w:after="0" w:line="183" w:lineRule="exact"/>
        <w:rPr>
          <w:rFonts w:ascii="Arial" w:cs="Arial" w:eastAsia="Arial" w:hAnsi="Arial"/>
          <w:sz w:val="21"/>
          <w:szCs w:val="21"/>
          <w:color w:val="auto"/>
        </w:rPr>
      </w:pPr>
    </w:p>
    <w:p>
      <w:pPr>
        <w:jc w:val="both"/>
        <w:ind w:right="200" w:firstLine="629"/>
        <w:spacing w:after="0" w:line="222" w:lineRule="auto"/>
        <w:tabs>
          <w:tab w:leader="none" w:pos="94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You and the Employer each agree to provide the other with at least six (6) months' notice of any intent not to continue your employment following the Expiration Date. If your employment continues beyond the Expiration Date, you shall remain an at-will employee whose employment may be terminated by either party to this Agreement at any time for any reason.</w:t>
      </w:r>
    </w:p>
    <w:p>
      <w:pPr>
        <w:spacing w:after="0" w:line="194" w:lineRule="exact"/>
        <w:rPr>
          <w:rFonts w:ascii="Arial" w:cs="Arial" w:eastAsia="Arial" w:hAnsi="Arial"/>
          <w:sz w:val="21"/>
          <w:szCs w:val="21"/>
          <w:color w:val="auto"/>
        </w:rPr>
      </w:pPr>
    </w:p>
    <w:p>
      <w:pPr>
        <w:ind w:left="620" w:hanging="620"/>
        <w:spacing w:after="0"/>
        <w:tabs>
          <w:tab w:leader="none" w:pos="620"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Compensation</w:t>
      </w:r>
    </w:p>
    <w:p>
      <w:pPr>
        <w:spacing w:after="0" w:line="217" w:lineRule="exact"/>
        <w:rPr>
          <w:rFonts w:ascii="Arial" w:cs="Arial" w:eastAsia="Arial" w:hAnsi="Arial"/>
          <w:sz w:val="21"/>
          <w:szCs w:val="21"/>
          <w:color w:val="auto"/>
        </w:rPr>
      </w:pPr>
    </w:p>
    <w:p>
      <w:pPr>
        <w:ind w:right="200" w:firstLine="629"/>
        <w:spacing w:after="0" w:line="236" w:lineRule="auto"/>
        <w:tabs>
          <w:tab w:leader="none" w:pos="941" w:val="left"/>
        </w:tabs>
        <w:numPr>
          <w:ilvl w:val="1"/>
          <w:numId w:val="160"/>
        </w:numPr>
        <w:rPr>
          <w:rFonts w:ascii="Arial" w:cs="Arial" w:eastAsia="Arial" w:hAnsi="Arial"/>
          <w:sz w:val="21"/>
          <w:szCs w:val="21"/>
          <w:color w:val="auto"/>
        </w:rPr>
      </w:pPr>
      <w:r>
        <w:rPr>
          <w:rFonts w:ascii="Arial" w:cs="Arial" w:eastAsia="Arial" w:hAnsi="Arial"/>
          <w:sz w:val="21"/>
          <w:szCs w:val="21"/>
          <w:color w:val="auto"/>
        </w:rPr>
        <w:t>Subject to the provisions of this Agreement, in full consideration for all rights and services provided by you under this Agreement, during the Term you shall receive only the compensation set forth in this Section 2.</w:t>
      </w:r>
    </w:p>
    <w:p>
      <w:pPr>
        <w:spacing w:after="0" w:line="180" w:lineRule="exact"/>
        <w:rPr>
          <w:rFonts w:ascii="Arial" w:cs="Arial" w:eastAsia="Arial" w:hAnsi="Arial"/>
          <w:sz w:val="21"/>
          <w:szCs w:val="21"/>
          <w:color w:val="auto"/>
        </w:rPr>
      </w:pPr>
    </w:p>
    <w:p>
      <w:pPr>
        <w:jc w:val="both"/>
        <w:ind w:right="200" w:firstLine="629"/>
        <w:spacing w:after="0" w:line="222" w:lineRule="auto"/>
        <w:tabs>
          <w:tab w:leader="none" w:pos="94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Commencing on the Effective Date, you shall receive an annual base salary ("Base Salary") of $1,000,000, which shall be paid in accordance with the Employer's payroll policies. Your Base Salary shall be reviewed periodically at the same time as similarly situated executives of the Employer and may be increased (but not decreased) by an amount determined by the Employer, in its sole and absolute discretion.</w:t>
      </w:r>
    </w:p>
    <w:p>
      <w:pPr>
        <w:spacing w:after="0" w:line="194" w:lineRule="exact"/>
        <w:rPr>
          <w:rFonts w:ascii="Arial" w:cs="Arial" w:eastAsia="Arial" w:hAnsi="Arial"/>
          <w:sz w:val="21"/>
          <w:szCs w:val="21"/>
          <w:color w:val="auto"/>
        </w:rPr>
      </w:pPr>
    </w:p>
    <w:p>
      <w:pPr>
        <w:jc w:val="both"/>
        <w:ind w:right="200" w:firstLine="629"/>
        <w:spacing w:after="0" w:line="233" w:lineRule="auto"/>
        <w:tabs>
          <w:tab w:leader="none" w:pos="941" w:val="left"/>
        </w:tabs>
        <w:numPr>
          <w:ilvl w:val="1"/>
          <w:numId w:val="160"/>
        </w:numPr>
        <w:rPr>
          <w:rFonts w:ascii="Arial" w:cs="Arial" w:eastAsia="Arial" w:hAnsi="Arial"/>
          <w:sz w:val="20"/>
          <w:szCs w:val="20"/>
          <w:color w:val="auto"/>
        </w:rPr>
      </w:pPr>
      <w:r>
        <w:rPr>
          <w:rFonts w:ascii="Arial" w:cs="Arial" w:eastAsia="Arial" w:hAnsi="Arial"/>
          <w:sz w:val="20"/>
          <w:szCs w:val="20"/>
          <w:color w:val="auto"/>
        </w:rPr>
        <w:t xml:space="preserve">Beginning with respect to 2021, you will be eligible to receive an annual discretionary bonus (the "Annual Bonus"). The target amount of your Annual Bonus will be 100% of your Base Salary and may be delivered in cash or equity or some combination thereof. Your target Annual Bonus target mix will be 40% cash and 60% equity. </w:t>
      </w:r>
      <w:r>
        <w:rPr>
          <w:rFonts w:ascii="Arial" w:cs="Arial" w:eastAsia="Arial" w:hAnsi="Arial"/>
          <w:sz w:val="20"/>
          <w:szCs w:val="20"/>
          <w:color w:val="090909"/>
        </w:rPr>
        <w:t>In all instances, the actual amount</w:t>
      </w:r>
      <w:r>
        <w:rPr>
          <w:rFonts w:ascii="Arial" w:cs="Arial" w:eastAsia="Arial" w:hAnsi="Arial"/>
          <w:sz w:val="20"/>
          <w:szCs w:val="20"/>
          <w:color w:val="auto"/>
        </w:rPr>
        <w:t xml:space="preserve"> </w:t>
      </w:r>
      <w:r>
        <w:rPr>
          <w:rFonts w:ascii="Arial" w:cs="Arial" w:eastAsia="Arial" w:hAnsi="Arial"/>
          <w:sz w:val="20"/>
          <w:szCs w:val="20"/>
          <w:color w:val="090909"/>
        </w:rPr>
        <w:t>and the form (e</w:t>
      </w:r>
      <w:r>
        <w:rPr>
          <w:rFonts w:ascii="Arial" w:cs="Arial" w:eastAsia="Arial" w:hAnsi="Arial"/>
          <w:sz w:val="20"/>
          <w:szCs w:val="20"/>
          <w:color w:val="232323"/>
        </w:rPr>
        <w:t>.</w:t>
      </w:r>
      <w:r>
        <w:rPr>
          <w:rFonts w:ascii="Arial" w:cs="Arial" w:eastAsia="Arial" w:hAnsi="Arial"/>
          <w:sz w:val="20"/>
          <w:szCs w:val="20"/>
          <w:color w:val="090909"/>
        </w:rPr>
        <w:t>g</w:t>
      </w:r>
      <w:r>
        <w:rPr>
          <w:rFonts w:ascii="Arial" w:cs="Arial" w:eastAsia="Arial" w:hAnsi="Arial"/>
          <w:sz w:val="20"/>
          <w:szCs w:val="20"/>
          <w:color w:val="232323"/>
        </w:rPr>
        <w:t>.</w:t>
      </w:r>
      <w:r>
        <w:rPr>
          <w:rFonts w:ascii="Arial" w:cs="Arial" w:eastAsia="Arial" w:hAnsi="Arial"/>
          <w:sz w:val="20"/>
          <w:szCs w:val="20"/>
          <w:color w:val="090909"/>
        </w:rPr>
        <w:t xml:space="preserve"> cash and/or equity) of the Annual Bonus, if any, shall be determined by</w:t>
      </w:r>
    </w:p>
    <w:p>
      <w:pPr>
        <w:sectPr>
          <w:pgSz w:w="11900" w:h="16838" w:orient="portrait"/>
          <w:cols w:equalWidth="0" w:num="1">
            <w:col w:w="10920"/>
          </w:cols>
          <w:pgMar w:left="640" w:top="1061" w:right="339" w:bottom="1440" w:gutter="0" w:footer="0" w:header="0"/>
        </w:sectPr>
      </w:pPr>
    </w:p>
    <w:bookmarkStart w:id="290" w:name="page291"/>
    <w:bookmarkEnd w:id="290"/>
    <w:p>
      <w:pPr>
        <w:jc w:val="both"/>
        <w:spacing w:after="0" w:line="225" w:lineRule="auto"/>
        <w:rPr>
          <w:sz w:val="20"/>
          <w:szCs w:val="20"/>
          <w:color w:val="auto"/>
        </w:rPr>
      </w:pPr>
      <w:r>
        <w:rPr>
          <w:rFonts w:ascii="Arial" w:cs="Arial" w:eastAsia="Arial" w:hAnsi="Arial"/>
          <w:sz w:val="20"/>
          <w:szCs w:val="20"/>
          <w:color w:val="090909"/>
        </w:rPr>
        <w:t>the Employer, in its sole and absolute discretion, and may be based on, among other things, your Base Salary, the portion of the year falling in the Term (e.g. a partial bonus with respect to your service during 2021 determined in a manner consistent with similarly situated executives of the Employer who served during a portion of the year), your overall performance and the performance of the Employer. The cash and equity portion of the Annual Bonus, if any, will be paid at the same time as the cash and equity portion of the bonuses for that year are generally paid to other executives, but in no event earlier than the first day of the first month, or later than the 15th day of the third month, of the year following the year to which the Annual Bonus relates, and will be subject to applicable taxes and withholdings, as applicable. In all instances, you must remain continuously employed by the Activision Blizzard Group through the date on which the cash and equity portions of the Annual Bonus, if any, are paid to be eligible to receive such Annual Bonus.</w:t>
      </w:r>
    </w:p>
    <w:p>
      <w:pPr>
        <w:spacing w:after="0" w:line="197" w:lineRule="exact"/>
        <w:rPr>
          <w:sz w:val="20"/>
          <w:szCs w:val="20"/>
          <w:color w:val="auto"/>
        </w:rPr>
      </w:pPr>
    </w:p>
    <w:p>
      <w:pPr>
        <w:jc w:val="both"/>
        <w:ind w:firstLine="629"/>
        <w:spacing w:after="0" w:line="219" w:lineRule="auto"/>
        <w:tabs>
          <w:tab w:leader="none" w:pos="94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At the next regularly scheduled meeting of the Compensation Committee of the Board of Directors for Activision Blizzard (the "</w:t>
      </w:r>
      <w:r>
        <w:rPr>
          <w:rFonts w:ascii="Arial" w:cs="Arial" w:eastAsia="Arial" w:hAnsi="Arial"/>
          <w:sz w:val="21"/>
          <w:szCs w:val="21"/>
          <w:b w:val="1"/>
          <w:bCs w:val="1"/>
          <w:i w:val="1"/>
          <w:iCs w:val="1"/>
          <w:color w:val="auto"/>
        </w:rPr>
        <w:t>Compensation Committee</w:t>
      </w:r>
      <w:r>
        <w:rPr>
          <w:rFonts w:ascii="Arial" w:cs="Arial" w:eastAsia="Arial" w:hAnsi="Arial"/>
          <w:sz w:val="21"/>
          <w:szCs w:val="21"/>
          <w:color w:val="auto"/>
        </w:rPr>
        <w:t>") that includes equity granting on the agenda and occurs after the Effective Date, the 2021 Equity Awards (as defined below) shall be presented for approval; once approved they shall be granted in the first open trading window thereafter. Activision Blizzard will grant to you equity awards with a total target grant value of approximately $7,000,000 as follows:</w:t>
      </w:r>
    </w:p>
    <w:p>
      <w:pPr>
        <w:spacing w:after="0" w:line="183" w:lineRule="exact"/>
        <w:rPr>
          <w:rFonts w:ascii="Arial" w:cs="Arial" w:eastAsia="Arial" w:hAnsi="Arial"/>
          <w:sz w:val="21"/>
          <w:szCs w:val="21"/>
          <w:color w:val="auto"/>
        </w:rPr>
      </w:pPr>
    </w:p>
    <w:p>
      <w:pPr>
        <w:jc w:val="both"/>
        <w:ind w:left="620" w:firstLine="639"/>
        <w:spacing w:after="0" w:line="223" w:lineRule="auto"/>
        <w:tabs>
          <w:tab w:leader="none" w:pos="1564"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Activision Blizzard shall grant to you non-qualified stock options to purchase shares of Activision Blizzard's common stock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with a total grant value of approximately $1,500,000 (the "</w:t>
      </w:r>
      <w:r>
        <w:rPr>
          <w:rFonts w:ascii="Arial" w:cs="Arial" w:eastAsia="Arial" w:hAnsi="Arial"/>
          <w:sz w:val="20"/>
          <w:szCs w:val="20"/>
          <w:b w:val="1"/>
          <w:bCs w:val="1"/>
          <w:i w:val="1"/>
          <w:iCs w:val="1"/>
          <w:color w:val="auto"/>
        </w:rPr>
        <w:t>2021 Options</w:t>
      </w:r>
      <w:r>
        <w:rPr>
          <w:rFonts w:ascii="Arial" w:cs="Arial" w:eastAsia="Arial" w:hAnsi="Arial"/>
          <w:sz w:val="20"/>
          <w:szCs w:val="20"/>
          <w:color w:val="auto"/>
        </w:rPr>
        <w:t>"). The actual number of stock options awarded to you on the grant date shall be determined based on the official closing price of Activision Blizzard's common stock on the effective date of the grant, as reported by NASDAQ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Price</w:t>
      </w:r>
      <w:r>
        <w:rPr>
          <w:rFonts w:ascii="Arial" w:cs="Arial" w:eastAsia="Arial" w:hAnsi="Arial"/>
          <w:sz w:val="20"/>
          <w:szCs w:val="20"/>
          <w:color w:val="auto"/>
        </w:rPr>
        <w:t>"), and an applicable binomial factor selected by the Employer and determined using the same methodology used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respect to similarly situated executives of the Employer. The number of stock options awarded shall be rounded to the nearest whole number, and Activision Blizzard retains the discretion to modify the methodology for such calculations as needed, so long as such methodology is the same with respect to similarly situated executives of the Employer. The 2021 Options shall be awarded with an exercise price that is equal to the Grant Date Price. Finally, one-third of the 2021 Options shall be eligible to vest as further described below on March 30, 2022, one-third of the 2021 Options shall be eligible to vest on March 30, 2023 and one- third of the 2021 Options shall be eligible to vest on March 30, 2024, in each case, subject to your remaining employed by Activision Blizzard through the applicable vesting date.</w:t>
      </w:r>
    </w:p>
    <w:p>
      <w:pPr>
        <w:spacing w:after="0" w:line="199" w:lineRule="exact"/>
        <w:rPr>
          <w:sz w:val="20"/>
          <w:szCs w:val="20"/>
          <w:color w:val="auto"/>
        </w:rPr>
      </w:pPr>
    </w:p>
    <w:p>
      <w:pPr>
        <w:jc w:val="both"/>
        <w:ind w:left="1260" w:firstLine="628"/>
        <w:spacing w:after="0" w:line="230" w:lineRule="auto"/>
        <w:tabs>
          <w:tab w:leader="none" w:pos="219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One third of the 2021 Options (the "</w:t>
      </w:r>
      <w:r>
        <w:rPr>
          <w:rFonts w:ascii="Arial" w:cs="Arial" w:eastAsia="Arial" w:hAnsi="Arial"/>
          <w:sz w:val="20"/>
          <w:szCs w:val="20"/>
          <w:b w:val="1"/>
          <w:bCs w:val="1"/>
          <w:i w:val="1"/>
          <w:iCs w:val="1"/>
          <w:color w:val="auto"/>
        </w:rPr>
        <w:t>First Tranche 2021 Options</w:t>
      </w:r>
      <w:r>
        <w:rPr>
          <w:rFonts w:ascii="Arial" w:cs="Arial" w:eastAsia="Arial" w:hAnsi="Arial"/>
          <w:sz w:val="20"/>
          <w:szCs w:val="20"/>
          <w:color w:val="auto"/>
        </w:rPr>
        <w:t>") shall be eligible to vest on March 30, 2022, if, and only if, the Compensation Committee determines that the non-GAAP operating income (calculated in the same manner as the 2021 AOP OI Objective (as defined below)) for 2021 for Activision Blizzard ("</w:t>
      </w:r>
      <w:r>
        <w:rPr>
          <w:rFonts w:ascii="Arial" w:cs="Arial" w:eastAsia="Arial" w:hAnsi="Arial"/>
          <w:sz w:val="20"/>
          <w:szCs w:val="20"/>
          <w:b w:val="1"/>
          <w:bCs w:val="1"/>
          <w:i w:val="1"/>
          <w:iCs w:val="1"/>
          <w:color w:val="auto"/>
        </w:rPr>
        <w:t>2021 AOP OI</w:t>
      </w:r>
      <w:r>
        <w:rPr>
          <w:rFonts w:ascii="Arial" w:cs="Arial" w:eastAsia="Arial" w:hAnsi="Arial"/>
          <w:sz w:val="20"/>
          <w:szCs w:val="20"/>
          <w:color w:val="auto"/>
        </w:rPr>
        <w:t>") is 50% or more of the annual operating plan operating income objective established by the Compensation Committee for 2021 (the "</w:t>
      </w:r>
      <w:r>
        <w:rPr>
          <w:rFonts w:ascii="Arial" w:cs="Arial" w:eastAsia="Arial" w:hAnsi="Arial"/>
          <w:sz w:val="20"/>
          <w:szCs w:val="20"/>
          <w:b w:val="1"/>
          <w:bCs w:val="1"/>
          <w:i w:val="1"/>
          <w:iCs w:val="1"/>
          <w:color w:val="auto"/>
        </w:rPr>
        <w:t>2021 AOP OI Objective</w:t>
      </w:r>
      <w:r>
        <w:rPr>
          <w:rFonts w:ascii="Arial" w:cs="Arial" w:eastAsia="Arial" w:hAnsi="Arial"/>
          <w:sz w:val="20"/>
          <w:szCs w:val="20"/>
          <w:color w:val="auto"/>
        </w:rPr>
        <w:t>").</w:t>
      </w:r>
    </w:p>
    <w:p>
      <w:pPr>
        <w:spacing w:after="0" w:line="196" w:lineRule="exact"/>
        <w:rPr>
          <w:sz w:val="20"/>
          <w:szCs w:val="20"/>
          <w:color w:val="auto"/>
        </w:rPr>
      </w:pPr>
    </w:p>
    <w:p>
      <w:pPr>
        <w:ind w:left="1880" w:right="720"/>
        <w:spacing w:after="0" w:line="236" w:lineRule="auto"/>
        <w:rPr>
          <w:sz w:val="20"/>
          <w:szCs w:val="20"/>
          <w:color w:val="auto"/>
        </w:rPr>
      </w:pPr>
      <w:r>
        <w:rPr>
          <w:rFonts w:ascii="Arial" w:cs="Arial" w:eastAsia="Arial" w:hAnsi="Arial"/>
          <w:sz w:val="21"/>
          <w:szCs w:val="21"/>
          <w:color w:val="auto"/>
        </w:rPr>
        <w:t>If the 2021 AOP OI is less than 50% of the 2021 AOP OI Objective, then the First Tranche 2021 Options will not vest and shall be forfeited.</w:t>
      </w:r>
    </w:p>
    <w:p>
      <w:pPr>
        <w:spacing w:after="0" w:line="246" w:lineRule="exact"/>
        <w:rPr>
          <w:sz w:val="20"/>
          <w:szCs w:val="20"/>
          <w:color w:val="auto"/>
        </w:rPr>
      </w:pPr>
    </w:p>
    <w:p>
      <w:pPr>
        <w:jc w:val="both"/>
        <w:ind w:left="1260" w:right="40" w:firstLine="628"/>
        <w:spacing w:after="0" w:line="243" w:lineRule="auto"/>
        <w:tabs>
          <w:tab w:leader="none" w:pos="2203" w:val="left"/>
        </w:tabs>
        <w:numPr>
          <w:ilvl w:val="0"/>
          <w:numId w:val="163"/>
        </w:numPr>
        <w:rPr>
          <w:rFonts w:ascii="Arial" w:cs="Arial" w:eastAsia="Arial" w:hAnsi="Arial"/>
          <w:sz w:val="21"/>
          <w:szCs w:val="21"/>
          <w:color w:val="auto"/>
        </w:rPr>
      </w:pPr>
      <w:r>
        <w:rPr>
          <w:rFonts w:ascii="Arial" w:cs="Arial" w:eastAsia="Arial" w:hAnsi="Arial"/>
          <w:sz w:val="21"/>
          <w:szCs w:val="21"/>
          <w:color w:val="auto"/>
        </w:rPr>
        <w:t>One-third of the 2021 Options (the "</w:t>
      </w:r>
      <w:r>
        <w:rPr>
          <w:rFonts w:ascii="Arial" w:cs="Arial" w:eastAsia="Arial" w:hAnsi="Arial"/>
          <w:sz w:val="21"/>
          <w:szCs w:val="21"/>
          <w:b w:val="1"/>
          <w:bCs w:val="1"/>
          <w:i w:val="1"/>
          <w:iCs w:val="1"/>
          <w:color w:val="auto"/>
        </w:rPr>
        <w:t>Second Tranche 2021 Options</w:t>
      </w:r>
      <w:r>
        <w:rPr>
          <w:rFonts w:ascii="Arial" w:cs="Arial" w:eastAsia="Arial" w:hAnsi="Arial"/>
          <w:sz w:val="21"/>
          <w:szCs w:val="21"/>
          <w:color w:val="auto"/>
        </w:rPr>
        <w:t>") shall be eligible to vest on March 30, 2023, if, and only if, the Compensation Committee determines that the non-GAAP operating income (calculated in the same manner as the 2022 AOP OI Objective (as defined below)) for 2022 for Activision Blizzard ("</w:t>
      </w:r>
      <w:r>
        <w:rPr>
          <w:rFonts w:ascii="Arial" w:cs="Arial" w:eastAsia="Arial" w:hAnsi="Arial"/>
          <w:sz w:val="21"/>
          <w:szCs w:val="21"/>
          <w:b w:val="1"/>
          <w:bCs w:val="1"/>
          <w:i w:val="1"/>
          <w:iCs w:val="1"/>
          <w:color w:val="auto"/>
        </w:rPr>
        <w:t>2022 AOP OI</w:t>
      </w:r>
      <w:r>
        <w:rPr>
          <w:rFonts w:ascii="Arial" w:cs="Arial" w:eastAsia="Arial" w:hAnsi="Arial"/>
          <w:sz w:val="21"/>
          <w:szCs w:val="21"/>
          <w:color w:val="auto"/>
        </w:rPr>
        <w:t>") is 50% or more of the annual operating</w:t>
      </w:r>
    </w:p>
    <w:p>
      <w:pPr>
        <w:sectPr>
          <w:pgSz w:w="11900" w:h="16838" w:orient="portrait"/>
          <w:cols w:equalWidth="0" w:num="1">
            <w:col w:w="10720"/>
          </w:cols>
          <w:pgMar w:left="640" w:top="1049" w:right="539" w:bottom="1440" w:gutter="0" w:footer="0" w:header="0"/>
        </w:sectPr>
      </w:pPr>
    </w:p>
    <w:bookmarkStart w:id="291" w:name="page292"/>
    <w:bookmarkEnd w:id="291"/>
    <w:p>
      <w:pPr>
        <w:ind w:left="460" w:right="40"/>
        <w:spacing w:after="0" w:line="259" w:lineRule="auto"/>
        <w:rPr>
          <w:sz w:val="20"/>
          <w:szCs w:val="20"/>
          <w:color w:val="auto"/>
        </w:rPr>
      </w:pPr>
      <w:r>
        <w:rPr>
          <w:rFonts w:ascii="Arial" w:cs="Arial" w:eastAsia="Arial" w:hAnsi="Arial"/>
          <w:sz w:val="21"/>
          <w:szCs w:val="21"/>
          <w:color w:val="auto"/>
        </w:rPr>
        <w:t>plan operating income objective established by the Compensation Committee for 2022 (the "</w:t>
      </w:r>
      <w:r>
        <w:rPr>
          <w:rFonts w:ascii="Arial" w:cs="Arial" w:eastAsia="Arial" w:hAnsi="Arial"/>
          <w:sz w:val="21"/>
          <w:szCs w:val="21"/>
          <w:b w:val="1"/>
          <w:bCs w:val="1"/>
          <w:i w:val="1"/>
          <w:iCs w:val="1"/>
          <w:color w:val="auto"/>
        </w:rPr>
        <w:t>2022 AOP OI</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Objective</w:t>
      </w:r>
      <w:r>
        <w:rPr>
          <w:rFonts w:ascii="Arial" w:cs="Arial" w:eastAsia="Arial" w:hAnsi="Arial"/>
          <w:sz w:val="21"/>
          <w:szCs w:val="21"/>
          <w:color w:val="auto"/>
        </w:rPr>
        <w:t>").</w:t>
      </w:r>
    </w:p>
    <w:p>
      <w:pPr>
        <w:spacing w:after="0" w:line="134" w:lineRule="exact"/>
        <w:rPr>
          <w:sz w:val="20"/>
          <w:szCs w:val="20"/>
          <w:color w:val="auto"/>
        </w:rPr>
      </w:pPr>
    </w:p>
    <w:p>
      <w:pPr>
        <w:ind w:left="1080" w:right="480"/>
        <w:spacing w:after="0" w:line="236" w:lineRule="auto"/>
        <w:rPr>
          <w:sz w:val="20"/>
          <w:szCs w:val="20"/>
          <w:color w:val="auto"/>
        </w:rPr>
      </w:pPr>
      <w:r>
        <w:rPr>
          <w:rFonts w:ascii="Arial" w:cs="Arial" w:eastAsia="Arial" w:hAnsi="Arial"/>
          <w:sz w:val="21"/>
          <w:szCs w:val="21"/>
          <w:color w:val="auto"/>
        </w:rPr>
        <w:t>If the 2022 AOP OI is less than 50% of the 2022 AOP OI Objective, then the Second Tranche 2021 Options will not vest and shall be forfeited.</w:t>
      </w:r>
    </w:p>
    <w:p>
      <w:pPr>
        <w:spacing w:after="0" w:line="194" w:lineRule="exact"/>
        <w:rPr>
          <w:sz w:val="20"/>
          <w:szCs w:val="20"/>
          <w:color w:val="auto"/>
        </w:rPr>
      </w:pPr>
    </w:p>
    <w:p>
      <w:pPr>
        <w:jc w:val="both"/>
        <w:ind w:left="460" w:right="40" w:firstLine="628"/>
        <w:spacing w:after="0" w:line="255" w:lineRule="auto"/>
        <w:tabs>
          <w:tab w:leader="none" w:pos="1395" w:val="left"/>
        </w:tabs>
        <w:numPr>
          <w:ilvl w:val="0"/>
          <w:numId w:val="164"/>
        </w:numPr>
        <w:rPr>
          <w:rFonts w:ascii="Arial" w:cs="Arial" w:eastAsia="Arial" w:hAnsi="Arial"/>
          <w:sz w:val="20"/>
          <w:szCs w:val="20"/>
          <w:color w:val="auto"/>
        </w:rPr>
      </w:pPr>
      <w:r>
        <w:rPr>
          <w:rFonts w:ascii="Arial" w:cs="Arial" w:eastAsia="Arial" w:hAnsi="Arial"/>
          <w:sz w:val="20"/>
          <w:szCs w:val="20"/>
          <w:color w:val="auto"/>
        </w:rPr>
        <w:t>One-third of the 2021 Options (the "</w:t>
      </w:r>
      <w:r>
        <w:rPr>
          <w:rFonts w:ascii="Arial" w:cs="Arial" w:eastAsia="Arial" w:hAnsi="Arial"/>
          <w:sz w:val="20"/>
          <w:szCs w:val="20"/>
          <w:b w:val="1"/>
          <w:bCs w:val="1"/>
          <w:i w:val="1"/>
          <w:iCs w:val="1"/>
          <w:color w:val="auto"/>
        </w:rPr>
        <w:t>Third Tranche 2021 Options</w:t>
      </w:r>
      <w:r>
        <w:rPr>
          <w:rFonts w:ascii="Arial" w:cs="Arial" w:eastAsia="Arial" w:hAnsi="Arial"/>
          <w:sz w:val="20"/>
          <w:szCs w:val="20"/>
          <w:color w:val="auto"/>
        </w:rPr>
        <w:t>") shall be eligible to vest on March 30, 2024, if, and only if, the Compensation Committee determines that the non-GAAP operating income (calculated in the same manner as the 2023 AOP OI Objective (as defined below)) for 2023 for Activision Blizzard ("</w:t>
      </w:r>
      <w:r>
        <w:rPr>
          <w:rFonts w:ascii="Arial" w:cs="Arial" w:eastAsia="Arial" w:hAnsi="Arial"/>
          <w:sz w:val="20"/>
          <w:szCs w:val="20"/>
          <w:b w:val="1"/>
          <w:bCs w:val="1"/>
          <w:i w:val="1"/>
          <w:iCs w:val="1"/>
          <w:color w:val="auto"/>
        </w:rPr>
        <w:t>2023 AOP OI</w:t>
      </w:r>
      <w:r>
        <w:rPr>
          <w:rFonts w:ascii="Arial" w:cs="Arial" w:eastAsia="Arial" w:hAnsi="Arial"/>
          <w:sz w:val="20"/>
          <w:szCs w:val="20"/>
          <w:color w:val="auto"/>
        </w:rPr>
        <w:t>") is 50% or more of the annual operating plan operating income objective established by the Compensation Committee for 2023 (the "</w:t>
      </w:r>
      <w:r>
        <w:rPr>
          <w:rFonts w:ascii="Arial" w:cs="Arial" w:eastAsia="Arial" w:hAnsi="Arial"/>
          <w:sz w:val="20"/>
          <w:szCs w:val="20"/>
          <w:b w:val="1"/>
          <w:bCs w:val="1"/>
          <w:i w:val="1"/>
          <w:iCs w:val="1"/>
          <w:color w:val="auto"/>
        </w:rPr>
        <w:t>2023 AOP OI Objective</w:t>
      </w:r>
      <w:r>
        <w:rPr>
          <w:rFonts w:ascii="Arial" w:cs="Arial" w:eastAsia="Arial" w:hAnsi="Arial"/>
          <w:sz w:val="20"/>
          <w:szCs w:val="20"/>
          <w:color w:val="auto"/>
        </w:rPr>
        <w:t>").</w:t>
      </w:r>
    </w:p>
    <w:p>
      <w:pPr>
        <w:spacing w:after="0" w:line="194" w:lineRule="exact"/>
        <w:rPr>
          <w:sz w:val="20"/>
          <w:szCs w:val="20"/>
          <w:color w:val="auto"/>
        </w:rPr>
      </w:pPr>
    </w:p>
    <w:p>
      <w:pPr>
        <w:ind w:left="1080" w:right="640"/>
        <w:spacing w:after="0" w:line="236" w:lineRule="auto"/>
        <w:rPr>
          <w:sz w:val="20"/>
          <w:szCs w:val="20"/>
          <w:color w:val="auto"/>
        </w:rPr>
      </w:pPr>
      <w:r>
        <w:rPr>
          <w:rFonts w:ascii="Arial" w:cs="Arial" w:eastAsia="Arial" w:hAnsi="Arial"/>
          <w:sz w:val="21"/>
          <w:szCs w:val="21"/>
          <w:color w:val="auto"/>
        </w:rPr>
        <w:t>If the 2023 AOP OI is less than 50% of the 2023 AOP OI Objective, then the Third Tranche 2021 Options will not vest and shall be forfeited.</w:t>
      </w:r>
    </w:p>
    <w:p>
      <w:pPr>
        <w:spacing w:after="0" w:line="194" w:lineRule="exact"/>
        <w:rPr>
          <w:sz w:val="20"/>
          <w:szCs w:val="20"/>
          <w:color w:val="auto"/>
        </w:rPr>
      </w:pPr>
    </w:p>
    <w:p>
      <w:pPr>
        <w:jc w:val="both"/>
        <w:ind w:left="-180" w:firstLine="639"/>
        <w:spacing w:after="0" w:line="223" w:lineRule="auto"/>
        <w:tabs>
          <w:tab w:leader="none" w:pos="76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Activision Blizzard shall grant to you performance-vesting restricted share units, which represent the conditional right to receive Shares (the "</w:t>
      </w:r>
      <w:r>
        <w:rPr>
          <w:rFonts w:ascii="Arial" w:cs="Arial" w:eastAsia="Arial" w:hAnsi="Arial"/>
          <w:sz w:val="20"/>
          <w:szCs w:val="20"/>
          <w:b w:val="1"/>
          <w:bCs w:val="1"/>
          <w:i w:val="1"/>
          <w:iCs w:val="1"/>
          <w:color w:val="auto"/>
        </w:rPr>
        <w:t>2021 Performance Share Units</w:t>
      </w:r>
      <w:r>
        <w:rPr>
          <w:rFonts w:ascii="Arial" w:cs="Arial" w:eastAsia="Arial" w:hAnsi="Arial"/>
          <w:sz w:val="20"/>
          <w:szCs w:val="20"/>
          <w:color w:val="auto"/>
        </w:rPr>
        <w:t>"), with a target value at the time of grant of approximately $2,500,000 (the "</w:t>
      </w:r>
      <w:r>
        <w:rPr>
          <w:rFonts w:ascii="Arial" w:cs="Arial" w:eastAsia="Arial" w:hAnsi="Arial"/>
          <w:sz w:val="20"/>
          <w:szCs w:val="20"/>
          <w:b w:val="1"/>
          <w:bCs w:val="1"/>
          <w:i w:val="1"/>
          <w:iCs w:val="1"/>
          <w:color w:val="auto"/>
        </w:rPr>
        <w:t>2021 Target PSU Grant Value</w:t>
      </w:r>
      <w:r>
        <w:rPr>
          <w:rFonts w:ascii="Arial" w:cs="Arial" w:eastAsia="Arial" w:hAnsi="Arial"/>
          <w:sz w:val="20"/>
          <w:szCs w:val="20"/>
          <w:color w:val="auto"/>
        </w:rPr>
        <w:t>"). The actual number of 2021 Performance Share Units awarded to you on the grant date shall be equal to the 2021 Target PSU Grant Value divided by the Grant Date Price (it being recognized that if the maximum performance objectives are met for all of the 2021 Performance Share Units, the value of the Shares received upon vesting for all of the 2021 Performance Share Units would have been $5,000,000 at the time of grant of the 2021 Performance Share Units, representing 200% of the 2021 Target PSU Grant Value). The number of 2021 Performance Share Units awarded shall be rounded to the nearest whole number and shall be determined by the Compensation Committee in its sole discretion, and Activision Blizzard retains the discretion to modify the methodology for such calculations as needed, so long as such methodology is the same used with respect to similarly situated executives of the Employer. Subject to your remaining employed by Activision Blizzard through the applicable vesting dates, the actual number of Shares that shall be received on each of the applicable vesting dates is determined as follows:</w:t>
      </w:r>
    </w:p>
    <w:p>
      <w:pPr>
        <w:spacing w:after="0" w:line="198" w:lineRule="exact"/>
        <w:rPr>
          <w:rFonts w:ascii="Arial" w:cs="Arial" w:eastAsia="Arial" w:hAnsi="Arial"/>
          <w:sz w:val="20"/>
          <w:szCs w:val="20"/>
          <w:color w:val="auto"/>
        </w:rPr>
      </w:pPr>
    </w:p>
    <w:p>
      <w:pPr>
        <w:jc w:val="both"/>
        <w:ind w:left="460" w:right="40" w:firstLine="628"/>
        <w:spacing w:after="0" w:line="259" w:lineRule="auto"/>
        <w:tabs>
          <w:tab w:leader="none" w:pos="1397" w:val="left"/>
        </w:tabs>
        <w:numPr>
          <w:ilvl w:val="1"/>
          <w:numId w:val="165"/>
        </w:numPr>
        <w:rPr>
          <w:rFonts w:ascii="Arial" w:cs="Arial" w:eastAsia="Arial" w:hAnsi="Arial"/>
          <w:sz w:val="20"/>
          <w:szCs w:val="20"/>
          <w:color w:val="auto"/>
        </w:rPr>
      </w:pPr>
      <w:r>
        <w:rPr>
          <w:rFonts w:ascii="Arial" w:cs="Arial" w:eastAsia="Arial" w:hAnsi="Arial"/>
          <w:sz w:val="20"/>
          <w:szCs w:val="20"/>
          <w:color w:val="auto"/>
        </w:rPr>
        <w:t>One-third of the 2021 Performance Share Units (the "</w:t>
      </w:r>
      <w:r>
        <w:rPr>
          <w:rFonts w:ascii="Arial" w:cs="Arial" w:eastAsia="Arial" w:hAnsi="Arial"/>
          <w:sz w:val="20"/>
          <w:szCs w:val="20"/>
          <w:b w:val="1"/>
          <w:bCs w:val="1"/>
          <w:i w:val="1"/>
          <w:iCs w:val="1"/>
          <w:color w:val="auto"/>
        </w:rPr>
        <w:t>First Tranche 2021 Performance Share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shall be eligible to vest on March 30, 2022, if, and only if, the Compensation Committee determines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the non-GAAP operating income (calculated in the same manner as the 2021 AOP OI Objective (as defined above)) for 2021 AOP OI is 90% or more of the 2021 AOP OI Objective.</w:t>
      </w:r>
    </w:p>
    <w:p>
      <w:pPr>
        <w:sectPr>
          <w:pgSz w:w="11900" w:h="16838" w:orient="portrait"/>
          <w:cols w:equalWidth="0" w:num="1">
            <w:col w:w="9920"/>
          </w:cols>
          <w:pgMar w:left="1440" w:top="1128" w:right="539" w:bottom="1440" w:gutter="0" w:footer="0" w:header="0"/>
        </w:sectPr>
      </w:pPr>
    </w:p>
    <w:bookmarkStart w:id="292" w:name="page293"/>
    <w:bookmarkEnd w:id="292"/>
    <w:p>
      <w:pPr>
        <w:jc w:val="both"/>
        <w:ind w:left="1080"/>
        <w:spacing w:after="0" w:line="236" w:lineRule="auto"/>
        <w:rPr>
          <w:sz w:val="20"/>
          <w:szCs w:val="20"/>
          <w:color w:val="auto"/>
        </w:rPr>
      </w:pPr>
      <w:r>
        <w:rPr>
          <w:rFonts w:ascii="Arial" w:cs="Arial" w:eastAsia="Arial" w:hAnsi="Arial"/>
          <w:sz w:val="21"/>
          <w:szCs w:val="21"/>
          <w:color w:val="auto"/>
        </w:rPr>
        <w:t>If the 2021 AOP OI is less than 90% of the 2021 AOP OI Objective, then the First Tranche 2021 Performance Share Units will not vest and shall be forfeited.</w:t>
      </w:r>
    </w:p>
    <w:p>
      <w:pPr>
        <w:spacing w:after="0" w:line="181" w:lineRule="exact"/>
        <w:rPr>
          <w:sz w:val="20"/>
          <w:szCs w:val="20"/>
          <w:color w:val="auto"/>
        </w:rPr>
      </w:pPr>
    </w:p>
    <w:p>
      <w:pPr>
        <w:jc w:val="both"/>
        <w:ind w:left="1080"/>
        <w:spacing w:after="0" w:line="248" w:lineRule="auto"/>
        <w:rPr>
          <w:sz w:val="20"/>
          <w:szCs w:val="20"/>
          <w:color w:val="auto"/>
        </w:rPr>
      </w:pPr>
      <w:r>
        <w:rPr>
          <w:rFonts w:ascii="Arial" w:cs="Arial" w:eastAsia="Arial" w:hAnsi="Arial"/>
          <w:sz w:val="19"/>
          <w:szCs w:val="19"/>
          <w:color w:val="auto"/>
        </w:rPr>
        <w:t>If the 2021 AOP OI is 90% or more of the 2021 AOP OI Objective, then the number of Shares that shall be received with regard to the First Tranche 2021 Performance Share Units on the applicable vesting date shall be equal to the product of (i) the number of First Tranche 2021 Performance Share Units; and (ii) the ratio of the 2021 AOP OI to the 2021 AOP OI Objective, up to a maximum of 200%.</w:t>
      </w:r>
    </w:p>
    <w:p>
      <w:pPr>
        <w:spacing w:after="0" w:line="198" w:lineRule="exact"/>
        <w:rPr>
          <w:sz w:val="20"/>
          <w:szCs w:val="20"/>
          <w:color w:val="auto"/>
        </w:rPr>
      </w:pPr>
    </w:p>
    <w:p>
      <w:pPr>
        <w:jc w:val="both"/>
        <w:ind w:left="460" w:right="40" w:firstLine="628"/>
        <w:spacing w:after="0" w:line="259" w:lineRule="auto"/>
        <w:tabs>
          <w:tab w:leader="none" w:pos="140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One-third of the 2021 Performance Share Units (the "</w:t>
      </w:r>
      <w:r>
        <w:rPr>
          <w:rFonts w:ascii="Arial" w:cs="Arial" w:eastAsia="Arial" w:hAnsi="Arial"/>
          <w:sz w:val="20"/>
          <w:szCs w:val="20"/>
          <w:b w:val="1"/>
          <w:bCs w:val="1"/>
          <w:i w:val="1"/>
          <w:iCs w:val="1"/>
          <w:color w:val="auto"/>
        </w:rPr>
        <w:t>Second Tranche 2021 Performance Share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shall be eligible to vest on March 30, 2023, if, and only if, the Compensation Committee determines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the non-GAAP operating income (calculated in the same manner as the 2022 AOP OI Objective (as defined above)) for 2022 AOP OI is 90% or more of the 2022 AOP OI Objective.</w:t>
      </w:r>
    </w:p>
    <w:p>
      <w:pPr>
        <w:spacing w:after="0" w:line="135" w:lineRule="exact"/>
        <w:rPr>
          <w:sz w:val="20"/>
          <w:szCs w:val="20"/>
          <w:color w:val="auto"/>
        </w:rPr>
      </w:pPr>
    </w:p>
    <w:p>
      <w:pPr>
        <w:jc w:val="both"/>
        <w:ind w:left="1080" w:right="20"/>
        <w:spacing w:after="0" w:line="236" w:lineRule="auto"/>
        <w:rPr>
          <w:sz w:val="20"/>
          <w:szCs w:val="20"/>
          <w:color w:val="auto"/>
        </w:rPr>
      </w:pPr>
      <w:r>
        <w:rPr>
          <w:rFonts w:ascii="Arial" w:cs="Arial" w:eastAsia="Arial" w:hAnsi="Arial"/>
          <w:sz w:val="21"/>
          <w:szCs w:val="21"/>
          <w:color w:val="auto"/>
        </w:rPr>
        <w:t>If the 2022 AOP OI is less than 90% of the 2022 AOP OI Objective, then the Second Tranche 2021 Performance Share Units will not vest and shall be forfeited.</w:t>
      </w:r>
    </w:p>
    <w:p>
      <w:pPr>
        <w:spacing w:after="0" w:line="194" w:lineRule="exact"/>
        <w:rPr>
          <w:sz w:val="20"/>
          <w:szCs w:val="20"/>
          <w:color w:val="auto"/>
        </w:rPr>
      </w:pPr>
    </w:p>
    <w:p>
      <w:pPr>
        <w:jc w:val="both"/>
        <w:ind w:left="1080"/>
        <w:spacing w:after="0" w:line="248" w:lineRule="auto"/>
        <w:rPr>
          <w:sz w:val="20"/>
          <w:szCs w:val="20"/>
          <w:color w:val="auto"/>
        </w:rPr>
      </w:pPr>
      <w:r>
        <w:rPr>
          <w:rFonts w:ascii="Arial" w:cs="Arial" w:eastAsia="Arial" w:hAnsi="Arial"/>
          <w:sz w:val="19"/>
          <w:szCs w:val="19"/>
          <w:color w:val="auto"/>
        </w:rPr>
        <w:t>If the 2022 AOP OI is 90% or more of the 2022 AOP OI Objective, then the number of Shares that shall be received with regard to the Second Tranche 2021 Performance Share Units on the applicable vesting date shall be equal to the product of (i) the number of Second Tranche 2021 Performance Share Units; and (ii) the ratio of the 2022 AOP OI to the 2022 AOP OI Objective, up to a maximum of 200%.</w:t>
      </w:r>
    </w:p>
    <w:p>
      <w:pPr>
        <w:spacing w:after="0" w:line="185" w:lineRule="exact"/>
        <w:rPr>
          <w:sz w:val="20"/>
          <w:szCs w:val="20"/>
          <w:color w:val="auto"/>
        </w:rPr>
      </w:pPr>
    </w:p>
    <w:p>
      <w:pPr>
        <w:jc w:val="both"/>
        <w:ind w:left="460" w:right="40" w:firstLine="628"/>
        <w:spacing w:after="0" w:line="259" w:lineRule="auto"/>
        <w:tabs>
          <w:tab w:leader="none" w:pos="139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One-third of the 2021 Performance Share Units (the "</w:t>
      </w:r>
      <w:r>
        <w:rPr>
          <w:rFonts w:ascii="Arial" w:cs="Arial" w:eastAsia="Arial" w:hAnsi="Arial"/>
          <w:sz w:val="20"/>
          <w:szCs w:val="20"/>
          <w:b w:val="1"/>
          <w:bCs w:val="1"/>
          <w:i w:val="1"/>
          <w:iCs w:val="1"/>
          <w:color w:val="auto"/>
        </w:rPr>
        <w:t>Third Tranche 2021 Performance Share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shall be eligible to vest on March 30, 2024, if, and only if, the Compensation Committee determines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the non-GAAP operating income (calculated in the same manner as the 2023 AOP OI Objective (as defined above)) for 2023 AOP OI is 90% or more of the 2023 AOP OI Objective.</w:t>
      </w:r>
    </w:p>
    <w:p>
      <w:pPr>
        <w:spacing w:after="0" w:line="187" w:lineRule="exact"/>
        <w:rPr>
          <w:sz w:val="20"/>
          <w:szCs w:val="20"/>
          <w:color w:val="auto"/>
        </w:rPr>
      </w:pPr>
    </w:p>
    <w:p>
      <w:pPr>
        <w:jc w:val="both"/>
        <w:ind w:left="1080"/>
        <w:spacing w:after="0" w:line="236" w:lineRule="auto"/>
        <w:rPr>
          <w:sz w:val="20"/>
          <w:szCs w:val="20"/>
          <w:color w:val="auto"/>
        </w:rPr>
      </w:pPr>
      <w:r>
        <w:rPr>
          <w:rFonts w:ascii="Arial" w:cs="Arial" w:eastAsia="Arial" w:hAnsi="Arial"/>
          <w:sz w:val="21"/>
          <w:szCs w:val="21"/>
          <w:color w:val="auto"/>
        </w:rPr>
        <w:t>If the 2023 AOP OI is less than 90% of the 2023 AOP OI Objective, then the Third Tranche 2021 Performance Share Units will not vest and shall be forfeited.</w:t>
      </w:r>
    </w:p>
    <w:p>
      <w:pPr>
        <w:spacing w:after="0" w:line="194" w:lineRule="exact"/>
        <w:rPr>
          <w:sz w:val="20"/>
          <w:szCs w:val="20"/>
          <w:color w:val="auto"/>
        </w:rPr>
      </w:pPr>
    </w:p>
    <w:p>
      <w:pPr>
        <w:jc w:val="both"/>
        <w:ind w:left="1080" w:right="20"/>
        <w:spacing w:after="0" w:line="248" w:lineRule="auto"/>
        <w:rPr>
          <w:sz w:val="20"/>
          <w:szCs w:val="20"/>
          <w:color w:val="auto"/>
        </w:rPr>
      </w:pPr>
      <w:r>
        <w:rPr>
          <w:rFonts w:ascii="Arial" w:cs="Arial" w:eastAsia="Arial" w:hAnsi="Arial"/>
          <w:sz w:val="19"/>
          <w:szCs w:val="19"/>
          <w:color w:val="auto"/>
        </w:rPr>
        <w:t>If the 2023 AOP OI is 90% or more of the 2023 AOP OI Objective, then the number of Shares that shall be received with regard to the Third Tranche 2021 Performance Share Units on the applicable vesting date shall be equal to the product of (i) the number of Third Tranche 2021 Performance Share Units; and (ii) the ratio of the 2023 AOP OI to the 2023 AOP OI Objective, up to a maximum of 200%.</w:t>
      </w:r>
    </w:p>
    <w:p>
      <w:pPr>
        <w:sectPr>
          <w:pgSz w:w="11900" w:h="16838" w:orient="portrait"/>
          <w:cols w:equalWidth="0" w:num="1">
            <w:col w:w="9920"/>
          </w:cols>
          <w:pgMar w:left="1440" w:top="1115" w:right="539" w:bottom="1440" w:gutter="0" w:footer="0" w:header="0"/>
        </w:sectPr>
      </w:pPr>
    </w:p>
    <w:bookmarkStart w:id="293" w:name="page294"/>
    <w:bookmarkEnd w:id="293"/>
    <w:p>
      <w:pPr>
        <w:jc w:val="both"/>
        <w:ind w:left="-180" w:firstLine="639"/>
        <w:spacing w:after="0" w:line="223" w:lineRule="auto"/>
        <w:tabs>
          <w:tab w:leader="none" w:pos="76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Activision Blizzard shall grant to you performance-vesting restricted share units, which represent the conditional right to receive Shares (the "</w:t>
      </w:r>
      <w:r>
        <w:rPr>
          <w:rFonts w:ascii="Arial" w:cs="Arial" w:eastAsia="Arial" w:hAnsi="Arial"/>
          <w:sz w:val="20"/>
          <w:szCs w:val="20"/>
          <w:b w:val="1"/>
          <w:bCs w:val="1"/>
          <w:i w:val="1"/>
          <w:iCs w:val="1"/>
          <w:color w:val="auto"/>
        </w:rPr>
        <w:t>2021 EPS Performance Share Units</w:t>
      </w:r>
      <w:r>
        <w:rPr>
          <w:rFonts w:ascii="Arial" w:cs="Arial" w:eastAsia="Arial" w:hAnsi="Arial"/>
          <w:sz w:val="20"/>
          <w:szCs w:val="20"/>
          <w:color w:val="auto"/>
        </w:rPr>
        <w:t>"), with a target value at the time of grant of approximately $1,000,000 (the "</w:t>
      </w:r>
      <w:r>
        <w:rPr>
          <w:rFonts w:ascii="Arial" w:cs="Arial" w:eastAsia="Arial" w:hAnsi="Arial"/>
          <w:sz w:val="20"/>
          <w:szCs w:val="20"/>
          <w:b w:val="1"/>
          <w:bCs w:val="1"/>
          <w:i w:val="1"/>
          <w:iCs w:val="1"/>
          <w:color w:val="auto"/>
        </w:rPr>
        <w:t>2021 EPS Target PSU Grant Value</w:t>
      </w:r>
      <w:r>
        <w:rPr>
          <w:rFonts w:ascii="Arial" w:cs="Arial" w:eastAsia="Arial" w:hAnsi="Arial"/>
          <w:sz w:val="20"/>
          <w:szCs w:val="20"/>
          <w:color w:val="auto"/>
        </w:rPr>
        <w:t>"). The actual number of 2021 EPS Performance Share Units awarded to you on the grant date shall be equal to the 2021 EPS Target PSU Grant Value divided by the Grant Date Price (it being recognized that if the maximum performance objectives are met for all of the 2021 EPS Performance Share Units, the value of the Shares received upon vesting for all of the 2021 EPS Performance Share Units would have been $2,000,000 at the time of grant of the 2021 EPS Performance Share Units, representing the maximum percentage (which in this case shall be 200%)) of the 2021 EPS Target PSU Grant Value. The number of 2021 EPS Performance Share Units awarded shall be rounded to the nearest whole number and shall be determined by the Compensation Committee in its sole discretion, and Activision Blizzard retains the discretion to modify the methodology for such calculations as needed, so long as the such methodology is the same used with respect to similarly-situated executives of the Employer. Subject to your remaining employed by Activision Blizzard through the applicable vesting dates, the actual number of Shares that shall be received on each of the applicable vesting dates is determined as follows:</w:t>
      </w:r>
    </w:p>
    <w:p>
      <w:pPr>
        <w:spacing w:after="0" w:line="181" w:lineRule="exact"/>
        <w:rPr>
          <w:rFonts w:ascii="Arial" w:cs="Arial" w:eastAsia="Arial" w:hAnsi="Arial"/>
          <w:sz w:val="20"/>
          <w:szCs w:val="20"/>
          <w:color w:val="auto"/>
        </w:rPr>
      </w:pPr>
    </w:p>
    <w:p>
      <w:pPr>
        <w:jc w:val="both"/>
        <w:ind w:left="460" w:firstLine="628"/>
        <w:spacing w:after="0" w:line="230" w:lineRule="auto"/>
        <w:tabs>
          <w:tab w:leader="none" w:pos="1397" w:val="left"/>
        </w:tabs>
        <w:numPr>
          <w:ilvl w:val="1"/>
          <w:numId w:val="168"/>
        </w:numPr>
        <w:rPr>
          <w:rFonts w:ascii="Arial" w:cs="Arial" w:eastAsia="Arial" w:hAnsi="Arial"/>
          <w:sz w:val="20"/>
          <w:szCs w:val="20"/>
          <w:color w:val="auto"/>
        </w:rPr>
      </w:pPr>
      <w:r>
        <w:rPr>
          <w:rFonts w:ascii="Arial" w:cs="Arial" w:eastAsia="Arial" w:hAnsi="Arial"/>
          <w:sz w:val="20"/>
          <w:szCs w:val="20"/>
          <w:color w:val="auto"/>
        </w:rPr>
        <w:t xml:space="preserve">One-third of the 2021 EPS Performance Share Units (the </w:t>
      </w:r>
      <w:r>
        <w:rPr>
          <w:rFonts w:ascii="Arial" w:cs="Arial" w:eastAsia="Arial" w:hAnsi="Arial"/>
          <w:sz w:val="20"/>
          <w:szCs w:val="20"/>
          <w:b w:val="1"/>
          <w:bCs w:val="1"/>
          <w:i w:val="1"/>
          <w:iCs w:val="1"/>
          <w:color w:val="auto"/>
        </w:rPr>
        <w:t>“First Tranche 2021 EPS Performance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 Units”</w:t>
      </w:r>
      <w:r>
        <w:rPr>
          <w:rFonts w:ascii="Arial" w:cs="Arial" w:eastAsia="Arial" w:hAnsi="Arial"/>
          <w:sz w:val="20"/>
          <w:szCs w:val="20"/>
          <w:color w:val="auto"/>
        </w:rPr>
        <w:t>) shall vest on March 30, 2022, if, and only if, the Compensation Committee determines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Activision Blizzard's earnings per Share (</w:t>
      </w:r>
      <w:r>
        <w:rPr>
          <w:rFonts w:ascii="Arial" w:cs="Arial" w:eastAsia="Arial" w:hAnsi="Arial"/>
          <w:sz w:val="20"/>
          <w:szCs w:val="20"/>
          <w:b w:val="1"/>
          <w:bCs w:val="1"/>
          <w:i w:val="1"/>
          <w:iCs w:val="1"/>
          <w:color w:val="auto"/>
        </w:rPr>
        <w:t>“EPS”</w:t>
      </w:r>
      <w:r>
        <w:rPr>
          <w:rFonts w:ascii="Arial" w:cs="Arial" w:eastAsia="Arial" w:hAnsi="Arial"/>
          <w:sz w:val="20"/>
          <w:szCs w:val="20"/>
          <w:color w:val="auto"/>
        </w:rPr>
        <w:t xml:space="preserve">) (calculated in the same manner as the 2021 AOP EPS Objective (as defined below)) for 2021 EPS is 100% or more of the annual operating plan EPS objective established by the Compensation Committee for 2021 (the </w:t>
      </w:r>
      <w:r>
        <w:rPr>
          <w:rFonts w:ascii="Arial" w:cs="Arial" w:eastAsia="Arial" w:hAnsi="Arial"/>
          <w:sz w:val="20"/>
          <w:szCs w:val="20"/>
          <w:b w:val="1"/>
          <w:bCs w:val="1"/>
          <w:i w:val="1"/>
          <w:iCs w:val="1"/>
          <w:color w:val="auto"/>
        </w:rPr>
        <w:t>“2021 AOP EPS Objective”</w:t>
      </w:r>
      <w:r>
        <w:rPr>
          <w:rFonts w:ascii="Arial" w:cs="Arial" w:eastAsia="Arial" w:hAnsi="Arial"/>
          <w:sz w:val="20"/>
          <w:szCs w:val="20"/>
          <w:color w:val="auto"/>
        </w:rPr>
        <w:t>).</w:t>
      </w:r>
    </w:p>
    <w:p>
      <w:pPr>
        <w:spacing w:after="0" w:line="196" w:lineRule="exact"/>
        <w:rPr>
          <w:sz w:val="20"/>
          <w:szCs w:val="20"/>
          <w:color w:val="auto"/>
        </w:rPr>
      </w:pPr>
    </w:p>
    <w:p>
      <w:pPr>
        <w:jc w:val="both"/>
        <w:ind w:left="1080"/>
        <w:spacing w:after="0" w:line="236" w:lineRule="auto"/>
        <w:rPr>
          <w:sz w:val="20"/>
          <w:szCs w:val="20"/>
          <w:color w:val="auto"/>
        </w:rPr>
      </w:pPr>
      <w:r>
        <w:rPr>
          <w:rFonts w:ascii="Arial" w:cs="Arial" w:eastAsia="Arial" w:hAnsi="Arial"/>
          <w:sz w:val="21"/>
          <w:szCs w:val="21"/>
          <w:color w:val="auto"/>
        </w:rPr>
        <w:t>If the 2021 EPS is less than 100% of the 2021 AOP EPS Objective, then the First Tranche 2021 EPS Performance Share Units will not vest and shall be forfeited.</w:t>
      </w:r>
    </w:p>
    <w:p>
      <w:pPr>
        <w:spacing w:after="0" w:line="194" w:lineRule="exact"/>
        <w:rPr>
          <w:sz w:val="20"/>
          <w:szCs w:val="20"/>
          <w:color w:val="auto"/>
        </w:rPr>
      </w:pPr>
    </w:p>
    <w:p>
      <w:pPr>
        <w:jc w:val="both"/>
        <w:ind w:left="1080"/>
        <w:spacing w:after="0" w:line="219" w:lineRule="auto"/>
        <w:rPr>
          <w:sz w:val="20"/>
          <w:szCs w:val="20"/>
          <w:color w:val="auto"/>
        </w:rPr>
      </w:pPr>
      <w:r>
        <w:rPr>
          <w:rFonts w:ascii="Arial" w:cs="Arial" w:eastAsia="Arial" w:hAnsi="Arial"/>
          <w:sz w:val="21"/>
          <w:szCs w:val="21"/>
          <w:color w:val="auto"/>
        </w:rPr>
        <w:t>If the 2021 EPS is 100% or more of the 2021 AOP EPS Objective, then the number of Shares that shall be received with regard to the First Tranche 2021 EPS Performance Share Units on the applicable vesting date shall be equal to the product of (1) the number of First Tranche 2021 EPS Performance Share Units; and (2) the ratio of the 2021 EPS to the 2021 AOP EPS Objective, up to a maximum of 200%.</w:t>
      </w:r>
    </w:p>
    <w:p>
      <w:pPr>
        <w:spacing w:after="0" w:line="183" w:lineRule="exact"/>
        <w:rPr>
          <w:sz w:val="20"/>
          <w:szCs w:val="20"/>
          <w:color w:val="auto"/>
        </w:rPr>
      </w:pPr>
    </w:p>
    <w:p>
      <w:pPr>
        <w:jc w:val="both"/>
        <w:ind w:left="460" w:firstLine="628"/>
        <w:spacing w:after="0" w:line="219" w:lineRule="auto"/>
        <w:tabs>
          <w:tab w:leader="none" w:pos="140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One-third of the 2021 EPS Performance Share Units (the </w:t>
      </w:r>
      <w:r>
        <w:rPr>
          <w:rFonts w:ascii="Arial" w:cs="Arial" w:eastAsia="Arial" w:hAnsi="Arial"/>
          <w:sz w:val="21"/>
          <w:szCs w:val="21"/>
          <w:b w:val="1"/>
          <w:bCs w:val="1"/>
          <w:i w:val="1"/>
          <w:iCs w:val="1"/>
          <w:color w:val="auto"/>
        </w:rPr>
        <w:t>“Second Tranche 2021 EPS Performance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Share Units”</w:t>
      </w:r>
      <w:r>
        <w:rPr>
          <w:rFonts w:ascii="Arial" w:cs="Arial" w:eastAsia="Arial" w:hAnsi="Arial"/>
          <w:sz w:val="21"/>
          <w:szCs w:val="21"/>
          <w:color w:val="auto"/>
        </w:rPr>
        <w:t>) shall vest on March 30, 2023, if, and only if, the Compensation Committee determines that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EPS (calculated in the same manner as the 2022 AOP EPS Objective (as defined below)) for 2022 EPS is 100% or more of the annual operating plan EPS objective established by the Compensation Committee for 2022 (the </w:t>
      </w:r>
      <w:r>
        <w:rPr>
          <w:rFonts w:ascii="Arial" w:cs="Arial" w:eastAsia="Arial" w:hAnsi="Arial"/>
          <w:sz w:val="21"/>
          <w:szCs w:val="21"/>
          <w:b w:val="1"/>
          <w:bCs w:val="1"/>
          <w:i w:val="1"/>
          <w:iCs w:val="1"/>
          <w:color w:val="auto"/>
        </w:rPr>
        <w:t>“2022 AOP EPS Objective”</w:t>
      </w:r>
      <w:r>
        <w:rPr>
          <w:rFonts w:ascii="Arial" w:cs="Arial" w:eastAsia="Arial" w:hAnsi="Arial"/>
          <w:sz w:val="21"/>
          <w:szCs w:val="21"/>
          <w:color w:val="auto"/>
        </w:rPr>
        <w:t>).</w:t>
      </w:r>
    </w:p>
    <w:p>
      <w:pPr>
        <w:spacing w:after="0" w:line="196" w:lineRule="exact"/>
        <w:rPr>
          <w:sz w:val="20"/>
          <w:szCs w:val="20"/>
          <w:color w:val="auto"/>
        </w:rPr>
      </w:pPr>
    </w:p>
    <w:p>
      <w:pPr>
        <w:ind w:left="1080" w:right="20"/>
        <w:spacing w:after="0" w:line="236" w:lineRule="auto"/>
        <w:rPr>
          <w:sz w:val="20"/>
          <w:szCs w:val="20"/>
          <w:color w:val="auto"/>
        </w:rPr>
      </w:pPr>
      <w:r>
        <w:rPr>
          <w:rFonts w:ascii="Arial" w:cs="Arial" w:eastAsia="Arial" w:hAnsi="Arial"/>
          <w:sz w:val="21"/>
          <w:szCs w:val="21"/>
          <w:color w:val="auto"/>
        </w:rPr>
        <w:t>If the 2022 EPS is less than 100% of the 2022 AOP EPS Objective, then the Second Tranche 2021 EPS Performance Share Units will not vest and shall be forfeited.</w:t>
      </w:r>
    </w:p>
    <w:p>
      <w:pPr>
        <w:sectPr>
          <w:pgSz w:w="11900" w:h="16838" w:orient="portrait"/>
          <w:cols w:equalWidth="0" w:num="1">
            <w:col w:w="9920"/>
          </w:cols>
          <w:pgMar w:left="1440" w:top="1115" w:right="539" w:bottom="1440" w:gutter="0" w:footer="0" w:header="0"/>
        </w:sectPr>
      </w:pPr>
    </w:p>
    <w:bookmarkStart w:id="294" w:name="page295"/>
    <w:bookmarkEnd w:id="294"/>
    <w:p>
      <w:pPr>
        <w:jc w:val="both"/>
        <w:ind w:left="1260"/>
        <w:spacing w:after="0" w:line="219" w:lineRule="auto"/>
        <w:rPr>
          <w:sz w:val="20"/>
          <w:szCs w:val="20"/>
          <w:color w:val="auto"/>
        </w:rPr>
      </w:pPr>
      <w:r>
        <w:rPr>
          <w:rFonts w:ascii="Arial" w:cs="Arial" w:eastAsia="Arial" w:hAnsi="Arial"/>
          <w:sz w:val="21"/>
          <w:szCs w:val="21"/>
          <w:color w:val="auto"/>
        </w:rPr>
        <w:t>If the 2022 EPS is 100% or more of the 2022 AOP EPS Objective, then the number of Shares that shall be received with regard to the Second Tranche 2021 EPS Performance Share Units on the applicable vesting date shall be equal to the product of (1) the number of Second Tranche 2021 EPS Performance Share Units; and (2) the ratio of the 2022 EPS to the 2022 AOP EPS Objective, up to a maximum of 200%.</w:t>
      </w:r>
    </w:p>
    <w:p>
      <w:pPr>
        <w:spacing w:after="0" w:line="183" w:lineRule="exact"/>
        <w:rPr>
          <w:sz w:val="20"/>
          <w:szCs w:val="20"/>
          <w:color w:val="auto"/>
        </w:rPr>
      </w:pPr>
    </w:p>
    <w:p>
      <w:pPr>
        <w:jc w:val="both"/>
        <w:ind w:left="640" w:firstLine="628"/>
        <w:spacing w:after="0" w:line="219" w:lineRule="auto"/>
        <w:tabs>
          <w:tab w:leader="none" w:pos="157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One-third of the 2021 EPS Performance Share Units (the </w:t>
      </w:r>
      <w:r>
        <w:rPr>
          <w:rFonts w:ascii="Arial" w:cs="Arial" w:eastAsia="Arial" w:hAnsi="Arial"/>
          <w:sz w:val="21"/>
          <w:szCs w:val="21"/>
          <w:b w:val="1"/>
          <w:bCs w:val="1"/>
          <w:i w:val="1"/>
          <w:iCs w:val="1"/>
          <w:color w:val="auto"/>
        </w:rPr>
        <w:t>“Third Tranche 2021 EPS Performance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Share Units”</w:t>
      </w:r>
      <w:r>
        <w:rPr>
          <w:rFonts w:ascii="Arial" w:cs="Arial" w:eastAsia="Arial" w:hAnsi="Arial"/>
          <w:sz w:val="21"/>
          <w:szCs w:val="21"/>
          <w:color w:val="auto"/>
        </w:rPr>
        <w:t>) shall vest on March 30, 2024, if, and only if, the Compensation Committee determines that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EPS (calculated in the same manner as the 2023 AOP EPS Objective (as defined below)) for 2023 EPS is 100% or more of the annual operating plan EPS objective established by the Compensation Committee for 2023 (the </w:t>
      </w:r>
      <w:r>
        <w:rPr>
          <w:rFonts w:ascii="Arial" w:cs="Arial" w:eastAsia="Arial" w:hAnsi="Arial"/>
          <w:sz w:val="21"/>
          <w:szCs w:val="21"/>
          <w:b w:val="1"/>
          <w:bCs w:val="1"/>
          <w:i w:val="1"/>
          <w:iCs w:val="1"/>
          <w:color w:val="auto"/>
        </w:rPr>
        <w:t>“2023 AOP EPS Objective”</w:t>
      </w:r>
      <w:r>
        <w:rPr>
          <w:rFonts w:ascii="Arial" w:cs="Arial" w:eastAsia="Arial" w:hAnsi="Arial"/>
          <w:sz w:val="21"/>
          <w:szCs w:val="21"/>
          <w:color w:val="auto"/>
        </w:rPr>
        <w:t>).</w:t>
      </w:r>
    </w:p>
    <w:p>
      <w:pPr>
        <w:spacing w:after="0" w:line="196" w:lineRule="exact"/>
        <w:rPr>
          <w:sz w:val="20"/>
          <w:szCs w:val="20"/>
          <w:color w:val="auto"/>
        </w:rPr>
      </w:pPr>
    </w:p>
    <w:p>
      <w:pPr>
        <w:jc w:val="both"/>
        <w:ind w:left="1260"/>
        <w:spacing w:after="0" w:line="236" w:lineRule="auto"/>
        <w:rPr>
          <w:sz w:val="20"/>
          <w:szCs w:val="20"/>
          <w:color w:val="auto"/>
        </w:rPr>
      </w:pPr>
      <w:r>
        <w:rPr>
          <w:rFonts w:ascii="Arial" w:cs="Arial" w:eastAsia="Arial" w:hAnsi="Arial"/>
          <w:sz w:val="21"/>
          <w:szCs w:val="21"/>
          <w:color w:val="auto"/>
        </w:rPr>
        <w:t>If the 2023 EPS is less than 100% of the 2023 AOP EPS Objective, then the Third Tranche 2021 EPS Performance Share Units will not vest and shall be forfeited.</w:t>
      </w:r>
    </w:p>
    <w:p>
      <w:pPr>
        <w:spacing w:after="0" w:line="194" w:lineRule="exact"/>
        <w:rPr>
          <w:sz w:val="20"/>
          <w:szCs w:val="20"/>
          <w:color w:val="auto"/>
        </w:rPr>
      </w:pPr>
    </w:p>
    <w:p>
      <w:pPr>
        <w:jc w:val="both"/>
        <w:ind w:left="1260"/>
        <w:spacing w:after="0" w:line="219" w:lineRule="auto"/>
        <w:rPr>
          <w:sz w:val="20"/>
          <w:szCs w:val="20"/>
          <w:color w:val="auto"/>
        </w:rPr>
      </w:pPr>
      <w:r>
        <w:rPr>
          <w:rFonts w:ascii="Arial" w:cs="Arial" w:eastAsia="Arial" w:hAnsi="Arial"/>
          <w:sz w:val="21"/>
          <w:szCs w:val="21"/>
          <w:color w:val="auto"/>
        </w:rPr>
        <w:t>If the 2023 EPS is 100% or more of the 2023 AOP EPS Objective, then the number of Shares that shall be received with regard to the Third Tranche 2021 EPS Performance Share Units on the applicable vesting date shall be equal to the product of (1) the number of Third Tranche 2021 EPS Performance Share Units; and (2) the ratio of the 2023 EPS to the 2023 AOP EPS Objective, up to a maximum of 200%.</w:t>
      </w:r>
    </w:p>
    <w:p>
      <w:pPr>
        <w:spacing w:after="0" w:line="183" w:lineRule="exact"/>
        <w:rPr>
          <w:sz w:val="20"/>
          <w:szCs w:val="20"/>
          <w:color w:val="auto"/>
        </w:rPr>
      </w:pPr>
    </w:p>
    <w:p>
      <w:pPr>
        <w:jc w:val="both"/>
        <w:ind w:firstLine="639"/>
        <w:spacing w:after="0" w:line="223" w:lineRule="auto"/>
        <w:tabs>
          <w:tab w:leader="none" w:pos="94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Activision Blizzard shall grant to you performance-vesting restricted share units, which represent the conditional right to receive Shares (the "</w:t>
      </w:r>
      <w:r>
        <w:rPr>
          <w:rFonts w:ascii="Arial" w:cs="Arial" w:eastAsia="Arial" w:hAnsi="Arial"/>
          <w:sz w:val="20"/>
          <w:szCs w:val="20"/>
          <w:b w:val="1"/>
          <w:bCs w:val="1"/>
          <w:i w:val="1"/>
          <w:iCs w:val="1"/>
          <w:color w:val="auto"/>
        </w:rPr>
        <w:t>2021 TSR Performance Share Units</w:t>
      </w:r>
      <w:r>
        <w:rPr>
          <w:rFonts w:ascii="Arial" w:cs="Arial" w:eastAsia="Arial" w:hAnsi="Arial"/>
          <w:sz w:val="20"/>
          <w:szCs w:val="20"/>
          <w:color w:val="auto"/>
        </w:rPr>
        <w:t>"), with a target value at the time of grant of approximately $1,000,000 (the "</w:t>
      </w:r>
      <w:r>
        <w:rPr>
          <w:rFonts w:ascii="Arial" w:cs="Arial" w:eastAsia="Arial" w:hAnsi="Arial"/>
          <w:sz w:val="20"/>
          <w:szCs w:val="20"/>
          <w:b w:val="1"/>
          <w:bCs w:val="1"/>
          <w:i w:val="1"/>
          <w:iCs w:val="1"/>
          <w:color w:val="auto"/>
        </w:rPr>
        <w:t>2021 TSR Target PSU Grant Value</w:t>
      </w:r>
      <w:r>
        <w:rPr>
          <w:rFonts w:ascii="Arial" w:cs="Arial" w:eastAsia="Arial" w:hAnsi="Arial"/>
          <w:sz w:val="20"/>
          <w:szCs w:val="20"/>
          <w:color w:val="auto"/>
        </w:rPr>
        <w:t>"). The actual number of 2021 TSR Performance Share Units awarded to you on the grant dates shall be equal to the 2021 TSR Target PSU Grant Value divided by the Grant Date Price (it being recognized that if the minimum performance objectives are met for all of the 2021 TSR Performance Share Units, the value of the Shares received upon vesting for all of the 2021 TSR Performance Share Units would have been $1,000,000 at the time of grant of the 2021 TSR Performance Share Units). The number of 2021 TSR Performance Share Units awarded shall be rounded to the nearest whole number and shall be determined by the Compensation Committee in its sole discretion, and Activision Blizzard retains the discretion to modify the methodology for such calculations as needed, so long as the such methodology is the same used with respect to similarly-situated executives of the Employer. Subject to your remaining employed by Activision Blizzard through the applicable vesting date, the actual number of Shares that shall be received on the applicable vesting dates is determined as follows:</w:t>
      </w:r>
    </w:p>
    <w:p>
      <w:pPr>
        <w:spacing w:after="0" w:line="199" w:lineRule="exact"/>
        <w:rPr>
          <w:sz w:val="20"/>
          <w:szCs w:val="20"/>
          <w:color w:val="auto"/>
        </w:rPr>
      </w:pPr>
    </w:p>
    <w:p>
      <w:pPr>
        <w:jc w:val="both"/>
        <w:ind w:firstLine="630"/>
        <w:spacing w:after="0" w:line="222" w:lineRule="auto"/>
        <w:rPr>
          <w:sz w:val="20"/>
          <w:szCs w:val="20"/>
          <w:color w:val="auto"/>
        </w:rPr>
      </w:pPr>
      <w:r>
        <w:rPr>
          <w:rFonts w:ascii="Arial" w:cs="Arial" w:eastAsia="Arial" w:hAnsi="Arial"/>
          <w:sz w:val="21"/>
          <w:szCs w:val="21"/>
          <w:color w:val="auto"/>
        </w:rPr>
        <w:t>Each 2021 TSR Performance Share Units Tranche shall vest on the dates set forth below, if: (A) the Compensation Committee determines that the TSR Performance during the relevant TSR Performance Measurement Period is ten percent (10%) or more and (B) the Company TSR during the relevant TSR Performance Measurement Period is greater than zero.</w:t>
      </w:r>
    </w:p>
    <w:p>
      <w:pPr>
        <w:sectPr>
          <w:pgSz w:w="11900" w:h="16838" w:orient="portrait"/>
          <w:cols w:equalWidth="0" w:num="1">
            <w:col w:w="10100"/>
          </w:cols>
          <w:pgMar w:left="1260" w:top="1115" w:right="539" w:bottom="1440" w:gutter="0" w:footer="0" w:header="0"/>
        </w:sectPr>
      </w:pPr>
    </w:p>
    <w:bookmarkStart w:id="295" w:name="page296"/>
    <w:bookmarkEnd w:id="295"/>
    <w:p>
      <w:pPr>
        <w:jc w:val="both"/>
        <w:ind w:left="840" w:right="200" w:firstLine="630"/>
        <w:spacing w:after="0" w:line="222" w:lineRule="auto"/>
        <w:rPr>
          <w:sz w:val="20"/>
          <w:szCs w:val="20"/>
          <w:color w:val="auto"/>
        </w:rPr>
      </w:pPr>
      <w:r>
        <w:rPr>
          <w:rFonts w:ascii="Arial" w:cs="Arial" w:eastAsia="Arial" w:hAnsi="Arial"/>
          <w:sz w:val="21"/>
          <w:szCs w:val="21"/>
          <w:color w:val="auto"/>
        </w:rPr>
        <w:t>If the TSR Performance during the relevant TSR Performance Measurement Period is less than 10% or if the Company TSR is not greater than zero in any given performance measurement period, then relevant allocation (e.g., the 2021 TSR Tranche, the 2022 TSR Tranche, the 2023 TSR Tranche or the 3-Year TSR Tranche) of the 2021 TSR Performance Share Units will not vest and shall be forfeited.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160" w:type="dxa"/>
            <w:vAlign w:val="bottom"/>
            <w:tcBorders>
              <w:top w:val="single" w:sz="8" w:color="auto"/>
              <w:left w:val="single" w:sz="8" w:color="auto"/>
              <w:right w:val="single" w:sz="8" w:color="auto"/>
            </w:tcBorders>
          </w:tcPr>
          <w:p>
            <w:pPr>
              <w:ind w:left="780"/>
              <w:spacing w:after="0" w:line="223" w:lineRule="exact"/>
              <w:rPr>
                <w:sz w:val="20"/>
                <w:szCs w:val="20"/>
                <w:color w:val="auto"/>
              </w:rPr>
            </w:pPr>
            <w:r>
              <w:rPr>
                <w:rFonts w:ascii="Arial" w:cs="Arial" w:eastAsia="Arial" w:hAnsi="Arial"/>
                <w:sz w:val="21"/>
                <w:szCs w:val="21"/>
                <w:color w:val="auto"/>
              </w:rPr>
              <w:t>Vesting Date</w:t>
            </w:r>
          </w:p>
        </w:tc>
        <w:tc>
          <w:tcPr>
            <w:tcW w:w="1860" w:type="dxa"/>
            <w:vAlign w:val="bottom"/>
            <w:tcBorders>
              <w:top w:val="single" w:sz="8" w:color="auto"/>
              <w:right w:val="single" w:sz="8" w:color="auto"/>
            </w:tcBorders>
          </w:tcPr>
          <w:p>
            <w:pPr>
              <w:ind w:left="100"/>
              <w:spacing w:after="0" w:line="223" w:lineRule="exact"/>
              <w:rPr>
                <w:sz w:val="20"/>
                <w:szCs w:val="20"/>
                <w:color w:val="auto"/>
              </w:rPr>
            </w:pPr>
            <w:r>
              <w:rPr>
                <w:rFonts w:ascii="Arial" w:cs="Arial" w:eastAsia="Arial" w:hAnsi="Arial"/>
                <w:sz w:val="21"/>
                <w:szCs w:val="21"/>
                <w:color w:val="auto"/>
              </w:rPr>
              <w:t>Percentage of</w:t>
            </w:r>
          </w:p>
        </w:tc>
        <w:tc>
          <w:tcPr>
            <w:tcW w:w="4780" w:type="dxa"/>
            <w:vAlign w:val="bottom"/>
            <w:tcBorders>
              <w:top w:val="single" w:sz="8" w:color="auto"/>
              <w:right w:val="single" w:sz="8" w:color="auto"/>
            </w:tcBorders>
          </w:tcPr>
          <w:p>
            <w:pPr>
              <w:ind w:left="100"/>
              <w:spacing w:after="0" w:line="223" w:lineRule="exact"/>
              <w:rPr>
                <w:sz w:val="20"/>
                <w:szCs w:val="20"/>
                <w:color w:val="auto"/>
              </w:rPr>
            </w:pPr>
            <w:r>
              <w:rPr>
                <w:rFonts w:ascii="Arial" w:cs="Arial" w:eastAsia="Arial" w:hAnsi="Arial"/>
                <w:sz w:val="21"/>
                <w:szCs w:val="21"/>
                <w:color w:val="auto"/>
              </w:rPr>
              <w:t>3.  TSR Performance Measurement Period</w:t>
            </w:r>
          </w:p>
        </w:tc>
        <w:tc>
          <w:tcPr>
            <w:tcW w:w="360" w:type="dxa"/>
            <w:vAlign w:val="bottom"/>
            <w:tcBorders>
              <w:top w:val="single" w:sz="8" w:color="auto"/>
            </w:tcBorders>
          </w:tcPr>
          <w:p>
            <w:pPr>
              <w:spacing w:after="0"/>
              <w:rPr>
                <w:sz w:val="19"/>
                <w:szCs w:val="19"/>
                <w:color w:val="auto"/>
              </w:rPr>
            </w:pPr>
          </w:p>
        </w:tc>
        <w:tc>
          <w:tcPr>
            <w:tcW w:w="1980" w:type="dxa"/>
            <w:vAlign w:val="bottom"/>
            <w:tcBorders>
              <w:top w:val="single" w:sz="8" w:color="auto"/>
              <w:right w:val="single" w:sz="8" w:color="auto"/>
            </w:tcBorders>
          </w:tcPr>
          <w:p>
            <w:pPr>
              <w:ind w:left="220"/>
              <w:spacing w:after="0" w:line="223" w:lineRule="exact"/>
              <w:rPr>
                <w:sz w:val="20"/>
                <w:szCs w:val="20"/>
                <w:color w:val="auto"/>
              </w:rPr>
            </w:pPr>
            <w:r>
              <w:rPr>
                <w:rFonts w:ascii="Arial" w:cs="Arial" w:eastAsia="Arial" w:hAnsi="Arial"/>
                <w:sz w:val="21"/>
                <w:szCs w:val="21"/>
                <w:color w:val="auto"/>
              </w:rPr>
              <w:t>Tranche</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1"/>
                <w:szCs w:val="21"/>
                <w:color w:val="auto"/>
              </w:rPr>
              <w:t>2021 TSR</w:t>
            </w:r>
          </w:p>
        </w:tc>
        <w:tc>
          <w:tcPr>
            <w:tcW w:w="47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0"/>
        </w:trPr>
        <w:tc>
          <w:tcPr>
            <w:tcW w:w="21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100"/>
              <w:spacing w:after="0" w:line="210" w:lineRule="exact"/>
              <w:rPr>
                <w:sz w:val="20"/>
                <w:szCs w:val="20"/>
                <w:color w:val="auto"/>
              </w:rPr>
            </w:pPr>
            <w:r>
              <w:rPr>
                <w:rFonts w:ascii="Arial" w:cs="Arial" w:eastAsia="Arial" w:hAnsi="Arial"/>
                <w:sz w:val="21"/>
                <w:szCs w:val="21"/>
                <w:color w:val="auto"/>
                <w:w w:val="94"/>
              </w:rPr>
              <w:t>Performance Share</w:t>
            </w:r>
          </w:p>
        </w:tc>
        <w:tc>
          <w:tcPr>
            <w:tcW w:w="47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69"/>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Units</w:t>
            </w:r>
          </w:p>
        </w:tc>
        <w:tc>
          <w:tcPr>
            <w:tcW w:w="478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r>
      <w:tr>
        <w:trPr>
          <w:trHeight w:val="205"/>
        </w:trPr>
        <w:tc>
          <w:tcPr>
            <w:tcW w:w="2160" w:type="dxa"/>
            <w:vAlign w:val="bottom"/>
            <w:tcBorders>
              <w:left w:val="single" w:sz="8" w:color="auto"/>
              <w:right w:val="single" w:sz="8" w:color="auto"/>
            </w:tcBorders>
          </w:tcPr>
          <w:p>
            <w:pPr>
              <w:ind w:left="560"/>
              <w:spacing w:after="0" w:line="205" w:lineRule="exact"/>
              <w:rPr>
                <w:sz w:val="20"/>
                <w:szCs w:val="20"/>
                <w:color w:val="auto"/>
              </w:rPr>
            </w:pPr>
            <w:r>
              <w:rPr>
                <w:rFonts w:ascii="Arial" w:cs="Arial" w:eastAsia="Arial" w:hAnsi="Arial"/>
                <w:sz w:val="21"/>
                <w:szCs w:val="21"/>
                <w:color w:val="auto"/>
              </w:rPr>
              <w:t>March 30, 2022</w:t>
            </w:r>
          </w:p>
        </w:tc>
        <w:tc>
          <w:tcPr>
            <w:tcW w:w="186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1"/>
                <w:szCs w:val="21"/>
                <w:color w:val="auto"/>
              </w:rPr>
              <w:t>16.67%</w:t>
            </w:r>
          </w:p>
        </w:tc>
        <w:tc>
          <w:tcPr>
            <w:tcW w:w="4780" w:type="dxa"/>
            <w:vAlign w:val="bottom"/>
            <w:tcBorders>
              <w:right w:val="single" w:sz="8" w:color="auto"/>
            </w:tcBorders>
          </w:tcPr>
          <w:p>
            <w:pPr>
              <w:ind w:left="100"/>
              <w:spacing w:after="0" w:line="205" w:lineRule="exact"/>
              <w:rPr>
                <w:sz w:val="20"/>
                <w:szCs w:val="20"/>
                <w:color w:val="auto"/>
              </w:rPr>
            </w:pPr>
            <w:r>
              <w:rPr>
                <w:rFonts w:ascii="Arial" w:cs="Arial" w:eastAsia="Arial" w:hAnsi="Arial"/>
                <w:sz w:val="21"/>
                <w:szCs w:val="21"/>
                <w:color w:val="auto"/>
              </w:rPr>
              <w:t>Effective Date through December 31, 2021</w:t>
            </w:r>
          </w:p>
        </w:tc>
        <w:tc>
          <w:tcPr>
            <w:tcW w:w="360" w:type="dxa"/>
            <w:vAlign w:val="bottom"/>
          </w:tcPr>
          <w:p>
            <w:pPr>
              <w:ind w:left="100"/>
              <w:spacing w:after="0" w:line="205" w:lineRule="exact"/>
              <w:rPr>
                <w:sz w:val="20"/>
                <w:szCs w:val="20"/>
                <w:color w:val="auto"/>
              </w:rPr>
            </w:pPr>
            <w:r>
              <w:rPr>
                <w:rFonts w:ascii="Arial" w:cs="Arial" w:eastAsia="Arial" w:hAnsi="Arial"/>
                <w:sz w:val="21"/>
                <w:szCs w:val="21"/>
                <w:color w:val="auto"/>
              </w:rPr>
              <w:t>4.</w:t>
            </w:r>
          </w:p>
        </w:tc>
        <w:tc>
          <w:tcPr>
            <w:tcW w:w="19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1"/>
                <w:szCs w:val="21"/>
                <w:b w:val="1"/>
                <w:bCs w:val="1"/>
                <w:i w:val="1"/>
                <w:iCs w:val="1"/>
                <w:color w:val="auto"/>
              </w:rPr>
              <w:t>“2021 TSR</w:t>
            </w:r>
          </w:p>
        </w:tc>
      </w:tr>
      <w:tr>
        <w:trPr>
          <w:trHeight w:val="262"/>
        </w:trPr>
        <w:tc>
          <w:tcPr>
            <w:tcW w:w="216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1"/>
                <w:szCs w:val="21"/>
                <w:b w:val="1"/>
                <w:bCs w:val="1"/>
                <w:i w:val="1"/>
                <w:iCs w:val="1"/>
                <w:color w:val="auto"/>
              </w:rPr>
              <w:t>Tranche”</w:t>
            </w:r>
          </w:p>
        </w:tc>
      </w:tr>
      <w:tr>
        <w:trPr>
          <w:trHeight w:val="203"/>
        </w:trPr>
        <w:tc>
          <w:tcPr>
            <w:tcW w:w="2160" w:type="dxa"/>
            <w:vAlign w:val="bottom"/>
            <w:tcBorders>
              <w:left w:val="single" w:sz="8" w:color="auto"/>
              <w:right w:val="single" w:sz="8" w:color="auto"/>
            </w:tcBorders>
          </w:tcPr>
          <w:p>
            <w:pPr>
              <w:ind w:left="560"/>
              <w:spacing w:after="0" w:line="203" w:lineRule="exact"/>
              <w:rPr>
                <w:sz w:val="20"/>
                <w:szCs w:val="20"/>
                <w:color w:val="auto"/>
              </w:rPr>
            </w:pPr>
            <w:r>
              <w:rPr>
                <w:rFonts w:ascii="Arial" w:cs="Arial" w:eastAsia="Arial" w:hAnsi="Arial"/>
                <w:sz w:val="21"/>
                <w:szCs w:val="21"/>
                <w:color w:val="auto"/>
              </w:rPr>
              <w:t>March 30, 2023</w:t>
            </w:r>
          </w:p>
        </w:tc>
        <w:tc>
          <w:tcPr>
            <w:tcW w:w="18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1"/>
                <w:szCs w:val="21"/>
                <w:color w:val="auto"/>
              </w:rPr>
              <w:t>16.67%</w:t>
            </w:r>
          </w:p>
        </w:tc>
        <w:tc>
          <w:tcPr>
            <w:tcW w:w="478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1"/>
                <w:szCs w:val="21"/>
                <w:color w:val="auto"/>
              </w:rPr>
              <w:t>January 1, 2022-December 31, 2022</w:t>
            </w:r>
          </w:p>
        </w:tc>
        <w:tc>
          <w:tcPr>
            <w:tcW w:w="360" w:type="dxa"/>
            <w:vAlign w:val="bottom"/>
          </w:tcPr>
          <w:p>
            <w:pPr>
              <w:ind w:left="100"/>
              <w:spacing w:after="0" w:line="203" w:lineRule="exact"/>
              <w:rPr>
                <w:sz w:val="20"/>
                <w:szCs w:val="20"/>
                <w:color w:val="auto"/>
              </w:rPr>
            </w:pPr>
            <w:r>
              <w:rPr>
                <w:rFonts w:ascii="Arial" w:cs="Arial" w:eastAsia="Arial" w:hAnsi="Arial"/>
                <w:sz w:val="21"/>
                <w:szCs w:val="21"/>
                <w:color w:val="auto"/>
              </w:rPr>
              <w:t>5.</w:t>
            </w:r>
          </w:p>
        </w:tc>
        <w:tc>
          <w:tcPr>
            <w:tcW w:w="198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1"/>
                <w:szCs w:val="21"/>
                <w:b w:val="1"/>
                <w:bCs w:val="1"/>
                <w:i w:val="1"/>
                <w:iCs w:val="1"/>
                <w:color w:val="auto"/>
              </w:rPr>
              <w:t>“2022 TSR</w:t>
            </w:r>
          </w:p>
        </w:tc>
      </w:tr>
      <w:tr>
        <w:trPr>
          <w:trHeight w:val="262"/>
        </w:trPr>
        <w:tc>
          <w:tcPr>
            <w:tcW w:w="216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1"/>
                <w:szCs w:val="21"/>
                <w:b w:val="1"/>
                <w:bCs w:val="1"/>
                <w:i w:val="1"/>
                <w:iCs w:val="1"/>
                <w:color w:val="auto"/>
              </w:rPr>
              <w:t>Tranche”</w:t>
            </w:r>
          </w:p>
        </w:tc>
      </w:tr>
      <w:tr>
        <w:trPr>
          <w:trHeight w:val="203"/>
        </w:trPr>
        <w:tc>
          <w:tcPr>
            <w:tcW w:w="2160" w:type="dxa"/>
            <w:vAlign w:val="bottom"/>
            <w:tcBorders>
              <w:left w:val="single" w:sz="8" w:color="auto"/>
              <w:right w:val="single" w:sz="8" w:color="auto"/>
            </w:tcBorders>
          </w:tcPr>
          <w:p>
            <w:pPr>
              <w:ind w:left="560"/>
              <w:spacing w:after="0" w:line="203" w:lineRule="exact"/>
              <w:rPr>
                <w:sz w:val="20"/>
                <w:szCs w:val="20"/>
                <w:color w:val="auto"/>
              </w:rPr>
            </w:pPr>
            <w:r>
              <w:rPr>
                <w:rFonts w:ascii="Arial" w:cs="Arial" w:eastAsia="Arial" w:hAnsi="Arial"/>
                <w:sz w:val="21"/>
                <w:szCs w:val="21"/>
                <w:color w:val="auto"/>
              </w:rPr>
              <w:t>March 30, 2024</w:t>
            </w:r>
          </w:p>
        </w:tc>
        <w:tc>
          <w:tcPr>
            <w:tcW w:w="18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1"/>
                <w:szCs w:val="21"/>
                <w:color w:val="auto"/>
              </w:rPr>
              <w:t>16.66%</w:t>
            </w:r>
          </w:p>
        </w:tc>
        <w:tc>
          <w:tcPr>
            <w:tcW w:w="478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1"/>
                <w:szCs w:val="21"/>
                <w:color w:val="auto"/>
              </w:rPr>
              <w:t>January 1, 2023-December 31, 2023</w:t>
            </w:r>
          </w:p>
        </w:tc>
        <w:tc>
          <w:tcPr>
            <w:tcW w:w="360" w:type="dxa"/>
            <w:vAlign w:val="bottom"/>
          </w:tcPr>
          <w:p>
            <w:pPr>
              <w:ind w:left="100"/>
              <w:spacing w:after="0" w:line="203" w:lineRule="exact"/>
              <w:rPr>
                <w:sz w:val="20"/>
                <w:szCs w:val="20"/>
                <w:color w:val="auto"/>
              </w:rPr>
            </w:pPr>
            <w:r>
              <w:rPr>
                <w:rFonts w:ascii="Arial" w:cs="Arial" w:eastAsia="Arial" w:hAnsi="Arial"/>
                <w:sz w:val="21"/>
                <w:szCs w:val="21"/>
                <w:color w:val="auto"/>
              </w:rPr>
              <w:t>6.</w:t>
            </w:r>
          </w:p>
        </w:tc>
        <w:tc>
          <w:tcPr>
            <w:tcW w:w="198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1"/>
                <w:szCs w:val="21"/>
                <w:b w:val="1"/>
                <w:bCs w:val="1"/>
                <w:i w:val="1"/>
                <w:iCs w:val="1"/>
                <w:color w:val="auto"/>
              </w:rPr>
              <w:t>“2023 TSR</w:t>
            </w:r>
          </w:p>
        </w:tc>
      </w:tr>
      <w:tr>
        <w:trPr>
          <w:trHeight w:val="262"/>
        </w:trPr>
        <w:tc>
          <w:tcPr>
            <w:tcW w:w="216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1"/>
                <w:szCs w:val="21"/>
                <w:b w:val="1"/>
                <w:bCs w:val="1"/>
                <w:i w:val="1"/>
                <w:iCs w:val="1"/>
                <w:color w:val="auto"/>
              </w:rPr>
              <w:t>Tranche”</w:t>
            </w:r>
          </w:p>
        </w:tc>
      </w:tr>
      <w:tr>
        <w:trPr>
          <w:trHeight w:val="203"/>
        </w:trPr>
        <w:tc>
          <w:tcPr>
            <w:tcW w:w="2160" w:type="dxa"/>
            <w:vAlign w:val="bottom"/>
            <w:tcBorders>
              <w:left w:val="single" w:sz="8" w:color="auto"/>
              <w:right w:val="single" w:sz="8" w:color="auto"/>
            </w:tcBorders>
          </w:tcPr>
          <w:p>
            <w:pPr>
              <w:ind w:left="560"/>
              <w:spacing w:after="0" w:line="203" w:lineRule="exact"/>
              <w:rPr>
                <w:sz w:val="20"/>
                <w:szCs w:val="20"/>
                <w:color w:val="auto"/>
              </w:rPr>
            </w:pPr>
            <w:r>
              <w:rPr>
                <w:rFonts w:ascii="Arial" w:cs="Arial" w:eastAsia="Arial" w:hAnsi="Arial"/>
                <w:sz w:val="21"/>
                <w:szCs w:val="21"/>
                <w:color w:val="auto"/>
              </w:rPr>
              <w:t>March 30, 2024</w:t>
            </w:r>
          </w:p>
        </w:tc>
        <w:tc>
          <w:tcPr>
            <w:tcW w:w="18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1"/>
                <w:szCs w:val="21"/>
                <w:color w:val="auto"/>
              </w:rPr>
              <w:t>50%</w:t>
            </w:r>
          </w:p>
        </w:tc>
        <w:tc>
          <w:tcPr>
            <w:tcW w:w="478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1"/>
                <w:szCs w:val="21"/>
                <w:color w:val="auto"/>
              </w:rPr>
              <w:t>Effective date through December 31, 2023</w:t>
            </w:r>
          </w:p>
        </w:tc>
        <w:tc>
          <w:tcPr>
            <w:tcW w:w="360" w:type="dxa"/>
            <w:vAlign w:val="bottom"/>
          </w:tcPr>
          <w:p>
            <w:pPr>
              <w:ind w:left="100"/>
              <w:spacing w:after="0" w:line="203" w:lineRule="exact"/>
              <w:rPr>
                <w:sz w:val="20"/>
                <w:szCs w:val="20"/>
                <w:color w:val="auto"/>
              </w:rPr>
            </w:pPr>
            <w:r>
              <w:rPr>
                <w:rFonts w:ascii="Arial" w:cs="Arial" w:eastAsia="Arial" w:hAnsi="Arial"/>
                <w:sz w:val="21"/>
                <w:szCs w:val="21"/>
                <w:color w:val="auto"/>
              </w:rPr>
              <w:t>7.</w:t>
            </w:r>
          </w:p>
        </w:tc>
        <w:tc>
          <w:tcPr>
            <w:tcW w:w="198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1"/>
                <w:szCs w:val="21"/>
                <w:b w:val="1"/>
                <w:bCs w:val="1"/>
                <w:i w:val="1"/>
                <w:iCs w:val="1"/>
                <w:color w:val="auto"/>
              </w:rPr>
              <w:t>“3-Year TSR</w:t>
            </w:r>
          </w:p>
        </w:tc>
      </w:tr>
      <w:tr>
        <w:trPr>
          <w:trHeight w:val="262"/>
        </w:trPr>
        <w:tc>
          <w:tcPr>
            <w:tcW w:w="216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1"/>
                <w:szCs w:val="21"/>
                <w:b w:val="1"/>
                <w:bCs w:val="1"/>
                <w:i w:val="1"/>
                <w:iCs w:val="1"/>
                <w:color w:val="auto"/>
              </w:rPr>
              <w:t>Tranche”</w:t>
            </w:r>
          </w:p>
        </w:tc>
      </w:tr>
    </w:tbl>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For purposes of this Section 2(d)(4), the following terms shall have the meaning set forth below:</w:t>
      </w:r>
    </w:p>
    <w:p>
      <w:pPr>
        <w:spacing w:after="0" w:line="198" w:lineRule="exact"/>
        <w:rPr>
          <w:sz w:val="20"/>
          <w:szCs w:val="20"/>
          <w:color w:val="auto"/>
        </w:rPr>
      </w:pPr>
    </w:p>
    <w:p>
      <w:pPr>
        <w:ind w:left="840" w:right="260" w:firstLine="630"/>
        <w:spacing w:after="0" w:line="242" w:lineRule="auto"/>
        <w:rPr>
          <w:sz w:val="20"/>
          <w:szCs w:val="20"/>
          <w:color w:val="auto"/>
        </w:rPr>
      </w:pPr>
      <w:r>
        <w:rPr>
          <w:rFonts w:ascii="Arial" w:cs="Arial" w:eastAsia="Arial" w:hAnsi="Arial"/>
          <w:sz w:val="19"/>
          <w:szCs w:val="19"/>
          <w:b w:val="1"/>
          <w:bCs w:val="1"/>
          <w:color w:val="auto"/>
        </w:rPr>
        <w:t xml:space="preserve">"Company TSR" </w:t>
      </w:r>
      <w:r>
        <w:rPr>
          <w:rFonts w:ascii="Arial" w:cs="Arial" w:eastAsia="Arial" w:hAnsi="Arial"/>
          <w:sz w:val="19"/>
          <w:szCs w:val="19"/>
          <w:color w:val="auto"/>
        </w:rPr>
        <w:t>for the relevant TSR Performance Measurement Period, means the rate of return on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assuming the reinvestment of dividends (stock price appreciation assuming dividend reinvestments, with such dividend reinvestments calculated based on same-day reinvestment into the Shares on the ex-dividend date) determined by reference to the increase or decrease, as the case may be, between the average of Activision Blizzard's closing stock price per Share as reported by NASDAQ for the thirty days leading up to, and inclusive of, the TSR Performance Measurement Period's start date and the thirty days leading up to, and inclusive of, the period's end date.</w:t>
      </w:r>
    </w:p>
    <w:p>
      <w:pPr>
        <w:spacing w:after="0" w:line="186" w:lineRule="exact"/>
        <w:rPr>
          <w:sz w:val="20"/>
          <w:szCs w:val="20"/>
          <w:color w:val="auto"/>
        </w:rPr>
      </w:pPr>
    </w:p>
    <w:p>
      <w:pPr>
        <w:ind w:left="840" w:right="280" w:firstLine="630"/>
        <w:spacing w:after="0" w:line="235" w:lineRule="auto"/>
        <w:rPr>
          <w:sz w:val="20"/>
          <w:szCs w:val="20"/>
          <w:color w:val="auto"/>
        </w:rPr>
      </w:pPr>
      <w:r>
        <w:rPr>
          <w:rFonts w:ascii="Arial" w:cs="Arial" w:eastAsia="Arial" w:hAnsi="Arial"/>
          <w:sz w:val="20"/>
          <w:szCs w:val="20"/>
          <w:b w:val="1"/>
          <w:bCs w:val="1"/>
          <w:color w:val="auto"/>
        </w:rPr>
        <w:t xml:space="preserve">"S&amp;P 500 TSR" </w:t>
      </w:r>
      <w:r>
        <w:rPr>
          <w:rFonts w:ascii="Arial" w:cs="Arial" w:eastAsia="Arial" w:hAnsi="Arial"/>
          <w:sz w:val="20"/>
          <w:szCs w:val="20"/>
          <w:color w:val="auto"/>
        </w:rPr>
        <w:t>means the rate of return on the S&amp;P 500 Total Return Index, determined by reference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 or decrease, as the case may be, between the average of the closing value of the S&amp;P Total Return Index for the thirty NASDAQ trading days leading up to, and inclusive of, the TSR Performance Measurement Period's start date and the thirty trading days leading up to, and inclusive of, the period's end date.</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21"/>
          <w:szCs w:val="21"/>
          <w:b w:val="1"/>
          <w:bCs w:val="1"/>
          <w:color w:val="auto"/>
        </w:rPr>
        <w:t xml:space="preserve">"TSR Performance" </w:t>
      </w:r>
      <w:r>
        <w:rPr>
          <w:rFonts w:ascii="Arial" w:cs="Arial" w:eastAsia="Arial" w:hAnsi="Arial"/>
          <w:sz w:val="21"/>
          <w:szCs w:val="21"/>
          <w:color w:val="auto"/>
        </w:rPr>
        <w:t>means Company TSR minus S&amp;P 500 TSR.</w:t>
      </w:r>
    </w:p>
    <w:p>
      <w:pPr>
        <w:spacing w:after="0" w:line="274" w:lineRule="exact"/>
        <w:rPr>
          <w:sz w:val="20"/>
          <w:szCs w:val="20"/>
          <w:color w:val="auto"/>
        </w:rPr>
      </w:pPr>
    </w:p>
    <w:p>
      <w:pPr>
        <w:ind w:left="840" w:right="200" w:firstLine="68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TSR Performance Measurement Period</w:t>
      </w:r>
      <w:r>
        <w:rPr>
          <w:rFonts w:ascii="Arial" w:cs="Arial" w:eastAsia="Arial" w:hAnsi="Arial"/>
          <w:sz w:val="18"/>
          <w:szCs w:val="18"/>
          <w:color w:val="auto"/>
        </w:rPr>
        <w:t>" means the period of time during which performance will be measured for the 2021 TSR Tranche, the 2022 TSR Tranche, the 2023 TSR Tranche and the 3-Year TSR Tranche as set forth above.</w:t>
      </w:r>
    </w:p>
    <w:p>
      <w:pPr>
        <w:sectPr>
          <w:pgSz w:w="11900" w:h="16838" w:orient="portrait"/>
          <w:cols w:equalWidth="0" w:num="1">
            <w:col w:w="11140"/>
          </w:cols>
          <w:pgMar w:left="420" w:top="1115" w:right="339" w:bottom="1440" w:gutter="0" w:footer="0" w:header="0"/>
        </w:sectPr>
      </w:pPr>
    </w:p>
    <w:bookmarkStart w:id="296" w:name="page297"/>
    <w:bookmarkEnd w:id="296"/>
    <w:p>
      <w:pPr>
        <w:jc w:val="both"/>
        <w:ind w:firstLine="682"/>
        <w:spacing w:after="0" w:line="242" w:lineRule="auto"/>
        <w:rPr>
          <w:sz w:val="20"/>
          <w:szCs w:val="20"/>
          <w:color w:val="auto"/>
        </w:rPr>
      </w:pPr>
      <w:r>
        <w:rPr>
          <w:rFonts w:ascii="Arial" w:cs="Arial" w:eastAsia="Arial" w:hAnsi="Arial"/>
          <w:sz w:val="19"/>
          <w:szCs w:val="19"/>
          <w:b w:val="1"/>
          <w:bCs w:val="1"/>
          <w:color w:val="auto"/>
        </w:rPr>
        <w:t xml:space="preserve">"S&amp;P 500 Total Return Index" </w:t>
      </w:r>
      <w:r>
        <w:rPr>
          <w:rFonts w:ascii="Arial" w:cs="Arial" w:eastAsia="Arial" w:hAnsi="Arial"/>
          <w:sz w:val="19"/>
          <w:szCs w:val="19"/>
          <w:color w:val="auto"/>
        </w:rPr>
        <w:t>means the index of this name promulgated by S&amp;P Dow Jones Indices, and</w:t>
      </w:r>
      <w:r>
        <w:rPr>
          <w:rFonts w:ascii="Arial" w:cs="Arial" w:eastAsia="Arial" w:hAnsi="Arial"/>
          <w:sz w:val="19"/>
          <w:szCs w:val="19"/>
          <w:b w:val="1"/>
          <w:bCs w:val="1"/>
          <w:color w:val="auto"/>
        </w:rPr>
        <w:t xml:space="preserve"> </w:t>
      </w:r>
      <w:r>
        <w:rPr>
          <w:rFonts w:ascii="Arial" w:cs="Arial" w:eastAsia="Arial" w:hAnsi="Arial"/>
          <w:sz w:val="19"/>
          <w:szCs w:val="19"/>
          <w:color w:val="auto"/>
        </w:rPr>
        <w:t>reflects the stock price performance of the constituent companies in the index together with the assumed reinvestment of dividends (or, in the event that the S&amp;P 500 Total Return Index is discontinued or, in the opinion of the Compensation Committee, materially changed prior to December 31, 2023, a substantially equivalent replacement index chosen by the Compensation Committee in its sole and absolute discretion to determine how the calculations related to the index will be conducted, consistent with the methodology of the S&amp;P 500 Total Return Index).</w:t>
      </w:r>
    </w:p>
    <w:p>
      <w:pPr>
        <w:spacing w:after="0" w:line="179" w:lineRule="exact"/>
        <w:rPr>
          <w:sz w:val="20"/>
          <w:szCs w:val="20"/>
          <w:color w:val="auto"/>
        </w:rPr>
      </w:pPr>
    </w:p>
    <w:p>
      <w:pPr>
        <w:jc w:val="both"/>
        <w:ind w:firstLine="639"/>
        <w:spacing w:after="0" w:line="224" w:lineRule="auto"/>
        <w:tabs>
          <w:tab w:leader="none" w:pos="94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Activision Blizzard shall grant to you an annual equity grant of performance-vesting restricted share units (</w:t>
      </w:r>
      <w:r>
        <w:rPr>
          <w:rFonts w:ascii="Arial" w:cs="Arial" w:eastAsia="Arial" w:hAnsi="Arial"/>
          <w:sz w:val="20"/>
          <w:szCs w:val="20"/>
          <w:b w:val="1"/>
          <w:bCs w:val="1"/>
          <w:i w:val="1"/>
          <w:iCs w:val="1"/>
          <w:color w:val="auto"/>
        </w:rPr>
        <w:t>“LRP Equity Award”</w:t>
      </w:r>
      <w:r>
        <w:rPr>
          <w:rFonts w:ascii="Arial" w:cs="Arial" w:eastAsia="Arial" w:hAnsi="Arial"/>
          <w:sz w:val="20"/>
          <w:szCs w:val="20"/>
          <w:color w:val="auto"/>
        </w:rPr>
        <w:t>), pursuant to the following target guidelines: i) performance objectives contingent upon cumulative non- GAAP operating income performance as compared to Activision Blizzard's three-year plan non-GAAP operating income, each calculated using the same methodology; ii) a target value at date of grant of $1,000,000; and iii) the formula for vesting of the total number of performance share units being equal to the product of: (a) the target number of performance share units and (b) the percentage of achievement, which shall be calculated by dividing the operating income achieved for calendar years 2021, 2022, and 2023 (</w:t>
      </w:r>
      <w:r>
        <w:rPr>
          <w:rFonts w:ascii="Arial" w:cs="Arial" w:eastAsia="Arial" w:hAnsi="Arial"/>
          <w:sz w:val="20"/>
          <w:szCs w:val="20"/>
          <w:b w:val="1"/>
          <w:bCs w:val="1"/>
          <w:i w:val="1"/>
          <w:iCs w:val="1"/>
          <w:color w:val="auto"/>
        </w:rPr>
        <w:t>“LRP OI”</w:t>
      </w:r>
      <w:r>
        <w:rPr>
          <w:rFonts w:ascii="Arial" w:cs="Arial" w:eastAsia="Arial" w:hAnsi="Arial"/>
          <w:sz w:val="20"/>
          <w:szCs w:val="20"/>
          <w:color w:val="auto"/>
        </w:rPr>
        <w:t>) by the operating income performance objective as approved by the Compensation Committee for calendar years 2021, 2022, and 2023 ("</w:t>
      </w:r>
      <w:r>
        <w:rPr>
          <w:rFonts w:ascii="Arial" w:cs="Arial" w:eastAsia="Arial" w:hAnsi="Arial"/>
          <w:sz w:val="20"/>
          <w:szCs w:val="20"/>
          <w:b w:val="1"/>
          <w:bCs w:val="1"/>
          <w:i w:val="1"/>
          <w:iCs w:val="1"/>
          <w:color w:val="auto"/>
        </w:rPr>
        <w:t>LRP Objective”</w:t>
      </w:r>
      <w:r>
        <w:rPr>
          <w:rFonts w:ascii="Arial" w:cs="Arial" w:eastAsia="Arial" w:hAnsi="Arial"/>
          <w:sz w:val="20"/>
          <w:szCs w:val="20"/>
          <w:color w:val="auto"/>
        </w:rPr>
        <w:t>), with a minimum ratio of 90% and a maximum ratio of 125%. Subject to your remaining employed by Activision Blizzard through the applicable vesting dates, the actual number of Shares that shall be received on each of the applicable vesting dates is determined as follows:</w:t>
      </w:r>
    </w:p>
    <w:p>
      <w:pPr>
        <w:spacing w:after="0" w:line="196" w:lineRule="exact"/>
        <w:rPr>
          <w:sz w:val="20"/>
          <w:szCs w:val="20"/>
          <w:color w:val="auto"/>
        </w:rPr>
      </w:pPr>
    </w:p>
    <w:p>
      <w:pPr>
        <w:jc w:val="both"/>
        <w:ind w:firstLine="630"/>
        <w:spacing w:after="0" w:line="228" w:lineRule="auto"/>
        <w:rPr>
          <w:sz w:val="20"/>
          <w:szCs w:val="20"/>
          <w:color w:val="auto"/>
        </w:rPr>
      </w:pPr>
      <w:r>
        <w:rPr>
          <w:rFonts w:ascii="Arial" w:cs="Arial" w:eastAsia="Arial" w:hAnsi="Arial"/>
          <w:sz w:val="20"/>
          <w:szCs w:val="20"/>
          <w:color w:val="auto"/>
        </w:rPr>
        <w:t>The LRP Award shall vest on March 30, 2024, if, and only if, the Compensation Committee determines that Activision Blizzard's LRP OI is 90% or more of the LRP Objective. If the LRP OI is less than 90% of the LRP Objective, then the LRP Equity Award will not vest and shall be forfeited. If the LRP OI is 90% or more of the LRP Objective, then the number of Shares that shall be received with regard to the LRP Equity Award on the applicable vesting date shall be equal to the product of (1) the target number of performance share units subject to the LRP Equity Award; and (2) the ratio of the LRP OI to the LRP Objective, up to a maximum of 125%.</w:t>
      </w:r>
    </w:p>
    <w:p>
      <w:pPr>
        <w:spacing w:after="0" w:line="197" w:lineRule="exact"/>
        <w:rPr>
          <w:sz w:val="20"/>
          <w:szCs w:val="20"/>
          <w:color w:val="auto"/>
        </w:rPr>
      </w:pPr>
    </w:p>
    <w:p>
      <w:pPr>
        <w:jc w:val="both"/>
        <w:ind w:firstLine="639"/>
        <w:spacing w:after="0" w:line="224" w:lineRule="auto"/>
        <w:tabs>
          <w:tab w:leader="none" w:pos="94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Prior to the vesting of any portion of the 2021 Options, 2021 Performance Share Units or the LRP Equity Award, as provided for in this Section 2(d), Activision Blizzard, in its sole discretion, may adjust the performance objective for the relevant fiscal year(s) by substituting the OI and AOP OI objective or LRP OI and LRP Objective of one or more new, different or additional business units or activities for that of the original business unit or activity stated herein or by prorating or otherwise combining the OI and AOP OI objective or LRP OI and LRP Objective of the applicable business units or activities, or by substituting one or more other objectives or elements contained in the AOP for the OI and AOP OI objectives or the long range plan for the LRP OI and LRP Objective or elements in each case for purposes of determining whether or not the conditions of the unvested 2021 Options, 2021 Performance Share Units or the LRP Equity Award have been satisfied. The Employer agrees that it will in good faith engage in meaningful consultation with you prior to implementing any such change.</w:t>
      </w:r>
    </w:p>
    <w:p>
      <w:pPr>
        <w:sectPr>
          <w:pgSz w:w="11900" w:h="16838" w:orient="portrait"/>
          <w:cols w:equalWidth="0" w:num="1">
            <w:col w:w="10100"/>
          </w:cols>
          <w:pgMar w:left="1260" w:top="1108" w:right="539" w:bottom="1440" w:gutter="0" w:footer="0" w:header="0"/>
        </w:sectPr>
      </w:pPr>
    </w:p>
    <w:bookmarkStart w:id="297" w:name="page298"/>
    <w:bookmarkEnd w:id="297"/>
    <w:p>
      <w:pPr>
        <w:jc w:val="both"/>
        <w:ind w:right="40" w:firstLine="629"/>
        <w:spacing w:after="0" w:line="224" w:lineRule="auto"/>
        <w:rPr>
          <w:sz w:val="20"/>
          <w:szCs w:val="20"/>
          <w:color w:val="auto"/>
        </w:rPr>
      </w:pPr>
      <w:r>
        <w:rPr>
          <w:rFonts w:ascii="Arial" w:cs="Arial" w:eastAsia="Arial" w:hAnsi="Arial"/>
          <w:sz w:val="20"/>
          <w:szCs w:val="20"/>
          <w:color w:val="auto"/>
        </w:rPr>
        <w:t>Collectively, the options and equity grants provided for in Section 2(d) shall be referred to as the "</w:t>
      </w:r>
      <w:r>
        <w:rPr>
          <w:rFonts w:ascii="Arial" w:cs="Arial" w:eastAsia="Arial" w:hAnsi="Arial"/>
          <w:sz w:val="20"/>
          <w:szCs w:val="20"/>
          <w:b w:val="1"/>
          <w:bCs w:val="1"/>
          <w:i w:val="1"/>
          <w:iCs w:val="1"/>
          <w:color w:val="auto"/>
        </w:rPr>
        <w:t>2021 Equity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 You acknowledge that the grant of 2021 Equity Awards pursuant to this Section 2(d) is expressly conditioned upon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approval by the Compensation Committee and that the Compensation Committee has discretion to approve or disapprove the grants and/or to determine and make modifications to the terms of the grants. The 2021 Equity Awards shall be subject to all terms of the equity incentive plan pursuant to which they are granted (the "</w:t>
      </w:r>
      <w:r>
        <w:rPr>
          <w:rFonts w:ascii="Arial" w:cs="Arial" w:eastAsia="Arial" w:hAnsi="Arial"/>
          <w:sz w:val="20"/>
          <w:szCs w:val="20"/>
          <w:b w:val="1"/>
          <w:bCs w:val="1"/>
          <w:i w:val="1"/>
          <w:iCs w:val="1"/>
          <w:color w:val="auto"/>
        </w:rPr>
        <w:t>Incentive Plan</w:t>
      </w:r>
      <w:r>
        <w:rPr>
          <w:rFonts w:ascii="Arial" w:cs="Arial" w:eastAsia="Arial" w:hAnsi="Arial"/>
          <w:sz w:val="20"/>
          <w:szCs w:val="20"/>
          <w:color w:val="auto"/>
        </w:rPr>
        <w:t>") and Activision Blizzard's standard forms of award agreement and in the event that Activision Blizzard determines that you are an "Executive Officer" within the meaning of the Executive Ownership Guidelines of Activision Blizzard, the Employer's Executive Stock Ownership Guidelines (including, but not limited to, all of the limitations on equity awards described therein) which are attached as Exhibit D, will apply. In the event of a conflict between this Agreement and the terms of the Incentive Plan or award agreements, or the Executive Stock Ownership Guidelines, the Incentive Plan or the award agreements or the Executive Stock Ownership Guidelines, as applicable, shall govern.</w:t>
      </w:r>
    </w:p>
    <w:p>
      <w:pPr>
        <w:spacing w:after="0" w:line="183" w:lineRule="exact"/>
        <w:rPr>
          <w:sz w:val="20"/>
          <w:szCs w:val="20"/>
          <w:color w:val="auto"/>
        </w:rPr>
      </w:pPr>
    </w:p>
    <w:p>
      <w:pPr>
        <w:jc w:val="both"/>
        <w:ind w:firstLine="629"/>
        <w:spacing w:after="0" w:line="223" w:lineRule="auto"/>
        <w:tabs>
          <w:tab w:leader="none" w:pos="955"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Employer will provide you with a sign-on bonus in the amount of $1,000,000 (less applicable taxes and withholdings), in part, to cover your relocation to the Santa Monica, California area, to the extent necessary. $500,000 of the $1,000,000 sign-on bonus will be paid within 30 days after the Effective Date and $500,000 of which will be paid within 30 days after the first anniversary of the Effective Date. This $1,000,000 sign-on bonus will not be fully earned by you unless you remain continuously employed by the Employer until December 31, 2022. Specifically, should your employment with the Employer terminate other than pursuant to Section 9(b), 9(c), 9(d) or 9(e) on or prior to December 31, 2021, you agree to repay the Employer $500,000 within 60 days of the termination of your employment and you will not be entitled to any remaining portion of the sign-on bonus. Should your employment with the Employer terminate other than pursuant to Section 9(b), 9(c), 9(d) or 9(e) at any point after December 31, 2021, but prior to December 31, 2022, you agree to repay the Employer $500,000 of the sign-on bonus within 60 days of the termination of your employment. If you remain employed by Activision Blizzard through the second anniversary of the Effective Date, the sign-on bonus shall be fully earned as of such date such that if your employment subsequently terminates for any reason you will not have to repay any portion of the sign-on bonus. The fact that you are receiving this sign-on bonus and the terms under which you will be required to repay the sign-on bonus in no way affects your other obligations under this Agreement.</w:t>
      </w:r>
    </w:p>
    <w:p>
      <w:pPr>
        <w:spacing w:after="0" w:line="194" w:lineRule="exact"/>
        <w:rPr>
          <w:rFonts w:ascii="Arial" w:cs="Arial" w:eastAsia="Arial" w:hAnsi="Arial"/>
          <w:sz w:val="20"/>
          <w:szCs w:val="20"/>
          <w:color w:val="auto"/>
        </w:rPr>
      </w:pPr>
    </w:p>
    <w:p>
      <w:pPr>
        <w:ind w:left="620" w:hanging="620"/>
        <w:spacing w:after="0"/>
        <w:tabs>
          <w:tab w:leader="none" w:pos="620"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Title; Location</w:t>
      </w:r>
    </w:p>
    <w:p>
      <w:pPr>
        <w:spacing w:after="0" w:line="204"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19"/>
          <w:szCs w:val="19"/>
          <w:color w:val="auto"/>
        </w:rPr>
        <w:t>You shall serve as Chief Administrative Officer. Your principal place of business initially shall be Activision Blizzard's</w:t>
      </w:r>
    </w:p>
    <w:p>
      <w:pPr>
        <w:spacing w:after="0" w:line="9"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offices in Santa Monica, California. You may elect to reside more than fifty (50) miles from the Santa Monica office and telecommute, provided you secure the Employer's consent and until such time, if ever, that the Employer determines that telecommuting and/or residing in such location negatively impacts your ability to satisfactorily perform your duties. If you choose to reside beyond fifty (50) miles from your assigned principal place of business, you acknowledge and agree that: (i) you will be required to travel from time to time for business reasons (including, but not limited to, regular travel to the Employer's offices in Santa Monica); (ii) the Employer will pay the reasonable costs of any mandated travel to Activision Blizzard's offices in Santa Monica for Board of Director ("Board") -approved business reasons up to a maximum amount to be determined by the Compensation Committee or the Board; and (iii) Section 9(c) shall not apply. The Employer understands that you are currently a resident of the State of Texas, currently plan to maintain residency in Texas and, subject to the terms of this paragraph, approves of your telecommuting from Texas.</w:t>
      </w:r>
    </w:p>
    <w:p>
      <w:pPr>
        <w:sectPr>
          <w:pgSz w:w="11900" w:h="16838" w:orient="portrait"/>
          <w:cols w:equalWidth="0" w:num="1">
            <w:col w:w="10720"/>
          </w:cols>
          <w:pgMar w:left="640" w:top="1115" w:right="539" w:bottom="1440" w:gutter="0" w:footer="0" w:header="0"/>
        </w:sectPr>
      </w:pPr>
    </w:p>
    <w:bookmarkStart w:id="298" w:name="page299"/>
    <w:bookmarkEnd w:id="298"/>
    <w:p>
      <w:pPr>
        <w:spacing w:after="0" w:line="147" w:lineRule="exact"/>
        <w:rPr>
          <w:sz w:val="20"/>
          <w:szCs w:val="20"/>
          <w:color w:val="auto"/>
        </w:rPr>
      </w:pPr>
    </w:p>
    <w:p>
      <w:pPr>
        <w:ind w:left="620" w:hanging="620"/>
        <w:spacing w:after="0"/>
        <w:tabs>
          <w:tab w:leader="none" w:pos="620"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Duties</w:t>
      </w:r>
    </w:p>
    <w:p>
      <w:pPr>
        <w:spacing w:after="0" w:line="217" w:lineRule="exact"/>
        <w:rPr>
          <w:sz w:val="20"/>
          <w:szCs w:val="20"/>
          <w:color w:val="auto"/>
        </w:rPr>
      </w:pPr>
    </w:p>
    <w:p>
      <w:pPr>
        <w:jc w:val="both"/>
        <w:ind w:left="100" w:right="40" w:firstLine="630"/>
        <w:spacing w:after="0" w:line="222" w:lineRule="auto"/>
        <w:rPr>
          <w:sz w:val="20"/>
          <w:szCs w:val="20"/>
          <w:color w:val="auto"/>
        </w:rPr>
      </w:pPr>
      <w:r>
        <w:rPr>
          <w:rFonts w:ascii="Arial" w:cs="Arial" w:eastAsia="Arial" w:hAnsi="Arial"/>
          <w:sz w:val="20"/>
          <w:szCs w:val="20"/>
          <w:color w:val="auto"/>
        </w:rPr>
        <w:t>You shall report directly to the Chief Executive Officer (or such other executive of Activision Blizzard as may be determined from time to time by it in its sole and absolute discretion). You shall have such duties commensurate with your position as may be assigned to you from time to time by the Chief Executive Officer of the Employer (or, as applicable, such other executive designated by the Employer). You are also required to read, review and observe all of Activision Blizzard's policies, procedures, rules and regulations in effect from time to time during the Term that apply to employees of the Employer, including, without limitation, the Code of Conduct, as amended from time to time. You shall devote your full-time working time to the performance of your duties hereunder, shall faithfully serve the Employer, shall in all respects conform to and comply with the lawful directions and instructions given to you by the Chief Executive Officer of the Employer (or such other executive of Activision Blizzard as may be determined from time to time by the Employer in its sole and absolute discretion) and shall use your best efforts to promote and serve the interests of the Employer.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 written consent of the Chief Executive Officer of the Employer or otherwise engage in activities that would interfere with your faithful and diligent performance of your duties hereunder.</w:t>
      </w:r>
    </w:p>
    <w:p>
      <w:pPr>
        <w:spacing w:after="0" w:line="192" w:lineRule="exact"/>
        <w:rPr>
          <w:sz w:val="20"/>
          <w:szCs w:val="20"/>
          <w:color w:val="auto"/>
        </w:rPr>
      </w:pPr>
    </w:p>
    <w:p>
      <w:pPr>
        <w:ind w:left="620" w:hanging="620"/>
        <w:spacing w:after="0"/>
        <w:tabs>
          <w:tab w:leader="none" w:pos="620"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Expenses</w:t>
      </w:r>
    </w:p>
    <w:p>
      <w:pPr>
        <w:spacing w:after="0" w:line="217"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193" w:lineRule="exact"/>
        <w:rPr>
          <w:sz w:val="20"/>
          <w:szCs w:val="20"/>
          <w:color w:val="auto"/>
        </w:rPr>
      </w:pPr>
    </w:p>
    <w:p>
      <w:pPr>
        <w:ind w:left="620" w:hanging="620"/>
        <w:spacing w:after="0"/>
        <w:tabs>
          <w:tab w:leader="none" w:pos="620"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Other Benefits</w:t>
      </w:r>
    </w:p>
    <w:p>
      <w:pPr>
        <w:spacing w:after="0" w:line="204" w:lineRule="exact"/>
        <w:rPr>
          <w:rFonts w:ascii="Arial" w:cs="Arial" w:eastAsia="Arial" w:hAnsi="Arial"/>
          <w:sz w:val="21"/>
          <w:szCs w:val="21"/>
          <w:color w:val="auto"/>
        </w:rPr>
      </w:pPr>
    </w:p>
    <w:p>
      <w:pPr>
        <w:jc w:val="both"/>
        <w:ind w:firstLine="629"/>
        <w:spacing w:after="0" w:line="222" w:lineRule="auto"/>
        <w:tabs>
          <w:tab w:leader="none" w:pos="941" w:val="left"/>
        </w:tabs>
        <w:numPr>
          <w:ilvl w:val="1"/>
          <w:numId w:val="178"/>
        </w:numPr>
        <w:rPr>
          <w:rFonts w:ascii="Arial" w:cs="Arial" w:eastAsia="Arial" w:hAnsi="Arial"/>
          <w:sz w:val="20"/>
          <w:szCs w:val="20"/>
          <w:color w:val="auto"/>
        </w:rPr>
      </w:pPr>
      <w:r>
        <w:rPr>
          <w:rFonts w:ascii="Arial" w:cs="Arial" w:eastAsia="Arial" w:hAnsi="Arial"/>
          <w:sz w:val="20"/>
          <w:szCs w:val="20"/>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policies covering your life with a face amount of</w:t>
      </w:r>
    </w:p>
    <w:p>
      <w:pPr>
        <w:spacing w:after="0" w:line="3" w:lineRule="exact"/>
        <w:rPr>
          <w:rFonts w:ascii="Arial" w:cs="Arial" w:eastAsia="Arial" w:hAnsi="Arial"/>
          <w:sz w:val="20"/>
          <w:szCs w:val="20"/>
          <w:color w:val="auto"/>
        </w:rPr>
      </w:pPr>
    </w:p>
    <w:p>
      <w:pPr>
        <w:jc w:val="both"/>
        <w:spacing w:after="0" w:line="218" w:lineRule="auto"/>
        <w:rPr>
          <w:rFonts w:ascii="Arial" w:cs="Arial" w:eastAsia="Arial" w:hAnsi="Arial"/>
          <w:sz w:val="20"/>
          <w:szCs w:val="20"/>
          <w:color w:val="auto"/>
        </w:rPr>
      </w:pPr>
      <w:r>
        <w:rPr>
          <w:rFonts w:ascii="Arial" w:cs="Arial" w:eastAsia="Arial" w:hAnsi="Arial"/>
          <w:sz w:val="21"/>
          <w:szCs w:val="21"/>
          <w:color w:val="auto"/>
        </w:rPr>
        <w:t>$2,500,000 through a carrier of Employer's choice (the "</w:t>
      </w:r>
      <w:r>
        <w:rPr>
          <w:rFonts w:ascii="Arial" w:cs="Arial" w:eastAsia="Arial" w:hAnsi="Arial"/>
          <w:sz w:val="21"/>
          <w:szCs w:val="21"/>
          <w:b w:val="1"/>
          <w:bCs w:val="1"/>
          <w:i w:val="1"/>
          <w:iCs w:val="1"/>
          <w:color w:val="auto"/>
        </w:rPr>
        <w:t>Target Face Amount</w:t>
      </w:r>
      <w:r>
        <w:rPr>
          <w:rFonts w:ascii="Arial" w:cs="Arial" w:eastAsia="Arial" w:hAnsi="Arial"/>
          <w:sz w:val="21"/>
          <w:szCs w:val="21"/>
          <w:color w:val="auto"/>
        </w:rPr>
        <w:t>"), subject to your insurability, as applicable.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93" w:lineRule="exact"/>
        <w:rPr>
          <w:rFonts w:ascii="Arial" w:cs="Arial" w:eastAsia="Arial" w:hAnsi="Arial"/>
          <w:sz w:val="20"/>
          <w:szCs w:val="20"/>
          <w:color w:val="auto"/>
        </w:rPr>
      </w:pPr>
    </w:p>
    <w:p>
      <w:pPr>
        <w:ind w:right="20" w:firstLine="629"/>
        <w:spacing w:after="0" w:line="236" w:lineRule="auto"/>
        <w:tabs>
          <w:tab w:leader="none" w:pos="94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You expressly agree and acknowledge that, after the Expiration Date (or such earlier date on which your employment is terminated), you shall not be entitled to any additional</w:t>
      </w:r>
    </w:p>
    <w:p>
      <w:pPr>
        <w:sectPr>
          <w:pgSz w:w="11900" w:h="16838" w:orient="portrait"/>
          <w:cols w:equalWidth="0" w:num="1">
            <w:col w:w="10720"/>
          </w:cols>
          <w:pgMar w:left="640" w:top="1440" w:right="539" w:bottom="1440" w:gutter="0" w:footer="0" w:header="0"/>
        </w:sectPr>
      </w:pPr>
    </w:p>
    <w:bookmarkStart w:id="299" w:name="page300"/>
    <w:bookmarkEnd w:id="299"/>
    <w:p>
      <w:pPr>
        <w:spacing w:after="0" w:line="257" w:lineRule="auto"/>
        <w:rPr>
          <w:sz w:val="20"/>
          <w:szCs w:val="20"/>
          <w:color w:val="auto"/>
        </w:rPr>
      </w:pPr>
      <w:r>
        <w:rPr>
          <w:rFonts w:ascii="Arial" w:cs="Arial" w:eastAsia="Arial" w:hAnsi="Arial"/>
          <w:sz w:val="20"/>
          <w:szCs w:val="20"/>
          <w:color w:val="auto"/>
        </w:rPr>
        <w:t>benefits, except as specifically provided in this Agreement and the benefit plans in which you participate during the Term, and subject in each case to the then-prevailing terms, conditions, and eligibility requirements of each such plan.</w:t>
      </w:r>
    </w:p>
    <w:p>
      <w:pPr>
        <w:spacing w:after="0" w:line="163" w:lineRule="exact"/>
        <w:rPr>
          <w:sz w:val="20"/>
          <w:szCs w:val="20"/>
          <w:color w:val="auto"/>
        </w:rPr>
      </w:pPr>
    </w:p>
    <w:p>
      <w:pPr>
        <w:ind w:left="620" w:hanging="620"/>
        <w:spacing w:after="0"/>
        <w:tabs>
          <w:tab w:leader="none" w:pos="62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Vacation and Paid Holidays</w:t>
      </w:r>
    </w:p>
    <w:p>
      <w:pPr>
        <w:spacing w:after="0" w:line="217" w:lineRule="exact"/>
        <w:rPr>
          <w:rFonts w:ascii="Arial" w:cs="Arial" w:eastAsia="Arial" w:hAnsi="Arial"/>
          <w:sz w:val="21"/>
          <w:szCs w:val="21"/>
          <w:color w:val="auto"/>
        </w:rPr>
      </w:pPr>
    </w:p>
    <w:p>
      <w:pPr>
        <w:jc w:val="both"/>
        <w:ind w:firstLine="629"/>
        <w:spacing w:after="0" w:line="227" w:lineRule="auto"/>
        <w:tabs>
          <w:tab w:leader="none" w:pos="941" w:val="left"/>
        </w:tabs>
        <w:numPr>
          <w:ilvl w:val="1"/>
          <w:numId w:val="179"/>
        </w:numPr>
        <w:rPr>
          <w:rFonts w:ascii="Arial" w:cs="Arial" w:eastAsia="Arial" w:hAnsi="Arial"/>
          <w:sz w:val="21"/>
          <w:szCs w:val="21"/>
          <w:color w:val="auto"/>
        </w:rPr>
      </w:pPr>
      <w:r>
        <w:rPr>
          <w:rFonts w:ascii="Arial" w:cs="Arial" w:eastAsia="Arial" w:hAnsi="Arial"/>
          <w:sz w:val="21"/>
          <w:szCs w:val="21"/>
          <w:color w:val="auto"/>
        </w:rPr>
        <w:t xml:space="preserve">You will generally be entitled to paid vacation days in accordance with the normal vacation policies of the Employer in effect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you will be entitled to accrue no less than twenty (20) paid vacation days per year unless your vacation balance exceeds the Employer's then-current maximum.</w:t>
      </w:r>
    </w:p>
    <w:p>
      <w:pPr>
        <w:spacing w:after="0" w:line="193" w:lineRule="exact"/>
        <w:rPr>
          <w:rFonts w:ascii="Arial" w:cs="Arial" w:eastAsia="Arial" w:hAnsi="Arial"/>
          <w:sz w:val="21"/>
          <w:szCs w:val="21"/>
          <w:color w:val="auto"/>
        </w:rPr>
      </w:pPr>
    </w:p>
    <w:p>
      <w:pPr>
        <w:ind w:left="940" w:hanging="311"/>
        <w:spacing w:after="0"/>
        <w:tabs>
          <w:tab w:leader="none" w:pos="94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You shall be entitled to all paid holidays allowed by the Employer to its full-time employees in the United States.</w:t>
      </w:r>
    </w:p>
    <w:p>
      <w:pPr>
        <w:spacing w:after="0" w:line="227" w:lineRule="exact"/>
        <w:rPr>
          <w:rFonts w:ascii="Arial" w:cs="Arial" w:eastAsia="Arial" w:hAnsi="Arial"/>
          <w:sz w:val="19"/>
          <w:szCs w:val="19"/>
          <w:color w:val="auto"/>
        </w:rPr>
      </w:pPr>
    </w:p>
    <w:p>
      <w:pPr>
        <w:ind w:left="620" w:hanging="620"/>
        <w:spacing w:after="0"/>
        <w:tabs>
          <w:tab w:leader="none" w:pos="62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Protection of the Employer's Interests</w:t>
      </w:r>
    </w:p>
    <w:p>
      <w:pPr>
        <w:spacing w:after="0" w:line="217" w:lineRule="exact"/>
        <w:rPr>
          <w:rFonts w:ascii="Arial" w:cs="Arial" w:eastAsia="Arial" w:hAnsi="Arial"/>
          <w:sz w:val="21"/>
          <w:szCs w:val="21"/>
          <w:color w:val="auto"/>
        </w:rPr>
      </w:pPr>
    </w:p>
    <w:p>
      <w:pPr>
        <w:jc w:val="both"/>
        <w:ind w:firstLine="629"/>
        <w:spacing w:after="0" w:line="217" w:lineRule="auto"/>
        <w:tabs>
          <w:tab w:leader="none" w:pos="941" w:val="left"/>
        </w:tabs>
        <w:numPr>
          <w:ilvl w:val="1"/>
          <w:numId w:val="179"/>
        </w:numPr>
        <w:rPr>
          <w:rFonts w:ascii="Arial" w:cs="Arial" w:eastAsia="Arial" w:hAnsi="Arial"/>
          <w:sz w:val="21"/>
          <w:szCs w:val="21"/>
          <w:color w:val="auto"/>
        </w:rPr>
      </w:pPr>
      <w:r>
        <w:rPr>
          <w:rFonts w:ascii="Arial" w:cs="Arial" w:eastAsia="Arial" w:hAnsi="Arial"/>
          <w:sz w:val="21"/>
          <w:szCs w:val="21"/>
          <w:color w:val="auto"/>
        </w:rPr>
        <w:t xml:space="preserve">Duty of Loyalty. During the Term, you will owe a "Duty of Loyalty" to the Employer, which includes, but is not limited to, you not competing in any manner, whether directly or indirectly, as a principal, employee, agent, owner, or otherwise, with any entity in Activision Blizzard;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98" w:lineRule="exact"/>
        <w:rPr>
          <w:rFonts w:ascii="Arial" w:cs="Arial" w:eastAsia="Arial" w:hAnsi="Arial"/>
          <w:sz w:val="21"/>
          <w:szCs w:val="21"/>
          <w:color w:val="auto"/>
        </w:rPr>
      </w:pPr>
    </w:p>
    <w:p>
      <w:pPr>
        <w:jc w:val="both"/>
        <w:ind w:firstLine="629"/>
        <w:spacing w:after="0" w:line="222" w:lineRule="auto"/>
        <w:tabs>
          <w:tab w:leader="none" w:pos="94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Property of Activision Blizzard. All rights worldwide with respect to any and all intellectual or other property of any nature produced, created or suggested by you, whether on your own time or during normal business hours or not, alone or with others, during the term of your employment or resulting from your services which (i) relate in any manner at the time of conception or reduction to practice to the actual or demonstrably anticipated business of Activision Blizzard, (ii) result from or are suggested by any task assigned to you or any work performed by you on behalf of Activision Blizzard, (iii) were created using the time or resources of Activision Blizzard, or (iv) are based on any property owned or idea conceived by Activision Blizzard, shall be deemed to be a work made for hire and shall be the sole and exclusive property of Activision Blizzard. To the extent that any such intellectual or other property does not fully qualify to be a work made for hire you hereby irrevocably assign and transfer worldwide all rights in such intellectual or other property. You agree to execute, acknowledge and deliver to the Employer, at the Employer's request, such further documents, including, without limitation, copyright and patent assignments, as the Employer finds appropriate to evidence Activision Blizzard's rights in such property. Your agreement to assign to Activision Blizzard any of your rights as set forth in this Section 8(b) shall not apply to any invention that qualifies fully under the provisions of California Labor Code Section 2870, where no equipment, supplies, facility or trade secret information of Activision Blizzard was used, where the invention was developed entirely upon your own time, where the invention does not relate to Activision Blizzard's business, and where the invention does not result from any work performed by you for Activision Blizzard.</w:t>
      </w:r>
    </w:p>
    <w:p>
      <w:pPr>
        <w:spacing w:after="0" w:line="189" w:lineRule="exact"/>
        <w:rPr>
          <w:rFonts w:ascii="Arial" w:cs="Arial" w:eastAsia="Arial" w:hAnsi="Arial"/>
          <w:sz w:val="20"/>
          <w:szCs w:val="20"/>
          <w:color w:val="auto"/>
        </w:rPr>
      </w:pPr>
    </w:p>
    <w:p>
      <w:pPr>
        <w:jc w:val="both"/>
        <w:ind w:firstLine="629"/>
        <w:spacing w:after="0" w:line="222" w:lineRule="auto"/>
        <w:tabs>
          <w:tab w:leader="none" w:pos="941" w:val="left"/>
        </w:tabs>
        <w:numPr>
          <w:ilvl w:val="1"/>
          <w:numId w:val="179"/>
        </w:numPr>
        <w:rPr>
          <w:rFonts w:ascii="Arial" w:cs="Arial" w:eastAsia="Arial" w:hAnsi="Arial"/>
          <w:sz w:val="21"/>
          <w:szCs w:val="21"/>
          <w:color w:val="auto"/>
        </w:rPr>
      </w:pPr>
      <w:r>
        <w:rPr>
          <w:rFonts w:ascii="Arial" w:cs="Arial" w:eastAsia="Arial" w:hAnsi="Arial"/>
          <w:sz w:val="21"/>
          <w:szCs w:val="21"/>
          <w:color w:val="auto"/>
        </w:rPr>
        <w:t>Covenant Not to Shop. Other than during the final six (6) months of the Term, you shall not negotiate for employment with any entity or person outside of Activision Blizzard. During any such search process and thereafter you shall remain strictly subject to your continuing obligations under this Agreement, including, without limitation, your Duty of Loyalty, compliance with Activision Blizzard's policies and your confidentiality obligations.</w:t>
      </w:r>
    </w:p>
    <w:p>
      <w:pPr>
        <w:sectPr>
          <w:pgSz w:w="11900" w:h="16838" w:orient="portrait"/>
          <w:cols w:equalWidth="0" w:num="1">
            <w:col w:w="10720"/>
          </w:cols>
          <w:pgMar w:left="640" w:top="1115" w:right="539" w:bottom="1440" w:gutter="0" w:footer="0" w:header="0"/>
        </w:sectPr>
      </w:pPr>
    </w:p>
    <w:bookmarkStart w:id="300" w:name="page301"/>
    <w:bookmarkEnd w:id="300"/>
    <w:p>
      <w:pPr>
        <w:jc w:val="both"/>
        <w:ind w:left="-629" w:firstLine="629"/>
        <w:spacing w:after="0" w:line="234" w:lineRule="auto"/>
        <w:tabs>
          <w:tab w:leader="none" w:pos="31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Confidentiality. You acknowledge, and the Employer agrees, that during your employment you will have access to and become informed of confidential and proprietary information concerning Activision Blizzard. During your employment and at all times following the termination of your employment, confidential or proprietary information of Activision Blizzard shall not be used by you or disclosed or made available by you to any person except as required in the course of your employment with Activision Blizzard or as otherwise provided for in the Employee Confidential Information Agreement attached as Exhibit A hereto (the "Confidential Information Agreement"). Upon the termination of your employment (or at any time on the Employer's request), you shall return to Activision Blizzard all such information that exists, whether in electronic, written, or other form (and all copies or extracts thereof) under your control and shall not retain such information in any form, including without limitation on any devices, disks, cloud storage, or other media. You agree to advise the Employer of the location of any such materials and information and to cooperate fully with any instructions by the Employer concerning the retrieval of any such materials and other actions that the Employer determines to be appropriate to prevent your continued access to such materials and information. You acknowledge and agree that, because your duties will provide you with access to personal and private information of the Chairman, Chief Executive Officer and Lead Director (and their entities), you will sign and deliver a Non-Disclosure Agreement prior to the Effective Date.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94" w:lineRule="exact"/>
        <w:rPr>
          <w:rFonts w:ascii="Arial" w:cs="Arial" w:eastAsia="Arial" w:hAnsi="Arial"/>
          <w:sz w:val="19"/>
          <w:szCs w:val="19"/>
          <w:color w:val="auto"/>
        </w:rPr>
      </w:pPr>
    </w:p>
    <w:p>
      <w:pPr>
        <w:jc w:val="both"/>
        <w:ind w:left="-629" w:firstLine="629"/>
        <w:spacing w:after="0" w:line="223" w:lineRule="auto"/>
        <w:tabs>
          <w:tab w:leader="none" w:pos="31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Return of Property and Resignation from Office. You acknowledge that, upon termination of your employment for any reason whatsoever (or at any time on the Employer's request), you will promptly deliver to Activision Blizzard or surrender to Activision Blizzard's representative all property of Activision Blizzard, including, without limitation, all documents and other materials (and all copies thereof) relating to Activision Blizzard's business, all identification and access cards, all contact lists and third party business cards however and wherever preserved, and any equipment provided by Activision Blizzard, including, without limitation, computers, telephones, personal digital assistants, memory cards and similar devices that you possess or have in your custody or under your control. You will cooperate with Activision Blizzard by participating in interviews to share any knowledge you may have regarding Activision Blizzard's intellectual or other property with personnel designated by Activision Blizzard. You also agree to resign from any office held by you within Activision Blizzard immediately upon termination of your employment for any reason whatsoever (or at any time on the Employer's request) and you irrevocably appoint any person designated as Activision Blizzard's representative at that time as your delegate to effect such resignation.</w:t>
      </w:r>
    </w:p>
    <w:p>
      <w:pPr>
        <w:spacing w:after="0" w:line="189" w:lineRule="exact"/>
        <w:rPr>
          <w:rFonts w:ascii="Arial" w:cs="Arial" w:eastAsia="Arial" w:hAnsi="Arial"/>
          <w:sz w:val="20"/>
          <w:szCs w:val="20"/>
          <w:color w:val="auto"/>
        </w:rPr>
      </w:pPr>
    </w:p>
    <w:p>
      <w:pPr>
        <w:ind w:left="311" w:hanging="311"/>
        <w:spacing w:after="0"/>
        <w:tabs>
          <w:tab w:leader="none" w:pos="311" w:val="left"/>
        </w:tabs>
        <w:numPr>
          <w:ilvl w:val="0"/>
          <w:numId w:val="180"/>
        </w:numPr>
        <w:rPr>
          <w:rFonts w:ascii="Arial" w:cs="Arial" w:eastAsia="Arial" w:hAnsi="Arial"/>
          <w:sz w:val="21"/>
          <w:szCs w:val="21"/>
          <w:color w:val="auto"/>
        </w:rPr>
      </w:pPr>
      <w:r>
        <w:rPr>
          <w:rFonts w:ascii="Arial" w:cs="Arial" w:eastAsia="Arial" w:hAnsi="Arial"/>
          <w:sz w:val="21"/>
          <w:szCs w:val="21"/>
          <w:color w:val="auto"/>
        </w:rPr>
        <w:t>Covenant Not to Solicit.</w:t>
      </w:r>
    </w:p>
    <w:p>
      <w:pPr>
        <w:spacing w:after="0" w:line="217" w:lineRule="exact"/>
        <w:rPr>
          <w:rFonts w:ascii="Arial" w:cs="Arial" w:eastAsia="Arial" w:hAnsi="Arial"/>
          <w:sz w:val="21"/>
          <w:szCs w:val="21"/>
          <w:color w:val="auto"/>
        </w:rPr>
      </w:pPr>
    </w:p>
    <w:p>
      <w:pPr>
        <w:jc w:val="both"/>
        <w:ind w:left="1251" w:right="20" w:hanging="621"/>
        <w:spacing w:after="0" w:line="227" w:lineRule="auto"/>
        <w:tabs>
          <w:tab w:leader="none" w:pos="1239" w:val="left"/>
        </w:tabs>
        <w:numPr>
          <w:ilvl w:val="1"/>
          <w:numId w:val="180"/>
        </w:numPr>
        <w:rPr>
          <w:rFonts w:ascii="Arial" w:cs="Arial" w:eastAsia="Arial" w:hAnsi="Arial"/>
          <w:sz w:val="21"/>
          <w:szCs w:val="21"/>
          <w:color w:val="auto"/>
        </w:rPr>
      </w:pPr>
      <w:r>
        <w:rPr>
          <w:rFonts w:ascii="Arial" w:cs="Arial" w:eastAsia="Arial" w:hAnsi="Arial"/>
          <w:sz w:val="21"/>
          <w:szCs w:val="21"/>
          <w:color w:val="auto"/>
        </w:rPr>
        <w:t>During your employment, you shall not, at any time or for any reason, either alone or jointly, with or on behalf of others, whether as principal, partner, agent, representative, equity holder, director, employee, consultant or</w:t>
      </w:r>
    </w:p>
    <w:p>
      <w:pPr>
        <w:sectPr>
          <w:pgSz w:w="11900" w:h="16838" w:orient="portrait"/>
          <w:cols w:equalWidth="0" w:num="1">
            <w:col w:w="10091"/>
          </w:cols>
          <w:pgMar w:left="1269" w:top="1049" w:right="539" w:bottom="1440" w:gutter="0" w:footer="0" w:header="0"/>
        </w:sectPr>
      </w:pPr>
    </w:p>
    <w:bookmarkStart w:id="301" w:name="page302"/>
    <w:bookmarkEnd w:id="301"/>
    <w:p>
      <w:pPr>
        <w:jc w:val="both"/>
        <w:ind w:left="1880"/>
        <w:spacing w:after="0" w:line="237" w:lineRule="auto"/>
        <w:rPr>
          <w:sz w:val="20"/>
          <w:szCs w:val="20"/>
          <w:color w:val="auto"/>
        </w:rPr>
      </w:pPr>
      <w:r>
        <w:rPr>
          <w:rFonts w:ascii="Arial" w:cs="Arial" w:eastAsia="Arial" w:hAnsi="Arial"/>
          <w:sz w:val="19"/>
          <w:szCs w:val="19"/>
          <w:color w:val="auto"/>
        </w:rPr>
        <w:t>otherwise, directly or indirectly: (a) offer employment to, or solicit the employment or engagement of, or otherwise entice away from the employment or engagement of Activision Blizzard, either for your own account or for any other person, firm or company, any person employed or otherwise engaged by Activision Blizzard, whether or not such person would commit any breach of a contract by reason of his or her leaving the service of Activision Blizzard; (b) solicit, induce or entice any client, customer, contractor, licensor, agent, supplier, partner or other business relationship of Activision Blizzard to terminate, discontinue, renegotiate or otherwise cease or modify its relationship with Activision Blizzard, (c) assist others to engage in the acts contemplated by Sections 8(f)(i)(a) or (b) or (d) engage in any subterfuge to attempt to circumvent the application of this Section.</w:t>
      </w:r>
    </w:p>
    <w:p>
      <w:pPr>
        <w:spacing w:after="0" w:line="183" w:lineRule="exact"/>
        <w:rPr>
          <w:sz w:val="20"/>
          <w:szCs w:val="20"/>
          <w:color w:val="auto"/>
        </w:rPr>
      </w:pPr>
    </w:p>
    <w:p>
      <w:pPr>
        <w:jc w:val="both"/>
        <w:ind w:left="1880" w:hanging="621"/>
        <w:spacing w:after="0" w:line="238" w:lineRule="auto"/>
        <w:tabs>
          <w:tab w:leader="none" w:pos="1874" w:val="left"/>
        </w:tabs>
        <w:numPr>
          <w:ilvl w:val="2"/>
          <w:numId w:val="181"/>
        </w:numPr>
        <w:rPr>
          <w:rFonts w:ascii="Arial" w:cs="Arial" w:eastAsia="Arial" w:hAnsi="Arial"/>
          <w:sz w:val="19"/>
          <w:szCs w:val="19"/>
          <w:color w:val="auto"/>
        </w:rPr>
      </w:pPr>
      <w:r>
        <w:rPr>
          <w:rFonts w:ascii="Arial" w:cs="Arial" w:eastAsia="Arial" w:hAnsi="Arial"/>
          <w:sz w:val="19"/>
          <w:szCs w:val="19"/>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(a) solicit the employment or engagement of, either for your own account or for any other person, firm or company, any person employed or otherwise engaged by Activision Blizzard, whether or not such person would commit any breach of a contract by reason of his or her leaving the service of Activision Blizzard; (b) assist others to engage in the acts contemplated by Section 8(f)(ii)(a); or (c) engage in any subterfuge to attempt to circumvent the application of this Section.</w:t>
      </w:r>
    </w:p>
    <w:p>
      <w:pPr>
        <w:spacing w:after="0" w:line="194" w:lineRule="exact"/>
        <w:rPr>
          <w:rFonts w:ascii="Arial" w:cs="Arial" w:eastAsia="Arial" w:hAnsi="Arial"/>
          <w:sz w:val="19"/>
          <w:szCs w:val="19"/>
          <w:color w:val="auto"/>
        </w:rPr>
      </w:pPr>
    </w:p>
    <w:p>
      <w:pPr>
        <w:jc w:val="both"/>
        <w:ind w:left="1880" w:right="20" w:hanging="621"/>
        <w:spacing w:after="0" w:line="217" w:lineRule="auto"/>
        <w:tabs>
          <w:tab w:leader="none" w:pos="1880" w:val="left"/>
        </w:tabs>
        <w:numPr>
          <w:ilvl w:val="2"/>
          <w:numId w:val="181"/>
        </w:numPr>
        <w:rPr>
          <w:rFonts w:ascii="Arial" w:cs="Arial" w:eastAsia="Arial" w:hAnsi="Arial"/>
          <w:sz w:val="21"/>
          <w:szCs w:val="21"/>
          <w:color w:val="auto"/>
        </w:rPr>
      </w:pPr>
      <w:r>
        <w:rPr>
          <w:rFonts w:ascii="Arial" w:cs="Arial" w:eastAsia="Arial" w:hAnsi="Arial"/>
          <w:sz w:val="21"/>
          <w:szCs w:val="21"/>
          <w:color w:val="auto"/>
        </w:rPr>
        <w:t>During your employment and at all times following the termination of your employment for any reason whatsoever, you shall not, at any time or for any reason, use the confidential or trade secret information of Activision Blizzard or any other unlawful means to directly or indirectly solicit, induce or entice any client, customer, contractor, licensor, agent, supplier, partner or other business relationship of Activision Blizzard to terminate, discontinue, renegotiate or otherwise cease or modify its relationship with Activision Blizzard.</w:t>
      </w:r>
    </w:p>
    <w:p>
      <w:pPr>
        <w:spacing w:after="0" w:line="198" w:lineRule="exact"/>
        <w:rPr>
          <w:rFonts w:ascii="Arial" w:cs="Arial" w:eastAsia="Arial" w:hAnsi="Arial"/>
          <w:sz w:val="21"/>
          <w:szCs w:val="21"/>
          <w:color w:val="auto"/>
        </w:rPr>
      </w:pPr>
    </w:p>
    <w:p>
      <w:pPr>
        <w:jc w:val="both"/>
        <w:ind w:left="1880" w:hanging="621"/>
        <w:spacing w:after="0" w:line="228" w:lineRule="auto"/>
        <w:tabs>
          <w:tab w:leader="none" w:pos="1868" w:val="left"/>
        </w:tabs>
        <w:numPr>
          <w:ilvl w:val="2"/>
          <w:numId w:val="181"/>
        </w:numPr>
        <w:rPr>
          <w:rFonts w:ascii="Arial" w:cs="Arial" w:eastAsia="Arial" w:hAnsi="Arial"/>
          <w:sz w:val="20"/>
          <w:szCs w:val="20"/>
          <w:color w:val="auto"/>
        </w:rPr>
      </w:pPr>
      <w:r>
        <w:rPr>
          <w:rFonts w:ascii="Arial" w:cs="Arial" w:eastAsia="Arial" w:hAnsi="Arial"/>
          <w:sz w:val="20"/>
          <w:szCs w:val="20"/>
          <w:color w:val="auto"/>
        </w:rPr>
        <w:t>You expressly acknowledge and agree that the restrictions contained in this Section 8(f) are reasonably tailored to protect Activision Blizzard's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 and shall remain and continue in effect if your employment becomes at-will as provided in Paragraph 1(b).</w:t>
      </w:r>
    </w:p>
    <w:p>
      <w:pPr>
        <w:spacing w:after="0" w:line="184" w:lineRule="exact"/>
        <w:rPr>
          <w:rFonts w:ascii="Arial" w:cs="Arial" w:eastAsia="Arial" w:hAnsi="Arial"/>
          <w:sz w:val="20"/>
          <w:szCs w:val="20"/>
          <w:color w:val="auto"/>
        </w:rPr>
      </w:pPr>
    </w:p>
    <w:p>
      <w:pPr>
        <w:ind w:left="620" w:hanging="620"/>
        <w:spacing w:after="0"/>
        <w:tabs>
          <w:tab w:leader="none" w:pos="620"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p>
    <w:p>
      <w:pPr>
        <w:spacing w:after="0" w:line="217" w:lineRule="exact"/>
        <w:rPr>
          <w:rFonts w:ascii="Arial" w:cs="Arial" w:eastAsia="Arial" w:hAnsi="Arial"/>
          <w:sz w:val="21"/>
          <w:szCs w:val="21"/>
          <w:color w:val="auto"/>
        </w:rPr>
      </w:pPr>
    </w:p>
    <w:p>
      <w:pPr>
        <w:ind w:left="940" w:hanging="311"/>
        <w:spacing w:after="0"/>
        <w:tabs>
          <w:tab w:leader="none" w:pos="940" w:val="left"/>
        </w:tabs>
        <w:numPr>
          <w:ilvl w:val="1"/>
          <w:numId w:val="182"/>
        </w:numPr>
        <w:rPr>
          <w:rFonts w:ascii="Arial" w:cs="Arial" w:eastAsia="Arial" w:hAnsi="Arial"/>
          <w:sz w:val="21"/>
          <w:szCs w:val="21"/>
          <w:color w:val="auto"/>
        </w:rPr>
      </w:pPr>
      <w:r>
        <w:rPr>
          <w:rFonts w:ascii="Arial" w:cs="Arial" w:eastAsia="Arial" w:hAnsi="Arial"/>
          <w:sz w:val="21"/>
          <w:szCs w:val="21"/>
          <w:color w:val="auto"/>
        </w:rPr>
        <w:t>By the Employer for Cause.</w:t>
      </w:r>
    </w:p>
    <w:p>
      <w:pPr>
        <w:sectPr>
          <w:pgSz w:w="11900" w:h="16838" w:orient="portrait"/>
          <w:cols w:equalWidth="0" w:num="1">
            <w:col w:w="10720"/>
          </w:cols>
          <w:pgMar w:left="640" w:top="1115" w:right="539" w:bottom="1440" w:gutter="0" w:footer="0" w:header="0"/>
        </w:sectPr>
      </w:pPr>
    </w:p>
    <w:bookmarkStart w:id="302" w:name="page303"/>
    <w:bookmarkEnd w:id="302"/>
    <w:p>
      <w:pPr>
        <w:jc w:val="both"/>
        <w:ind w:left="1234" w:hanging="621"/>
        <w:spacing w:after="0" w:line="224" w:lineRule="auto"/>
        <w:tabs>
          <w:tab w:leader="none" w:pos="1222" w:val="left"/>
        </w:tabs>
        <w:numPr>
          <w:ilvl w:val="1"/>
          <w:numId w:val="183"/>
        </w:numPr>
        <w:rPr>
          <w:rFonts w:ascii="Arial" w:cs="Arial" w:eastAsia="Arial" w:hAnsi="Arial"/>
          <w:sz w:val="20"/>
          <w:szCs w:val="20"/>
          <w:color w:val="auto"/>
        </w:rPr>
      </w:pPr>
      <w:r>
        <w:rPr>
          <w:rFonts w:ascii="Arial" w:cs="Arial" w:eastAsia="Arial" w:hAnsi="Arial"/>
          <w:sz w:val="20"/>
          <w:szCs w:val="20"/>
          <w:color w:val="auto"/>
        </w:rPr>
        <w:t>At any time during the Term, the Employer may terminate your employment for "Cause," which shall mean a reasonable and good-faith determination by the Employer that you (i) engaged in gross negligence in the performance of your duties or willfully and continuously failed or refused to perform any duties reasonably requested in the course of your employment; (ii) engaged in fraud, dishonesty, or any other serious misconduct that causes or has the potential to cause, harm to Activision Blizzard, including its business or reputation; (iii) materially violated any applicable lawful directives or policies of Activision Blizzard or any applicable laws, rules or regulations applicable to your employment with Activision Blizzard; (iv) materially breached this Agreement; (v) materially breached any proprietary information or confidentiality agreement with Activision Blizzard; (vi) were convicted of, or pled guilty or no contest to, a felony or crime involving dishonesty or moral turpitude; or (vii) materially breached your fiduciary duties to Activision Blizzard.</w:t>
      </w:r>
    </w:p>
    <w:p>
      <w:pPr>
        <w:spacing w:after="0" w:line="182" w:lineRule="exact"/>
        <w:rPr>
          <w:rFonts w:ascii="Arial" w:cs="Arial" w:eastAsia="Arial" w:hAnsi="Arial"/>
          <w:sz w:val="20"/>
          <w:szCs w:val="20"/>
          <w:color w:val="auto"/>
        </w:rPr>
      </w:pPr>
    </w:p>
    <w:p>
      <w:pPr>
        <w:jc w:val="both"/>
        <w:ind w:left="1234" w:hanging="621"/>
        <w:spacing w:after="0" w:line="223" w:lineRule="auto"/>
        <w:tabs>
          <w:tab w:leader="none" w:pos="1228" w:val="left"/>
        </w:tabs>
        <w:numPr>
          <w:ilvl w:val="1"/>
          <w:numId w:val="183"/>
        </w:numPr>
        <w:rPr>
          <w:rFonts w:ascii="Arial" w:cs="Arial" w:eastAsia="Arial" w:hAnsi="Arial"/>
          <w:sz w:val="20"/>
          <w:szCs w:val="20"/>
          <w:color w:val="auto"/>
        </w:rPr>
      </w:pPr>
      <w:r>
        <w:rPr>
          <w:rFonts w:ascii="Arial" w:cs="Arial" w:eastAsia="Arial" w:hAnsi="Arial"/>
          <w:sz w:val="20"/>
          <w:szCs w:val="20"/>
          <w:color w:val="auto"/>
        </w:rPr>
        <w:t>In the case of any termination for Cause that is curable without any residual damage (financial or otherwise) to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98" w:lineRule="exact"/>
        <w:rPr>
          <w:rFonts w:ascii="Arial" w:cs="Arial" w:eastAsia="Arial" w:hAnsi="Arial"/>
          <w:sz w:val="20"/>
          <w:szCs w:val="20"/>
          <w:color w:val="auto"/>
        </w:rPr>
      </w:pPr>
    </w:p>
    <w:p>
      <w:pPr>
        <w:jc w:val="both"/>
        <w:ind w:left="1234" w:hanging="621"/>
        <w:spacing w:after="0" w:line="222" w:lineRule="auto"/>
        <w:tabs>
          <w:tab w:leader="none" w:pos="1234" w:val="left"/>
        </w:tabs>
        <w:numPr>
          <w:ilvl w:val="1"/>
          <w:numId w:val="183"/>
        </w:numPr>
        <w:rPr>
          <w:rFonts w:ascii="Arial" w:cs="Arial" w:eastAsia="Arial" w:hAnsi="Arial"/>
          <w:sz w:val="21"/>
          <w:szCs w:val="21"/>
          <w:color w:val="auto"/>
        </w:rPr>
      </w:pPr>
      <w:r>
        <w:rPr>
          <w:rFonts w:ascii="Arial" w:cs="Arial" w:eastAsia="Arial" w:hAnsi="Arial"/>
          <w:sz w:val="21"/>
          <w:szCs w:val="21"/>
          <w:color w:val="auto"/>
        </w:rPr>
        <w:t>If your employment terminates for any reason other than a termination by the Employer for Cause, at a time when the Employer had Cause to terminate you (or would have had Cause if it then knew all relevant facts) under clauses (i), (ii), (v), (vi) or (vii) of the definition of Cause, your termination shall be treated as a termination by the Employer for Cause.</w:t>
      </w:r>
    </w:p>
    <w:p>
      <w:pPr>
        <w:spacing w:after="0" w:line="194" w:lineRule="exact"/>
        <w:rPr>
          <w:rFonts w:ascii="Arial" w:cs="Arial" w:eastAsia="Arial" w:hAnsi="Arial"/>
          <w:sz w:val="21"/>
          <w:szCs w:val="21"/>
          <w:color w:val="auto"/>
        </w:rPr>
      </w:pPr>
    </w:p>
    <w:p>
      <w:pPr>
        <w:jc w:val="both"/>
        <w:ind w:left="-546" w:right="40" w:firstLine="546"/>
        <w:spacing w:after="0" w:line="257" w:lineRule="auto"/>
        <w:tabs>
          <w:tab w:leader="none" w:pos="302" w:val="left"/>
        </w:tabs>
        <w:numPr>
          <w:ilvl w:val="0"/>
          <w:numId w:val="184"/>
        </w:numPr>
        <w:rPr>
          <w:rFonts w:ascii="Arial" w:cs="Arial" w:eastAsia="Arial" w:hAnsi="Arial"/>
          <w:sz w:val="19"/>
          <w:szCs w:val="19"/>
          <w:color w:val="auto"/>
        </w:rPr>
      </w:pPr>
      <w:r>
        <w:rPr>
          <w:rFonts w:ascii="Arial" w:cs="Arial" w:eastAsia="Arial" w:hAnsi="Arial"/>
          <w:sz w:val="19"/>
          <w:szCs w:val="19"/>
          <w:color w:val="auto"/>
        </w:rPr>
        <w:t>By the Employer Without Cause. The Employer may terminate your employment without Cause at any time during the Term and such termination shall not be deemed a breach by the Employer of any term of this Agreement or any other duty or obligation, expressed or implied, which the Employer may owe to you pursuant to any principle or provision of law.</w:t>
      </w:r>
    </w:p>
    <w:p>
      <w:pPr>
        <w:spacing w:after="0" w:line="163" w:lineRule="exact"/>
        <w:rPr>
          <w:rFonts w:ascii="Arial" w:cs="Arial" w:eastAsia="Arial" w:hAnsi="Arial"/>
          <w:sz w:val="19"/>
          <w:szCs w:val="19"/>
          <w:color w:val="auto"/>
        </w:rPr>
      </w:pPr>
    </w:p>
    <w:p>
      <w:pPr>
        <w:ind w:left="-546" w:right="60" w:firstLine="546"/>
        <w:spacing w:after="0" w:line="236" w:lineRule="auto"/>
        <w:tabs>
          <w:tab w:leader="none" w:pos="303" w:val="left"/>
        </w:tabs>
        <w:numPr>
          <w:ilvl w:val="0"/>
          <w:numId w:val="184"/>
        </w:numPr>
        <w:rPr>
          <w:rFonts w:ascii="Arial" w:cs="Arial" w:eastAsia="Arial" w:hAnsi="Arial"/>
          <w:sz w:val="21"/>
          <w:szCs w:val="21"/>
          <w:color w:val="auto"/>
        </w:rPr>
      </w:pPr>
      <w:r>
        <w:rPr>
          <w:rFonts w:ascii="Arial" w:cs="Arial" w:eastAsia="Arial" w:hAnsi="Arial"/>
          <w:sz w:val="21"/>
          <w:szCs w:val="21"/>
          <w:color w:val="auto"/>
        </w:rPr>
        <w:t>By You If Your Principal Place of Business Is Relocated Without Your Consent. At any time during the Term, subject to Section 3, you may terminate your employment if,</w:t>
      </w:r>
    </w:p>
    <w:p>
      <w:pPr>
        <w:sectPr>
          <w:pgSz w:w="11900" w:h="16838" w:orient="portrait"/>
          <w:cols w:equalWidth="0" w:num="1">
            <w:col w:w="10074"/>
          </w:cols>
          <w:pgMar w:left="1286" w:top="1115" w:right="539" w:bottom="1440" w:gutter="0" w:footer="0" w:header="0"/>
        </w:sectPr>
      </w:pPr>
    </w:p>
    <w:bookmarkStart w:id="303" w:name="page304"/>
    <w:bookmarkEnd w:id="303"/>
    <w:p>
      <w:pPr>
        <w:jc w:val="both"/>
        <w:ind w:left="100" w:right="40"/>
        <w:spacing w:after="0" w:line="238" w:lineRule="auto"/>
        <w:rPr>
          <w:sz w:val="20"/>
          <w:szCs w:val="20"/>
          <w:color w:val="auto"/>
        </w:rPr>
      </w:pPr>
      <w:r>
        <w:rPr>
          <w:rFonts w:ascii="Arial" w:cs="Arial" w:eastAsia="Arial" w:hAnsi="Arial"/>
          <w:sz w:val="19"/>
          <w:szCs w:val="19"/>
          <w:color w:val="auto"/>
        </w:rPr>
        <w:t xml:space="preserve">without your written agreement or other voluntary action on your part, the Employer reassigns your principal place of business to a location that is more than fifty (50) miles from your then- current principal place of business and that reassignment materially and adversely affects your commute;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"Cure Period"). You will have five (5) days following the end of the Cure Period to terminate your employment, if the Employer does not cure, after which your ability to terminate your employment under this Section 9(c) will no longer exist.</w:t>
      </w:r>
    </w:p>
    <w:p>
      <w:pPr>
        <w:spacing w:after="0" w:line="207" w:lineRule="exact"/>
        <w:rPr>
          <w:sz w:val="20"/>
          <w:szCs w:val="20"/>
          <w:color w:val="auto"/>
        </w:rPr>
      </w:pPr>
    </w:p>
    <w:p>
      <w:pPr>
        <w:ind w:left="100" w:right="40" w:firstLine="546"/>
        <w:spacing w:after="0" w:line="272" w:lineRule="auto"/>
        <w:tabs>
          <w:tab w:leader="none" w:pos="948" w:val="left"/>
        </w:tabs>
        <w:numPr>
          <w:ilvl w:val="2"/>
          <w:numId w:val="185"/>
        </w:numPr>
        <w:rPr>
          <w:rFonts w:ascii="Arial" w:cs="Arial" w:eastAsia="Arial" w:hAnsi="Arial"/>
          <w:sz w:val="21"/>
          <w:szCs w:val="21"/>
          <w:color w:val="auto"/>
        </w:rPr>
      </w:pPr>
      <w:r>
        <w:rPr>
          <w:rFonts w:ascii="Arial" w:cs="Arial" w:eastAsia="Arial" w:hAnsi="Arial"/>
          <w:sz w:val="21"/>
          <w:szCs w:val="21"/>
          <w:color w:val="auto"/>
        </w:rPr>
        <w:t>Death. In the event of your death during the Term, your employment shall terminate immediately as of the date of your death.</w:t>
      </w:r>
    </w:p>
    <w:p>
      <w:pPr>
        <w:spacing w:after="0" w:line="121" w:lineRule="exact"/>
        <w:rPr>
          <w:rFonts w:ascii="Arial" w:cs="Arial" w:eastAsia="Arial" w:hAnsi="Arial"/>
          <w:sz w:val="21"/>
          <w:szCs w:val="21"/>
          <w:color w:val="auto"/>
        </w:rPr>
      </w:pPr>
    </w:p>
    <w:p>
      <w:pPr>
        <w:jc w:val="both"/>
        <w:ind w:left="100" w:right="40" w:firstLine="546"/>
        <w:spacing w:after="0" w:line="236" w:lineRule="auto"/>
        <w:tabs>
          <w:tab w:leader="none" w:pos="949" w:val="left"/>
        </w:tabs>
        <w:numPr>
          <w:ilvl w:val="2"/>
          <w:numId w:val="185"/>
        </w:numPr>
        <w:rPr>
          <w:rFonts w:ascii="Arial" w:cs="Arial" w:eastAsia="Arial" w:hAnsi="Arial"/>
          <w:sz w:val="19"/>
          <w:szCs w:val="19"/>
          <w:color w:val="auto"/>
        </w:rPr>
      </w:pPr>
      <w:r>
        <w:rPr>
          <w:rFonts w:ascii="Arial" w:cs="Arial" w:eastAsia="Arial" w:hAnsi="Arial"/>
          <w:sz w:val="19"/>
          <w:szCs w:val="19"/>
          <w:color w:val="auto"/>
        </w:rPr>
        <w:t>Disability. In the event that you are or become "disabled," the Employer shall, to the extent permitted by applicable law, have the right to terminate your employment. For purposes of this Agreement, "disabled" shall mean that either (i) you have a physical or mental impairment that renders you unable to perform the duties required of you under this Agreement, even with the Employer providing you a reasonable accommodation, as determined by a physician mutually acceptable to you and the Employer or (ii) you are receiving benefits under any long-term disability plan of the Employer then in effect.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85" w:lineRule="exact"/>
        <w:rPr>
          <w:rFonts w:ascii="Arial" w:cs="Arial" w:eastAsia="Arial" w:hAnsi="Arial"/>
          <w:sz w:val="19"/>
          <w:szCs w:val="19"/>
          <w:color w:val="auto"/>
        </w:rPr>
      </w:pPr>
    </w:p>
    <w:p>
      <w:pPr>
        <w:ind w:left="620" w:hanging="620"/>
        <w:spacing w:after="0"/>
        <w:tabs>
          <w:tab w:leader="none" w:pos="620"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Termination of Obligations and Severance Payments</w:t>
      </w:r>
    </w:p>
    <w:p>
      <w:pPr>
        <w:spacing w:after="0" w:line="217" w:lineRule="exact"/>
        <w:rPr>
          <w:rFonts w:ascii="Arial" w:cs="Arial" w:eastAsia="Arial" w:hAnsi="Arial"/>
          <w:sz w:val="21"/>
          <w:szCs w:val="21"/>
          <w:color w:val="auto"/>
        </w:rPr>
      </w:pPr>
    </w:p>
    <w:p>
      <w:pPr>
        <w:jc w:val="both"/>
        <w:ind w:firstLine="629"/>
        <w:spacing w:after="0" w:line="226" w:lineRule="auto"/>
        <w:tabs>
          <w:tab w:leader="none" w:pos="941" w:val="left"/>
        </w:tabs>
        <w:numPr>
          <w:ilvl w:val="1"/>
          <w:numId w:val="186"/>
        </w:numPr>
        <w:rPr>
          <w:rFonts w:ascii="Arial" w:cs="Arial" w:eastAsia="Arial" w:hAnsi="Arial"/>
          <w:sz w:val="20"/>
          <w:szCs w:val="20"/>
          <w:color w:val="auto"/>
        </w:rPr>
      </w:pPr>
      <w:r>
        <w:rPr>
          <w:rFonts w:ascii="Arial" w:cs="Arial" w:eastAsia="Arial" w:hAnsi="Arial"/>
          <w:sz w:val="20"/>
          <w:szCs w:val="20"/>
          <w:color w:val="auto"/>
        </w:rPr>
        <w:t>General. Upon the termination of your employment pursuant to Section 9, your rights and the Employer's obligations to you under this Agreement shall immediately terminate except as provided in this Section 10 and Section 11(s), and you (or your heirs or estate, as applicable) shall be entitled to receive any amounts or benefits set forth below (subject in all cases to Sections 10(g), 11(q) and 11(r)). The payments and benefits provided pursuant to this Section 10 are (x) in lieu of any severance or income continuation protection under any plan of Activision Blizzard that may now or hereafter exist and (y) deemed to satisfy and be in full and final settlement of all obligations of Activision Blizzard to you under this Agreement. You shall have no further right to receive any other compensation benefits following your termination of employment for any reason except as set forth in this Section 10.</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For the purposes of this Agreement, the following terms shall have the following meanings:</w:t>
      </w:r>
    </w:p>
    <w:p>
      <w:pPr>
        <w:spacing w:after="0" w:line="204"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"Basic Severance"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ectPr>
          <w:pgSz w:w="11900" w:h="16838" w:orient="portrait"/>
          <w:cols w:equalWidth="0" w:num="1">
            <w:col w:w="10720"/>
          </w:cols>
          <w:pgMar w:left="640" w:top="1114" w:right="539" w:bottom="1440" w:gutter="0" w:footer="0" w:header="0"/>
        </w:sectPr>
      </w:pPr>
    </w:p>
    <w:bookmarkStart w:id="304" w:name="page305"/>
    <w:bookmarkEnd w:id="304"/>
    <w:p>
      <w:pPr>
        <w:ind w:left="620"/>
        <w:spacing w:after="0"/>
        <w:rPr>
          <w:sz w:val="20"/>
          <w:szCs w:val="20"/>
          <w:color w:val="auto"/>
        </w:rPr>
      </w:pPr>
      <w:r>
        <w:rPr>
          <w:rFonts w:ascii="Arial" w:cs="Arial" w:eastAsia="Arial" w:hAnsi="Arial"/>
          <w:sz w:val="21"/>
          <w:szCs w:val="21"/>
          <w:color w:val="auto"/>
        </w:rPr>
        <w:t>"Bonus Severance" shall mean payment of:</w:t>
      </w:r>
    </w:p>
    <w:p>
      <w:pPr>
        <w:spacing w:after="0" w:line="204" w:lineRule="exact"/>
        <w:rPr>
          <w:sz w:val="20"/>
          <w:szCs w:val="20"/>
          <w:color w:val="auto"/>
        </w:rPr>
      </w:pPr>
    </w:p>
    <w:p>
      <w:pPr>
        <w:jc w:val="both"/>
        <w:ind w:left="1880" w:hanging="621"/>
        <w:spacing w:after="0" w:line="215" w:lineRule="auto"/>
        <w:tabs>
          <w:tab w:leader="none" w:pos="186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an amount equal to the Annual Bonus that the Employer determines, in its sole discretion, you would have received (if any) in accordance with Section 2(c) for any year that ended prior to the Termination Date had you remained employed through the date such bonus would have been otherwise been paid (in the event that your Termination Date occurs before such bonus would have been paid) provided, however, that in the exercise of discretion, to the extent any other similarly-situated executive has the same objective bonus measurements or metrics, the Employer will evaluate your achievement of such objective measurements or metrics in a manner consistent with such other similarly-situated executive; and</w:t>
      </w:r>
    </w:p>
    <w:p>
      <w:pPr>
        <w:spacing w:after="0" w:line="197" w:lineRule="exact"/>
        <w:rPr>
          <w:rFonts w:ascii="Arial" w:cs="Arial" w:eastAsia="Arial" w:hAnsi="Arial"/>
          <w:sz w:val="21"/>
          <w:szCs w:val="21"/>
          <w:color w:val="auto"/>
        </w:rPr>
      </w:pPr>
    </w:p>
    <w:p>
      <w:pPr>
        <w:jc w:val="both"/>
        <w:ind w:left="1880" w:hanging="621"/>
        <w:spacing w:after="0" w:line="237" w:lineRule="auto"/>
        <w:tabs>
          <w:tab w:leader="none" w:pos="187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 amount equal to the Annual Bonus that the Employer determines, in its sole discretion, you would have received (if any) in accordance with Section 2(c) for the year in which your Termination Date occurs had you had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 provided, however, that in the exercise of discretion, to the extent any other similarly-situated executive has the same objective bonus measurements or metrics, the Employer will evaluate your achievement of such objective measurements or metrics in a manner consistent with such other similarly- situated executive.</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"Termination Date" shall mean the effective date of your termination of employment pursuant to Sections 9(a)-(e).</w:t>
      </w:r>
    </w:p>
    <w:p>
      <w:pPr>
        <w:spacing w:after="0" w:line="216" w:lineRule="exact"/>
        <w:rPr>
          <w:sz w:val="20"/>
          <w:szCs w:val="20"/>
          <w:color w:val="auto"/>
        </w:rPr>
      </w:pPr>
    </w:p>
    <w:p>
      <w:pPr>
        <w:jc w:val="both"/>
        <w:ind w:firstLine="629"/>
        <w:spacing w:after="0" w:line="216" w:lineRule="auto"/>
        <w:rPr>
          <w:sz w:val="20"/>
          <w:szCs w:val="20"/>
          <w:color w:val="auto"/>
        </w:rPr>
      </w:pPr>
      <w:r>
        <w:rPr>
          <w:rFonts w:ascii="Arial" w:cs="Arial" w:eastAsia="Arial" w:hAnsi="Arial"/>
          <w:sz w:val="21"/>
          <w:szCs w:val="21"/>
          <w:color w:val="auto"/>
        </w:rPr>
        <w:t xml:space="preserve">"Total Severance Limit" shall mean the maximum total value of any severance payments and benefits that you will be due from the Employer in any scenario, which maximum total value shall be equal to your prior year's target compensation, as determined by the Compensation Committee, notwithstanding anything to the contrary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AOP OI Objective for the calendar year preceding the calendar year in which your Termination Date occurred (the "Measurement Year") was 100% or more of the annual operating plan operating income objective established by the Board for such Measurement Year, the Employer's Chief Executive Officer may, in his or her sole discretion, increase the Total Severance Limit.</w:t>
      </w:r>
    </w:p>
    <w:p>
      <w:pPr>
        <w:spacing w:after="0" w:line="262" w:lineRule="exact"/>
        <w:rPr>
          <w:sz w:val="20"/>
          <w:szCs w:val="20"/>
          <w:color w:val="auto"/>
        </w:rPr>
      </w:pPr>
    </w:p>
    <w:p>
      <w:pPr>
        <w:ind w:left="940" w:hanging="311"/>
        <w:spacing w:after="0"/>
        <w:tabs>
          <w:tab w:leader="none" w:pos="9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Death. In the event your employment is terminated under Section 9(d), and subject to the Total Severance Limit:</w:t>
      </w:r>
    </w:p>
    <w:p>
      <w:pPr>
        <w:spacing w:after="0" w:line="240" w:lineRule="exact"/>
        <w:rPr>
          <w:rFonts w:ascii="Arial" w:cs="Arial" w:eastAsia="Arial" w:hAnsi="Arial"/>
          <w:sz w:val="19"/>
          <w:szCs w:val="19"/>
          <w:color w:val="auto"/>
        </w:rPr>
      </w:pPr>
    </w:p>
    <w:p>
      <w:pPr>
        <w:jc w:val="both"/>
        <w:ind w:left="1880" w:hanging="621"/>
        <w:spacing w:after="0" w:line="222" w:lineRule="auto"/>
        <w:tabs>
          <w:tab w:leader="none" w:pos="1868" w:val="left"/>
        </w:tabs>
        <w:numPr>
          <w:ilvl w:val="1"/>
          <w:numId w:val="188"/>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ectPr>
          <w:pgSz w:w="11900" w:h="16838" w:orient="portrait"/>
          <w:cols w:equalWidth="0" w:num="1">
            <w:col w:w="10720"/>
          </w:cols>
          <w:pgMar w:left="640" w:top="1114" w:right="539" w:bottom="1440" w:gutter="0" w:footer="0" w:header="0"/>
        </w:sectPr>
      </w:pPr>
    </w:p>
    <w:bookmarkStart w:id="305" w:name="page306"/>
    <w:bookmarkEnd w:id="305"/>
    <w:p>
      <w:pPr>
        <w:jc w:val="both"/>
        <w:ind w:left="1251" w:hanging="621"/>
        <w:spacing w:after="0" w:line="230" w:lineRule="auto"/>
        <w:tabs>
          <w:tab w:leader="none" w:pos="1245" w:val="left"/>
        </w:tabs>
        <w:numPr>
          <w:ilvl w:val="1"/>
          <w:numId w:val="189"/>
        </w:numPr>
        <w:rPr>
          <w:rFonts w:ascii="Arial" w:cs="Arial" w:eastAsia="Arial" w:hAnsi="Arial"/>
          <w:sz w:val="20"/>
          <w:szCs w:val="20"/>
          <w:color w:val="auto"/>
        </w:rPr>
      </w:pPr>
      <w:r>
        <w:rPr>
          <w:rFonts w:ascii="Arial" w:cs="Arial" w:eastAsia="Arial" w:hAnsi="Arial"/>
          <w:sz w:val="20"/>
          <w:szCs w:val="20"/>
          <w:u w:val="single" w:color="auto"/>
          <w:color w:val="auto"/>
        </w:rPr>
        <w:t>Lump Sum Payment of Two Times Base Salary</w:t>
      </w:r>
      <w:r>
        <w:rPr>
          <w:rFonts w:ascii="Arial" w:cs="Arial" w:eastAsia="Arial" w:hAnsi="Arial"/>
          <w:sz w:val="20"/>
          <w:szCs w:val="20"/>
          <w:color w:val="auto"/>
        </w:rPr>
        <w:t xml:space="preserve">. Your heirs or estate, as the case may be, shall receive payment of an amount equal to two (2) times the Base Salary (at the rate in effect as of the Termination Date) in a lump sum within thirty (30) days following the Termination Date;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this amount shall be reduced by any payments to which you become entitled upon death under any Employer-sponsored plan other than the $2,500,000 life insurance policy;</w:t>
      </w:r>
    </w:p>
    <w:p>
      <w:pPr>
        <w:spacing w:after="0" w:line="183" w:lineRule="exact"/>
        <w:rPr>
          <w:rFonts w:ascii="Arial" w:cs="Arial" w:eastAsia="Arial" w:hAnsi="Arial"/>
          <w:sz w:val="20"/>
          <w:szCs w:val="20"/>
          <w:color w:val="auto"/>
        </w:rPr>
      </w:pPr>
    </w:p>
    <w:p>
      <w:pPr>
        <w:jc w:val="both"/>
        <w:ind w:left="1251" w:hanging="621"/>
        <w:spacing w:after="0" w:line="227" w:lineRule="auto"/>
        <w:tabs>
          <w:tab w:leader="none" w:pos="1251" w:val="left"/>
        </w:tabs>
        <w:numPr>
          <w:ilvl w:val="1"/>
          <w:numId w:val="189"/>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Your heirs or estate, as the case may be, shall receive payment of the Bonus Severance in a lump sum no later than the 15th day of the third month of the year following the year to which the underlying amount relates; and</w:t>
      </w:r>
    </w:p>
    <w:p>
      <w:pPr>
        <w:spacing w:after="0" w:line="193" w:lineRule="exact"/>
        <w:rPr>
          <w:rFonts w:ascii="Arial" w:cs="Arial" w:eastAsia="Arial" w:hAnsi="Arial"/>
          <w:sz w:val="21"/>
          <w:szCs w:val="21"/>
          <w:color w:val="auto"/>
        </w:rPr>
      </w:pPr>
    </w:p>
    <w:p>
      <w:pPr>
        <w:jc w:val="both"/>
        <w:ind w:left="1251" w:hanging="621"/>
        <w:spacing w:after="0" w:line="227" w:lineRule="auto"/>
        <w:tabs>
          <w:tab w:leader="none" w:pos="1239" w:val="left"/>
        </w:tabs>
        <w:numPr>
          <w:ilvl w:val="1"/>
          <w:numId w:val="189"/>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93" w:lineRule="exact"/>
        <w:rPr>
          <w:rFonts w:ascii="Arial" w:cs="Arial" w:eastAsia="Arial" w:hAnsi="Arial"/>
          <w:sz w:val="21"/>
          <w:szCs w:val="21"/>
          <w:color w:val="auto"/>
        </w:rPr>
      </w:pPr>
    </w:p>
    <w:p>
      <w:pPr>
        <w:jc w:val="both"/>
        <w:ind w:left="-629" w:firstLine="629"/>
        <w:spacing w:after="0" w:line="222" w:lineRule="auto"/>
        <w:tabs>
          <w:tab w:leader="none" w:pos="31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Termination by the Employer Without Cause, by You if Your Principal Place of Business Is Relocated Without Your Consent or by the Employer if You Become Disabled. In the event the Employer terminates your employment under Section 9(b), you terminate your employment under Section 9(c) or the Employer terminates your employment under Section 9(e) and subject to the Total Severance Limit:</w:t>
      </w:r>
    </w:p>
    <w:p>
      <w:pPr>
        <w:spacing w:after="0" w:line="181" w:lineRule="exact"/>
        <w:rPr>
          <w:rFonts w:ascii="Arial" w:cs="Arial" w:eastAsia="Arial" w:hAnsi="Arial"/>
          <w:sz w:val="21"/>
          <w:szCs w:val="21"/>
          <w:color w:val="auto"/>
        </w:rPr>
      </w:pPr>
    </w:p>
    <w:p>
      <w:pPr>
        <w:jc w:val="both"/>
        <w:ind w:left="1251" w:hanging="621"/>
        <w:spacing w:after="0" w:line="222" w:lineRule="auto"/>
        <w:tabs>
          <w:tab w:leader="none" w:pos="1239" w:val="left"/>
        </w:tabs>
        <w:numPr>
          <w:ilvl w:val="1"/>
          <w:numId w:val="190"/>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94" w:lineRule="exact"/>
        <w:rPr>
          <w:rFonts w:ascii="Arial" w:cs="Arial" w:eastAsia="Arial" w:hAnsi="Arial"/>
          <w:sz w:val="21"/>
          <w:szCs w:val="21"/>
          <w:color w:val="auto"/>
        </w:rPr>
      </w:pPr>
    </w:p>
    <w:p>
      <w:pPr>
        <w:jc w:val="both"/>
        <w:ind w:left="1251" w:hanging="621"/>
        <w:spacing w:after="0" w:line="224" w:lineRule="auto"/>
        <w:tabs>
          <w:tab w:leader="none" w:pos="1245"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Salary Continuation</w:t>
      </w:r>
      <w:r>
        <w:rPr>
          <w:rFonts w:ascii="Arial" w:cs="Arial" w:eastAsia="Arial" w:hAnsi="Arial"/>
          <w:sz w:val="20"/>
          <w:szCs w:val="20"/>
          <w:color w:val="auto"/>
        </w:rPr>
        <w:t xml:space="preserve">. You or your legal representative, as the case may be, shall receive the payment of an amount equal to the Base Salary (at the rate in effect on the Termination Date) that you would have received had you remained employed through the Expiration Date, which amount shall be paid in equal installments commencing on the first payroll date following the 60th day following the Termination Date in accordance with the Employer's payroll practices as in effect from time to time, provided that the first such payment shall include any installments relating to the 60 day period following the Termination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to the extent doing so will not result in the imposition of additional taxes under Section 409A ("Section 409A") of the Internal Revenue Code of 1986, as amended and the rules and regulations promulgated thereunder (the "Code"), this amount shall be reduced by any payments which you have received or to which you become entitled under any Employer-sponsored long-term disability plan;</w:t>
      </w:r>
    </w:p>
    <w:p>
      <w:pPr>
        <w:spacing w:after="0" w:line="196" w:lineRule="exact"/>
        <w:rPr>
          <w:rFonts w:ascii="Arial" w:cs="Arial" w:eastAsia="Arial" w:hAnsi="Arial"/>
          <w:sz w:val="20"/>
          <w:szCs w:val="20"/>
          <w:color w:val="auto"/>
        </w:rPr>
      </w:pPr>
    </w:p>
    <w:p>
      <w:pPr>
        <w:jc w:val="both"/>
        <w:ind w:left="1251" w:hanging="621"/>
        <w:spacing w:after="0" w:line="227" w:lineRule="auto"/>
        <w:tabs>
          <w:tab w:leader="none" w:pos="1251" w:val="left"/>
        </w:tabs>
        <w:numPr>
          <w:ilvl w:val="1"/>
          <w:numId w:val="190"/>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 or your legal representative, as the case may be, shall receive payment of the Bonus Severance in a lump sum no later than the 15th day of the third month of the year following the year to which the underlying amount relates; and</w:t>
      </w:r>
    </w:p>
    <w:p>
      <w:pPr>
        <w:sectPr>
          <w:pgSz w:w="11900" w:h="16838" w:orient="portrait"/>
          <w:cols w:equalWidth="0" w:num="1">
            <w:col w:w="10091"/>
          </w:cols>
          <w:pgMar w:left="1269" w:top="1114" w:right="539" w:bottom="1440" w:gutter="0" w:footer="0" w:header="0"/>
        </w:sectPr>
      </w:pPr>
    </w:p>
    <w:bookmarkStart w:id="306" w:name="page307"/>
    <w:bookmarkEnd w:id="306"/>
    <w:p>
      <w:pPr>
        <w:spacing w:after="0" w:line="147" w:lineRule="exact"/>
        <w:rPr>
          <w:sz w:val="20"/>
          <w:szCs w:val="20"/>
          <w:color w:val="auto"/>
        </w:rPr>
      </w:pPr>
    </w:p>
    <w:p>
      <w:pPr>
        <w:jc w:val="both"/>
        <w:ind w:left="1251" w:hanging="621"/>
        <w:spacing w:after="0" w:line="227" w:lineRule="auto"/>
        <w:tabs>
          <w:tab w:leader="none" w:pos="1239" w:val="left"/>
        </w:tabs>
        <w:numPr>
          <w:ilvl w:val="1"/>
          <w:numId w:val="191"/>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93" w:lineRule="exact"/>
        <w:rPr>
          <w:rFonts w:ascii="Arial" w:cs="Arial" w:eastAsia="Arial" w:hAnsi="Arial"/>
          <w:sz w:val="21"/>
          <w:szCs w:val="21"/>
          <w:color w:val="auto"/>
        </w:rPr>
      </w:pPr>
    </w:p>
    <w:p>
      <w:pPr>
        <w:jc w:val="both"/>
        <w:ind w:left="1251" w:hanging="621"/>
        <w:spacing w:after="0" w:line="241" w:lineRule="auto"/>
        <w:tabs>
          <w:tab w:leader="none" w:pos="1246" w:val="left"/>
        </w:tabs>
        <w:numPr>
          <w:ilvl w:val="1"/>
          <w:numId w:val="191"/>
        </w:numPr>
        <w:rPr>
          <w:rFonts w:ascii="Arial" w:cs="Arial" w:eastAsia="Arial" w:hAnsi="Arial"/>
          <w:sz w:val="19"/>
          <w:szCs w:val="19"/>
          <w:color w:val="auto"/>
        </w:rPr>
      </w:pPr>
      <w:r>
        <w:rPr>
          <w:rFonts w:ascii="Arial" w:cs="Arial" w:eastAsia="Arial" w:hAnsi="Arial"/>
          <w:sz w:val="19"/>
          <w:szCs w:val="19"/>
          <w:u w:val="single" w:color="auto"/>
          <w:color w:val="auto"/>
        </w:rPr>
        <w:t>Severance Conditioned Upon Release</w:t>
      </w:r>
      <w:r>
        <w:rPr>
          <w:rFonts w:ascii="Arial" w:cs="Arial" w:eastAsia="Arial" w:hAnsi="Arial"/>
          <w:sz w:val="19"/>
          <w:szCs w:val="19"/>
          <w:color w:val="auto"/>
        </w:rPr>
        <w:t>. Payments and benefits described in Sections 10(c)(ii) and (c)(iii) are conditioned upon your or your legal representative's execution of a waiver and release in a form prepared by the Employer and that release becoming effective and irrevocable in its entirety within 60 days of the Termination Date. Unless otherwise provided by the Employer, if the release referenced above does not become effective and irrevocable on or prior to the 60th day following the Termination Date, you shall not be entitled to any payments under this Section 10(c) other than the Basic Severance.</w:t>
      </w:r>
    </w:p>
    <w:p>
      <w:pPr>
        <w:spacing w:after="0" w:line="191" w:lineRule="exact"/>
        <w:rPr>
          <w:rFonts w:ascii="Arial" w:cs="Arial" w:eastAsia="Arial" w:hAnsi="Arial"/>
          <w:sz w:val="19"/>
          <w:szCs w:val="19"/>
          <w:color w:val="auto"/>
        </w:rPr>
      </w:pPr>
    </w:p>
    <w:p>
      <w:pPr>
        <w:jc w:val="both"/>
        <w:ind w:left="-629" w:firstLine="629"/>
        <w:spacing w:after="0" w:line="233" w:lineRule="auto"/>
        <w:tabs>
          <w:tab w:leader="none" w:pos="31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Termination by the Employer Without Cause 9(b), by You if Your Principal Place of Business Is Relocated Without Your Consent 9(c), by the Employer if Because of Your Death 9(d) or You Become Disabled 9(e). </w:t>
      </w:r>
      <w:r>
        <w:rPr>
          <w:rFonts w:ascii="Arial" w:cs="Arial" w:eastAsia="Arial" w:hAnsi="Arial"/>
          <w:sz w:val="20"/>
          <w:szCs w:val="20"/>
          <w:u w:val="single" w:color="auto"/>
          <w:color w:val="auto"/>
        </w:rPr>
        <w:t>If and only if your</w:t>
      </w:r>
      <w:r>
        <w:rPr>
          <w:rFonts w:ascii="Arial" w:cs="Arial" w:eastAsia="Arial" w:hAnsi="Arial"/>
          <w:sz w:val="20"/>
          <w:szCs w:val="20"/>
          <w:color w:val="auto"/>
        </w:rPr>
        <w:t xml:space="preserve"> </w:t>
      </w:r>
      <w:r>
        <w:rPr>
          <w:rFonts w:ascii="Arial" w:cs="Arial" w:eastAsia="Arial" w:hAnsi="Arial"/>
          <w:sz w:val="20"/>
          <w:szCs w:val="20"/>
          <w:u w:val="single" w:color="auto"/>
          <w:color w:val="auto"/>
        </w:rPr>
        <w:t>employment is terminated pursuant to Section 9(b), 9(c), 9(d) or 9(e)</w:t>
      </w:r>
      <w:r>
        <w:rPr>
          <w:rFonts w:ascii="Arial" w:cs="Arial" w:eastAsia="Arial" w:hAnsi="Arial"/>
          <w:sz w:val="20"/>
          <w:szCs w:val="20"/>
          <w:color w:val="auto"/>
        </w:rPr>
        <w:t>, in addition to any payments and benefits described in Section 10(c)(ii) and 10(c)(iii) you may be due, you will also receive, subject to the Total Severance Limit:</w:t>
      </w:r>
    </w:p>
    <w:p>
      <w:pPr>
        <w:spacing w:after="0" w:line="182" w:lineRule="exact"/>
        <w:rPr>
          <w:rFonts w:ascii="Arial" w:cs="Arial" w:eastAsia="Arial" w:hAnsi="Arial"/>
          <w:sz w:val="20"/>
          <w:szCs w:val="20"/>
          <w:color w:val="auto"/>
        </w:rPr>
      </w:pPr>
    </w:p>
    <w:p>
      <w:pPr>
        <w:ind w:left="1251" w:hanging="621"/>
        <w:spacing w:after="0"/>
        <w:tabs>
          <w:tab w:leader="none" w:pos="1251"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Additional Severance</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left="1891" w:hanging="3"/>
        <w:spacing w:after="0" w:line="233" w:lineRule="auto"/>
        <w:tabs>
          <w:tab w:leader="none" w:pos="2194" w:val="left"/>
        </w:tabs>
        <w:numPr>
          <w:ilvl w:val="2"/>
          <w:numId w:val="192"/>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$950,000, if and only if, (i) your Termination Date is after December 31, 2021 but before March 31, 2022, and (ii) the Compensation Committee determines, in its sole discretion, that Activision Blizzard's 2021 AOP OI is 90% or greater than the 2021 AOP OI Objective;</w:t>
      </w:r>
    </w:p>
    <w:p>
      <w:pPr>
        <w:spacing w:after="0" w:line="195" w:lineRule="exact"/>
        <w:rPr>
          <w:rFonts w:ascii="Arial" w:cs="Arial" w:eastAsia="Arial" w:hAnsi="Arial"/>
          <w:sz w:val="20"/>
          <w:szCs w:val="20"/>
          <w:color w:val="auto"/>
        </w:rPr>
      </w:pPr>
    </w:p>
    <w:p>
      <w:pPr>
        <w:jc w:val="both"/>
        <w:ind w:left="1891" w:hanging="3"/>
        <w:spacing w:after="0" w:line="233" w:lineRule="auto"/>
        <w:tabs>
          <w:tab w:leader="none" w:pos="2206" w:val="left"/>
        </w:tabs>
        <w:numPr>
          <w:ilvl w:val="2"/>
          <w:numId w:val="192"/>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$950,000, if and only if, (i) your Termination Date is after December 31, 2022 but before March 30, 2023, and (ii) the Compensation Committee determines, in its sole discretion, that Activision Blizzard's 2022 AOP OI is 90% or greater than the 2022 AOP OI Objective; and</w:t>
      </w:r>
    </w:p>
    <w:p>
      <w:pPr>
        <w:spacing w:after="0" w:line="182" w:lineRule="exact"/>
        <w:rPr>
          <w:rFonts w:ascii="Arial" w:cs="Arial" w:eastAsia="Arial" w:hAnsi="Arial"/>
          <w:sz w:val="20"/>
          <w:szCs w:val="20"/>
          <w:color w:val="auto"/>
        </w:rPr>
      </w:pPr>
    </w:p>
    <w:p>
      <w:pPr>
        <w:jc w:val="both"/>
        <w:ind w:left="1891" w:hanging="3"/>
        <w:spacing w:after="0" w:line="233" w:lineRule="auto"/>
        <w:tabs>
          <w:tab w:leader="none" w:pos="2194" w:val="left"/>
        </w:tabs>
        <w:numPr>
          <w:ilvl w:val="2"/>
          <w:numId w:val="192"/>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$950,000, if and only if, (i) your Termination Date is after December 31, 2023 but before March 30, 2024, and (ii) the Compensation Committee determines, in its sole discretion, that Activision Blizzard's 2023 AOP OI is 90% or greater than the 2023 AOP OI Objective.</w:t>
      </w:r>
    </w:p>
    <w:p>
      <w:pPr>
        <w:spacing w:after="0" w:line="195" w:lineRule="exact"/>
        <w:rPr>
          <w:sz w:val="20"/>
          <w:szCs w:val="20"/>
          <w:color w:val="auto"/>
        </w:rPr>
      </w:pPr>
    </w:p>
    <w:p>
      <w:pPr>
        <w:ind w:left="1251" w:right="200"/>
        <w:spacing w:after="0" w:line="222" w:lineRule="auto"/>
        <w:rPr>
          <w:sz w:val="20"/>
          <w:szCs w:val="20"/>
          <w:color w:val="auto"/>
        </w:rPr>
      </w:pPr>
      <w:r>
        <w:rPr>
          <w:rFonts w:ascii="Arial" w:cs="Arial" w:eastAsia="Arial" w:hAnsi="Arial"/>
          <w:sz w:val="21"/>
          <w:szCs w:val="21"/>
          <w:color w:val="auto"/>
        </w:rPr>
        <w:t>All amounts owed pursuant to this Section 10(d)(i) will be paid within 30 days after the date the Compensation Committee determines that the applicable OI conditions have been achieved (if any), provided that this is no sooner than the 60th day following the Termination Date, and will be subject to applicable taxes and withholdings.</w:t>
      </w:r>
    </w:p>
    <w:p>
      <w:pPr>
        <w:sectPr>
          <w:pgSz w:w="11900" w:h="16838" w:orient="portrait"/>
          <w:cols w:equalWidth="0" w:num="1">
            <w:col w:w="10091"/>
          </w:cols>
          <w:pgMar w:left="1269" w:top="1440" w:right="539" w:bottom="1440" w:gutter="0" w:footer="0" w:header="0"/>
        </w:sectPr>
      </w:pPr>
    </w:p>
    <w:bookmarkStart w:id="307" w:name="page308"/>
    <w:bookmarkEnd w:id="307"/>
    <w:p>
      <w:pPr>
        <w:jc w:val="both"/>
        <w:ind w:left="1251" w:hanging="621"/>
        <w:spacing w:after="0" w:line="234" w:lineRule="auto"/>
        <w:tabs>
          <w:tab w:leader="none" w:pos="1245"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PSU Termination Consideration</w:t>
      </w:r>
      <w:r>
        <w:rPr>
          <w:rFonts w:ascii="Arial" w:cs="Arial" w:eastAsia="Arial" w:hAnsi="Arial"/>
          <w:sz w:val="19"/>
          <w:szCs w:val="19"/>
          <w:color w:val="auto"/>
        </w:rPr>
        <w:t>. Notwithstanding the foregoing, but subject to the Total Severance Limit, in the event that (a) your Termination Date occurs after the completion of one or more applicable performance periods (i.e. fiscal years 2021, 2022, 2023), (b) the Compensation Committee determines that the applicable performance objective(s) (i.e. 2021 AOP OI Objective, 2022 AOP OI Objective or 2023 AOP OI Objective) have been achieved for a performance period completed prior to your Termination Date, and (c) the applicable tranche (i.e. the First Tranche 2021 Performance Share Units, the Second Tranche 2021 Performance Share Units, or the Third Tranche 2021 Performance Share Units) has not vested as of the Termination Date, then an amount to be calculated as provided for below in Paragraph 10(d)(iii) shall be paid to you (the "</w:t>
      </w:r>
      <w:r>
        <w:rPr>
          <w:rFonts w:ascii="Arial" w:cs="Arial" w:eastAsia="Arial" w:hAnsi="Arial"/>
          <w:sz w:val="19"/>
          <w:szCs w:val="19"/>
          <w:b w:val="1"/>
          <w:bCs w:val="1"/>
          <w:i w:val="1"/>
          <w:iCs w:val="1"/>
          <w:color w:val="auto"/>
        </w:rPr>
        <w:t>PSU Termination Consideration</w:t>
      </w:r>
      <w:r>
        <w:rPr>
          <w:rFonts w:ascii="Arial" w:cs="Arial" w:eastAsia="Arial" w:hAnsi="Arial"/>
          <w:sz w:val="19"/>
          <w:szCs w:val="19"/>
          <w:color w:val="auto"/>
        </w:rPr>
        <w:t>"</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This amount shall be paid within 30 days after the date the Compensation Committee determines that the applicable performance objective(s) (i.e. 2021 AOP OI Objective, 2022 AOP OI Objective and/or 2023 AOP OI Objective) have been achieved (if any), provided that this is no sooner than the 60th day following the Termination Date and no later than December 31 of the year in which the Termination Date occurs, and will be subject to applicable taxes and withholdings.</w:t>
      </w:r>
    </w:p>
    <w:p>
      <w:pPr>
        <w:spacing w:after="0" w:line="204" w:lineRule="exact"/>
        <w:rPr>
          <w:rFonts w:ascii="Arial" w:cs="Arial" w:eastAsia="Arial" w:hAnsi="Arial"/>
          <w:sz w:val="19"/>
          <w:szCs w:val="19"/>
          <w:color w:val="auto"/>
        </w:rPr>
      </w:pPr>
    </w:p>
    <w:p>
      <w:pPr>
        <w:jc w:val="both"/>
        <w:ind w:left="1251" w:hanging="621"/>
        <w:spacing w:after="0" w:line="226" w:lineRule="auto"/>
        <w:tabs>
          <w:tab w:leader="none" w:pos="1251"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The formula for determining the PSU Termination Consideration for each applicable tranche of cancelled 2021 Performance Share Units, if any, (i.e. the First Tranche 2021 Performance Share Units, the Second Tranche 2021 Performance Share Units or the Third Tranche 2021 Performance Share Units) is as follows: multiply the Grant Date Price by the product of the number of performance share units for the applicable tranche by the ratio, as determined by the Compensation Committee, in its discretion, of the non- GAAP operating income for the applicable time period to the AOP OI Objective for the applicable fiscal year (e.g. the performance objective for the applicable fiscal year) or applicable time period, up to the applicable maximum percentage.</w:t>
      </w:r>
    </w:p>
    <w:p>
      <w:pPr>
        <w:spacing w:after="0" w:line="182" w:lineRule="exact"/>
        <w:rPr>
          <w:rFonts w:ascii="Arial" w:cs="Arial" w:eastAsia="Arial" w:hAnsi="Arial"/>
          <w:sz w:val="20"/>
          <w:szCs w:val="20"/>
          <w:color w:val="auto"/>
        </w:rPr>
      </w:pPr>
    </w:p>
    <w:p>
      <w:pPr>
        <w:jc w:val="both"/>
        <w:ind w:left="1251" w:hanging="621"/>
        <w:spacing w:after="0" w:line="228" w:lineRule="auto"/>
        <w:tabs>
          <w:tab w:leader="none" w:pos="1239"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Severance Conditioned Upon Release</w:t>
      </w:r>
      <w:r>
        <w:rPr>
          <w:rFonts w:ascii="Arial" w:cs="Arial" w:eastAsia="Arial" w:hAnsi="Arial"/>
          <w:sz w:val="20"/>
          <w:szCs w:val="20"/>
          <w:color w:val="auto"/>
        </w:rPr>
        <w:t>. Payments and benefits described in Sections 10(d) are conditioned upon your or your legal representative's execution of a waiver and release in a form prepared by the Employer and that release becoming effective and irrevocable in its entirety within 60 days of the Termination Date. Unless otherwise provided by the Employer, if the release referenced above does not become effective and irrevocable on or prior to the 60th day following the Termination Date, you shall not be entitled to any payments under this Section 10(d).</w:t>
      </w:r>
    </w:p>
    <w:p>
      <w:pPr>
        <w:spacing w:after="0" w:line="197" w:lineRule="exact"/>
        <w:rPr>
          <w:rFonts w:ascii="Arial" w:cs="Arial" w:eastAsia="Arial" w:hAnsi="Arial"/>
          <w:sz w:val="20"/>
          <w:szCs w:val="20"/>
          <w:color w:val="auto"/>
        </w:rPr>
      </w:pPr>
    </w:p>
    <w:p>
      <w:pPr>
        <w:ind w:left="-629" w:right="20" w:firstLine="629"/>
        <w:spacing w:after="0" w:line="236" w:lineRule="auto"/>
        <w:tabs>
          <w:tab w:leader="none" w:pos="312"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Termination by the Employer For Cause. In the event your employment is terminated by the Employer under Section 9(a), then:</w:t>
      </w:r>
    </w:p>
    <w:p>
      <w:pPr>
        <w:sectPr>
          <w:pgSz w:w="11900" w:h="16838" w:orient="portrait"/>
          <w:cols w:equalWidth="0" w:num="1">
            <w:col w:w="10091"/>
          </w:cols>
          <w:pgMar w:left="1269" w:top="1049" w:right="539" w:bottom="1440" w:gutter="0" w:footer="0" w:header="0"/>
        </w:sectPr>
      </w:pPr>
    </w:p>
    <w:bookmarkStart w:id="308" w:name="page309"/>
    <w:bookmarkEnd w:id="308"/>
    <w:p>
      <w:pPr>
        <w:jc w:val="both"/>
        <w:ind w:left="1251" w:hanging="621"/>
        <w:spacing w:after="0" w:line="222" w:lineRule="auto"/>
        <w:tabs>
          <w:tab w:leader="none" w:pos="1239" w:val="left"/>
        </w:tabs>
        <w:numPr>
          <w:ilvl w:val="1"/>
          <w:numId w:val="195"/>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81" w:lineRule="exact"/>
        <w:rPr>
          <w:rFonts w:ascii="Arial" w:cs="Arial" w:eastAsia="Arial" w:hAnsi="Arial"/>
          <w:sz w:val="21"/>
          <w:szCs w:val="21"/>
          <w:color w:val="auto"/>
        </w:rPr>
      </w:pPr>
    </w:p>
    <w:p>
      <w:pPr>
        <w:ind w:left="1251" w:right="20" w:hanging="621"/>
        <w:spacing w:after="0" w:line="236" w:lineRule="auto"/>
        <w:tabs>
          <w:tab w:leader="none" w:pos="1245" w:val="left"/>
        </w:tabs>
        <w:numPr>
          <w:ilvl w:val="1"/>
          <w:numId w:val="195"/>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and, whether or not vested, shall no longer be exercisable and shall be cancelled immediately.</w:t>
      </w:r>
    </w:p>
    <w:p>
      <w:pPr>
        <w:spacing w:after="0" w:line="193" w:lineRule="exact"/>
        <w:rPr>
          <w:rFonts w:ascii="Arial" w:cs="Arial" w:eastAsia="Arial" w:hAnsi="Arial"/>
          <w:sz w:val="21"/>
          <w:szCs w:val="21"/>
          <w:color w:val="auto"/>
        </w:rPr>
      </w:pPr>
    </w:p>
    <w:p>
      <w:pPr>
        <w:ind w:left="311" w:hanging="311"/>
        <w:spacing w:after="0"/>
        <w:tabs>
          <w:tab w:leader="none" w:pos="311"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Termination on the Expiration Date. In the event your employment terminates on the Expiration Date, then:</w:t>
      </w:r>
    </w:p>
    <w:p>
      <w:pPr>
        <w:spacing w:after="0" w:line="228" w:lineRule="exact"/>
        <w:rPr>
          <w:rFonts w:ascii="Arial" w:cs="Arial" w:eastAsia="Arial" w:hAnsi="Arial"/>
          <w:sz w:val="20"/>
          <w:szCs w:val="20"/>
          <w:color w:val="auto"/>
        </w:rPr>
      </w:pPr>
    </w:p>
    <w:p>
      <w:pPr>
        <w:jc w:val="both"/>
        <w:ind w:left="1251" w:hanging="621"/>
        <w:spacing w:after="0" w:line="222" w:lineRule="auto"/>
        <w:tabs>
          <w:tab w:leader="none" w:pos="1239" w:val="left"/>
        </w:tabs>
        <w:numPr>
          <w:ilvl w:val="1"/>
          <w:numId w:val="196"/>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81" w:lineRule="exact"/>
        <w:rPr>
          <w:rFonts w:ascii="Arial" w:cs="Arial" w:eastAsia="Arial" w:hAnsi="Arial"/>
          <w:sz w:val="21"/>
          <w:szCs w:val="21"/>
          <w:color w:val="auto"/>
        </w:rPr>
      </w:pPr>
    </w:p>
    <w:p>
      <w:pPr>
        <w:ind w:left="1251" w:hanging="621"/>
        <w:spacing w:after="0" w:line="283" w:lineRule="auto"/>
        <w:tabs>
          <w:tab w:leader="none" w:pos="1245"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Bonus Severance</w:t>
      </w:r>
      <w:r>
        <w:rPr>
          <w:rFonts w:ascii="Arial" w:cs="Arial" w:eastAsia="Arial" w:hAnsi="Arial"/>
          <w:sz w:val="19"/>
          <w:szCs w:val="19"/>
          <w:color w:val="auto"/>
        </w:rPr>
        <w:t>. You shall receive payment of the Bonus Severance in a lump sum no later than the 15th day of the third month of the year following the year to which the underlying amount relates; and</w:t>
      </w:r>
    </w:p>
    <w:p>
      <w:pPr>
        <w:spacing w:after="0" w:line="153" w:lineRule="exact"/>
        <w:rPr>
          <w:rFonts w:ascii="Arial" w:cs="Arial" w:eastAsia="Arial" w:hAnsi="Arial"/>
          <w:sz w:val="19"/>
          <w:szCs w:val="19"/>
          <w:color w:val="auto"/>
        </w:rPr>
      </w:pPr>
    </w:p>
    <w:p>
      <w:pPr>
        <w:jc w:val="both"/>
        <w:ind w:left="1251" w:hanging="621"/>
        <w:spacing w:after="0" w:line="227" w:lineRule="auto"/>
        <w:tabs>
          <w:tab w:leader="none" w:pos="1251" w:val="left"/>
        </w:tabs>
        <w:numPr>
          <w:ilvl w:val="1"/>
          <w:numId w:val="196"/>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93" w:lineRule="exact"/>
        <w:rPr>
          <w:rFonts w:ascii="Arial" w:cs="Arial" w:eastAsia="Arial" w:hAnsi="Arial"/>
          <w:sz w:val="21"/>
          <w:szCs w:val="21"/>
          <w:color w:val="auto"/>
        </w:rPr>
      </w:pPr>
    </w:p>
    <w:p>
      <w:pPr>
        <w:ind w:left="311" w:hanging="311"/>
        <w:spacing w:after="0"/>
        <w:tabs>
          <w:tab w:leader="none" w:pos="311" w:val="left"/>
        </w:tabs>
        <w:numPr>
          <w:ilvl w:val="0"/>
          <w:numId w:val="196"/>
        </w:numPr>
        <w:rPr>
          <w:rFonts w:ascii="Arial" w:cs="Arial" w:eastAsia="Arial" w:hAnsi="Arial"/>
          <w:sz w:val="21"/>
          <w:szCs w:val="21"/>
          <w:color w:val="auto"/>
        </w:rPr>
      </w:pPr>
      <w:r>
        <w:rPr>
          <w:rFonts w:ascii="Arial" w:cs="Arial" w:eastAsia="Arial" w:hAnsi="Arial"/>
          <w:sz w:val="21"/>
          <w:szCs w:val="21"/>
          <w:color w:val="auto"/>
        </w:rPr>
        <w:t>Breach of Post-termination Obligations or Subsequent Employment.</w:t>
      </w:r>
    </w:p>
    <w:p>
      <w:pPr>
        <w:spacing w:after="0" w:line="204" w:lineRule="exact"/>
        <w:rPr>
          <w:rFonts w:ascii="Arial" w:cs="Arial" w:eastAsia="Arial" w:hAnsi="Arial"/>
          <w:sz w:val="21"/>
          <w:szCs w:val="21"/>
          <w:color w:val="auto"/>
        </w:rPr>
      </w:pPr>
    </w:p>
    <w:p>
      <w:pPr>
        <w:jc w:val="both"/>
        <w:ind w:left="1251" w:hanging="621"/>
        <w:spacing w:after="0" w:line="222" w:lineRule="auto"/>
        <w:tabs>
          <w:tab w:leader="none" w:pos="1239" w:val="left"/>
        </w:tabs>
        <w:numPr>
          <w:ilvl w:val="1"/>
          <w:numId w:val="196"/>
        </w:numPr>
        <w:rPr>
          <w:rFonts w:ascii="Arial" w:cs="Arial" w:eastAsia="Arial" w:hAnsi="Arial"/>
          <w:sz w:val="21"/>
          <w:szCs w:val="21"/>
          <w:color w:val="auto"/>
        </w:rPr>
      </w:pPr>
      <w:r>
        <w:rPr>
          <w:rFonts w:ascii="Arial" w:cs="Arial" w:eastAsia="Arial" w:hAnsi="Arial"/>
          <w:sz w:val="21"/>
          <w:szCs w:val="21"/>
          <w:u w:val="single" w:color="auto"/>
          <w:color w:val="auto"/>
        </w:rPr>
        <w:t>Breach of Post-termination Obligations</w:t>
      </w:r>
      <w:r>
        <w:rPr>
          <w:rFonts w:ascii="Arial" w:cs="Arial" w:eastAsia="Arial" w:hAnsi="Arial"/>
          <w:sz w:val="21"/>
          <w:szCs w:val="21"/>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94" w:lineRule="exact"/>
        <w:rPr>
          <w:rFonts w:ascii="Arial" w:cs="Arial" w:eastAsia="Arial" w:hAnsi="Arial"/>
          <w:sz w:val="21"/>
          <w:szCs w:val="21"/>
          <w:color w:val="auto"/>
        </w:rPr>
      </w:pPr>
    </w:p>
    <w:p>
      <w:pPr>
        <w:jc w:val="both"/>
        <w:ind w:left="1251" w:hanging="621"/>
        <w:spacing w:after="0" w:line="224" w:lineRule="auto"/>
        <w:tabs>
          <w:tab w:leader="none" w:pos="1245" w:val="left"/>
        </w:tabs>
        <w:numPr>
          <w:ilvl w:val="1"/>
          <w:numId w:val="196"/>
        </w:numPr>
        <w:rPr>
          <w:rFonts w:ascii="Arial" w:cs="Arial" w:eastAsia="Arial" w:hAnsi="Arial"/>
          <w:sz w:val="20"/>
          <w:szCs w:val="20"/>
          <w:color w:val="auto"/>
        </w:rPr>
      </w:pPr>
      <w:r>
        <w:rPr>
          <w:rFonts w:ascii="Arial" w:cs="Arial" w:eastAsia="Arial" w:hAnsi="Arial"/>
          <w:sz w:val="20"/>
          <w:szCs w:val="20"/>
          <w:u w:val="single" w:color="auto"/>
          <w:color w:val="auto"/>
        </w:rPr>
        <w:t>Subsequent Employment or Services</w:t>
      </w:r>
      <w:r>
        <w:rPr>
          <w:rFonts w:ascii="Arial" w:cs="Arial" w:eastAsia="Arial" w:hAnsi="Arial"/>
          <w:sz w:val="20"/>
          <w:szCs w:val="20"/>
          <w:color w:val="auto"/>
        </w:rPr>
        <w:t>. Notwithstanding anything to the contrary contained herein, you shall receive any payments and benefits to which you may be entitled under Section 10 (other than payment of the Basic Severance) only for the time period that you do not obtain subsequent employment, self-employment or provide services for compensation to any type of entity. This provision shall apply if you provide services of any kind for compensation, whether as principal, owner, partner, agent, shareholder, director, employee, consultant, advisor or otherwise, to any person, company, venture or other person or business entity, unless: (a) the Chief Executive Officer consents, in writing, to such post-employment activities; or (b) the activity or service was approved by the Chief Executive Officer in writing pursuant to Section 4 of this Agreement as of your Termination Date. If, at any time, you obtain subsequent employment or provide</w:t>
      </w:r>
    </w:p>
    <w:p>
      <w:pPr>
        <w:sectPr>
          <w:pgSz w:w="11900" w:h="16838" w:orient="portrait"/>
          <w:cols w:equalWidth="0" w:num="1">
            <w:col w:w="10091"/>
          </w:cols>
          <w:pgMar w:left="1269" w:top="1115" w:right="539" w:bottom="1440" w:gutter="0" w:footer="0" w:header="0"/>
        </w:sectPr>
      </w:pPr>
    </w:p>
    <w:bookmarkStart w:id="309" w:name="page310"/>
    <w:bookmarkEnd w:id="309"/>
    <w:p>
      <w:pPr>
        <w:jc w:val="both"/>
        <w:ind w:left="1880"/>
        <w:spacing w:after="0" w:line="241" w:lineRule="auto"/>
        <w:rPr>
          <w:sz w:val="20"/>
          <w:szCs w:val="20"/>
          <w:color w:val="auto"/>
        </w:rPr>
      </w:pPr>
      <w:r>
        <w:rPr>
          <w:rFonts w:ascii="Arial" w:cs="Arial" w:eastAsia="Arial" w:hAnsi="Arial"/>
          <w:sz w:val="19"/>
          <w:szCs w:val="19"/>
          <w:color w:val="auto"/>
        </w:rPr>
        <w:t xml:space="preserve">services as set forth in the prior sentence, you must promptly notify the Employer. Any payments and benefits to which you may be entitled under Section 10 (other than payment of the Basic Severance) shall: (a) cease as of the date you commenced such employment or provision of services; or (b) if the activity was pre-approved by the Chief Executive Officer, may be offset by whatever amount you earned during the relevant period from the approved employment or services, at the Chief Executive Officer's discretion. Such discretion will be exercised in a manner consistent with </w:t>
      </w:r>
      <w:r>
        <w:rPr>
          <w:rFonts w:ascii="Arial" w:cs="Arial" w:eastAsia="Arial" w:hAnsi="Arial"/>
          <w:sz w:val="19"/>
          <w:szCs w:val="19"/>
          <w:color w:val="090909"/>
        </w:rPr>
        <w:t>similarly situated executives.</w:t>
      </w:r>
    </w:p>
    <w:p>
      <w:pPr>
        <w:spacing w:after="0" w:line="179" w:lineRule="exact"/>
        <w:rPr>
          <w:sz w:val="20"/>
          <w:szCs w:val="20"/>
          <w:color w:val="auto"/>
        </w:rPr>
      </w:pPr>
    </w:p>
    <w:p>
      <w:pPr>
        <w:ind w:left="620" w:hanging="620"/>
        <w:spacing w:after="0"/>
        <w:tabs>
          <w:tab w:leader="none" w:pos="62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p>
    <w:p>
      <w:pPr>
        <w:spacing w:after="0" w:line="217" w:lineRule="exact"/>
        <w:rPr>
          <w:rFonts w:ascii="Arial" w:cs="Arial" w:eastAsia="Arial" w:hAnsi="Arial"/>
          <w:sz w:val="21"/>
          <w:szCs w:val="21"/>
          <w:color w:val="auto"/>
        </w:rPr>
      </w:pPr>
    </w:p>
    <w:p>
      <w:pPr>
        <w:jc w:val="both"/>
        <w:ind w:firstLine="629"/>
        <w:spacing w:after="0" w:line="225" w:lineRule="auto"/>
        <w:tabs>
          <w:tab w:leader="none" w:pos="941" w:val="left"/>
        </w:tabs>
        <w:numPr>
          <w:ilvl w:val="1"/>
          <w:numId w:val="197"/>
        </w:numPr>
        <w:rPr>
          <w:rFonts w:ascii="Arial" w:cs="Arial" w:eastAsia="Arial" w:hAnsi="Arial"/>
          <w:sz w:val="20"/>
          <w:szCs w:val="20"/>
          <w:color w:val="auto"/>
        </w:rPr>
      </w:pPr>
      <w:r>
        <w:rPr>
          <w:rFonts w:ascii="Arial" w:cs="Arial" w:eastAsia="Arial" w:hAnsi="Arial"/>
          <w:sz w:val="20"/>
          <w:szCs w:val="20"/>
          <w:color w:val="auto"/>
        </w:rPr>
        <w:t>Entire Agreement. This Agreement, together with the Confidential Information Agreement, the Activision Blizzard Dispute Resolution Agreement (the "Dispute Resolution Agreement", as referenced in Section 11(k) below), and the New Employee Letter and Certification (as defined in Section 11(d)), supersede all prior or contemporaneous agreements and statements, whether written or oral, concerning the terms of your employment with Activision Blizzard, and no amendment or modification of these agreements shall be binding unless it is set forth in a writing signed by both the Employer and you. You acknowledge that in entering into this Agreement, you are not relying on any promises or representations (whether oral or written) other than those set forth in the agreements referenced in this Section. To the extent that this Agreement conflicts with any of the Employer's policies, procedures, rules or regulations, this Agreement shall supersede the other policies, procedures, rules or regulations.</w:t>
      </w:r>
    </w:p>
    <w:p>
      <w:pPr>
        <w:spacing w:after="0" w:line="197" w:lineRule="exact"/>
        <w:rPr>
          <w:rFonts w:ascii="Arial" w:cs="Arial" w:eastAsia="Arial" w:hAnsi="Arial"/>
          <w:sz w:val="20"/>
          <w:szCs w:val="20"/>
          <w:color w:val="auto"/>
        </w:rPr>
      </w:pPr>
    </w:p>
    <w:p>
      <w:pPr>
        <w:jc w:val="both"/>
        <w:ind w:right="20" w:firstLine="629"/>
        <w:spacing w:after="0" w:line="227" w:lineRule="auto"/>
        <w:tabs>
          <w:tab w:leader="none" w:pos="940" w:val="left"/>
        </w:tabs>
        <w:numPr>
          <w:ilvl w:val="1"/>
          <w:numId w:val="197"/>
        </w:numPr>
        <w:rPr>
          <w:rFonts w:ascii="Arial" w:cs="Arial" w:eastAsia="Arial" w:hAnsi="Arial"/>
          <w:sz w:val="21"/>
          <w:szCs w:val="21"/>
          <w:color w:val="auto"/>
        </w:rPr>
      </w:pPr>
      <w:r>
        <w:rPr>
          <w:rFonts w:ascii="Arial" w:cs="Arial" w:eastAsia="Arial" w:hAnsi="Arial"/>
          <w:sz w:val="21"/>
          <w:szCs w:val="21"/>
          <w:color w:val="auto"/>
        </w:rPr>
        <w:t>Use of Employee's Name and Likeness. You hereby irrevocably grant Activision Blizzard the right, but not the obligation, to use your name or likeness in any product made by Activision Blizzard or for any publicity or advertising purpose in any medium now known or hereafter existing.</w:t>
      </w:r>
    </w:p>
    <w:p>
      <w:pPr>
        <w:spacing w:after="0" w:line="180" w:lineRule="exact"/>
        <w:rPr>
          <w:rFonts w:ascii="Arial" w:cs="Arial" w:eastAsia="Arial" w:hAnsi="Arial"/>
          <w:sz w:val="21"/>
          <w:szCs w:val="21"/>
          <w:color w:val="auto"/>
        </w:rPr>
      </w:pPr>
    </w:p>
    <w:p>
      <w:pPr>
        <w:jc w:val="both"/>
        <w:ind w:firstLine="629"/>
        <w:spacing w:after="0" w:line="233" w:lineRule="auto"/>
        <w:tabs>
          <w:tab w:leader="none" w:pos="941"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Assignment. This Agreement and the rights and obligations hereunder shall not be assignable or transferable by you without the prior written consent of the 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95" w:lineRule="exact"/>
        <w:rPr>
          <w:rFonts w:ascii="Arial" w:cs="Arial" w:eastAsia="Arial" w:hAnsi="Arial"/>
          <w:sz w:val="20"/>
          <w:szCs w:val="20"/>
          <w:color w:val="auto"/>
        </w:rPr>
      </w:pPr>
    </w:p>
    <w:p>
      <w:pPr>
        <w:jc w:val="both"/>
        <w:ind w:firstLine="629"/>
        <w:spacing w:after="0" w:line="234" w:lineRule="auto"/>
        <w:tabs>
          <w:tab w:leader="none" w:pos="94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No Conflict with Prior Agreements. You represent to the Employer that neither your commencement of employment under this Agreement nor the performance of your duties under this Agreement conflicts or will conflict with any contractual or legal commitment on your part to any third party, nor does it or will it violate or interfere with any rights of any third party and you will notify us prior to your execution of this Agreement if you may be subject to or have executed any contracts, offer letters or any other documents that contain any unexpired post termination restrictions such as a non-competition or non-solicitation agreement. If you have acquired any confidential or proprietary information in the course of your prior employment or otherwise in connection with your provision of services to any entity outside Activision Blizzard, during the Term you will fully comply with any duties to such entity then-applicable to you not to disclose or otherwise use such information. Without limiting the generality of the foregoing, you acknowledge signing and delivering to the Employer the New Employee Letter and Certification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New Employee Letter and Certification</w:t>
      </w:r>
      <w:r>
        <w:rPr>
          <w:rFonts w:ascii="Arial" w:cs="Arial" w:eastAsia="Arial" w:hAnsi="Arial"/>
          <w:sz w:val="19"/>
          <w:szCs w:val="19"/>
          <w:color w:val="auto"/>
        </w:rPr>
        <w:t>") as of the Effective Date and you agree that all terms and conditions contained in such agreement, and all of your obligations and commitments provided for in such agreement, shall be deemed, and hereby are, incorporated into this Agreement as if set forth in full herein. You further acknowledge and agree that any misrepresentation to the Employer of any of the provisions contained in this Section 11(d) constitutes a material breach of this Agreement pursuant to Section 9(a)(i) of this Agreement.</w:t>
      </w:r>
    </w:p>
    <w:p>
      <w:pPr>
        <w:sectPr>
          <w:pgSz w:w="11900" w:h="16838" w:orient="portrait"/>
          <w:cols w:equalWidth="0" w:num="1">
            <w:col w:w="10720"/>
          </w:cols>
          <w:pgMar w:left="640" w:top="1114" w:right="539" w:bottom="1440" w:gutter="0" w:footer="0" w:header="0"/>
        </w:sectPr>
      </w:pPr>
    </w:p>
    <w:bookmarkStart w:id="310" w:name="page311"/>
    <w:bookmarkEnd w:id="310"/>
    <w:p>
      <w:pPr>
        <w:jc w:val="both"/>
        <w:ind w:left="-629" w:firstLine="629"/>
        <w:spacing w:after="0" w:line="227" w:lineRule="auto"/>
        <w:tabs>
          <w:tab w:leader="none" w:pos="312" w:val="left"/>
        </w:tabs>
        <w:numPr>
          <w:ilvl w:val="0"/>
          <w:numId w:val="198"/>
        </w:numPr>
        <w:rPr>
          <w:rFonts w:ascii="Arial" w:cs="Arial" w:eastAsia="Arial" w:hAnsi="Arial"/>
          <w:sz w:val="21"/>
          <w:szCs w:val="21"/>
          <w:color w:val="auto"/>
        </w:rPr>
      </w:pPr>
      <w:r>
        <w:rPr>
          <w:rFonts w:ascii="Arial" w:cs="Arial" w:eastAsia="Arial" w:hAnsi="Arial"/>
          <w:sz w:val="21"/>
          <w:szCs w:val="21"/>
          <w:color w:val="auto"/>
        </w:rPr>
        <w:t>Successors. This Agreement shall be binding on and inure to the benefit of the Employer and its successors and assigns, including successors by merger and operation of law. This Agreement shall also be binding on and inure to the benefit of you and your heirs, executors, administrators and legal representatives.</w:t>
      </w:r>
    </w:p>
    <w:p>
      <w:pPr>
        <w:spacing w:after="0" w:line="193" w:lineRule="exact"/>
        <w:rPr>
          <w:rFonts w:ascii="Arial" w:cs="Arial" w:eastAsia="Arial" w:hAnsi="Arial"/>
          <w:sz w:val="21"/>
          <w:szCs w:val="21"/>
          <w:color w:val="auto"/>
        </w:rPr>
      </w:pPr>
    </w:p>
    <w:p>
      <w:pPr>
        <w:jc w:val="both"/>
        <w:ind w:left="-629" w:firstLine="629"/>
        <w:spacing w:after="0" w:line="219" w:lineRule="auto"/>
        <w:tabs>
          <w:tab w:leader="none" w:pos="315" w:val="left"/>
        </w:tabs>
        <w:numPr>
          <w:ilvl w:val="0"/>
          <w:numId w:val="198"/>
        </w:numPr>
        <w:rPr>
          <w:rFonts w:ascii="Arial" w:cs="Arial" w:eastAsia="Arial" w:hAnsi="Arial"/>
          <w:sz w:val="21"/>
          <w:szCs w:val="21"/>
          <w:color w:val="auto"/>
        </w:rPr>
      </w:pPr>
      <w:r>
        <w:rPr>
          <w:rFonts w:ascii="Arial" w:cs="Arial" w:eastAsia="Arial" w:hAnsi="Arial"/>
          <w:sz w:val="21"/>
          <w:szCs w:val="21"/>
          <w:color w:val="auto"/>
        </w:rPr>
        <w:t>Waiver. No waiver by you or the Employer at any time of any breach by the other party of, or compliance with, any condition or 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83" w:lineRule="exact"/>
        <w:rPr>
          <w:rFonts w:ascii="Arial" w:cs="Arial" w:eastAsia="Arial" w:hAnsi="Arial"/>
          <w:sz w:val="21"/>
          <w:szCs w:val="21"/>
          <w:color w:val="auto"/>
        </w:rPr>
      </w:pPr>
    </w:p>
    <w:p>
      <w:pPr>
        <w:jc w:val="both"/>
        <w:ind w:left="-629" w:firstLine="629"/>
        <w:spacing w:after="0" w:line="219" w:lineRule="auto"/>
        <w:tabs>
          <w:tab w:leader="none" w:pos="31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Expiration. This Agreement does not constitute a commitment of the Employer with regard to your employment, express or implied, other than to the extent expressly provided for herein. Upon the Expiration Date, or, if earlier, the termination of this Agreement pursuant to Section 9, neither the Employer nor you shall have any obligation to the other with respect to your continued employment. Your obligations under Section 8 shall continue following the Expiration Date or termination of this Agreement.</w:t>
      </w:r>
    </w:p>
    <w:p>
      <w:pPr>
        <w:spacing w:after="0" w:line="196" w:lineRule="exact"/>
        <w:rPr>
          <w:rFonts w:ascii="Arial" w:cs="Arial" w:eastAsia="Arial" w:hAnsi="Arial"/>
          <w:sz w:val="21"/>
          <w:szCs w:val="21"/>
          <w:color w:val="auto"/>
        </w:rPr>
      </w:pPr>
    </w:p>
    <w:p>
      <w:pPr>
        <w:jc w:val="both"/>
        <w:ind w:left="-629" w:firstLine="629"/>
        <w:spacing w:after="0" w:line="227" w:lineRule="auto"/>
        <w:tabs>
          <w:tab w:leader="none" w:pos="31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Taxation. The Employer may withhold from any payments made under the Agreement all federal, state, city or other applicable taxes or amounts as shall be required or permitted pursuant to any law, governmental regulation or ruling or agreement with you.</w:t>
      </w:r>
    </w:p>
    <w:p>
      <w:pPr>
        <w:spacing w:after="0" w:line="193" w:lineRule="exact"/>
        <w:rPr>
          <w:rFonts w:ascii="Arial" w:cs="Arial" w:eastAsia="Arial" w:hAnsi="Arial"/>
          <w:sz w:val="21"/>
          <w:szCs w:val="21"/>
          <w:color w:val="auto"/>
        </w:rPr>
      </w:pPr>
    </w:p>
    <w:p>
      <w:pPr>
        <w:jc w:val="both"/>
        <w:ind w:left="-629" w:firstLine="629"/>
        <w:spacing w:after="0" w:line="237" w:lineRule="auto"/>
        <w:tabs>
          <w:tab w:leader="none" w:pos="30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Immigration and Background Check. In accordance with the Immigration Reform and Control Act of 1986, employment under this Agreement is conditioned upon satisfactory proof of your identity and legal ability to work in the United States. In addition, this contract of employment is conditioned upon your successful completion of a background check (as determined by the Employer in its discretion). Honesty during the hiring process and throughout an employee's tenure is required, and any suspected misrepresentations, falsifications or material omissions, no matter when discovered by the Employer, may result in disqualification from any or continued employment. Accordingly, you acknowledge and agree that pursuant to the conditions articulated in this Section 11(i) that failure to provide proof of your identity and legal ability to work in the United States pursuant to U.S. law or failure to successfully complete the Employer's background check process shall constitute a material breach of this Agreement pursuant to Section 9(a)(i) of this Agreement.</w:t>
      </w:r>
    </w:p>
    <w:p>
      <w:pPr>
        <w:spacing w:after="0" w:line="182" w:lineRule="exact"/>
        <w:rPr>
          <w:rFonts w:ascii="Arial" w:cs="Arial" w:eastAsia="Arial" w:hAnsi="Arial"/>
          <w:sz w:val="19"/>
          <w:szCs w:val="19"/>
          <w:color w:val="auto"/>
        </w:rPr>
      </w:pPr>
    </w:p>
    <w:p>
      <w:pPr>
        <w:jc w:val="both"/>
        <w:ind w:left="-629" w:right="20" w:firstLine="629"/>
        <w:spacing w:after="0" w:line="227" w:lineRule="auto"/>
        <w:tabs>
          <w:tab w:leader="none" w:pos="303" w:val="left"/>
        </w:tabs>
        <w:numPr>
          <w:ilvl w:val="0"/>
          <w:numId w:val="198"/>
        </w:numPr>
        <w:rPr>
          <w:rFonts w:ascii="Arial" w:cs="Arial" w:eastAsia="Arial" w:hAnsi="Arial"/>
          <w:sz w:val="21"/>
          <w:szCs w:val="21"/>
          <w:color w:val="auto"/>
        </w:rPr>
      </w:pPr>
      <w:r>
        <w:rPr>
          <w:rFonts w:ascii="Arial" w:cs="Arial" w:eastAsia="Arial" w:hAnsi="Arial"/>
          <w:sz w:val="21"/>
          <w:szCs w:val="21"/>
          <w:color w:val="auto"/>
        </w:rPr>
        <w:t>Choice of Law. Except to the extent governed by federal law, this Agreement shall be governed by and construed in accordance with the laws of the state in which you were employed by the Employer, without regard to conflict of law principles.</w:t>
      </w:r>
    </w:p>
    <w:p>
      <w:pPr>
        <w:sectPr>
          <w:pgSz w:w="11900" w:h="16838" w:orient="portrait"/>
          <w:cols w:equalWidth="0" w:num="1">
            <w:col w:w="10091"/>
          </w:cols>
          <w:pgMar w:left="1269" w:top="1049" w:right="539" w:bottom="1440" w:gutter="0" w:footer="0" w:header="0"/>
        </w:sectPr>
      </w:pPr>
    </w:p>
    <w:bookmarkStart w:id="311" w:name="page312"/>
    <w:bookmarkEnd w:id="311"/>
    <w:p>
      <w:pPr>
        <w:jc w:val="both"/>
        <w:ind w:left="-629" w:firstLine="629"/>
        <w:spacing w:after="0" w:line="227" w:lineRule="auto"/>
        <w:tabs>
          <w:tab w:leader="none" w:pos="31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Arbitration. Except as otherwise provided in this Agreement, and the Non- Disclosure Agreement referenced above, both parties agree that any dispute or controversy between them will be settled by final and binding arbitration pursuant to the terms of the Dispute Resolution Agreement (attached hereto as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B).</w:t>
      </w:r>
    </w:p>
    <w:p>
      <w:pPr>
        <w:spacing w:after="0" w:line="180" w:lineRule="exact"/>
        <w:rPr>
          <w:rFonts w:ascii="Arial" w:cs="Arial" w:eastAsia="Arial" w:hAnsi="Arial"/>
          <w:sz w:val="21"/>
          <w:szCs w:val="21"/>
          <w:color w:val="auto"/>
        </w:rPr>
      </w:pPr>
    </w:p>
    <w:p>
      <w:pPr>
        <w:jc w:val="both"/>
        <w:ind w:left="-629" w:firstLine="629"/>
        <w:spacing w:after="0" w:line="236" w:lineRule="auto"/>
        <w:tabs>
          <w:tab w:leader="none" w:pos="30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Severability. It is expressly agreed by the parties that each of the provisions included in Section 8(f) is separate, distinct, and severable from the other and remaining provisions of Section 8(f), and that the invalidity or unenforceability of any Section 8(f)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98" w:lineRule="exact"/>
        <w:rPr>
          <w:rFonts w:ascii="Arial" w:cs="Arial" w:eastAsia="Arial" w:hAnsi="Arial"/>
          <w:sz w:val="19"/>
          <w:szCs w:val="19"/>
          <w:color w:val="auto"/>
        </w:rPr>
      </w:pPr>
    </w:p>
    <w:p>
      <w:pPr>
        <w:jc w:val="both"/>
        <w:ind w:left="-629" w:firstLine="629"/>
        <w:spacing w:after="0" w:line="238" w:lineRule="auto"/>
        <w:tabs>
          <w:tab w:leader="none" w:pos="37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Services Unique. You recognize that the services being performed by you under this Agreement are of a special, unique, unusual, extraordinary and intellectual character giving them a peculiar value, the loss of which cannot be reasonably or adequately compensated for in damages in the event of a breach of this Agreement by you.</w:t>
      </w:r>
    </w:p>
    <w:p>
      <w:pPr>
        <w:spacing w:after="0" w:line="194" w:lineRule="exact"/>
        <w:rPr>
          <w:rFonts w:ascii="Arial" w:cs="Arial" w:eastAsia="Arial" w:hAnsi="Arial"/>
          <w:sz w:val="20"/>
          <w:szCs w:val="20"/>
          <w:color w:val="auto"/>
        </w:rPr>
      </w:pPr>
    </w:p>
    <w:p>
      <w:pPr>
        <w:jc w:val="both"/>
        <w:ind w:left="-629" w:firstLine="629"/>
        <w:spacing w:after="0" w:line="241" w:lineRule="auto"/>
        <w:tabs>
          <w:tab w:leader="none" w:pos="31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Injunctive Relief. In the event of a breach of or threatened breach of the provisions of this Agreement regarding the exclusivity of your 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Exhibit B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178" w:lineRule="exact"/>
        <w:rPr>
          <w:rFonts w:ascii="Arial" w:cs="Arial" w:eastAsia="Arial" w:hAnsi="Arial"/>
          <w:sz w:val="19"/>
          <w:szCs w:val="19"/>
          <w:color w:val="auto"/>
        </w:rPr>
      </w:pPr>
    </w:p>
    <w:p>
      <w:pPr>
        <w:ind w:left="-629" w:firstLine="629"/>
        <w:spacing w:after="0" w:line="236" w:lineRule="auto"/>
        <w:tabs>
          <w:tab w:leader="none" w:pos="31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Remedies Cumulative. The remedies in this Agreement are not exclusive, and the parties shall have the right to pursue any other legal or equitable remedies to enforce the terms of this Agreement.</w:t>
      </w:r>
    </w:p>
    <w:p>
      <w:pPr>
        <w:spacing w:after="0" w:line="193" w:lineRule="exact"/>
        <w:rPr>
          <w:rFonts w:ascii="Arial" w:cs="Arial" w:eastAsia="Arial" w:hAnsi="Arial"/>
          <w:sz w:val="21"/>
          <w:szCs w:val="21"/>
          <w:color w:val="auto"/>
        </w:rPr>
      </w:pPr>
    </w:p>
    <w:p>
      <w:pPr>
        <w:ind w:left="-629" w:firstLine="629"/>
        <w:spacing w:after="0" w:line="236" w:lineRule="auto"/>
        <w:tabs>
          <w:tab w:leader="none" w:pos="31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Headings. The headings set forth herein are included solely for the purpose of identification and shall not be used for the purpose of construing the meaning of the provisions of this Agreement.</w:t>
      </w:r>
    </w:p>
    <w:p>
      <w:pPr>
        <w:spacing w:after="0" w:line="193" w:lineRule="exact"/>
        <w:rPr>
          <w:rFonts w:ascii="Arial" w:cs="Arial" w:eastAsia="Arial" w:hAnsi="Arial"/>
          <w:sz w:val="21"/>
          <w:szCs w:val="21"/>
          <w:color w:val="auto"/>
        </w:rPr>
      </w:pPr>
    </w:p>
    <w:p>
      <w:pPr>
        <w:jc w:val="both"/>
        <w:ind w:left="-629" w:firstLine="629"/>
        <w:spacing w:after="0" w:line="217" w:lineRule="auto"/>
        <w:tabs>
          <w:tab w:leader="none" w:pos="31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Section 409A. To the extent applicable, it is intended that the Agreement comply with the provisions of Section 409A. The Agreement 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w:t>
      </w:r>
    </w:p>
    <w:p>
      <w:pPr>
        <w:sectPr>
          <w:pgSz w:w="11900" w:h="16838" w:orient="portrait"/>
          <w:cols w:equalWidth="0" w:num="1">
            <w:col w:w="10091"/>
          </w:cols>
          <w:pgMar w:left="1269" w:top="1114" w:right="539" w:bottom="1440" w:gutter="0" w:footer="0" w:header="0"/>
        </w:sectPr>
      </w:pPr>
    </w:p>
    <w:bookmarkStart w:id="312" w:name="page313"/>
    <w:bookmarkEnd w:id="312"/>
    <w:p>
      <w:pPr>
        <w:jc w:val="both"/>
        <w:spacing w:after="0" w:line="234" w:lineRule="auto"/>
        <w:rPr>
          <w:sz w:val="20"/>
          <w:szCs w:val="20"/>
          <w:color w:val="auto"/>
        </w:rPr>
      </w:pPr>
      <w:r>
        <w:rPr>
          <w:rFonts w:ascii="Arial" w:cs="Arial" w:eastAsia="Arial" w:hAnsi="Arial"/>
          <w:sz w:val="19"/>
          <w:szCs w:val="19"/>
          <w:color w:val="auto"/>
        </w:rPr>
        <w:t>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provided, however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88" w:lineRule="exact"/>
        <w:rPr>
          <w:sz w:val="20"/>
          <w:szCs w:val="20"/>
          <w:color w:val="auto"/>
        </w:rPr>
      </w:pPr>
    </w:p>
    <w:p>
      <w:pPr>
        <w:jc w:val="both"/>
        <w:ind w:firstLine="629"/>
        <w:spacing w:after="0" w:line="234" w:lineRule="auto"/>
        <w:tabs>
          <w:tab w:leader="none" w:pos="94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Section 280G and Section 162(m). Notwithstanding anything herein to the contrary, in the event that you receive any payments or distributions, whether 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first reduced first; provided, however, that, in all events the payments provided under Section 10 of this Agreement which are not subject to Section 409A shall be reduced first. Similarly, you agree that no payments or distributions, whether payable, distributed or distributable pursuant to the terms of this Agreement or otherwise, shall be made to you if the Employer reasonably anticipates that Section 162(m) of the Code would prevent the Employer from receiving a deduction for such payment. If, however, any payment is not made pursuant to the previous sentence, the Employer shall make such payment as soon as practicable in the first calendar year that it reasonably determines that it can do so and still receive a deduction for such payment. The determinations to be made with respect to this Section 11(r) shall be made by a certified public accounting firm designated by the Employer.</w:t>
      </w:r>
    </w:p>
    <w:p>
      <w:pPr>
        <w:spacing w:after="0" w:line="201" w:lineRule="exact"/>
        <w:rPr>
          <w:rFonts w:ascii="Arial" w:cs="Arial" w:eastAsia="Arial" w:hAnsi="Arial"/>
          <w:sz w:val="19"/>
          <w:szCs w:val="19"/>
          <w:color w:val="auto"/>
        </w:rPr>
      </w:pPr>
    </w:p>
    <w:p>
      <w:pPr>
        <w:ind w:firstLine="629"/>
        <w:spacing w:after="0" w:line="236" w:lineRule="auto"/>
        <w:tabs>
          <w:tab w:leader="none" w:pos="943" w:val="left"/>
        </w:tabs>
        <w:numPr>
          <w:ilvl w:val="0"/>
          <w:numId w:val="200"/>
        </w:numPr>
        <w:rPr>
          <w:rFonts w:ascii="Arial" w:cs="Arial" w:eastAsia="Arial" w:hAnsi="Arial"/>
          <w:sz w:val="21"/>
          <w:szCs w:val="21"/>
          <w:color w:val="auto"/>
        </w:rPr>
      </w:pPr>
      <w:r>
        <w:rPr>
          <w:rFonts w:ascii="Arial" w:cs="Arial" w:eastAsia="Arial" w:hAnsi="Arial"/>
          <w:sz w:val="21"/>
          <w:szCs w:val="21"/>
          <w:color w:val="auto"/>
        </w:rPr>
        <w:t>Survivability. The provisions of Sections 2(e), 8, 10, 11 and 12, as well as Exhibits A through D, shall survive the termination or expiration of this Agreement.</w:t>
      </w:r>
    </w:p>
    <w:p>
      <w:pPr>
        <w:spacing w:after="0" w:line="193" w:lineRule="exact"/>
        <w:rPr>
          <w:rFonts w:ascii="Arial" w:cs="Arial" w:eastAsia="Arial" w:hAnsi="Arial"/>
          <w:sz w:val="21"/>
          <w:szCs w:val="21"/>
          <w:color w:val="auto"/>
        </w:rPr>
      </w:pPr>
    </w:p>
    <w:p>
      <w:pPr>
        <w:jc w:val="both"/>
        <w:ind w:firstLine="629"/>
        <w:spacing w:after="0" w:line="227" w:lineRule="auto"/>
        <w:tabs>
          <w:tab w:leader="none" w:pos="932" w:val="left"/>
        </w:tabs>
        <w:numPr>
          <w:ilvl w:val="0"/>
          <w:numId w:val="200"/>
        </w:numPr>
        <w:rPr>
          <w:rFonts w:ascii="Arial" w:cs="Arial" w:eastAsia="Arial" w:hAnsi="Arial"/>
          <w:sz w:val="21"/>
          <w:szCs w:val="21"/>
          <w:color w:val="auto"/>
        </w:rPr>
      </w:pPr>
      <w:r>
        <w:rPr>
          <w:rFonts w:ascii="Arial" w:cs="Arial" w:eastAsia="Arial" w:hAnsi="Arial"/>
          <w:sz w:val="21"/>
          <w:szCs w:val="21"/>
          <w:color w:val="auto"/>
        </w:rPr>
        <w:t>Counterparts and Electronic Signature. This Agreement may be executed in any number of counterparts, each of which shall be deemed to be an original, and all of which shall constitute one and the same document. The Agreement may be executed by facsimile or other</w:t>
      </w:r>
    </w:p>
    <w:p>
      <w:pPr>
        <w:sectPr>
          <w:pgSz w:w="11900" w:h="16838" w:orient="portrait"/>
          <w:cols w:equalWidth="0" w:num="1">
            <w:col w:w="10720"/>
          </w:cols>
          <w:pgMar w:left="640" w:top="1114" w:right="539" w:bottom="1440" w:gutter="0" w:footer="0" w:header="0"/>
        </w:sectPr>
      </w:pPr>
    </w:p>
    <w:bookmarkStart w:id="313" w:name="page314"/>
    <w:bookmarkEnd w:id="313"/>
    <w:p>
      <w:pPr>
        <w:spacing w:after="0" w:line="236" w:lineRule="auto"/>
        <w:rPr>
          <w:sz w:val="20"/>
          <w:szCs w:val="20"/>
          <w:color w:val="auto"/>
        </w:rPr>
      </w:pPr>
      <w:r>
        <w:rPr>
          <w:rFonts w:ascii="Arial" w:cs="Arial" w:eastAsia="Arial" w:hAnsi="Arial"/>
          <w:sz w:val="21"/>
          <w:szCs w:val="21"/>
          <w:color w:val="auto"/>
        </w:rPr>
        <w:t>electronic method. If electronic methods are used by the parties to execute this Agreement, the parties agree that the place of sending and receiving this Agreement shall be in the State of California.</w:t>
      </w:r>
    </w:p>
    <w:p>
      <w:pPr>
        <w:spacing w:after="0" w:line="181" w:lineRule="exact"/>
        <w:rPr>
          <w:sz w:val="20"/>
          <w:szCs w:val="20"/>
          <w:color w:val="auto"/>
        </w:rPr>
      </w:pPr>
    </w:p>
    <w:p>
      <w:pPr>
        <w:jc w:val="both"/>
        <w:ind w:firstLine="629"/>
        <w:spacing w:after="0" w:line="219" w:lineRule="auto"/>
        <w:tabs>
          <w:tab w:leader="none" w:pos="94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Legal Counsel. You acknowledge that you have been given the opportunity to consult with legal counsel or any other advisor of your own choosing regarding this Agreement. The Employer shall pay the reasonable costs and expenses of such legal counsel in connection with your onboarding. You understand and agree that any attorney retained by the Employer or any member of management who has discussed any term or condition of this Agreement with you or your advisor is only acting on behalf of the Employer and not on your behalf.</w:t>
      </w:r>
    </w:p>
    <w:p>
      <w:pPr>
        <w:spacing w:after="0" w:line="196" w:lineRule="exact"/>
        <w:rPr>
          <w:rFonts w:ascii="Arial" w:cs="Arial" w:eastAsia="Arial" w:hAnsi="Arial"/>
          <w:sz w:val="21"/>
          <w:szCs w:val="21"/>
          <w:color w:val="auto"/>
        </w:rPr>
      </w:pPr>
    </w:p>
    <w:p>
      <w:pPr>
        <w:jc w:val="both"/>
        <w:ind w:firstLine="629"/>
        <w:spacing w:after="0" w:line="222" w:lineRule="auto"/>
        <w:tabs>
          <w:tab w:leader="none" w:pos="94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Right to Negotiate. You hereby acknowledge that you have been given the opportunity to participate in the negotiation of the terms of this Agreement. You acknowledge and confirm that you have read this Agreement and fully understand its terms and contents, and that you are entering into this agreement voluntarily, with sufficient time to consider the terms and conditions of this Agreement.</w:t>
      </w:r>
    </w:p>
    <w:p>
      <w:pPr>
        <w:spacing w:after="0" w:line="195"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(w)No Broker. You have given no indication, representation or commitment of any nature to any broker, finder, agent or other third party to the effect that any fees or commissions of any nature are, or under any circumstances might be, payable by Activision Blizzard in connection with your employment under this Agreement.</w:t>
      </w:r>
    </w:p>
    <w:p>
      <w:pPr>
        <w:spacing w:after="0" w:line="180" w:lineRule="exact"/>
        <w:rPr>
          <w:sz w:val="20"/>
          <w:szCs w:val="20"/>
          <w:color w:val="auto"/>
        </w:rPr>
      </w:pPr>
    </w:p>
    <w:p>
      <w:pPr>
        <w:ind w:left="620" w:hanging="620"/>
        <w:spacing w:after="0"/>
        <w:tabs>
          <w:tab w:leader="none" w:pos="620"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Indemnification</w:t>
      </w:r>
    </w:p>
    <w:p>
      <w:pPr>
        <w:spacing w:after="0" w:line="217" w:lineRule="exact"/>
        <w:rPr>
          <w:sz w:val="20"/>
          <w:szCs w:val="20"/>
          <w:color w:val="auto"/>
        </w:rPr>
      </w:pPr>
    </w:p>
    <w:p>
      <w:pPr>
        <w:jc w:val="both"/>
        <w:ind w:firstLine="629"/>
        <w:spacing w:after="0" w:line="219" w:lineRule="auto"/>
        <w:rPr>
          <w:sz w:val="20"/>
          <w:szCs w:val="20"/>
          <w:color w:val="auto"/>
        </w:rPr>
      </w:pPr>
      <w:r>
        <w:rPr>
          <w:rFonts w:ascii="Arial" w:cs="Arial" w:eastAsia="Arial" w:hAnsi="Arial"/>
          <w:sz w:val="21"/>
          <w:szCs w:val="21"/>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Activision Blizzard, including, without limitation, all costs and expenses actually and reasonably incurred by you in defense of litigation arising out of your employment hereunder.</w:t>
      </w:r>
    </w:p>
    <w:p>
      <w:pPr>
        <w:spacing w:after="0" w:line="196" w:lineRule="exact"/>
        <w:rPr>
          <w:sz w:val="20"/>
          <w:szCs w:val="20"/>
          <w:color w:val="auto"/>
        </w:rPr>
      </w:pPr>
    </w:p>
    <w:p>
      <w:pPr>
        <w:ind w:left="620" w:hanging="620"/>
        <w:spacing w:after="0"/>
        <w:tabs>
          <w:tab w:leader="none" w:pos="620"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Notices</w:t>
      </w:r>
    </w:p>
    <w:p>
      <w:pPr>
        <w:spacing w:after="0" w:line="204"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All notices which either party is required or may desire to give the other shall be in writing and given either personally, via email, or by United States mail or Federal Express, and addressed to the party to be given notice at the applicable addresses as follows:</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To the Employer: Activision Blizzard, Inc.</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3100 Ocean Park Boulevard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Santa Monica, California 90405</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Attention: Chief Legal Officer</w:t>
      </w:r>
    </w:p>
    <w:p>
      <w:pPr>
        <w:spacing w:after="0" w:line="160"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By email:</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EmployementAgreements@activision.com</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To You: Brian Bulatao</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(to the last known address on file)</w:t>
      </w:r>
    </w:p>
    <w:p>
      <w:pPr>
        <w:sectPr>
          <w:pgSz w:w="11900" w:h="16838" w:orient="portrait"/>
          <w:cols w:equalWidth="0" w:num="1">
            <w:col w:w="10720"/>
          </w:cols>
          <w:pgMar w:left="640" w:top="1115" w:right="539" w:bottom="1440" w:gutter="0" w:footer="0" w:header="0"/>
        </w:sectPr>
      </w:pPr>
    </w:p>
    <w:bookmarkStart w:id="314" w:name="page315"/>
    <w:bookmarkEnd w:id="314"/>
    <w:p>
      <w:pPr>
        <w:jc w:val="both"/>
        <w:ind w:left="320" w:firstLine="629"/>
        <w:spacing w:after="0" w:line="236" w:lineRule="auto"/>
        <w:rPr>
          <w:sz w:val="20"/>
          <w:szCs w:val="20"/>
          <w:color w:val="auto"/>
        </w:rPr>
      </w:pPr>
      <w:r>
        <w:rPr>
          <w:rFonts w:ascii="Arial" w:cs="Arial" w:eastAsia="Arial" w:hAnsi="Arial"/>
          <w:sz w:val="21"/>
          <w:szCs w:val="21"/>
          <w:color w:val="auto"/>
        </w:rPr>
        <w:t>Either party may by written notice designate a different address for giving of notices. The date of mailing of any such notices shall be deemed to be the date on which such notice is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auto"/>
        </w:rPr>
        <w:t>ACCEPTED AND AGREED TO:</w:t>
      </w:r>
    </w:p>
    <w:p>
      <w:pPr>
        <w:spacing w:after="0" w:line="204" w:lineRule="exact"/>
        <w:rPr>
          <w:sz w:val="20"/>
          <w:szCs w:val="20"/>
          <w:color w:val="auto"/>
        </w:rPr>
      </w:pPr>
    </w:p>
    <w:p>
      <w:pPr>
        <w:jc w:val="both"/>
        <w:ind w:left="320" w:right="20" w:firstLine="629"/>
        <w:spacing w:after="0" w:line="227" w:lineRule="auto"/>
        <w:rPr>
          <w:sz w:val="20"/>
          <w:szCs w:val="20"/>
          <w:color w:val="auto"/>
        </w:rPr>
      </w:pPr>
      <w:r>
        <w:rPr>
          <w:rFonts w:ascii="Arial" w:cs="Arial" w:eastAsia="Arial" w:hAnsi="Arial"/>
          <w:sz w:val="21"/>
          <w:szCs w:val="21"/>
          <w:color w:val="auto"/>
        </w:rPr>
        <w:t>This Agreement may be executed by electronic signatures (including the delivery of signed documents in PDF or TIF format or by means of Adobe or other electronic signature platforms). By clicking "agree" (if electronic) or signing below, I understand that I am entering into and binding myself to this Agreement.</w:t>
      </w:r>
    </w:p>
    <w:p>
      <w:pPr>
        <w:spacing w:after="0" w:line="227"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21"/>
          <w:szCs w:val="21"/>
          <w:b w:val="1"/>
          <w:bCs w:val="1"/>
          <w:color w:val="auto"/>
        </w:rPr>
        <w:t>Employer:</w:t>
      </w:r>
      <w:r>
        <w:rPr>
          <w:sz w:val="20"/>
          <w:szCs w:val="20"/>
          <w:color w:val="auto"/>
        </w:rPr>
        <w:tab/>
      </w:r>
      <w:r>
        <w:rPr>
          <w:rFonts w:ascii="Arial" w:cs="Arial" w:eastAsia="Arial" w:hAnsi="Arial"/>
          <w:sz w:val="21"/>
          <w:szCs w:val="21"/>
          <w:b w:val="1"/>
          <w:bCs w:val="1"/>
          <w:color w:val="auto"/>
        </w:rPr>
        <w:t>Employee:</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ACTIVISION BLIZZARD,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720" w:type="dxa"/>
            <w:vAlign w:val="bottom"/>
          </w:tcPr>
          <w:p>
            <w:pPr>
              <w:spacing w:after="0"/>
              <w:rPr>
                <w:sz w:val="20"/>
                <w:szCs w:val="20"/>
                <w:color w:val="auto"/>
              </w:rPr>
            </w:pPr>
            <w:r>
              <w:rPr>
                <w:rFonts w:ascii="Arial" w:cs="Arial" w:eastAsia="Arial" w:hAnsi="Arial"/>
                <w:sz w:val="21"/>
                <w:szCs w:val="21"/>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Claudine Naughton</w:t>
            </w:r>
          </w:p>
        </w:tc>
        <w:tc>
          <w:tcPr>
            <w:tcW w:w="1020" w:type="dxa"/>
            <w:vAlign w:val="bottom"/>
          </w:tcPr>
          <w:p>
            <w:pPr>
              <w:ind w:left="260"/>
              <w:spacing w:after="0"/>
              <w:rPr>
                <w:sz w:val="20"/>
                <w:szCs w:val="20"/>
                <w:color w:val="auto"/>
              </w:rPr>
            </w:pPr>
            <w:r>
              <w:rPr>
                <w:rFonts w:ascii="Arial" w:cs="Arial" w:eastAsia="Arial" w:hAnsi="Arial"/>
                <w:sz w:val="21"/>
                <w:szCs w:val="21"/>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Brian Bulatao</w:t>
            </w:r>
          </w:p>
        </w:tc>
      </w:tr>
      <w:tr>
        <w:trPr>
          <w:trHeight w:val="249"/>
        </w:trPr>
        <w:tc>
          <w:tcPr>
            <w:tcW w:w="7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21"/>
                <w:szCs w:val="21"/>
                <w:color w:val="auto"/>
              </w:rPr>
              <w:t>Claudine Naughton</w:t>
            </w:r>
          </w:p>
        </w:tc>
        <w:tc>
          <w:tcPr>
            <w:tcW w:w="10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21"/>
                <w:szCs w:val="21"/>
                <w:color w:val="auto"/>
              </w:rPr>
              <w:t>Brian Bulatao</w:t>
            </w:r>
          </w:p>
        </w:tc>
      </w:tr>
      <w:tr>
        <w:trPr>
          <w:trHeight w:val="267"/>
        </w:trPr>
        <w:tc>
          <w:tcPr>
            <w:tcW w:w="720" w:type="dxa"/>
            <w:vAlign w:val="bottom"/>
          </w:tcPr>
          <w:p>
            <w:pPr>
              <w:spacing w:after="0"/>
              <w:rPr>
                <w:sz w:val="23"/>
                <w:szCs w:val="23"/>
                <w:color w:val="auto"/>
              </w:rPr>
            </w:pPr>
          </w:p>
        </w:tc>
        <w:tc>
          <w:tcPr>
            <w:tcW w:w="4360" w:type="dxa"/>
            <w:vAlign w:val="bottom"/>
          </w:tcPr>
          <w:p>
            <w:pPr>
              <w:ind w:left="20"/>
              <w:spacing w:after="0"/>
              <w:rPr>
                <w:sz w:val="20"/>
                <w:szCs w:val="20"/>
                <w:color w:val="auto"/>
              </w:rPr>
            </w:pPr>
            <w:r>
              <w:rPr>
                <w:rFonts w:ascii="Arial" w:cs="Arial" w:eastAsia="Arial" w:hAnsi="Arial"/>
                <w:sz w:val="21"/>
                <w:szCs w:val="21"/>
                <w:color w:val="auto"/>
              </w:rPr>
              <w:t>Chief People Officer</w:t>
            </w:r>
          </w:p>
        </w:tc>
        <w:tc>
          <w:tcPr>
            <w:tcW w:w="1020" w:type="dxa"/>
            <w:vAlign w:val="bottom"/>
          </w:tcPr>
          <w:p>
            <w:pPr>
              <w:spacing w:after="0"/>
              <w:rPr>
                <w:sz w:val="23"/>
                <w:szCs w:val="23"/>
                <w:color w:val="auto"/>
              </w:rPr>
            </w:pPr>
          </w:p>
        </w:tc>
        <w:tc>
          <w:tcPr>
            <w:tcW w:w="4420" w:type="dxa"/>
            <w:vAlign w:val="bottom"/>
          </w:tcPr>
          <w:p>
            <w:pPr>
              <w:spacing w:after="0"/>
              <w:rPr>
                <w:sz w:val="23"/>
                <w:szCs w:val="23"/>
                <w:color w:val="auto"/>
              </w:rPr>
            </w:pPr>
          </w:p>
        </w:tc>
      </w:tr>
      <w:tr>
        <w:trPr>
          <w:trHeight w:val="408"/>
        </w:trPr>
        <w:tc>
          <w:tcPr>
            <w:tcW w:w="720" w:type="dxa"/>
            <w:vAlign w:val="bottom"/>
          </w:tcPr>
          <w:p>
            <w:pPr>
              <w:spacing w:after="0"/>
              <w:rPr>
                <w:sz w:val="20"/>
                <w:szCs w:val="20"/>
                <w:color w:val="auto"/>
              </w:rPr>
            </w:pPr>
            <w:r>
              <w:rPr>
                <w:rFonts w:ascii="Arial" w:cs="Arial" w:eastAsia="Arial" w:hAnsi="Arial"/>
                <w:sz w:val="21"/>
                <w:szCs w:val="21"/>
                <w:color w:val="auto"/>
              </w:rPr>
              <w:t>Date:</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July 9, 2021</w:t>
            </w:r>
          </w:p>
        </w:tc>
        <w:tc>
          <w:tcPr>
            <w:tcW w:w="1020" w:type="dxa"/>
            <w:vAlign w:val="bottom"/>
          </w:tcPr>
          <w:p>
            <w:pPr>
              <w:ind w:left="260"/>
              <w:spacing w:after="0"/>
              <w:rPr>
                <w:sz w:val="20"/>
                <w:szCs w:val="20"/>
                <w:color w:val="auto"/>
              </w:rPr>
            </w:pPr>
            <w:r>
              <w:rPr>
                <w:rFonts w:ascii="Arial" w:cs="Arial" w:eastAsia="Arial" w:hAnsi="Arial"/>
                <w:sz w:val="21"/>
                <w:szCs w:val="21"/>
                <w:color w:val="auto"/>
              </w:rPr>
              <w:t>Date:</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February 28, 2021</w:t>
            </w:r>
          </w:p>
        </w:tc>
      </w:tr>
    </w:tbl>
    <w:p>
      <w:pPr>
        <w:sectPr>
          <w:pgSz w:w="11900" w:h="16838" w:orient="portrait"/>
          <w:cols w:equalWidth="0" w:num="1">
            <w:col w:w="11040"/>
          </w:cols>
          <w:pgMar w:left="320" w:top="1049" w:right="539" w:bottom="1440" w:gutter="0" w:footer="0" w:header="0"/>
        </w:sectPr>
      </w:pPr>
    </w:p>
    <w:bookmarkStart w:id="315" w:name="page316"/>
    <w:bookmarkEnd w:id="315"/>
    <w:p>
      <w:pPr>
        <w:jc w:val="right"/>
        <w:spacing w:after="0"/>
        <w:rPr>
          <w:sz w:val="20"/>
          <w:szCs w:val="20"/>
          <w:color w:val="auto"/>
        </w:rPr>
      </w:pPr>
      <w:r>
        <w:rPr>
          <w:rFonts w:ascii="Arial" w:cs="Arial" w:eastAsia="Arial" w:hAnsi="Arial"/>
          <w:sz w:val="21"/>
          <w:szCs w:val="21"/>
          <w:b w:val="1"/>
          <w:bCs w:val="1"/>
          <w:color w:val="auto"/>
        </w:rPr>
        <w:t>Exhibit 10.29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EMPLOYMENT AGREEMENT</w:t>
      </w:r>
    </w:p>
    <w:p>
      <w:pPr>
        <w:jc w:val="both"/>
        <w:ind w:firstLine="629"/>
        <w:spacing w:after="0" w:line="221" w:lineRule="auto"/>
        <w:rPr>
          <w:sz w:val="20"/>
          <w:szCs w:val="20"/>
          <w:color w:val="auto"/>
        </w:rPr>
      </w:pPr>
      <w:r>
        <w:rPr>
          <w:rFonts w:ascii="Arial" w:cs="Arial" w:eastAsia="Arial" w:hAnsi="Arial"/>
          <w:sz w:val="21"/>
          <w:szCs w:val="21"/>
          <w:color w:val="auto"/>
        </w:rPr>
        <w:t>THIS EMPLOYMENT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as of the date signed by the Employer, between Activision Blizzard, Inc.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or “</w:t>
      </w:r>
      <w:r>
        <w:rPr>
          <w:rFonts w:ascii="Arial" w:cs="Arial" w:eastAsia="Arial" w:hAnsi="Arial"/>
          <w:sz w:val="21"/>
          <w:szCs w:val="21"/>
          <w:b w:val="1"/>
          <w:bCs w:val="1"/>
          <w:i w:val="1"/>
          <w:iCs w:val="1"/>
          <w:color w:val="auto"/>
        </w:rPr>
        <w:t>Activision Blizzard</w:t>
      </w:r>
      <w:r>
        <w:rPr>
          <w:rFonts w:ascii="Arial" w:cs="Arial" w:eastAsia="Arial" w:hAnsi="Arial"/>
          <w:sz w:val="21"/>
          <w:szCs w:val="21"/>
          <w:color w:val="auto"/>
        </w:rPr>
        <w:t>” and, together with its subsidiaries, the “</w:t>
      </w:r>
      <w:r>
        <w:rPr>
          <w:rFonts w:ascii="Arial" w:cs="Arial" w:eastAsia="Arial" w:hAnsi="Arial"/>
          <w:sz w:val="21"/>
          <w:szCs w:val="21"/>
          <w:b w:val="1"/>
          <w:bCs w:val="1"/>
          <w:i w:val="1"/>
          <w:iCs w:val="1"/>
          <w:color w:val="auto"/>
        </w:rPr>
        <w:t>Activision Blizzard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Grant Dixton (“</w:t>
      </w:r>
      <w:r>
        <w:rPr>
          <w:rFonts w:ascii="Arial" w:cs="Arial" w:eastAsia="Arial" w:hAnsi="Arial"/>
          <w:sz w:val="21"/>
          <w:szCs w:val="21"/>
          <w:b w:val="1"/>
          <w:bCs w:val="1"/>
          <w:i w:val="1"/>
          <w:iCs w:val="1"/>
          <w:color w:val="auto"/>
        </w:rPr>
        <w:t>you</w:t>
      </w:r>
      <w:r>
        <w:rPr>
          <w:rFonts w:ascii="Arial" w:cs="Arial" w:eastAsia="Arial" w:hAnsi="Arial"/>
          <w:sz w:val="21"/>
          <w:szCs w:val="21"/>
          <w:color w:val="auto"/>
        </w:rPr>
        <w:t>”).</w:t>
      </w:r>
    </w:p>
    <w:p>
      <w:pPr>
        <w:spacing w:after="0" w:line="148" w:lineRule="exact"/>
        <w:rPr>
          <w:sz w:val="20"/>
          <w:szCs w:val="20"/>
          <w:color w:val="auto"/>
        </w:rPr>
      </w:pPr>
    </w:p>
    <w:p>
      <w:pPr>
        <w:ind w:left="1260" w:hanging="626"/>
        <w:spacing w:after="0"/>
        <w:tabs>
          <w:tab w:leader="none" w:pos="1260" w:val="left"/>
        </w:tabs>
        <w:numPr>
          <w:ilvl w:val="0"/>
          <w:numId w:val="20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p>
    <w:p>
      <w:pPr>
        <w:spacing w:after="0" w:line="184" w:lineRule="exact"/>
        <w:rPr>
          <w:rFonts w:ascii="Arial" w:cs="Arial" w:eastAsia="Arial" w:hAnsi="Arial"/>
          <w:sz w:val="21"/>
          <w:szCs w:val="21"/>
          <w:b w:val="1"/>
          <w:bCs w:val="1"/>
          <w:color w:val="auto"/>
        </w:rPr>
      </w:pPr>
    </w:p>
    <w:p>
      <w:pPr>
        <w:jc w:val="both"/>
        <w:ind w:firstLine="1264"/>
        <w:spacing w:after="0" w:line="226" w:lineRule="auto"/>
        <w:tabs>
          <w:tab w:leader="none" w:pos="1885"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The term of your employment under this Agreement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 shall commence on June 14, 2021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and shall end on June 30, 2024 (the “</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(or such earlier date on which your employment is terminated under Section 9). The Employer shall have the option to extend the Term by one (1) additional year, in its sole and absolute discretion, by notifying you in writing of its intent to do so at least six (6) months prior to the original Expiration Date. The final date of any such extended Term shall thereafter be referred to as the “Expiration Date” for purposes of this Agreement and the Term shall end on such date (or such earlier date on which your employment is terminated under Section 9). Except as set forth in Section 11(s), upon the Expiration Date (or such earlier date on which your employment is terminated) all obligations of the Employer and all of your rights and obligations under this Agreement shall immediately lapse.</w:t>
      </w:r>
    </w:p>
    <w:p>
      <w:pPr>
        <w:spacing w:after="0" w:line="155" w:lineRule="exact"/>
        <w:rPr>
          <w:rFonts w:ascii="Arial" w:cs="Arial" w:eastAsia="Arial" w:hAnsi="Arial"/>
          <w:sz w:val="20"/>
          <w:szCs w:val="20"/>
          <w:color w:val="auto"/>
        </w:rPr>
      </w:pPr>
    </w:p>
    <w:p>
      <w:pPr>
        <w:jc w:val="both"/>
        <w:ind w:firstLine="1264"/>
        <w:spacing w:after="0" w:line="257" w:lineRule="auto"/>
        <w:tabs>
          <w:tab w:leader="none" w:pos="1884" w:val="left"/>
        </w:tabs>
        <w:numPr>
          <w:ilvl w:val="1"/>
          <w:numId w:val="204"/>
        </w:numPr>
        <w:rPr>
          <w:rFonts w:ascii="Arial" w:cs="Arial" w:eastAsia="Arial" w:hAnsi="Arial"/>
          <w:sz w:val="19"/>
          <w:szCs w:val="19"/>
          <w:color w:val="auto"/>
        </w:rPr>
      </w:pPr>
      <w:r>
        <w:rPr>
          <w:rFonts w:ascii="Arial" w:cs="Arial" w:eastAsia="Arial" w:hAnsi="Arial"/>
          <w:sz w:val="19"/>
          <w:szCs w:val="19"/>
          <w:color w:val="auto"/>
        </w:rPr>
        <w:t>You and the Employer each agree to provide the other with at least six (6) months’ prior notice of any intent not to continue your employment following the Expiration Date. If your employment continues beyond the Expiration Date, you shall remain an at-will employee whose employment may be terminated by either party to this Agreement at any time for any reason.</w:t>
      </w:r>
    </w:p>
    <w:p>
      <w:pPr>
        <w:spacing w:after="0" w:line="131" w:lineRule="exact"/>
        <w:rPr>
          <w:rFonts w:ascii="Arial" w:cs="Arial" w:eastAsia="Arial" w:hAnsi="Arial"/>
          <w:sz w:val="19"/>
          <w:szCs w:val="19"/>
          <w:color w:val="auto"/>
        </w:rPr>
      </w:pPr>
    </w:p>
    <w:p>
      <w:pPr>
        <w:ind w:left="1260" w:hanging="626"/>
        <w:spacing w:after="0"/>
        <w:tabs>
          <w:tab w:leader="none" w:pos="1260" w:val="left"/>
        </w:tabs>
        <w:numPr>
          <w:ilvl w:val="0"/>
          <w:numId w:val="20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p>
    <w:p>
      <w:pPr>
        <w:spacing w:after="0" w:line="184" w:lineRule="exact"/>
        <w:rPr>
          <w:rFonts w:ascii="Arial" w:cs="Arial" w:eastAsia="Arial" w:hAnsi="Arial"/>
          <w:sz w:val="21"/>
          <w:szCs w:val="21"/>
          <w:b w:val="1"/>
          <w:bCs w:val="1"/>
          <w:color w:val="auto"/>
        </w:rPr>
      </w:pPr>
    </w:p>
    <w:p>
      <w:pPr>
        <w:ind w:firstLine="1264"/>
        <w:spacing w:after="0" w:line="236" w:lineRule="auto"/>
        <w:tabs>
          <w:tab w:leader="none" w:pos="1885" w:val="left"/>
        </w:tabs>
        <w:numPr>
          <w:ilvl w:val="1"/>
          <w:numId w:val="204"/>
        </w:numPr>
        <w:rPr>
          <w:rFonts w:ascii="Arial" w:cs="Arial" w:eastAsia="Arial" w:hAnsi="Arial"/>
          <w:sz w:val="21"/>
          <w:szCs w:val="21"/>
          <w:color w:val="auto"/>
        </w:rPr>
      </w:pPr>
      <w:r>
        <w:rPr>
          <w:rFonts w:ascii="Arial" w:cs="Arial" w:eastAsia="Arial" w:hAnsi="Arial"/>
          <w:sz w:val="21"/>
          <w:szCs w:val="21"/>
          <w:color w:val="auto"/>
        </w:rPr>
        <w:t>Subject to the provisions of this Agreement, in full consideration for all rights and services provided by you under this Agreement, during the Term you shall receive only the compensation set forth in this Section 2.</w:t>
      </w:r>
    </w:p>
    <w:p>
      <w:pPr>
        <w:spacing w:after="0" w:line="154" w:lineRule="exact"/>
        <w:rPr>
          <w:rFonts w:ascii="Arial" w:cs="Arial" w:eastAsia="Arial" w:hAnsi="Arial"/>
          <w:sz w:val="21"/>
          <w:szCs w:val="21"/>
          <w:color w:val="auto"/>
        </w:rPr>
      </w:pPr>
    </w:p>
    <w:p>
      <w:pPr>
        <w:jc w:val="both"/>
        <w:ind w:firstLine="1264"/>
        <w:spacing w:after="0" w:line="222" w:lineRule="auto"/>
        <w:tabs>
          <w:tab w:leader="none" w:pos="1884" w:val="left"/>
        </w:tabs>
        <w:numPr>
          <w:ilvl w:val="1"/>
          <w:numId w:val="204"/>
        </w:numPr>
        <w:rPr>
          <w:rFonts w:ascii="Arial" w:cs="Arial" w:eastAsia="Arial" w:hAnsi="Arial"/>
          <w:sz w:val="21"/>
          <w:szCs w:val="21"/>
          <w:color w:val="auto"/>
        </w:rPr>
      </w:pPr>
      <w:r>
        <w:rPr>
          <w:rFonts w:ascii="Arial" w:cs="Arial" w:eastAsia="Arial" w:hAnsi="Arial"/>
          <w:sz w:val="21"/>
          <w:szCs w:val="21"/>
          <w:color w:val="auto"/>
        </w:rPr>
        <w:t>Commencing on the Effective Date, you shall receive an annual base salary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of seven hundred fifty thousand dollars ($750,000), which shall be paid in accordance with the Employer’s payroll policies. Your Base Salary shall be reviewed periodically at the same time as similarly situated executives of the Employer and may be increased by an amount determined by the Employer, in its sole and absolute discretion.</w:t>
      </w:r>
    </w:p>
    <w:p>
      <w:pPr>
        <w:spacing w:after="0" w:line="155" w:lineRule="exact"/>
        <w:rPr>
          <w:rFonts w:ascii="Arial" w:cs="Arial" w:eastAsia="Arial" w:hAnsi="Arial"/>
          <w:sz w:val="21"/>
          <w:szCs w:val="21"/>
          <w:color w:val="auto"/>
        </w:rPr>
      </w:pPr>
    </w:p>
    <w:p>
      <w:pPr>
        <w:jc w:val="both"/>
        <w:ind w:firstLine="1264"/>
        <w:spacing w:after="0" w:line="224" w:lineRule="auto"/>
        <w:tabs>
          <w:tab w:leader="none" w:pos="1885" w:val="left"/>
        </w:tabs>
        <w:numPr>
          <w:ilvl w:val="1"/>
          <w:numId w:val="204"/>
        </w:numPr>
        <w:rPr>
          <w:rFonts w:ascii="Arial" w:cs="Arial" w:eastAsia="Arial" w:hAnsi="Arial"/>
          <w:sz w:val="20"/>
          <w:szCs w:val="20"/>
          <w:color w:val="auto"/>
        </w:rPr>
      </w:pPr>
      <w:r>
        <w:rPr>
          <w:rFonts w:ascii="Arial" w:cs="Arial" w:eastAsia="Arial" w:hAnsi="Arial"/>
          <w:sz w:val="20"/>
          <w:szCs w:val="20"/>
          <w:color w:val="auto"/>
        </w:rPr>
        <w:t>Beginning with respect to calendar year 2021, you will be eligible to receive an annual discretionary bonus (the “</w:t>
      </w:r>
      <w:r>
        <w:rPr>
          <w:rFonts w:ascii="Arial" w:cs="Arial" w:eastAsia="Arial" w:hAnsi="Arial"/>
          <w:sz w:val="20"/>
          <w:szCs w:val="20"/>
          <w:b w:val="1"/>
          <w:bCs w:val="1"/>
          <w:i w:val="1"/>
          <w:iCs w:val="1"/>
          <w:color w:val="auto"/>
        </w:rPr>
        <w:t>Annual Bonus</w:t>
      </w:r>
      <w:r>
        <w:rPr>
          <w:rFonts w:ascii="Arial" w:cs="Arial" w:eastAsia="Arial" w:hAnsi="Arial"/>
          <w:sz w:val="20"/>
          <w:szCs w:val="20"/>
          <w:color w:val="auto"/>
        </w:rPr>
        <w:t xml:space="preserve">”). The target amount of your Annual Bonus will be seventy-five percent (75%) of your Base Salary on the Effective Date (and as in effect at the beginning of each year thereafter) and may be delivered in cash or equity or any combination thereof. </w:t>
      </w:r>
      <w:r>
        <w:rPr>
          <w:rFonts w:ascii="Arial" w:cs="Arial" w:eastAsia="Arial" w:hAnsi="Arial"/>
          <w:sz w:val="20"/>
          <w:szCs w:val="20"/>
          <w:color w:val="0A0A0A"/>
        </w:rPr>
        <w:t>In all instances, the actual amount and the form (e</w:t>
      </w:r>
      <w:r>
        <w:rPr>
          <w:rFonts w:ascii="Arial" w:cs="Arial" w:eastAsia="Arial" w:hAnsi="Arial"/>
          <w:sz w:val="20"/>
          <w:szCs w:val="20"/>
          <w:color w:val="242424"/>
        </w:rPr>
        <w:t>.</w:t>
      </w:r>
      <w:r>
        <w:rPr>
          <w:rFonts w:ascii="Arial" w:cs="Arial" w:eastAsia="Arial" w:hAnsi="Arial"/>
          <w:sz w:val="20"/>
          <w:szCs w:val="20"/>
          <w:color w:val="0A0A0A"/>
        </w:rPr>
        <w:t>g</w:t>
      </w:r>
      <w:r>
        <w:rPr>
          <w:rFonts w:ascii="Arial" w:cs="Arial" w:eastAsia="Arial" w:hAnsi="Arial"/>
          <w:sz w:val="20"/>
          <w:szCs w:val="20"/>
          <w:color w:val="242424"/>
        </w:rPr>
        <w:t>.,</w:t>
      </w:r>
      <w:r>
        <w:rPr>
          <w:rFonts w:ascii="Arial" w:cs="Arial" w:eastAsia="Arial" w:hAnsi="Arial"/>
          <w:sz w:val="20"/>
          <w:szCs w:val="20"/>
          <w:color w:val="auto"/>
        </w:rPr>
        <w:t xml:space="preserve"> </w:t>
      </w:r>
      <w:r>
        <w:rPr>
          <w:rFonts w:ascii="Arial" w:cs="Arial" w:eastAsia="Arial" w:hAnsi="Arial"/>
          <w:sz w:val="20"/>
          <w:szCs w:val="20"/>
          <w:color w:val="0A0A0A"/>
        </w:rPr>
        <w:t>cash and/or equity) of the Annual Bonus, if any, shall be determined by</w:t>
      </w:r>
      <w:r>
        <w:rPr>
          <w:rFonts w:ascii="Arial" w:cs="Arial" w:eastAsia="Arial" w:hAnsi="Arial"/>
          <w:sz w:val="20"/>
          <w:szCs w:val="20"/>
          <w:color w:val="auto"/>
        </w:rPr>
        <w:t xml:space="preserve"> </w:t>
      </w:r>
      <w:r>
        <w:rPr>
          <w:rFonts w:ascii="Arial" w:cs="Arial" w:eastAsia="Arial" w:hAnsi="Arial"/>
          <w:sz w:val="20"/>
          <w:szCs w:val="20"/>
          <w:color w:val="0A0A0A"/>
        </w:rPr>
        <w:t xml:space="preserve">the </w:t>
      </w:r>
      <w:r>
        <w:rPr>
          <w:rFonts w:ascii="Arial" w:cs="Arial" w:eastAsia="Arial" w:hAnsi="Arial"/>
          <w:sz w:val="20"/>
          <w:szCs w:val="20"/>
          <w:color w:val="000000"/>
        </w:rPr>
        <w:t>Compensation Committee of the Board of Directors for Activision Blizzard (the “</w:t>
      </w:r>
      <w:r>
        <w:rPr>
          <w:rFonts w:ascii="Arial" w:cs="Arial" w:eastAsia="Arial" w:hAnsi="Arial"/>
          <w:sz w:val="20"/>
          <w:szCs w:val="20"/>
          <w:b w:val="1"/>
          <w:bCs w:val="1"/>
          <w:i w:val="1"/>
          <w:iCs w:val="1"/>
          <w:color w:val="000000"/>
        </w:rPr>
        <w:t>Compensation Committee</w:t>
      </w:r>
      <w:r>
        <w:rPr>
          <w:rFonts w:ascii="Arial" w:cs="Arial" w:eastAsia="Arial" w:hAnsi="Arial"/>
          <w:sz w:val="20"/>
          <w:szCs w:val="20"/>
          <w:color w:val="000000"/>
        </w:rPr>
        <w:t>”)</w:t>
      </w:r>
      <w:r>
        <w:rPr>
          <w:rFonts w:ascii="Arial" w:cs="Arial" w:eastAsia="Arial" w:hAnsi="Arial"/>
          <w:sz w:val="20"/>
          <w:szCs w:val="20"/>
          <w:color w:val="0A0A0A"/>
        </w:rPr>
        <w:t>, in its sole and absolute discretion, and may be based on, among other things, your Base Salary, the portion of the year falling in the Term (e.g., a partial bonus with respect to your service during calendar year 2021 or any other calendar year determined in a manner consistent with similarly situated executives of the Employer who served during a portion of the year), your overall performance and the performance of the Employer. The cash and equity portion of the Annual Bonus, if any, will be paid at the same time as the cash and equity portion of the bonuses for that year are generally</w:t>
      </w:r>
    </w:p>
    <w:p>
      <w:pPr>
        <w:sectPr>
          <w:pgSz w:w="11900" w:h="16838" w:orient="portrait"/>
          <w:cols w:equalWidth="0" w:num="1">
            <w:col w:w="11240"/>
          </w:cols>
          <w:pgMar w:left="320" w:top="1383" w:right="339" w:bottom="1440" w:gutter="0" w:footer="0" w:header="0"/>
        </w:sectPr>
      </w:pPr>
    </w:p>
    <w:bookmarkStart w:id="316" w:name="page317"/>
    <w:bookmarkEnd w:id="316"/>
    <w:p>
      <w:pPr>
        <w:jc w:val="both"/>
        <w:spacing w:after="0" w:line="222" w:lineRule="auto"/>
        <w:rPr>
          <w:sz w:val="20"/>
          <w:szCs w:val="20"/>
          <w:color w:val="auto"/>
        </w:rPr>
      </w:pPr>
      <w:r>
        <w:rPr>
          <w:rFonts w:ascii="Arial" w:cs="Arial" w:eastAsia="Arial" w:hAnsi="Arial"/>
          <w:sz w:val="21"/>
          <w:szCs w:val="21"/>
          <w:color w:val="0A0A0A"/>
        </w:rPr>
        <w:t>paid to other executives, but in no event earlier than the first day of the first month, or later than the fifteenth (15th) day of the third month, of the year following the year to which the Annual Bonus relates. In all instances, you must remain continuously employed by the Activision Blizzard Group through the date on which the cash and equity portions of the Annual Bonus, if any, are paid, granted, or delivered to you, for you to be eligible to receive such Annual Bonus.</w:t>
      </w:r>
    </w:p>
    <w:p>
      <w:pPr>
        <w:spacing w:after="0" w:line="156" w:lineRule="exact"/>
        <w:rPr>
          <w:sz w:val="20"/>
          <w:szCs w:val="20"/>
          <w:color w:val="auto"/>
        </w:rPr>
      </w:pPr>
    </w:p>
    <w:p>
      <w:pPr>
        <w:jc w:val="both"/>
        <w:ind w:firstLine="1264"/>
        <w:spacing w:after="0" w:line="222" w:lineRule="auto"/>
        <w:tabs>
          <w:tab w:leader="none" w:pos="1884" w:val="left"/>
        </w:tabs>
        <w:numPr>
          <w:ilvl w:val="0"/>
          <w:numId w:val="205"/>
        </w:numPr>
        <w:rPr>
          <w:rFonts w:ascii="Arial" w:cs="Arial" w:eastAsia="Arial" w:hAnsi="Arial"/>
          <w:sz w:val="21"/>
          <w:szCs w:val="21"/>
          <w:color w:val="auto"/>
        </w:rPr>
      </w:pPr>
      <w:r>
        <w:rPr>
          <w:rFonts w:ascii="Arial" w:cs="Arial" w:eastAsia="Arial" w:hAnsi="Arial"/>
          <w:sz w:val="21"/>
          <w:szCs w:val="21"/>
          <w:color w:val="auto"/>
        </w:rPr>
        <w:t>At the next regularly scheduled meeting of the Compensation Committee that includes equity granting on the agenda and occurs after the Effective Date, the 2021 Contract Equity Awards (as defined below) shall be presented for approval; once approved, they shall be granted in the first open trading window thereafter. Activision Blizzard will grant to you equity awards as follows:</w:t>
      </w:r>
    </w:p>
    <w:p>
      <w:pPr>
        <w:spacing w:after="0" w:line="155" w:lineRule="exact"/>
        <w:rPr>
          <w:rFonts w:ascii="Arial" w:cs="Arial" w:eastAsia="Arial" w:hAnsi="Arial"/>
          <w:sz w:val="21"/>
          <w:szCs w:val="21"/>
          <w:color w:val="auto"/>
        </w:rPr>
      </w:pPr>
    </w:p>
    <w:p>
      <w:pPr>
        <w:jc w:val="both"/>
        <w:ind w:left="640" w:firstLine="1253"/>
        <w:spacing w:after="0" w:line="224" w:lineRule="auto"/>
        <w:tabs>
          <w:tab w:leader="none" w:pos="2516"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Activision Blizzard shall grant to you time-based vesting restricted share units (“RSUs”), which represent the conditional right to receive shares of Activision Blizzard’s common stock (“Shares”), with a value at the time of grant of approximately two million dollars ($2,000,000) (“</w:t>
      </w:r>
      <w:r>
        <w:rPr>
          <w:rFonts w:ascii="Arial" w:cs="Arial" w:eastAsia="Arial" w:hAnsi="Arial"/>
          <w:sz w:val="20"/>
          <w:szCs w:val="20"/>
          <w:b w:val="1"/>
          <w:bCs w:val="1"/>
          <w:i w:val="1"/>
          <w:iCs w:val="1"/>
          <w:color w:val="auto"/>
        </w:rPr>
        <w:t>2021 RSUs</w:t>
      </w:r>
      <w:r>
        <w:rPr>
          <w:rFonts w:ascii="Arial" w:cs="Arial" w:eastAsia="Arial" w:hAnsi="Arial"/>
          <w:sz w:val="20"/>
          <w:szCs w:val="20"/>
          <w:color w:val="auto"/>
        </w:rPr>
        <w:t>”). The actual number of RSUs awarded to you on the grant date shall be determined based on the Grant Date Price, and an applicable factor selected by the Employer and determined using the same methodology used with respect to similarly situated executives of the Employer. The number of RSUs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with respect to similarly situated executives of the Employer. The 2021 RSUs shall be eligible to vest on June 29, 2024, subject to your remaining employed by Activision Blizzard through that date and otherwise satisfying the terms of the award.</w:t>
      </w:r>
    </w:p>
    <w:p>
      <w:pPr>
        <w:spacing w:after="0" w:line="161" w:lineRule="exact"/>
        <w:rPr>
          <w:rFonts w:ascii="Arial" w:cs="Arial" w:eastAsia="Arial" w:hAnsi="Arial"/>
          <w:sz w:val="20"/>
          <w:szCs w:val="20"/>
          <w:color w:val="auto"/>
        </w:rPr>
      </w:pPr>
    </w:p>
    <w:p>
      <w:pPr>
        <w:jc w:val="both"/>
        <w:ind w:left="640" w:firstLine="1253"/>
        <w:spacing w:after="0" w:line="233" w:lineRule="auto"/>
        <w:tabs>
          <w:tab w:leader="none" w:pos="252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Commencing with the Employer’s 2021 annual grant process and not more than once per fiscal year during the Term, Activision Blizzard shall grant to you performance vesting restricted share units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which represent the conditional right to receive Shares with performance objectives contingent upon cumulative performance for three full fiscal years (“</w:t>
      </w:r>
      <w:r>
        <w:rPr>
          <w:rFonts w:ascii="Arial" w:cs="Arial" w:eastAsia="Arial" w:hAnsi="Arial"/>
          <w:sz w:val="19"/>
          <w:szCs w:val="19"/>
          <w:b w:val="1"/>
          <w:bCs w:val="1"/>
          <w:i w:val="1"/>
          <w:iCs w:val="1"/>
          <w:color w:val="auto"/>
        </w:rPr>
        <w:t>Annual 3-Year PSUs</w:t>
      </w:r>
      <w:r>
        <w:rPr>
          <w:rFonts w:ascii="Arial" w:cs="Arial" w:eastAsia="Arial" w:hAnsi="Arial"/>
          <w:sz w:val="19"/>
          <w:szCs w:val="19"/>
          <w:color w:val="auto"/>
        </w:rPr>
        <w:t>”), with a target value at the time of grant of approximately one million dollars ($1,000,000) (“</w:t>
      </w:r>
      <w:r>
        <w:rPr>
          <w:rFonts w:ascii="Arial" w:cs="Arial" w:eastAsia="Arial" w:hAnsi="Arial"/>
          <w:sz w:val="19"/>
          <w:szCs w:val="19"/>
          <w:b w:val="1"/>
          <w:bCs w:val="1"/>
          <w:i w:val="1"/>
          <w:iCs w:val="1"/>
          <w:color w:val="auto"/>
        </w:rPr>
        <w:t>Annual Target 3-Year PSU Grant Value</w:t>
      </w:r>
      <w:r>
        <w:rPr>
          <w:rFonts w:ascii="Arial" w:cs="Arial" w:eastAsia="Arial" w:hAnsi="Arial"/>
          <w:sz w:val="19"/>
          <w:szCs w:val="19"/>
          <w:color w:val="auto"/>
        </w:rPr>
        <w:t>”). The first Annual 3-Year PSU granted to you shall be for the 2021, 2022 and 2023 performance cycle, and shall vest on June 29, 2024. The actual number of Annual 3-Year PSUs awarded to you on the grant date shall be equal to the Annual Target 3-Year PSU Grant Value divided by the Grant Date Price (it being recognized that if the maximum performance objectives are met for any of the Annual 3-Year PSUs, the value of the Shares received upon vesting for such the Annual 3-Year PSU would have been approximately one million two hundred fifty thousand dollars ($1,250,000) at the time of grant, representing approximately one hundred twenty five percent (125%) of the Annual Target 3-Year PSU Grant Value). The number of Annual 3-Year PSUs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used with respect to similarly situated executives of the Employer. Subject to your remaining employed by Activision Blizzard through each applicable vesting date and otherwise satisfying the terms of the award, the actual number of each Annual 3-Year PSU award shall be eligible to vest no later than the June 29th following the end of the relevant three-year performance period if, and only if, the Compensation Committee determines the determines that Activision Blizzard’s annual OI (defined below) is ninety percent (90%) or more of the OI Objective (defined below) for the same performance period and the number of Shares delivered will be calculated based on the OI Performance Curve (defined below).</w:t>
      </w:r>
    </w:p>
    <w:p>
      <w:pPr>
        <w:sectPr>
          <w:pgSz w:w="11900" w:h="16838" w:orient="portrait"/>
          <w:cols w:equalWidth="0" w:num="1">
            <w:col w:w="11240"/>
          </w:cols>
          <w:pgMar w:left="320" w:top="1364" w:right="339" w:bottom="1440" w:gutter="0" w:footer="0" w:header="0"/>
        </w:sectPr>
      </w:pPr>
    </w:p>
    <w:bookmarkStart w:id="317" w:name="page318"/>
    <w:bookmarkEnd w:id="317"/>
    <w:p>
      <w:pPr>
        <w:jc w:val="both"/>
        <w:ind w:left="-480" w:firstLine="1253"/>
        <w:spacing w:after="0" w:line="235" w:lineRule="auto"/>
        <w:tabs>
          <w:tab w:leader="none" w:pos="140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Activision Blizzard shall grant to you a one-time award of PSUs (“</w:t>
      </w:r>
      <w:r>
        <w:rPr>
          <w:rFonts w:ascii="Arial" w:cs="Arial" w:eastAsia="Arial" w:hAnsi="Arial"/>
          <w:sz w:val="19"/>
          <w:szCs w:val="19"/>
          <w:b w:val="1"/>
          <w:bCs w:val="1"/>
          <w:i w:val="1"/>
          <w:iCs w:val="1"/>
          <w:color w:val="auto"/>
        </w:rPr>
        <w:t>2021 Long Term Equity</w:t>
      </w:r>
      <w:r>
        <w:rPr>
          <w:rFonts w:ascii="Arial" w:cs="Arial" w:eastAsia="Arial" w:hAnsi="Arial"/>
          <w:sz w:val="19"/>
          <w:szCs w:val="19"/>
          <w:color w:val="auto"/>
        </w:rPr>
        <w:t>”), with a target value at the time of the grant of approximately six million dollars ($6,000,000) (“</w:t>
      </w:r>
      <w:r>
        <w:rPr>
          <w:rFonts w:ascii="Arial" w:cs="Arial" w:eastAsia="Arial" w:hAnsi="Arial"/>
          <w:sz w:val="19"/>
          <w:szCs w:val="19"/>
          <w:b w:val="1"/>
          <w:bCs w:val="1"/>
          <w:i w:val="1"/>
          <w:iCs w:val="1"/>
          <w:color w:val="auto"/>
        </w:rPr>
        <w:t>Target 2021 Long Term Equity Grant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Value</w:t>
      </w:r>
      <w:r>
        <w:rPr>
          <w:rFonts w:ascii="Arial" w:cs="Arial" w:eastAsia="Arial" w:hAnsi="Arial"/>
          <w:sz w:val="19"/>
          <w:szCs w:val="19"/>
          <w:color w:val="auto"/>
        </w:rPr>
        <w:t>”). The actual number of PSUs awarded to you on the grant date shall be equal to the Target 2021 Long Term Equity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 Value divided by the Grant Date Price (it being recognized that if the maximum performance objectives are met for all of the 2021 Long Term Equity, the value of the Shares received upon vesting for all of the 2021 Long Term Equity would have been approximately seven million five hundred thousand dollars ($7,500,000) at the time of grant, representing approximately one hundred twenty five percent (125%) of the Target 2021 Long Term Equity Grant Value). The number of 2021 Long Term Equity PSUs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used with respect to similarly situated executives of the Employer. Subject to your remaining employed by Activision Blizzard through each applicable vesting date and otherwise satisfying the terms of the award, the 2021 Long Term Equity award shall vest as follows:</w:t>
      </w:r>
    </w:p>
    <w:p>
      <w:pPr>
        <w:spacing w:after="0" w:line="153" w:lineRule="exact"/>
        <w:rPr>
          <w:rFonts w:ascii="Arial" w:cs="Arial" w:eastAsia="Arial" w:hAnsi="Arial"/>
          <w:sz w:val="19"/>
          <w:szCs w:val="19"/>
          <w:color w:val="auto"/>
        </w:rPr>
      </w:pPr>
    </w:p>
    <w:p>
      <w:pPr>
        <w:jc w:val="both"/>
        <w:ind w:left="-480" w:firstLine="1883"/>
        <w:spacing w:after="0" w:line="183" w:lineRule="auto"/>
        <w:tabs>
          <w:tab w:leader="none" w:pos="2026" w:val="left"/>
        </w:tabs>
        <w:numPr>
          <w:ilvl w:val="1"/>
          <w:numId w:val="206"/>
        </w:numPr>
        <w:rPr>
          <w:rFonts w:ascii="Arial" w:cs="Arial" w:eastAsia="Arial" w:hAnsi="Arial"/>
          <w:sz w:val="21"/>
          <w:szCs w:val="21"/>
          <w:color w:val="auto"/>
        </w:rPr>
      </w:pPr>
      <w:r>
        <w:rPr>
          <w:rFonts w:ascii="Arial" w:cs="Arial" w:eastAsia="Arial" w:hAnsi="Arial"/>
          <w:sz w:val="21"/>
          <w:szCs w:val="21"/>
          <w:color w:val="auto"/>
        </w:rPr>
        <w:t>One half (1/2) shall be divided into four tranches (of one-third (1/3</w:t>
      </w:r>
      <w:r>
        <w:rPr>
          <w:rFonts w:ascii="Arial" w:cs="Arial" w:eastAsia="Arial" w:hAnsi="Arial"/>
          <w:sz w:val="27"/>
          <w:szCs w:val="27"/>
          <w:color w:val="auto"/>
          <w:vertAlign w:val="superscript"/>
        </w:rPr>
        <w:t>rd</w:t>
      </w:r>
      <w:r>
        <w:rPr>
          <w:rFonts w:ascii="Arial" w:cs="Arial" w:eastAsia="Arial" w:hAnsi="Arial"/>
          <w:sz w:val="21"/>
          <w:szCs w:val="21"/>
          <w:color w:val="auto"/>
        </w:rPr>
        <w:t>), one-third (1/3</w:t>
      </w:r>
      <w:r>
        <w:rPr>
          <w:rFonts w:ascii="Arial" w:cs="Arial" w:eastAsia="Arial" w:hAnsi="Arial"/>
          <w:sz w:val="27"/>
          <w:szCs w:val="27"/>
          <w:color w:val="auto"/>
          <w:vertAlign w:val="superscript"/>
        </w:rPr>
        <w:t>rd</w:t>
      </w:r>
      <w:r>
        <w:rPr>
          <w:rFonts w:ascii="Arial" w:cs="Arial" w:eastAsia="Arial" w:hAnsi="Arial"/>
          <w:sz w:val="21"/>
          <w:szCs w:val="21"/>
          <w:color w:val="auto"/>
        </w:rPr>
        <w:t>), one-sixth (1/6</w:t>
      </w:r>
      <w:r>
        <w:rPr>
          <w:rFonts w:ascii="Arial" w:cs="Arial" w:eastAsia="Arial" w:hAnsi="Arial"/>
          <w:sz w:val="27"/>
          <w:szCs w:val="27"/>
          <w:color w:val="auto"/>
          <w:vertAlign w:val="superscript"/>
        </w:rPr>
        <w:t>th</w:t>
      </w:r>
      <w:r>
        <w:rPr>
          <w:rFonts w:ascii="Arial" w:cs="Arial" w:eastAsia="Arial" w:hAnsi="Arial"/>
          <w:sz w:val="21"/>
          <w:szCs w:val="21"/>
          <w:color w:val="auto"/>
        </w:rPr>
        <w:t>), and one-sixth (1/6</w:t>
      </w:r>
      <w:r>
        <w:rPr>
          <w:rFonts w:ascii="Arial" w:cs="Arial" w:eastAsia="Arial" w:hAnsi="Arial"/>
          <w:sz w:val="27"/>
          <w:szCs w:val="27"/>
          <w:color w:val="auto"/>
          <w:vertAlign w:val="superscript"/>
        </w:rPr>
        <w:t>th</w:t>
      </w:r>
      <w:r>
        <w:rPr>
          <w:rFonts w:ascii="Arial" w:cs="Arial" w:eastAsia="Arial" w:hAnsi="Arial"/>
          <w:sz w:val="21"/>
          <w:szCs w:val="21"/>
          <w:color w:val="auto"/>
        </w:rPr>
        <w:t>)) over four 1-year performance measurement periods (January 1, 2021 through December 31, 2021 (one-third (1/3</w:t>
      </w:r>
      <w:r>
        <w:rPr>
          <w:rFonts w:ascii="Arial" w:cs="Arial" w:eastAsia="Arial" w:hAnsi="Arial"/>
          <w:sz w:val="27"/>
          <w:szCs w:val="27"/>
          <w:color w:val="auto"/>
          <w:vertAlign w:val="superscript"/>
        </w:rPr>
        <w:t>rd</w:t>
      </w:r>
      <w:r>
        <w:rPr>
          <w:rFonts w:ascii="Arial" w:cs="Arial" w:eastAsia="Arial" w:hAnsi="Arial"/>
          <w:sz w:val="21"/>
          <w:szCs w:val="21"/>
          <w:color w:val="auto"/>
        </w:rPr>
        <w:t>)), January 1, 2022 through December 31, 2022 (one-third (1/3</w:t>
      </w:r>
      <w:r>
        <w:rPr>
          <w:rFonts w:ascii="Arial" w:cs="Arial" w:eastAsia="Arial" w:hAnsi="Arial"/>
          <w:sz w:val="27"/>
          <w:szCs w:val="27"/>
          <w:color w:val="auto"/>
          <w:vertAlign w:val="superscript"/>
        </w:rPr>
        <w:t>rd</w:t>
      </w:r>
      <w:r>
        <w:rPr>
          <w:rFonts w:ascii="Arial" w:cs="Arial" w:eastAsia="Arial" w:hAnsi="Arial"/>
          <w:sz w:val="21"/>
          <w:szCs w:val="21"/>
          <w:color w:val="auto"/>
        </w:rPr>
        <w:t>)), January 1, 2023 through December 31, 2023 (one-sixth (1/6</w:t>
      </w:r>
      <w:r>
        <w:rPr>
          <w:rFonts w:ascii="Arial" w:cs="Arial" w:eastAsia="Arial" w:hAnsi="Arial"/>
          <w:sz w:val="27"/>
          <w:szCs w:val="27"/>
          <w:color w:val="auto"/>
          <w:vertAlign w:val="superscript"/>
        </w:rPr>
        <w:t>th</w:t>
      </w:r>
      <w:r>
        <w:rPr>
          <w:rFonts w:ascii="Arial" w:cs="Arial" w:eastAsia="Arial" w:hAnsi="Arial"/>
          <w:sz w:val="21"/>
          <w:szCs w:val="21"/>
          <w:color w:val="auto"/>
        </w:rPr>
        <w:t>)), and January 1, 2024 through December 31, 2024 (one-sixth (1/6</w:t>
      </w:r>
      <w:r>
        <w:rPr>
          <w:rFonts w:ascii="Arial" w:cs="Arial" w:eastAsia="Arial" w:hAnsi="Arial"/>
          <w:sz w:val="27"/>
          <w:szCs w:val="27"/>
          <w:color w:val="auto"/>
          <w:vertAlign w:val="superscript"/>
        </w:rPr>
        <w:t>th</w:t>
      </w:r>
      <w:r>
        <w:rPr>
          <w:rFonts w:ascii="Arial" w:cs="Arial" w:eastAsia="Arial" w:hAnsi="Arial"/>
          <w:sz w:val="21"/>
          <w:szCs w:val="21"/>
          <w:color w:val="auto"/>
        </w:rPr>
        <w:t>))); each tranche will be eligible to vest no later than the June 29th following the end of the relevant one-year performance measurement period, if, and only if, the Compensation Committee determines that Activision Blizzard’s OI is ninety percent (90%) or more of the relevant OI Objective for the relevant performance period and the number of shares delivered will be subject to the OI Performance Curve.</w:t>
      </w:r>
    </w:p>
    <w:p>
      <w:pPr>
        <w:spacing w:after="0" w:line="152" w:lineRule="exact"/>
        <w:rPr>
          <w:rFonts w:ascii="Arial" w:cs="Arial" w:eastAsia="Arial" w:hAnsi="Arial"/>
          <w:sz w:val="21"/>
          <w:szCs w:val="21"/>
          <w:color w:val="auto"/>
        </w:rPr>
      </w:pPr>
    </w:p>
    <w:p>
      <w:pPr>
        <w:jc w:val="both"/>
        <w:ind w:left="-480" w:firstLine="1883"/>
        <w:spacing w:after="0" w:line="197" w:lineRule="auto"/>
        <w:tabs>
          <w:tab w:leader="none" w:pos="2038" w:val="left"/>
        </w:tabs>
        <w:numPr>
          <w:ilvl w:val="1"/>
          <w:numId w:val="206"/>
        </w:numPr>
        <w:rPr>
          <w:rFonts w:ascii="Arial" w:cs="Arial" w:eastAsia="Arial" w:hAnsi="Arial"/>
          <w:sz w:val="20"/>
          <w:szCs w:val="20"/>
          <w:color w:val="auto"/>
        </w:rPr>
      </w:pPr>
      <w:r>
        <w:rPr>
          <w:rFonts w:ascii="Arial" w:cs="Arial" w:eastAsia="Arial" w:hAnsi="Arial"/>
          <w:sz w:val="20"/>
          <w:szCs w:val="20"/>
          <w:color w:val="auto"/>
        </w:rPr>
        <w:t>One half (1/2) shall be divided into four tranches (of one-third (1/3</w:t>
      </w:r>
      <w:r>
        <w:rPr>
          <w:rFonts w:ascii="Arial" w:cs="Arial" w:eastAsia="Arial" w:hAnsi="Arial"/>
          <w:sz w:val="26"/>
          <w:szCs w:val="26"/>
          <w:color w:val="auto"/>
          <w:vertAlign w:val="superscript"/>
        </w:rPr>
        <w:t>rd</w:t>
      </w:r>
      <w:r>
        <w:rPr>
          <w:rFonts w:ascii="Arial" w:cs="Arial" w:eastAsia="Arial" w:hAnsi="Arial"/>
          <w:sz w:val="20"/>
          <w:szCs w:val="20"/>
          <w:color w:val="auto"/>
        </w:rPr>
        <w:t>), one-third (1/3</w:t>
      </w:r>
      <w:r>
        <w:rPr>
          <w:rFonts w:ascii="Arial" w:cs="Arial" w:eastAsia="Arial" w:hAnsi="Arial"/>
          <w:sz w:val="26"/>
          <w:szCs w:val="26"/>
          <w:color w:val="auto"/>
          <w:vertAlign w:val="superscript"/>
        </w:rPr>
        <w:t>rd</w:t>
      </w:r>
      <w:r>
        <w:rPr>
          <w:rFonts w:ascii="Arial" w:cs="Arial" w:eastAsia="Arial" w:hAnsi="Arial"/>
          <w:sz w:val="20"/>
          <w:szCs w:val="20"/>
          <w:color w:val="auto"/>
        </w:rPr>
        <w:t>), one-sixth (1/6</w:t>
      </w:r>
      <w:r>
        <w:rPr>
          <w:rFonts w:ascii="Arial" w:cs="Arial" w:eastAsia="Arial" w:hAnsi="Arial"/>
          <w:sz w:val="26"/>
          <w:szCs w:val="26"/>
          <w:color w:val="auto"/>
          <w:vertAlign w:val="superscript"/>
        </w:rPr>
        <w:t>th</w:t>
      </w:r>
      <w:r>
        <w:rPr>
          <w:rFonts w:ascii="Arial" w:cs="Arial" w:eastAsia="Arial" w:hAnsi="Arial"/>
          <w:sz w:val="20"/>
          <w:szCs w:val="20"/>
          <w:color w:val="auto"/>
        </w:rPr>
        <w:t>), and one-sixth (1/6</w:t>
      </w:r>
      <w:r>
        <w:rPr>
          <w:rFonts w:ascii="Arial" w:cs="Arial" w:eastAsia="Arial" w:hAnsi="Arial"/>
          <w:sz w:val="26"/>
          <w:szCs w:val="26"/>
          <w:color w:val="auto"/>
          <w:vertAlign w:val="superscript"/>
        </w:rPr>
        <w:t>th</w:t>
      </w:r>
      <w:r>
        <w:rPr>
          <w:rFonts w:ascii="Arial" w:cs="Arial" w:eastAsia="Arial" w:hAnsi="Arial"/>
          <w:sz w:val="20"/>
          <w:szCs w:val="20"/>
          <w:color w:val="auto"/>
        </w:rPr>
        <w:t>)) over four 1-year performance measurement periods (January 1, 2021 through December 31, 2021 (one-third (1/3</w:t>
      </w:r>
      <w:r>
        <w:rPr>
          <w:rFonts w:ascii="Arial" w:cs="Arial" w:eastAsia="Arial" w:hAnsi="Arial"/>
          <w:sz w:val="26"/>
          <w:szCs w:val="26"/>
          <w:color w:val="auto"/>
          <w:vertAlign w:val="superscript"/>
        </w:rPr>
        <w:t>rd</w:t>
      </w:r>
      <w:r>
        <w:rPr>
          <w:rFonts w:ascii="Arial" w:cs="Arial" w:eastAsia="Arial" w:hAnsi="Arial"/>
          <w:sz w:val="20"/>
          <w:szCs w:val="20"/>
          <w:color w:val="auto"/>
        </w:rPr>
        <w:t>)), January 1, 2022 through December 31, 2022 (one-third (1/3</w:t>
      </w:r>
      <w:r>
        <w:rPr>
          <w:rFonts w:ascii="Arial" w:cs="Arial" w:eastAsia="Arial" w:hAnsi="Arial"/>
          <w:sz w:val="26"/>
          <w:szCs w:val="26"/>
          <w:color w:val="auto"/>
          <w:vertAlign w:val="superscript"/>
        </w:rPr>
        <w:t>rd</w:t>
      </w:r>
      <w:r>
        <w:rPr>
          <w:rFonts w:ascii="Arial" w:cs="Arial" w:eastAsia="Arial" w:hAnsi="Arial"/>
          <w:sz w:val="20"/>
          <w:szCs w:val="20"/>
          <w:color w:val="auto"/>
        </w:rPr>
        <w:t>)), January 1, 2023 through December 31, 2023 (one-sixth (1/6</w:t>
      </w:r>
      <w:r>
        <w:rPr>
          <w:rFonts w:ascii="Arial" w:cs="Arial" w:eastAsia="Arial" w:hAnsi="Arial"/>
          <w:sz w:val="26"/>
          <w:szCs w:val="26"/>
          <w:color w:val="auto"/>
          <w:vertAlign w:val="superscript"/>
        </w:rPr>
        <w:t>th</w:t>
      </w:r>
      <w:r>
        <w:rPr>
          <w:rFonts w:ascii="Arial" w:cs="Arial" w:eastAsia="Arial" w:hAnsi="Arial"/>
          <w:sz w:val="20"/>
          <w:szCs w:val="20"/>
          <w:color w:val="auto"/>
        </w:rPr>
        <w:t>)), and January 1, 2024 through December 31, 2024 (one-sixth (1/6</w:t>
      </w:r>
      <w:r>
        <w:rPr>
          <w:rFonts w:ascii="Arial" w:cs="Arial" w:eastAsia="Arial" w:hAnsi="Arial"/>
          <w:sz w:val="26"/>
          <w:szCs w:val="26"/>
          <w:color w:val="auto"/>
          <w:vertAlign w:val="superscript"/>
        </w:rPr>
        <w:t>th</w:t>
      </w:r>
      <w:r>
        <w:rPr>
          <w:rFonts w:ascii="Arial" w:cs="Arial" w:eastAsia="Arial" w:hAnsi="Arial"/>
          <w:sz w:val="20"/>
          <w:szCs w:val="20"/>
          <w:color w:val="auto"/>
        </w:rPr>
        <w:t>))); each tranche will be eligible to vest no later than the June 29th following the end of the relevant one-year performance measurement period, if, and only if, the Compensation Committee determines that EPS (defined below) for the same performance period is ninety percent (90%) or more of the annual EPS Objective (defined below), and the number of shares delivered will be calculated based on the EPS Performance Curve (defined below).</w:t>
      </w:r>
    </w:p>
    <w:p>
      <w:pPr>
        <w:spacing w:after="0" w:line="158" w:lineRule="exact"/>
        <w:rPr>
          <w:rFonts w:ascii="Arial" w:cs="Arial" w:eastAsia="Arial" w:hAnsi="Arial"/>
          <w:sz w:val="20"/>
          <w:szCs w:val="20"/>
          <w:color w:val="auto"/>
        </w:rPr>
      </w:pPr>
    </w:p>
    <w:p>
      <w:pPr>
        <w:ind w:left="1400" w:hanging="627"/>
        <w:spacing w:after="0"/>
        <w:tabs>
          <w:tab w:leader="none" w:pos="140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For purposes of this Section 2(d) the following terms shall have the meaning set forth below:</w:t>
      </w:r>
    </w:p>
    <w:p>
      <w:pPr>
        <w:spacing w:after="0" w:line="178" w:lineRule="exact"/>
        <w:rPr>
          <w:sz w:val="20"/>
          <w:szCs w:val="20"/>
          <w:color w:val="auto"/>
        </w:rPr>
      </w:pPr>
    </w:p>
    <w:p>
      <w:pPr>
        <w:jc w:val="both"/>
        <w:ind w:left="780" w:firstLine="629"/>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w:t>
      </w:r>
      <w:r>
        <w:rPr>
          <w:rFonts w:ascii="Arial" w:cs="Arial" w:eastAsia="Arial" w:hAnsi="Arial"/>
          <w:sz w:val="21"/>
          <w:szCs w:val="21"/>
          <w:color w:val="auto"/>
        </w:rPr>
        <w:t>” for the relevant performance period means Activision Blizzard’s earnings per Share as determined by the Compensation Committee and calculated in the same manner as the relevant performance measurement period’s EPS Objective.</w:t>
      </w:r>
    </w:p>
    <w:p>
      <w:pPr>
        <w:spacing w:after="0" w:line="154" w:lineRule="exact"/>
        <w:rPr>
          <w:sz w:val="20"/>
          <w:szCs w:val="20"/>
          <w:color w:val="auto"/>
        </w:rPr>
      </w:pPr>
    </w:p>
    <w:p>
      <w:pPr>
        <w:jc w:val="both"/>
        <w:ind w:left="780" w:firstLine="62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 Objective</w:t>
      </w:r>
      <w:r>
        <w:rPr>
          <w:rFonts w:ascii="Arial" w:cs="Arial" w:eastAsia="Arial" w:hAnsi="Arial"/>
          <w:sz w:val="21"/>
          <w:szCs w:val="21"/>
          <w:color w:val="auto"/>
        </w:rPr>
        <w:t>” means the operating plan EPS objective established by the Compensation Committee for the relevant performance measurement period.</w:t>
      </w:r>
    </w:p>
    <w:p>
      <w:pPr>
        <w:sectPr>
          <w:pgSz w:w="11900" w:h="16838" w:orient="portrait"/>
          <w:cols w:equalWidth="0" w:num="1">
            <w:col w:w="10120"/>
          </w:cols>
          <w:pgMar w:left="1440" w:top="1364" w:right="339" w:bottom="1440" w:gutter="0" w:footer="0" w:header="0"/>
        </w:sectPr>
      </w:pPr>
    </w:p>
    <w:bookmarkStart w:id="318" w:name="page319"/>
    <w:bookmarkEnd w:id="318"/>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 Performance Curve</w:t>
      </w:r>
      <w:r>
        <w:rPr>
          <w:rFonts w:ascii="Arial" w:cs="Arial" w:eastAsia="Arial" w:hAnsi="Arial"/>
          <w:sz w:val="21"/>
          <w:szCs w:val="21"/>
          <w:color w:val="auto"/>
        </w:rPr>
        <w:t>” means and shall be determined as follows:</w:t>
      </w:r>
    </w:p>
    <w:p>
      <w:pPr>
        <w:spacing w:after="0" w:line="178" w:lineRule="exact"/>
        <w:rPr>
          <w:sz w:val="20"/>
          <w:szCs w:val="20"/>
          <w:color w:val="auto"/>
        </w:rPr>
      </w:pPr>
    </w:p>
    <w:p>
      <w:pPr>
        <w:ind w:left="2640" w:hanging="608"/>
        <w:spacing w:after="0"/>
        <w:tabs>
          <w:tab w:leader="none" w:pos="26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If the EPS for the relevant performance measurement period is less than ninety percent</w:t>
      </w:r>
    </w:p>
    <w:p>
      <w:pPr>
        <w:spacing w:after="0" w:line="9" w:lineRule="exact"/>
        <w:rPr>
          <w:rFonts w:ascii="Arial" w:cs="Arial" w:eastAsia="Arial" w:hAnsi="Arial"/>
          <w:sz w:val="19"/>
          <w:szCs w:val="19"/>
          <w:color w:val="auto"/>
        </w:rPr>
      </w:pPr>
    </w:p>
    <w:p>
      <w:pPr>
        <w:ind w:left="2040"/>
        <w:spacing w:after="0" w:line="227" w:lineRule="auto"/>
        <w:rPr>
          <w:rFonts w:ascii="Arial" w:cs="Arial" w:eastAsia="Arial" w:hAnsi="Arial"/>
          <w:sz w:val="19"/>
          <w:szCs w:val="19"/>
          <w:color w:val="auto"/>
        </w:rPr>
      </w:pPr>
      <w:r>
        <w:rPr>
          <w:rFonts w:ascii="Arial" w:cs="Arial" w:eastAsia="Arial" w:hAnsi="Arial"/>
          <w:sz w:val="21"/>
          <w:szCs w:val="21"/>
          <w:color w:val="auto"/>
        </w:rPr>
        <w:t>(90%) of the EPS Objective for the same period, then the relevant PSUs will not vest and shall be forfeited.</w:t>
      </w:r>
    </w:p>
    <w:p>
      <w:pPr>
        <w:spacing w:after="0" w:line="154" w:lineRule="exact"/>
        <w:rPr>
          <w:rFonts w:ascii="Arial" w:cs="Arial" w:eastAsia="Arial" w:hAnsi="Arial"/>
          <w:sz w:val="19"/>
          <w:szCs w:val="19"/>
          <w:color w:val="auto"/>
        </w:rPr>
      </w:pPr>
    </w:p>
    <w:p>
      <w:pPr>
        <w:jc w:val="both"/>
        <w:ind w:left="2040" w:hanging="8"/>
        <w:spacing w:after="0" w:line="225" w:lineRule="auto"/>
        <w:tabs>
          <w:tab w:leader="none" w:pos="266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If EPS is ninety percent (90%) of the EPS Objective for the relevant performance measurement period, then fifty percent (50%) of the relevant tranche shall vest; if EPS is one hundred percent (100%) of the relevant EPS Objective for the relevant performance period, then one hundred percent (100%) of the relevant tranche shall vest; and if EPS is between ninety and one hundred percent (90–100%) of the relevant EPS Objective for the relevant performance period, then the vesting for that tranche will be established via straight line interpolation between those two numbers (e.g., if the EPS is ninety two percent (92%) of the relevant EPS Objective for the relevant performance period, then sixty percent (60%) of the relevant tranche shall vest).</w:t>
      </w:r>
    </w:p>
    <w:p>
      <w:pPr>
        <w:spacing w:after="0" w:line="157" w:lineRule="exact"/>
        <w:rPr>
          <w:rFonts w:ascii="Arial" w:cs="Arial" w:eastAsia="Arial" w:hAnsi="Arial"/>
          <w:sz w:val="20"/>
          <w:szCs w:val="20"/>
          <w:color w:val="auto"/>
        </w:rPr>
      </w:pPr>
    </w:p>
    <w:p>
      <w:pPr>
        <w:jc w:val="both"/>
        <w:ind w:left="2040" w:hanging="8"/>
        <w:spacing w:after="0" w:line="237" w:lineRule="auto"/>
        <w:tabs>
          <w:tab w:leader="none" w:pos="2657"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If EPS is one hundred percent (100%) of the relevant EPS Objective for the relevant performance period, then one hundred percent (100%) of the relevant tranche shall vest; if EPS is one hundred twenty five percent (125%) of the relevant EPS Objective for the relevant performance period, then one hundred twenty five percent (125%) of the relevant tranche shall vest; and if EPS is between one hundred and one hundred twenty five percent (100-125%) of the relevant EPS Objective for the relevant performance period, then the vesting for that tranche will be established via straight line interpolation between those two numbers (e.g., if the EPS is one hundred two percent (102%) of the relevant EPS Objective for the relevant performance period, then one hundred two percent (102%) of the relevant tranche shall vest).</w:t>
      </w:r>
    </w:p>
    <w:p>
      <w:pPr>
        <w:spacing w:after="0" w:line="156" w:lineRule="exact"/>
        <w:rPr>
          <w:rFonts w:ascii="Arial" w:cs="Arial" w:eastAsia="Arial" w:hAnsi="Arial"/>
          <w:sz w:val="19"/>
          <w:szCs w:val="19"/>
          <w:color w:val="auto"/>
        </w:rPr>
      </w:pPr>
    </w:p>
    <w:p>
      <w:pPr>
        <w:ind w:left="2040" w:hanging="8"/>
        <w:spacing w:after="0" w:line="236" w:lineRule="auto"/>
        <w:tabs>
          <w:tab w:leader="none" w:pos="2669" w:val="left"/>
        </w:tabs>
        <w:numPr>
          <w:ilvl w:val="0"/>
          <w:numId w:val="207"/>
        </w:numPr>
        <w:rPr>
          <w:rFonts w:ascii="Arial" w:cs="Arial" w:eastAsia="Arial" w:hAnsi="Arial"/>
          <w:sz w:val="21"/>
          <w:szCs w:val="21"/>
          <w:color w:val="auto"/>
        </w:rPr>
      </w:pPr>
      <w:r>
        <w:rPr>
          <w:rFonts w:ascii="Arial" w:cs="Arial" w:eastAsia="Arial" w:hAnsi="Arial"/>
          <w:sz w:val="21"/>
          <w:szCs w:val="21"/>
          <w:color w:val="auto"/>
        </w:rPr>
        <w:t>In no circumstance will any of the EPS PSU tranches vest at any percentage above one hundred twenty five percent (125%).</w:t>
      </w:r>
    </w:p>
    <w:p>
      <w:pPr>
        <w:spacing w:after="0" w:line="155" w:lineRule="exact"/>
        <w:rPr>
          <w:sz w:val="20"/>
          <w:szCs w:val="20"/>
          <w:color w:val="auto"/>
        </w:rPr>
      </w:pPr>
    </w:p>
    <w:p>
      <w:pPr>
        <w:jc w:val="both"/>
        <w:ind w:left="780" w:firstLine="62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Grant Date Price</w:t>
      </w:r>
      <w:r>
        <w:rPr>
          <w:rFonts w:ascii="Arial" w:cs="Arial" w:eastAsia="Arial" w:hAnsi="Arial"/>
          <w:sz w:val="21"/>
          <w:szCs w:val="21"/>
          <w:color w:val="auto"/>
        </w:rPr>
        <w:t>” means the official closing price of Activision Blizzard’s common stock on the effective date of the grant, as reported by NASDAQ.</w:t>
      </w:r>
    </w:p>
    <w:p>
      <w:pPr>
        <w:spacing w:after="0" w:line="155" w:lineRule="exact"/>
        <w:rPr>
          <w:sz w:val="20"/>
          <w:szCs w:val="20"/>
          <w:color w:val="auto"/>
        </w:rPr>
      </w:pPr>
    </w:p>
    <w:p>
      <w:pPr>
        <w:jc w:val="both"/>
        <w:ind w:left="780" w:firstLine="629"/>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OI</w:t>
      </w:r>
      <w:r>
        <w:rPr>
          <w:rFonts w:ascii="Arial" w:cs="Arial" w:eastAsia="Arial" w:hAnsi="Arial"/>
          <w:sz w:val="21"/>
          <w:szCs w:val="21"/>
          <w:color w:val="auto"/>
        </w:rPr>
        <w:t>” means Activision Blizzard’s operating income for the relevant performance measurement period as determined by the Compensation Committee and calculated in the same manner as the relevant performance measurement period’s OI Objective</w:t>
      </w:r>
    </w:p>
    <w:p>
      <w:pPr>
        <w:spacing w:after="0" w:line="154" w:lineRule="exact"/>
        <w:rPr>
          <w:sz w:val="20"/>
          <w:szCs w:val="20"/>
          <w:color w:val="auto"/>
        </w:rPr>
      </w:pPr>
    </w:p>
    <w:p>
      <w:pPr>
        <w:jc w:val="both"/>
        <w:ind w:left="780" w:firstLine="62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OI Objective</w:t>
      </w:r>
      <w:r>
        <w:rPr>
          <w:rFonts w:ascii="Arial" w:cs="Arial" w:eastAsia="Arial" w:hAnsi="Arial"/>
          <w:sz w:val="21"/>
          <w:szCs w:val="21"/>
          <w:color w:val="auto"/>
        </w:rPr>
        <w:t>” means the operating plan OI objective established by the Compensation Committee for the relevant performance measurement period.</w:t>
      </w:r>
    </w:p>
    <w:p>
      <w:pPr>
        <w:sectPr>
          <w:pgSz w:w="11900" w:h="16838" w:orient="portrait"/>
          <w:cols w:equalWidth="0" w:num="1">
            <w:col w:w="10120"/>
          </w:cols>
          <w:pgMar w:left="1440" w:top="1364" w:right="339" w:bottom="1440" w:gutter="0" w:footer="0" w:header="0"/>
        </w:sectPr>
      </w:pPr>
    </w:p>
    <w:bookmarkStart w:id="319" w:name="page320"/>
    <w:bookmarkEnd w:id="319"/>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OI Performance Curve</w:t>
      </w:r>
      <w:r>
        <w:rPr>
          <w:rFonts w:ascii="Arial" w:cs="Arial" w:eastAsia="Arial" w:hAnsi="Arial"/>
          <w:sz w:val="21"/>
          <w:szCs w:val="21"/>
          <w:color w:val="auto"/>
        </w:rPr>
        <w:t>” means and shall be determined as follows:</w:t>
      </w:r>
    </w:p>
    <w:p>
      <w:pPr>
        <w:spacing w:after="0" w:line="178" w:lineRule="exact"/>
        <w:rPr>
          <w:sz w:val="20"/>
          <w:szCs w:val="20"/>
          <w:color w:val="auto"/>
        </w:rPr>
      </w:pPr>
    </w:p>
    <w:p>
      <w:pPr>
        <w:ind w:left="2640" w:hanging="608"/>
        <w:spacing w:after="0"/>
        <w:tabs>
          <w:tab w:leader="none" w:pos="264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If the OI for the relevant performance measurement period is less than ninety percent</w:t>
      </w:r>
    </w:p>
    <w:p>
      <w:pPr>
        <w:spacing w:after="0" w:line="9" w:lineRule="exact"/>
        <w:rPr>
          <w:rFonts w:ascii="Arial" w:cs="Arial" w:eastAsia="Arial" w:hAnsi="Arial"/>
          <w:sz w:val="19"/>
          <w:szCs w:val="19"/>
          <w:color w:val="auto"/>
        </w:rPr>
      </w:pPr>
    </w:p>
    <w:p>
      <w:pPr>
        <w:ind w:left="2040"/>
        <w:spacing w:after="0" w:line="227" w:lineRule="auto"/>
        <w:rPr>
          <w:rFonts w:ascii="Arial" w:cs="Arial" w:eastAsia="Arial" w:hAnsi="Arial"/>
          <w:sz w:val="19"/>
          <w:szCs w:val="19"/>
          <w:color w:val="auto"/>
        </w:rPr>
      </w:pPr>
      <w:r>
        <w:rPr>
          <w:rFonts w:ascii="Arial" w:cs="Arial" w:eastAsia="Arial" w:hAnsi="Arial"/>
          <w:sz w:val="21"/>
          <w:szCs w:val="21"/>
          <w:color w:val="auto"/>
        </w:rPr>
        <w:t>(90%) of the OI Objective for the same period, then the relevant PSUs will not vest and shall be forfeited.</w:t>
      </w:r>
    </w:p>
    <w:p>
      <w:pPr>
        <w:spacing w:after="0" w:line="154" w:lineRule="exact"/>
        <w:rPr>
          <w:rFonts w:ascii="Arial" w:cs="Arial" w:eastAsia="Arial" w:hAnsi="Arial"/>
          <w:sz w:val="19"/>
          <w:szCs w:val="19"/>
          <w:color w:val="auto"/>
        </w:rPr>
      </w:pPr>
    </w:p>
    <w:p>
      <w:pPr>
        <w:jc w:val="both"/>
        <w:ind w:left="2040" w:hanging="8"/>
        <w:spacing w:after="0" w:line="238" w:lineRule="auto"/>
        <w:tabs>
          <w:tab w:leader="none" w:pos="2669" w:val="left"/>
        </w:tabs>
        <w:numPr>
          <w:ilvl w:val="1"/>
          <w:numId w:val="208"/>
        </w:numPr>
        <w:rPr>
          <w:rFonts w:ascii="Arial" w:cs="Arial" w:eastAsia="Arial" w:hAnsi="Arial"/>
          <w:sz w:val="19"/>
          <w:szCs w:val="19"/>
          <w:color w:val="auto"/>
        </w:rPr>
      </w:pPr>
      <w:r>
        <w:rPr>
          <w:rFonts w:ascii="Arial" w:cs="Arial" w:eastAsia="Arial" w:hAnsi="Arial"/>
          <w:sz w:val="19"/>
          <w:szCs w:val="19"/>
          <w:color w:val="auto"/>
        </w:rPr>
        <w:t>If OI is ninety percent (90%) of the relevant OI Objective for the relevant performance period, then fifty percent (50%) of the relevant tranche shall vest; if OI is one hundred percent (100%) of the relevant OI Objective for the relevant performance period, then one hundred percent (100%) of the relevant tranche shall vest; and if OI is between ninety and one hundred percent (90–100%) of the relevant OI Objective for the relevant performance period, then the vesting for that tranche will be established via straight line interpolation between those two numbers (e.g., if OI is ninety two percent (92%) of the relevant OI Objective for the relevant performance period, then sixty percent (60%) of the relevant tranche shall vest).</w:t>
      </w:r>
    </w:p>
    <w:p>
      <w:pPr>
        <w:spacing w:after="0" w:line="155" w:lineRule="exact"/>
        <w:rPr>
          <w:rFonts w:ascii="Arial" w:cs="Arial" w:eastAsia="Arial" w:hAnsi="Arial"/>
          <w:sz w:val="19"/>
          <w:szCs w:val="19"/>
          <w:color w:val="auto"/>
        </w:rPr>
      </w:pPr>
    </w:p>
    <w:p>
      <w:pPr>
        <w:jc w:val="both"/>
        <w:ind w:left="2040" w:hanging="8"/>
        <w:spacing w:after="0" w:line="237" w:lineRule="auto"/>
        <w:tabs>
          <w:tab w:leader="none" w:pos="2657" w:val="left"/>
        </w:tabs>
        <w:numPr>
          <w:ilvl w:val="1"/>
          <w:numId w:val="208"/>
        </w:numPr>
        <w:rPr>
          <w:rFonts w:ascii="Arial" w:cs="Arial" w:eastAsia="Arial" w:hAnsi="Arial"/>
          <w:sz w:val="19"/>
          <w:szCs w:val="19"/>
          <w:color w:val="auto"/>
        </w:rPr>
      </w:pPr>
      <w:r>
        <w:rPr>
          <w:rFonts w:ascii="Arial" w:cs="Arial" w:eastAsia="Arial" w:hAnsi="Arial"/>
          <w:sz w:val="19"/>
          <w:szCs w:val="19"/>
          <w:color w:val="auto"/>
        </w:rPr>
        <w:t>If OI is one hundred percent (100%) of the relevant OI Objective for the relevant performance period, then one hundred percent (100%) of the relevant tranche shall vest; if OI is one hundred twenty five percent (125%) of the relevant OI Objective for the relevant performance period, then one hundred twenty five percent (125%) of the relevant tranche shall vest; and if OI is between one hundred and one hundred twenty five percent (100–125%) of the relevant OI Objective for the relevant performance period, then the vesting for that tranche will be established via straight line interpolation between those two numbers (e.g., if the OI is one hundred two percent (102%) of the relevant OI Objective for the relevant performance period, then one hundred two percent (102%) of the relevant tranche shall vest).</w:t>
      </w:r>
    </w:p>
    <w:p>
      <w:pPr>
        <w:spacing w:after="0" w:line="156" w:lineRule="exact"/>
        <w:rPr>
          <w:rFonts w:ascii="Arial" w:cs="Arial" w:eastAsia="Arial" w:hAnsi="Arial"/>
          <w:sz w:val="19"/>
          <w:szCs w:val="19"/>
          <w:color w:val="auto"/>
        </w:rPr>
      </w:pPr>
    </w:p>
    <w:p>
      <w:pPr>
        <w:ind w:left="2040" w:hanging="8"/>
        <w:spacing w:after="0" w:line="236" w:lineRule="auto"/>
        <w:tabs>
          <w:tab w:leader="none" w:pos="2669" w:val="left"/>
        </w:tabs>
        <w:numPr>
          <w:ilvl w:val="1"/>
          <w:numId w:val="208"/>
        </w:numPr>
        <w:rPr>
          <w:rFonts w:ascii="Arial" w:cs="Arial" w:eastAsia="Arial" w:hAnsi="Arial"/>
          <w:sz w:val="21"/>
          <w:szCs w:val="21"/>
          <w:color w:val="auto"/>
        </w:rPr>
      </w:pPr>
      <w:r>
        <w:rPr>
          <w:rFonts w:ascii="Arial" w:cs="Arial" w:eastAsia="Arial" w:hAnsi="Arial"/>
          <w:sz w:val="21"/>
          <w:szCs w:val="21"/>
          <w:color w:val="auto"/>
        </w:rPr>
        <w:t>In no circumstance will any of the OI PSU tranches vest at any percentage above one hundred twenty five percent (125%).</w:t>
      </w:r>
    </w:p>
    <w:p>
      <w:pPr>
        <w:spacing w:after="0" w:line="154" w:lineRule="exact"/>
        <w:rPr>
          <w:rFonts w:ascii="Arial" w:cs="Arial" w:eastAsia="Arial" w:hAnsi="Arial"/>
          <w:sz w:val="21"/>
          <w:szCs w:val="21"/>
          <w:color w:val="auto"/>
        </w:rPr>
      </w:pPr>
    </w:p>
    <w:p>
      <w:pPr>
        <w:jc w:val="both"/>
        <w:ind w:left="-480" w:firstLine="1253"/>
        <w:spacing w:after="0" w:line="239" w:lineRule="auto"/>
        <w:tabs>
          <w:tab w:leader="none" w:pos="1404" w:val="left"/>
        </w:tabs>
        <w:numPr>
          <w:ilvl w:val="0"/>
          <w:numId w:val="209"/>
        </w:numPr>
        <w:rPr>
          <w:rFonts w:ascii="Arial" w:cs="Arial" w:eastAsia="Arial" w:hAnsi="Arial"/>
          <w:sz w:val="19"/>
          <w:szCs w:val="19"/>
          <w:color w:val="auto"/>
        </w:rPr>
      </w:pPr>
      <w:r>
        <w:rPr>
          <w:rFonts w:ascii="Arial" w:cs="Arial" w:eastAsia="Arial" w:hAnsi="Arial"/>
          <w:sz w:val="19"/>
          <w:szCs w:val="19"/>
          <w:color w:val="auto"/>
        </w:rPr>
        <w:t>Prior to the vesting of any portion of the OI PSUs as provided for in this Section 2(d), Activision Blizzard, in its sole and absolute discretion, may adjust the performance objective for the relevant fiscal year(s) by substituting the OI and OI objective of one or more new, different or additional business units or activities for that of the original business unit or activity stated herein or by prorating or otherwise combining the OI and OI objective, or by substituting one or more other objectives or elements contained in the operating plan for the OI and OI objectives or elements, in each case for purposes of determining whether or not the conditions of the relevant unvested PSUs have been satisfied. The Employer agrees that it will in good faith engage in meaningful consultation with you prior to implementing any such change.</w:t>
      </w:r>
    </w:p>
    <w:p>
      <w:pPr>
        <w:sectPr>
          <w:pgSz w:w="11900" w:h="16838" w:orient="portrait"/>
          <w:cols w:equalWidth="0" w:num="1">
            <w:col w:w="10120"/>
          </w:cols>
          <w:pgMar w:left="1440" w:top="1363" w:right="339" w:bottom="1440" w:gutter="0" w:footer="0" w:header="0"/>
        </w:sectPr>
      </w:pPr>
    </w:p>
    <w:bookmarkStart w:id="320" w:name="page321"/>
    <w:bookmarkEnd w:id="320"/>
    <w:p>
      <w:pPr>
        <w:jc w:val="both"/>
        <w:ind w:left="-480" w:firstLine="1253"/>
        <w:spacing w:after="0" w:line="234" w:lineRule="auto"/>
        <w:tabs>
          <w:tab w:leader="none" w:pos="139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Collectively, the options and equity grants provided for in this Section 2(d) shall be referred to as the “</w:t>
      </w:r>
      <w:r>
        <w:rPr>
          <w:rFonts w:ascii="Arial" w:cs="Arial" w:eastAsia="Arial" w:hAnsi="Arial"/>
          <w:sz w:val="19"/>
          <w:szCs w:val="19"/>
          <w:b w:val="1"/>
          <w:bCs w:val="1"/>
          <w:i w:val="1"/>
          <w:iCs w:val="1"/>
          <w:color w:val="auto"/>
        </w:rPr>
        <w:t>2021 Contract Equity Awards</w:t>
      </w:r>
      <w:r>
        <w:rPr>
          <w:rFonts w:ascii="Arial" w:cs="Arial" w:eastAsia="Arial" w:hAnsi="Arial"/>
          <w:sz w:val="19"/>
          <w:szCs w:val="19"/>
          <w:color w:val="auto"/>
        </w:rPr>
        <w:t>.” You acknowledge that the grant of 2021 Contract Equity Awards pursuant to this Section 2(d) is expressly conditioned upon approval by the Compensation Committee and that the Compensation Committee has sole and absolute discretion to approve or disapprove the grants and/or to determine and make modifications to the terms of the grants. The actual amount, performance objectives, and vesting schedule, for the 2021 Contract Equity Awards will be determined by the Compensation Committee, which has discretion to approve or disapprove all equity incentive awards and to determine and/or make modification to the terms of such awards. The 2021 Contract Equity Awards shall be subject to all terms of the equity incentive plan pursuant to which they are granted (the “</w:t>
      </w:r>
      <w:r>
        <w:rPr>
          <w:rFonts w:ascii="Arial" w:cs="Arial" w:eastAsia="Arial" w:hAnsi="Arial"/>
          <w:sz w:val="19"/>
          <w:szCs w:val="19"/>
          <w:b w:val="1"/>
          <w:bCs w:val="1"/>
          <w:i w:val="1"/>
          <w:iCs w:val="1"/>
          <w:color w:val="auto"/>
        </w:rPr>
        <w:t>Incentive Plan</w:t>
      </w:r>
      <w:r>
        <w:rPr>
          <w:rFonts w:ascii="Arial" w:cs="Arial" w:eastAsia="Arial" w:hAnsi="Arial"/>
          <w:sz w:val="19"/>
          <w:szCs w:val="19"/>
          <w:color w:val="auto"/>
        </w:rPr>
        <w:t>”),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in the event of a conflict between this Agreement and the terms of the Incentive Plan or award agreements, the Incentive Plan or the award agreements, as applicable, shall govern. In addition, such annual awards, if and when approved by the Compensation Committee, shall be in addition to any previous equity incentive awards made to you.</w:t>
      </w:r>
    </w:p>
    <w:p>
      <w:pPr>
        <w:spacing w:after="0" w:line="164" w:lineRule="exact"/>
        <w:rPr>
          <w:rFonts w:ascii="Arial" w:cs="Arial" w:eastAsia="Arial" w:hAnsi="Arial"/>
          <w:sz w:val="19"/>
          <w:szCs w:val="19"/>
          <w:color w:val="auto"/>
        </w:rPr>
      </w:pPr>
    </w:p>
    <w:p>
      <w:pPr>
        <w:jc w:val="both"/>
        <w:ind w:left="-480" w:firstLine="1253"/>
        <w:spacing w:after="0" w:line="226" w:lineRule="auto"/>
        <w:tabs>
          <w:tab w:leader="none" w:pos="140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You acknowledge and understand that Activision Blizzard’s performance-oriented pay practices target compensation no greater than the median of its group of peer companies. If Activision Blizzard exceeds its target performance measurements for the relevant performance period, then, at the sole and absolute discretion of the Chief Executive Officer with the approval of the Compensation Committee, Activision Blizzard may increase your compensation for the relevant performance period up to the average compensation earned by similarly situated executives of Activision Blizzard’s peer companies, adjusted for tenure, role and any other discretionary criteria to be determined by the Chief Executive Officer. In addition, if the Employer extends the Term by one additional year pursuant to Section 1(a), the Compensation Committee will review your overall compensation at that time.</w:t>
      </w:r>
    </w:p>
    <w:p>
      <w:pPr>
        <w:spacing w:after="0" w:line="155" w:lineRule="exact"/>
        <w:rPr>
          <w:rFonts w:ascii="Arial" w:cs="Arial" w:eastAsia="Arial" w:hAnsi="Arial"/>
          <w:sz w:val="20"/>
          <w:szCs w:val="20"/>
          <w:color w:val="auto"/>
        </w:rPr>
      </w:pPr>
    </w:p>
    <w:p>
      <w:pPr>
        <w:jc w:val="both"/>
        <w:ind w:left="-480" w:firstLine="1253"/>
        <w:spacing w:after="0" w:line="234" w:lineRule="auto"/>
        <w:tabs>
          <w:tab w:leader="none" w:pos="140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Within three (3) weeks of the Effective Date, the Employer will provide you with a sign on bonus in the amount of one million seven hundred fifty thousand dollars ($1,750,000) (less applicable taxes and withholdings) (“</w:t>
      </w:r>
      <w:r>
        <w:rPr>
          <w:rFonts w:ascii="Arial" w:cs="Arial" w:eastAsia="Arial" w:hAnsi="Arial"/>
          <w:sz w:val="19"/>
          <w:szCs w:val="19"/>
          <w:b w:val="1"/>
          <w:bCs w:val="1"/>
          <w:i w:val="1"/>
          <w:iCs w:val="1"/>
          <w:color w:val="auto"/>
        </w:rPr>
        <w:t>Long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Term Commitment Bonus</w:t>
      </w:r>
      <w:r>
        <w:rPr>
          <w:rFonts w:ascii="Arial" w:cs="Arial" w:eastAsia="Arial" w:hAnsi="Arial"/>
          <w:sz w:val="19"/>
          <w:szCs w:val="19"/>
          <w:color w:val="auto"/>
        </w:rPr>
        <w:t>”). This Long Term Commitment Bonus will not be fully earned by you until you have completed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three years of continuous employment under this Agreement. Should your employment terminate pursuant to Section 9(a), or you resign in breach of Section 9(c) prior to June 29, 2024, you will not have fully earned the Long Term Commitment Bonus and accordingly you agree to repay the Employer the Long Term Commitment Bonus within 60 days of the termination of your employment as follows: for such a termination prior to June 29, 2022, you will repay 100%; for such a termination between June 30, 2022 and June 29, 2023, you will repay 66%; and, for such a termination between June 30, 2023 and June 29, 2024, you will repay 33%. If you remain employed by the Activision Blizzard Group continuously through June 29, 2024, the Long Term Commitment Bonus shall be fully earned as of that date such that if your employment subsequently terminates for any reason you will not have to repay any portion thereof. If you do not repay the Long Term Commitment Bonus or any portion of the bonus due upon demand by the Employer, you will be liable for the attorney’s fees and costs incurred by the Employer in having to collect such sums from you. The fact that you are receiving this Long Term Commitment Bonus and the terms under which you will be required to repay it in no way affect your other obligations under this Agreement.</w:t>
      </w:r>
    </w:p>
    <w:p>
      <w:pPr>
        <w:sectPr>
          <w:pgSz w:w="11900" w:h="16838" w:orient="portrait"/>
          <w:cols w:equalWidth="0" w:num="1">
            <w:col w:w="10120"/>
          </w:cols>
          <w:pgMar w:left="1440" w:top="1364" w:right="339" w:bottom="1440" w:gutter="0" w:footer="0" w:header="0"/>
        </w:sectPr>
      </w:pPr>
    </w:p>
    <w:bookmarkStart w:id="321" w:name="page322"/>
    <w:bookmarkEnd w:id="321"/>
    <w:p>
      <w:pPr>
        <w:jc w:val="both"/>
        <w:ind w:firstLine="634"/>
        <w:spacing w:after="0" w:line="217" w:lineRule="auto"/>
        <w:tabs>
          <w:tab w:leader="none" w:pos="1256" w:val="left"/>
        </w:tabs>
        <w:numPr>
          <w:ilvl w:val="1"/>
          <w:numId w:val="211"/>
        </w:numPr>
        <w:rPr>
          <w:rFonts w:ascii="Arial" w:cs="Arial" w:eastAsia="Arial" w:hAnsi="Arial"/>
          <w:sz w:val="21"/>
          <w:szCs w:val="21"/>
          <w:color w:val="auto"/>
        </w:rPr>
      </w:pPr>
      <w:r>
        <w:rPr>
          <w:rFonts w:ascii="Arial" w:cs="Arial" w:eastAsia="Arial" w:hAnsi="Arial"/>
          <w:sz w:val="21"/>
          <w:szCs w:val="21"/>
          <w:color w:val="auto"/>
        </w:rPr>
        <w:t>In connection with your relocation to the Los Angeles area, you shall be entitled to the relocation benefits set forth in, and determined in accordance with and otherwise subject to the terms and conditions of, the “</w:t>
      </w:r>
      <w:r>
        <w:rPr>
          <w:rFonts w:ascii="Arial" w:cs="Arial" w:eastAsia="Arial" w:hAnsi="Arial"/>
          <w:sz w:val="21"/>
          <w:szCs w:val="21"/>
          <w:b w:val="1"/>
          <w:bCs w:val="1"/>
          <w:i w:val="1"/>
          <w:iCs w:val="1"/>
          <w:color w:val="auto"/>
        </w:rPr>
        <w:t>Relocation Summary</w:t>
      </w:r>
      <w:r>
        <w:rPr>
          <w:rFonts w:ascii="Arial" w:cs="Arial" w:eastAsia="Arial" w:hAnsi="Arial"/>
          <w:sz w:val="21"/>
          <w:szCs w:val="21"/>
          <w:color w:val="auto"/>
        </w:rPr>
        <w:t xml:space="preserve">”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 Notwithstanding anything to the contrary in this Agreement or in the Relocation Summary, should your employment with the Employer terminate other than pursuant to Section 9(b), 9(c), 9(d) or 9(e) prior to the first anniversary of the Effective Date, you agree to repay the Employer 100% of any relocation expenses for which you were reimbursed by the Employer within 60 days of the termination of your employment.</w:t>
      </w:r>
    </w:p>
    <w:p>
      <w:pPr>
        <w:spacing w:after="0" w:line="152" w:lineRule="exact"/>
        <w:rPr>
          <w:rFonts w:ascii="Arial" w:cs="Arial" w:eastAsia="Arial" w:hAnsi="Arial"/>
          <w:sz w:val="21"/>
          <w:szCs w:val="21"/>
          <w:color w:val="auto"/>
        </w:rPr>
      </w:pPr>
    </w:p>
    <w:p>
      <w:pPr>
        <w:ind w:left="640" w:hanging="635"/>
        <w:spacing w:after="0"/>
        <w:tabs>
          <w:tab w:leader="none" w:pos="640" w:val="left"/>
        </w:tabs>
        <w:numPr>
          <w:ilvl w:val="0"/>
          <w:numId w:val="2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Title; Location</w:t>
      </w:r>
    </w:p>
    <w:p>
      <w:pPr>
        <w:spacing w:after="0" w:line="184"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19"/>
          <w:szCs w:val="19"/>
          <w:color w:val="auto"/>
        </w:rPr>
        <w:t>You shall serve as the Chief Legal Officer of Activision Blizzard. Your principal place of business initially shall be Activision</w:t>
      </w:r>
    </w:p>
    <w:p>
      <w:pPr>
        <w:spacing w:after="0" w:line="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Blizzard’s office in Santa Monica, California. While you transition into your role, you may reside more than fifty (50) miles from the Santa Monica office and telecommute, or physically commute to Santa Monica at your own expense (other than those expenses provided for in the “</w:t>
      </w:r>
      <w:r>
        <w:rPr>
          <w:rFonts w:ascii="Arial" w:cs="Arial" w:eastAsia="Arial" w:hAnsi="Arial"/>
          <w:sz w:val="20"/>
          <w:szCs w:val="20"/>
          <w:b w:val="1"/>
          <w:bCs w:val="1"/>
          <w:i w:val="1"/>
          <w:iCs w:val="1"/>
          <w:color w:val="auto"/>
        </w:rPr>
        <w:t>Relocation Summary</w:t>
      </w:r>
      <w:r>
        <w:rPr>
          <w:rFonts w:ascii="Arial" w:cs="Arial" w:eastAsia="Arial" w:hAnsi="Arial"/>
          <w:sz w:val="20"/>
          <w:szCs w:val="20"/>
          <w:color w:val="auto"/>
        </w:rPr>
        <w:t xml:space="preserve">”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until August 1, 2022, unless the Company earlier determines in its sole discretion that telecommuting, commuting from, and/or residing in such location negatively impacts your ability to satisfactorily perform your duties. During this transition time, you will be required to travel from time to time for business reasons (including, but not limited to, regular travel to the Employer’s offices in Santa Monica).</w:t>
      </w:r>
    </w:p>
    <w:p>
      <w:pPr>
        <w:spacing w:after="0" w:line="151" w:lineRule="exact"/>
        <w:rPr>
          <w:sz w:val="20"/>
          <w:szCs w:val="20"/>
          <w:color w:val="auto"/>
        </w:rPr>
      </w:pPr>
    </w:p>
    <w:p>
      <w:pPr>
        <w:ind w:left="640" w:hanging="635"/>
        <w:spacing w:after="0"/>
        <w:tabs>
          <w:tab w:leader="none" w:pos="640" w:val="left"/>
        </w:tabs>
        <w:numPr>
          <w:ilvl w:val="0"/>
          <w:numId w:val="2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Duties</w:t>
      </w:r>
    </w:p>
    <w:p>
      <w:pPr>
        <w:spacing w:after="0" w:line="184" w:lineRule="exact"/>
        <w:rPr>
          <w:sz w:val="20"/>
          <w:szCs w:val="20"/>
          <w:color w:val="auto"/>
        </w:rPr>
      </w:pPr>
    </w:p>
    <w:p>
      <w:pPr>
        <w:jc w:val="both"/>
        <w:ind w:firstLine="629"/>
        <w:spacing w:after="0" w:line="222" w:lineRule="auto"/>
        <w:rPr>
          <w:sz w:val="20"/>
          <w:szCs w:val="20"/>
          <w:color w:val="auto"/>
        </w:rPr>
      </w:pPr>
      <w:r>
        <w:rPr>
          <w:rFonts w:ascii="Arial" w:cs="Arial" w:eastAsia="Arial" w:hAnsi="Arial"/>
          <w:sz w:val="20"/>
          <w:szCs w:val="20"/>
          <w:color w:val="auto"/>
        </w:rPr>
        <w:t>You shall report directly to the Chief Executive Officer of the Employer (or such other executive of the Activision Blizzard Group as may be determined from time to time by it in its sole and absolute discretion) and shall have such duties commensurate with your position as may be assigned to you from time to time by the Chief Executive Officer (or, as applicable, such other executive designated by the Employer). As with all senior executives, your duties, responsibilities and title are subject to adjustment. You are also required to read, review and observe all of the Activision Blizzard Group’s policies, procedures, rules and regulations in effect from time to time during the Term that apply to employees of the Employer, including, without limitation, the Code of Conduct, as amended from time to time. You shall commit yourself to a diverse and inclusive work environment. You shall devote your full-time working time to the performance of your duties hereunder, shall faithfully serve the Employer, shall in all respects conform to and comply with the lawful directions and instructions given to you by the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 prior written consent of the Chief Executive Officer or otherwise engage in activities that would interfere with your faithful and diligent performance of your duties hereunder.</w:t>
      </w:r>
    </w:p>
    <w:p>
      <w:pPr>
        <w:spacing w:after="0" w:line="157" w:lineRule="exact"/>
        <w:rPr>
          <w:sz w:val="20"/>
          <w:szCs w:val="20"/>
          <w:color w:val="auto"/>
        </w:rPr>
      </w:pPr>
    </w:p>
    <w:p>
      <w:pPr>
        <w:ind w:left="640" w:hanging="635"/>
        <w:spacing w:after="0"/>
        <w:tabs>
          <w:tab w:leader="none" w:pos="640" w:val="left"/>
        </w:tabs>
        <w:numPr>
          <w:ilvl w:val="0"/>
          <w:numId w:val="2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Expenses</w:t>
      </w:r>
    </w:p>
    <w:p>
      <w:pPr>
        <w:spacing w:after="0" w:line="184"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Except to the extent provided herein, 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ectPr>
          <w:pgSz w:w="11900" w:h="16838" w:orient="portrait"/>
          <w:cols w:equalWidth="0" w:num="1">
            <w:col w:w="11240"/>
          </w:cols>
          <w:pgMar w:left="320" w:top="1364" w:right="339" w:bottom="1440" w:gutter="0" w:footer="0" w:header="0"/>
        </w:sectPr>
      </w:pPr>
    </w:p>
    <w:bookmarkStart w:id="322" w:name="page323"/>
    <w:bookmarkEnd w:id="322"/>
    <w:p>
      <w:pPr>
        <w:ind w:left="635" w:hanging="635"/>
        <w:spacing w:after="0"/>
        <w:tabs>
          <w:tab w:leader="none" w:pos="635"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Benefits</w:t>
      </w:r>
    </w:p>
    <w:p>
      <w:pPr>
        <w:spacing w:after="0" w:line="184" w:lineRule="exact"/>
        <w:rPr>
          <w:rFonts w:ascii="Arial" w:cs="Arial" w:eastAsia="Arial" w:hAnsi="Arial"/>
          <w:sz w:val="21"/>
          <w:szCs w:val="21"/>
          <w:b w:val="1"/>
          <w:bCs w:val="1"/>
          <w:color w:val="auto"/>
        </w:rPr>
      </w:pPr>
    </w:p>
    <w:p>
      <w:pPr>
        <w:jc w:val="both"/>
        <w:ind w:left="-5" w:firstLine="634"/>
        <w:spacing w:after="0" w:line="226" w:lineRule="auto"/>
        <w:tabs>
          <w:tab w:leader="none" w:pos="1251" w:val="left"/>
        </w:tabs>
        <w:numPr>
          <w:ilvl w:val="1"/>
          <w:numId w:val="215"/>
        </w:numPr>
        <w:rPr>
          <w:rFonts w:ascii="Arial" w:cs="Arial" w:eastAsia="Arial" w:hAnsi="Arial"/>
          <w:sz w:val="20"/>
          <w:szCs w:val="20"/>
          <w:color w:val="auto"/>
        </w:rPr>
      </w:pPr>
      <w:r>
        <w:rPr>
          <w:rFonts w:ascii="Arial" w:cs="Arial" w:eastAsia="Arial" w:hAnsi="Arial"/>
          <w:sz w:val="20"/>
          <w:szCs w:val="20"/>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policy with a face amount of $2,000,000 through a carrier of Employer’s choice (the “</w:t>
      </w:r>
      <w:r>
        <w:rPr>
          <w:rFonts w:ascii="Arial" w:cs="Arial" w:eastAsia="Arial" w:hAnsi="Arial"/>
          <w:sz w:val="20"/>
          <w:szCs w:val="20"/>
          <w:b w:val="1"/>
          <w:bCs w:val="1"/>
          <w:i w:val="1"/>
          <w:iCs w:val="1"/>
          <w:color w:val="auto"/>
        </w:rPr>
        <w:t>Target Face Amount</w:t>
      </w:r>
      <w:r>
        <w:rPr>
          <w:rFonts w:ascii="Arial" w:cs="Arial" w:eastAsia="Arial" w:hAnsi="Arial"/>
          <w:sz w:val="20"/>
          <w:szCs w:val="20"/>
          <w:color w:val="auto"/>
        </w:rPr>
        <w:t>”), subject to your insurability (“</w:t>
      </w:r>
      <w:r>
        <w:rPr>
          <w:rFonts w:ascii="Arial" w:cs="Arial" w:eastAsia="Arial" w:hAnsi="Arial"/>
          <w:sz w:val="20"/>
          <w:szCs w:val="20"/>
          <w:b w:val="1"/>
          <w:bCs w:val="1"/>
          <w:i w:val="1"/>
          <w:iCs w:val="1"/>
          <w:color w:val="auto"/>
        </w:rPr>
        <w:t>$2,000,000 Life Insurance Policy</w:t>
      </w:r>
      <w:r>
        <w:rPr>
          <w:rFonts w:ascii="Arial" w:cs="Arial" w:eastAsia="Arial" w:hAnsi="Arial"/>
          <w:sz w:val="20"/>
          <w:szCs w:val="20"/>
          <w:color w:val="auto"/>
        </w:rPr>
        <w:t>”).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55" w:lineRule="exact"/>
        <w:rPr>
          <w:rFonts w:ascii="Arial" w:cs="Arial" w:eastAsia="Arial" w:hAnsi="Arial"/>
          <w:sz w:val="20"/>
          <w:szCs w:val="20"/>
          <w:color w:val="auto"/>
        </w:rPr>
      </w:pPr>
    </w:p>
    <w:p>
      <w:pPr>
        <w:jc w:val="both"/>
        <w:ind w:left="-5" w:firstLine="634"/>
        <w:spacing w:after="0" w:line="222" w:lineRule="auto"/>
        <w:tabs>
          <w:tab w:leader="none" w:pos="1249" w:val="left"/>
        </w:tabs>
        <w:numPr>
          <w:ilvl w:val="1"/>
          <w:numId w:val="215"/>
        </w:numPr>
        <w:rPr>
          <w:rFonts w:ascii="Arial" w:cs="Arial" w:eastAsia="Arial" w:hAnsi="Arial"/>
          <w:sz w:val="21"/>
          <w:szCs w:val="21"/>
          <w:color w:val="auto"/>
        </w:rPr>
      </w:pPr>
      <w:r>
        <w:rPr>
          <w:rFonts w:ascii="Arial" w:cs="Arial" w:eastAsia="Arial" w:hAnsi="Arial"/>
          <w:sz w:val="21"/>
          <w:szCs w:val="21"/>
          <w:color w:val="auto"/>
        </w:rPr>
        <w:t>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then-prevailing terms, conditions, and eligibility requirements of each such plan.</w:t>
      </w:r>
    </w:p>
    <w:p>
      <w:pPr>
        <w:spacing w:after="0" w:line="149" w:lineRule="exact"/>
        <w:rPr>
          <w:rFonts w:ascii="Arial" w:cs="Arial" w:eastAsia="Arial" w:hAnsi="Arial"/>
          <w:sz w:val="21"/>
          <w:szCs w:val="21"/>
          <w:color w:val="auto"/>
        </w:rPr>
      </w:pPr>
    </w:p>
    <w:p>
      <w:pPr>
        <w:ind w:left="635" w:hanging="635"/>
        <w:spacing w:after="0"/>
        <w:tabs>
          <w:tab w:leader="none" w:pos="635"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Vacation and Paid Holidays</w:t>
      </w:r>
    </w:p>
    <w:p>
      <w:pPr>
        <w:spacing w:after="0" w:line="184" w:lineRule="exact"/>
        <w:rPr>
          <w:rFonts w:ascii="Arial" w:cs="Arial" w:eastAsia="Arial" w:hAnsi="Arial"/>
          <w:sz w:val="21"/>
          <w:szCs w:val="21"/>
          <w:b w:val="1"/>
          <w:bCs w:val="1"/>
          <w:color w:val="auto"/>
        </w:rPr>
      </w:pPr>
    </w:p>
    <w:p>
      <w:pPr>
        <w:jc w:val="both"/>
        <w:ind w:left="-5" w:firstLine="634"/>
        <w:spacing w:after="0" w:line="227" w:lineRule="auto"/>
        <w:tabs>
          <w:tab w:leader="none" w:pos="1251" w:val="left"/>
        </w:tabs>
        <w:numPr>
          <w:ilvl w:val="1"/>
          <w:numId w:val="215"/>
        </w:numPr>
        <w:rPr>
          <w:rFonts w:ascii="Arial" w:cs="Arial" w:eastAsia="Arial" w:hAnsi="Arial"/>
          <w:sz w:val="21"/>
          <w:szCs w:val="21"/>
          <w:color w:val="auto"/>
        </w:rPr>
      </w:pPr>
      <w:r>
        <w:rPr>
          <w:rFonts w:ascii="Arial" w:cs="Arial" w:eastAsia="Arial" w:hAnsi="Arial"/>
          <w:sz w:val="21"/>
          <w:szCs w:val="21"/>
          <w:color w:val="auto"/>
        </w:rPr>
        <w:t>You will generally be entitled to paid vacation days in accordance with the normal vacation policies of the Employer in effect from time to time; provided, however, that you will be entitled to accrue no less than twenty (20) paid vacation days per year unless your vacation balance exceeds the Employer’s then-current maximum.</w:t>
      </w:r>
    </w:p>
    <w:p>
      <w:pPr>
        <w:spacing w:after="0" w:line="154" w:lineRule="exact"/>
        <w:rPr>
          <w:rFonts w:ascii="Arial" w:cs="Arial" w:eastAsia="Arial" w:hAnsi="Arial"/>
          <w:sz w:val="21"/>
          <w:szCs w:val="21"/>
          <w:color w:val="auto"/>
        </w:rPr>
      </w:pPr>
    </w:p>
    <w:p>
      <w:pPr>
        <w:ind w:left="1255" w:hanging="626"/>
        <w:spacing w:after="0"/>
        <w:tabs>
          <w:tab w:leader="none" w:pos="1255" w:val="left"/>
        </w:tabs>
        <w:numPr>
          <w:ilvl w:val="1"/>
          <w:numId w:val="215"/>
        </w:numPr>
        <w:rPr>
          <w:rFonts w:ascii="Arial" w:cs="Arial" w:eastAsia="Arial" w:hAnsi="Arial"/>
          <w:sz w:val="20"/>
          <w:szCs w:val="20"/>
          <w:color w:val="auto"/>
        </w:rPr>
      </w:pPr>
      <w:r>
        <w:rPr>
          <w:rFonts w:ascii="Arial" w:cs="Arial" w:eastAsia="Arial" w:hAnsi="Arial"/>
          <w:sz w:val="20"/>
          <w:szCs w:val="20"/>
          <w:color w:val="auto"/>
        </w:rPr>
        <w:t>You shall be entitled to all paid holidays allowed by the Employer to its full-time employees in the United States.</w:t>
      </w:r>
    </w:p>
    <w:p>
      <w:pPr>
        <w:spacing w:after="0" w:line="183" w:lineRule="exact"/>
        <w:rPr>
          <w:rFonts w:ascii="Arial" w:cs="Arial" w:eastAsia="Arial" w:hAnsi="Arial"/>
          <w:sz w:val="20"/>
          <w:szCs w:val="20"/>
          <w:color w:val="auto"/>
        </w:rPr>
      </w:pPr>
    </w:p>
    <w:p>
      <w:pPr>
        <w:ind w:left="635" w:hanging="635"/>
        <w:spacing w:after="0"/>
        <w:tabs>
          <w:tab w:leader="none" w:pos="635"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Protection of the Employer’s Interests</w:t>
      </w:r>
    </w:p>
    <w:p>
      <w:pPr>
        <w:spacing w:after="0" w:line="178" w:lineRule="exact"/>
        <w:rPr>
          <w:rFonts w:ascii="Arial" w:cs="Arial" w:eastAsia="Arial" w:hAnsi="Arial"/>
          <w:sz w:val="21"/>
          <w:szCs w:val="21"/>
          <w:b w:val="1"/>
          <w:bCs w:val="1"/>
          <w:color w:val="auto"/>
        </w:rPr>
      </w:pPr>
    </w:p>
    <w:p>
      <w:pPr>
        <w:jc w:val="both"/>
        <w:ind w:left="-5" w:firstLine="634"/>
        <w:spacing w:after="0" w:line="245" w:lineRule="auto"/>
        <w:tabs>
          <w:tab w:leader="none" w:pos="1251" w:val="left"/>
        </w:tabs>
        <w:numPr>
          <w:ilvl w:val="1"/>
          <w:numId w:val="215"/>
        </w:numPr>
        <w:rPr>
          <w:rFonts w:ascii="Arial" w:cs="Arial" w:eastAsia="Arial" w:hAnsi="Arial"/>
          <w:sz w:val="19"/>
          <w:szCs w:val="19"/>
          <w:color w:val="auto"/>
        </w:rPr>
      </w:pPr>
      <w:r>
        <w:rPr>
          <w:rFonts w:ascii="Arial" w:cs="Arial" w:eastAsia="Arial" w:hAnsi="Arial"/>
          <w:sz w:val="19"/>
          <w:szCs w:val="19"/>
          <w:b w:val="1"/>
          <w:bCs w:val="1"/>
          <w:color w:val="auto"/>
        </w:rPr>
        <w:t>Duty of Loyalty</w:t>
      </w:r>
      <w:r>
        <w:rPr>
          <w:rFonts w:ascii="Arial" w:cs="Arial" w:eastAsia="Arial" w:hAnsi="Arial"/>
          <w:sz w:val="19"/>
          <w:szCs w:val="19"/>
          <w:color w:val="auto"/>
        </w:rPr>
        <w:t>. During the Term, you will owe a “</w:t>
      </w:r>
      <w:r>
        <w:rPr>
          <w:rFonts w:ascii="Arial" w:cs="Arial" w:eastAsia="Arial" w:hAnsi="Arial"/>
          <w:sz w:val="19"/>
          <w:szCs w:val="19"/>
          <w:b w:val="1"/>
          <w:bCs w:val="1"/>
          <w:i w:val="1"/>
          <w:iCs w:val="1"/>
          <w:color w:val="auto"/>
        </w:rPr>
        <w:t>Duty of Loyalty</w:t>
      </w:r>
      <w:r>
        <w:rPr>
          <w:rFonts w:ascii="Arial" w:cs="Arial" w:eastAsia="Arial" w:hAnsi="Arial"/>
          <w:sz w:val="19"/>
          <w:szCs w:val="19"/>
          <w:color w:val="auto"/>
        </w:rPr>
        <w:t>” to the Employer, which includes, but is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limited to, you not competing in any manner, whether directly or indirectly, as a principal, employee, agent, owner, or otherwise, with any entity in the Activision Blizzard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43" w:lineRule="exact"/>
        <w:rPr>
          <w:rFonts w:ascii="Arial" w:cs="Arial" w:eastAsia="Arial" w:hAnsi="Arial"/>
          <w:sz w:val="19"/>
          <w:szCs w:val="19"/>
          <w:color w:val="auto"/>
        </w:rPr>
      </w:pPr>
    </w:p>
    <w:p>
      <w:pPr>
        <w:jc w:val="both"/>
        <w:ind w:left="-5" w:firstLine="634"/>
        <w:spacing w:after="0" w:line="224" w:lineRule="auto"/>
        <w:tabs>
          <w:tab w:leader="none" w:pos="1249" w:val="left"/>
        </w:tabs>
        <w:numPr>
          <w:ilvl w:val="1"/>
          <w:numId w:val="215"/>
        </w:numPr>
        <w:rPr>
          <w:rFonts w:ascii="Arial" w:cs="Arial" w:eastAsia="Arial" w:hAnsi="Arial"/>
          <w:sz w:val="20"/>
          <w:szCs w:val="20"/>
          <w:color w:val="auto"/>
        </w:rPr>
      </w:pPr>
      <w:r>
        <w:rPr>
          <w:rFonts w:ascii="Arial" w:cs="Arial" w:eastAsia="Arial" w:hAnsi="Arial"/>
          <w:sz w:val="20"/>
          <w:szCs w:val="20"/>
          <w:b w:val="1"/>
          <w:bCs w:val="1"/>
          <w:color w:val="auto"/>
        </w:rPr>
        <w:t>Property of the Activision Blizzard Group</w:t>
      </w:r>
      <w:r>
        <w:rPr>
          <w:rFonts w:ascii="Arial" w:cs="Arial" w:eastAsia="Arial" w:hAnsi="Arial"/>
          <w:sz w:val="20"/>
          <w:szCs w:val="20"/>
          <w:color w:val="auto"/>
        </w:rPr>
        <w:t>. All rights worldwide with respect to any and all intellectual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of any nature produced, created or 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 (iii) 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w:t>
      </w:r>
    </w:p>
    <w:p>
      <w:pPr>
        <w:sectPr>
          <w:pgSz w:w="11900" w:h="16838" w:orient="portrait"/>
          <w:cols w:equalWidth="0" w:num="1">
            <w:col w:w="11235"/>
          </w:cols>
          <w:pgMar w:left="325" w:top="1357" w:right="339" w:bottom="1440" w:gutter="0" w:footer="0" w:header="0"/>
        </w:sectPr>
      </w:pPr>
    </w:p>
    <w:bookmarkStart w:id="323" w:name="page324"/>
    <w:bookmarkEnd w:id="323"/>
    <w:p>
      <w:pPr>
        <w:jc w:val="both"/>
        <w:spacing w:after="0" w:line="222" w:lineRule="auto"/>
        <w:rPr>
          <w:sz w:val="20"/>
          <w:szCs w:val="20"/>
          <w:color w:val="auto"/>
        </w:rPr>
      </w:pPr>
      <w:r>
        <w:rPr>
          <w:rFonts w:ascii="Arial" w:cs="Arial" w:eastAsia="Arial" w:hAnsi="Arial"/>
          <w:sz w:val="21"/>
          <w:szCs w:val="21"/>
          <w:color w:val="auto"/>
        </w:rPr>
        <w:t>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50" w:lineRule="exact"/>
        <w:rPr>
          <w:sz w:val="20"/>
          <w:szCs w:val="20"/>
          <w:color w:val="auto"/>
        </w:rPr>
      </w:pPr>
    </w:p>
    <w:p>
      <w:pPr>
        <w:jc w:val="both"/>
        <w:ind w:firstLine="634"/>
        <w:spacing w:after="0" w:line="224" w:lineRule="auto"/>
        <w:tabs>
          <w:tab w:leader="none" w:pos="1256" w:val="left"/>
        </w:tabs>
        <w:numPr>
          <w:ilvl w:val="0"/>
          <w:numId w:val="216"/>
        </w:numPr>
        <w:rPr>
          <w:rFonts w:ascii="Arial" w:cs="Arial" w:eastAsia="Arial" w:hAnsi="Arial"/>
          <w:sz w:val="21"/>
          <w:szCs w:val="21"/>
          <w:color w:val="auto"/>
        </w:rPr>
      </w:pPr>
      <w:r>
        <w:rPr>
          <w:rFonts w:ascii="Arial" w:cs="Arial" w:eastAsia="Arial" w:hAnsi="Arial"/>
          <w:sz w:val="21"/>
          <w:szCs w:val="21"/>
          <w:b w:val="1"/>
          <w:bCs w:val="1"/>
          <w:color w:val="auto"/>
        </w:rPr>
        <w:t xml:space="preserve">Covenant Not to Shop. </w:t>
      </w:r>
      <w:r>
        <w:rPr>
          <w:rFonts w:ascii="Arial" w:cs="Arial" w:eastAsia="Arial" w:hAnsi="Arial"/>
          <w:sz w:val="21"/>
          <w:szCs w:val="21"/>
          <w:color w:val="auto"/>
        </w:rPr>
        <w:t>Other than during the final six (6) months of the Term, you shall not negotiate for</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any entity or person outside of Activision Blizzard. During any such search process and thereafter you shall remain strictly subject to your continuing obligations under this Agreement, including, without limitation, your Duty of Loyalty, compliance with Activision Blizzard’s policies and your confidentiality obligations.</w:t>
      </w:r>
    </w:p>
    <w:p>
      <w:pPr>
        <w:spacing w:after="0" w:line="147" w:lineRule="exact"/>
        <w:rPr>
          <w:rFonts w:ascii="Arial" w:cs="Arial" w:eastAsia="Arial" w:hAnsi="Arial"/>
          <w:sz w:val="21"/>
          <w:szCs w:val="21"/>
          <w:color w:val="auto"/>
        </w:rPr>
      </w:pPr>
    </w:p>
    <w:p>
      <w:pPr>
        <w:jc w:val="both"/>
        <w:ind w:firstLine="634"/>
        <w:spacing w:after="0" w:line="222" w:lineRule="auto"/>
        <w:tabs>
          <w:tab w:leader="none" w:pos="1254" w:val="left"/>
        </w:tabs>
        <w:numPr>
          <w:ilvl w:val="0"/>
          <w:numId w:val="216"/>
        </w:numPr>
        <w:rPr>
          <w:rFonts w:ascii="Arial" w:cs="Arial" w:eastAsia="Arial" w:hAnsi="Arial"/>
          <w:sz w:val="20"/>
          <w:szCs w:val="20"/>
          <w:color w:val="auto"/>
        </w:rPr>
      </w:pPr>
      <w:r>
        <w:rPr>
          <w:rFonts w:ascii="Arial" w:cs="Arial" w:eastAsia="Arial" w:hAnsi="Arial"/>
          <w:sz w:val="20"/>
          <w:szCs w:val="20"/>
          <w:b w:val="1"/>
          <w:bCs w:val="1"/>
          <w:color w:val="auto"/>
        </w:rPr>
        <w:t>Confidentiality</w:t>
      </w:r>
      <w:r>
        <w:rPr>
          <w:rFonts w:ascii="Arial" w:cs="Arial" w:eastAsia="Arial" w:hAnsi="Arial"/>
          <w:sz w:val="20"/>
          <w:szCs w:val="20"/>
          <w:color w:val="auto"/>
        </w:rPr>
        <w:t>. You acknowledge, and the Employer agrees, that during your employment you will have access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become informed of confidential and proprietary information concerning Activision Blizzard. During your employment and at all times following the termination of your employment, confidential or proprietary information of Activision Blizzard shall not be used by you or disclosed or made available by you to any person except as required in the course of your employment with Activision Blizzard or as otherwise provided for in the Employee Confidential Information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Confidential Information Agreement</w:t>
      </w:r>
      <w:r>
        <w:rPr>
          <w:rFonts w:ascii="Arial" w:cs="Arial" w:eastAsia="Arial" w:hAnsi="Arial"/>
          <w:sz w:val="20"/>
          <w:szCs w:val="20"/>
          <w:color w:val="auto"/>
        </w:rPr>
        <w:t>”). Upon the termination of your employment (or at any time on the Employer’s request), you shall return to Activision Blizzard all such information that exists, whether in electronic, written, or other form (and all copies or extracts thereof) under your control and shall not retain such information in any form, including without limitation on any devices, disks, cloud storage, or other media. You agree to advise the Employer of the location of any such materials and information and to cooperate fully with any instructions by the Employer concerning the retrieval of any such materials and other actions that the Employer determines to be appropriate to prevent your continued access to such materials and information. You acknowledge and agree that, because your duties will provide you with access to personal and private information of the Chairman, Chief Executive Officer and Lead Director (and their entities), you will sign and deliver a Non-Disclosure Agreement prior to the Effective Date.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60" w:lineRule="exact"/>
        <w:rPr>
          <w:rFonts w:ascii="Arial" w:cs="Arial" w:eastAsia="Arial" w:hAnsi="Arial"/>
          <w:sz w:val="20"/>
          <w:szCs w:val="20"/>
          <w:color w:val="auto"/>
        </w:rPr>
      </w:pPr>
    </w:p>
    <w:p>
      <w:pPr>
        <w:jc w:val="both"/>
        <w:ind w:firstLine="634"/>
        <w:spacing w:after="0" w:line="236" w:lineRule="auto"/>
        <w:tabs>
          <w:tab w:leader="none" w:pos="1256" w:val="left"/>
        </w:tabs>
        <w:numPr>
          <w:ilvl w:val="0"/>
          <w:numId w:val="216"/>
        </w:numPr>
        <w:rPr>
          <w:rFonts w:ascii="Arial" w:cs="Arial" w:eastAsia="Arial" w:hAnsi="Arial"/>
          <w:sz w:val="19"/>
          <w:szCs w:val="19"/>
          <w:color w:val="auto"/>
        </w:rPr>
      </w:pPr>
      <w:r>
        <w:rPr>
          <w:rFonts w:ascii="Arial" w:cs="Arial" w:eastAsia="Arial" w:hAnsi="Arial"/>
          <w:sz w:val="19"/>
          <w:szCs w:val="19"/>
          <w:b w:val="1"/>
          <w:bCs w:val="1"/>
          <w:color w:val="auto"/>
        </w:rPr>
        <w:t>Return of Property and Resignation from Office</w:t>
      </w:r>
      <w:r>
        <w:rPr>
          <w:rFonts w:ascii="Arial" w:cs="Arial" w:eastAsia="Arial" w:hAnsi="Arial"/>
          <w:sz w:val="19"/>
          <w:szCs w:val="19"/>
          <w:color w:val="auto"/>
        </w:rPr>
        <w:t>. You acknowledge that, upon termination of your employment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whatsoever (or at any time on 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member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you irrevocably appoint any person designated as the Activision Blizzard Group’s representative at that time as your delegate to effect such resignation.</w:t>
      </w:r>
    </w:p>
    <w:p>
      <w:pPr>
        <w:sectPr>
          <w:pgSz w:w="11900" w:h="16838" w:orient="portrait"/>
          <w:cols w:equalWidth="0" w:num="1">
            <w:col w:w="11240"/>
          </w:cols>
          <w:pgMar w:left="320" w:top="1363" w:right="339" w:bottom="1440" w:gutter="0" w:footer="0" w:header="0"/>
        </w:sectPr>
      </w:pPr>
    </w:p>
    <w:bookmarkStart w:id="324" w:name="page325"/>
    <w:bookmarkEnd w:id="324"/>
    <w:p>
      <w:pPr>
        <w:ind w:left="1255" w:hanging="626"/>
        <w:spacing w:after="0"/>
        <w:tabs>
          <w:tab w:leader="none" w:pos="1255" w:val="left"/>
        </w:tabs>
        <w:numPr>
          <w:ilvl w:val="1"/>
          <w:numId w:val="217"/>
        </w:numPr>
        <w:rPr>
          <w:rFonts w:ascii="Arial" w:cs="Arial" w:eastAsia="Arial" w:hAnsi="Arial"/>
          <w:sz w:val="21"/>
          <w:szCs w:val="21"/>
          <w:color w:val="auto"/>
        </w:rPr>
      </w:pPr>
      <w:r>
        <w:rPr>
          <w:rFonts w:ascii="Arial" w:cs="Arial" w:eastAsia="Arial" w:hAnsi="Arial"/>
          <w:sz w:val="21"/>
          <w:szCs w:val="21"/>
          <w:b w:val="1"/>
          <w:bCs w:val="1"/>
          <w:color w:val="auto"/>
        </w:rPr>
        <w:t>Covenant Not to Solicit.</w:t>
      </w:r>
    </w:p>
    <w:p>
      <w:pPr>
        <w:spacing w:after="0" w:line="184" w:lineRule="exact"/>
        <w:rPr>
          <w:rFonts w:ascii="Arial" w:cs="Arial" w:eastAsia="Arial" w:hAnsi="Arial"/>
          <w:sz w:val="21"/>
          <w:szCs w:val="21"/>
          <w:color w:val="auto"/>
        </w:rPr>
      </w:pPr>
    </w:p>
    <w:p>
      <w:pPr>
        <w:jc w:val="both"/>
        <w:ind w:left="-5" w:firstLine="1264"/>
        <w:spacing w:after="0" w:line="237" w:lineRule="auto"/>
        <w:tabs>
          <w:tab w:leader="none" w:pos="1871" w:val="left"/>
        </w:tabs>
        <w:numPr>
          <w:ilvl w:val="2"/>
          <w:numId w:val="217"/>
        </w:numPr>
        <w:rPr>
          <w:rFonts w:ascii="Arial" w:cs="Arial" w:eastAsia="Arial" w:hAnsi="Arial"/>
          <w:sz w:val="19"/>
          <w:szCs w:val="19"/>
          <w:color w:val="auto"/>
        </w:rPr>
      </w:pPr>
      <w:r>
        <w:rPr>
          <w:rFonts w:ascii="Arial" w:cs="Arial" w:eastAsia="Arial" w:hAnsi="Arial"/>
          <w:sz w:val="19"/>
          <w:szCs w:val="19"/>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Activision Blizzard, either for your own account or for any other person, firm or company, any person employed or otherwise engaged by Activision Blizzard, whether or not such person would commit any breach of a contract by reason of his or her leaving the service of Activision Blizzard; (b) solicit, induce or entice any client, customer, contractor, licensor, agent, supplier, partner or other business relationship of Activision Blizzard to terminate, discontinue, renegotiate or otherwise cease or modify its relationship with Activision Blizzard; (c) assist others to engage in the acts contemplated by Sections 8(f)(i)(a) or (b); or (d) engage in any subterfuge to attempt to circumvent the application of this Section.</w:t>
      </w:r>
    </w:p>
    <w:p>
      <w:pPr>
        <w:spacing w:after="0" w:line="156" w:lineRule="exact"/>
        <w:rPr>
          <w:rFonts w:ascii="Arial" w:cs="Arial" w:eastAsia="Arial" w:hAnsi="Arial"/>
          <w:sz w:val="19"/>
          <w:szCs w:val="19"/>
          <w:color w:val="auto"/>
        </w:rPr>
      </w:pPr>
    </w:p>
    <w:p>
      <w:pPr>
        <w:jc w:val="both"/>
        <w:ind w:left="-5" w:firstLine="1264"/>
        <w:spacing w:after="0" w:line="227" w:lineRule="auto"/>
        <w:tabs>
          <w:tab w:leader="none" w:pos="1877" w:val="left"/>
        </w:tabs>
        <w:numPr>
          <w:ilvl w:val="2"/>
          <w:numId w:val="217"/>
        </w:numPr>
        <w:rPr>
          <w:rFonts w:ascii="Arial" w:cs="Arial" w:eastAsia="Arial" w:hAnsi="Arial"/>
          <w:sz w:val="20"/>
          <w:szCs w:val="20"/>
          <w:color w:val="auto"/>
        </w:rPr>
      </w:pPr>
      <w:r>
        <w:rPr>
          <w:rFonts w:ascii="Arial" w:cs="Arial" w:eastAsia="Arial" w:hAnsi="Arial"/>
          <w:sz w:val="20"/>
          <w:szCs w:val="20"/>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(a) solicit the employment or engagement of, either for your own account or for any other person, firm or company, any person employed or otherwise engaged by Activision Blizzard, whether or not such person would commit any breach of a contract by reason of his or her leaving the service of Activision Blizzard; (b) assist others to engage in the acts contemplated by Section 8(f)(ii)(a); or (c) engage in any subterfuge to attempt to circumvent the application of this Section.</w:t>
      </w:r>
    </w:p>
    <w:p>
      <w:pPr>
        <w:spacing w:after="0" w:line="155" w:lineRule="exact"/>
        <w:rPr>
          <w:rFonts w:ascii="Arial" w:cs="Arial" w:eastAsia="Arial" w:hAnsi="Arial"/>
          <w:sz w:val="20"/>
          <w:szCs w:val="20"/>
          <w:color w:val="auto"/>
        </w:rPr>
      </w:pPr>
    </w:p>
    <w:p>
      <w:pPr>
        <w:jc w:val="both"/>
        <w:ind w:left="-5" w:firstLine="1264"/>
        <w:spacing w:after="0" w:line="219" w:lineRule="auto"/>
        <w:tabs>
          <w:tab w:leader="none" w:pos="1883" w:val="left"/>
        </w:tabs>
        <w:numPr>
          <w:ilvl w:val="2"/>
          <w:numId w:val="217"/>
        </w:numPr>
        <w:rPr>
          <w:rFonts w:ascii="Arial" w:cs="Arial" w:eastAsia="Arial" w:hAnsi="Arial"/>
          <w:sz w:val="21"/>
          <w:szCs w:val="21"/>
          <w:color w:val="auto"/>
        </w:rPr>
      </w:pPr>
      <w:r>
        <w:rPr>
          <w:rFonts w:ascii="Arial" w:cs="Arial" w:eastAsia="Arial" w:hAnsi="Arial"/>
          <w:sz w:val="21"/>
          <w:szCs w:val="21"/>
          <w:color w:val="auto"/>
        </w:rPr>
        <w:t>During your employment and at all times following the termination of your employment for any reason whatsoever, you shall not, at any time or for any reason, use the confidential or trade secret information of Activision Blizzard or any other unlawful means to directly or indirectly solicit, induce or entice any client, customer, contractor, licensor, agent, supplier, partner or other business relationship of Activision Blizzard to terminate, discontinue, renegotiate or otherwise cease or modify its relationship with Activision Blizzard.</w:t>
      </w:r>
    </w:p>
    <w:p>
      <w:pPr>
        <w:spacing w:after="0" w:line="157" w:lineRule="exact"/>
        <w:rPr>
          <w:rFonts w:ascii="Arial" w:cs="Arial" w:eastAsia="Arial" w:hAnsi="Arial"/>
          <w:sz w:val="21"/>
          <w:szCs w:val="21"/>
          <w:color w:val="auto"/>
        </w:rPr>
      </w:pPr>
    </w:p>
    <w:p>
      <w:pPr>
        <w:jc w:val="both"/>
        <w:ind w:left="-5" w:firstLine="1264"/>
        <w:spacing w:after="0" w:line="230" w:lineRule="auto"/>
        <w:tabs>
          <w:tab w:leader="none" w:pos="1871" w:val="left"/>
        </w:tabs>
        <w:numPr>
          <w:ilvl w:val="2"/>
          <w:numId w:val="217"/>
        </w:numPr>
        <w:rPr>
          <w:rFonts w:ascii="Arial" w:cs="Arial" w:eastAsia="Arial" w:hAnsi="Arial"/>
          <w:sz w:val="20"/>
          <w:szCs w:val="20"/>
          <w:color w:val="auto"/>
        </w:rPr>
      </w:pPr>
      <w:r>
        <w:rPr>
          <w:rFonts w:ascii="Arial" w:cs="Arial" w:eastAsia="Arial" w:hAnsi="Arial"/>
          <w:sz w:val="20"/>
          <w:szCs w:val="20"/>
          <w:color w:val="auto"/>
        </w:rPr>
        <w:t>You expressly acknowledge and agree that the restrictions contained in this Section 8(f) are reasonably tailored to protect Activision Blizzard’s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 and shall remain and continue in effect if your employment becomes at-will as provided in Section 1(b).</w:t>
      </w:r>
    </w:p>
    <w:p>
      <w:pPr>
        <w:spacing w:after="0" w:line="150" w:lineRule="exact"/>
        <w:rPr>
          <w:rFonts w:ascii="Arial" w:cs="Arial" w:eastAsia="Arial" w:hAnsi="Arial"/>
          <w:sz w:val="20"/>
          <w:szCs w:val="20"/>
          <w:color w:val="auto"/>
        </w:rPr>
      </w:pPr>
    </w:p>
    <w:p>
      <w:pPr>
        <w:ind w:left="635" w:hanging="635"/>
        <w:spacing w:after="0"/>
        <w:tabs>
          <w:tab w:leader="none" w:pos="635" w:val="left"/>
        </w:tabs>
        <w:numPr>
          <w:ilvl w:val="0"/>
          <w:numId w:val="2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184" w:lineRule="exact"/>
        <w:rPr>
          <w:rFonts w:ascii="Arial" w:cs="Arial" w:eastAsia="Arial" w:hAnsi="Arial"/>
          <w:sz w:val="21"/>
          <w:szCs w:val="21"/>
          <w:b w:val="1"/>
          <w:bCs w:val="1"/>
          <w:color w:val="auto"/>
        </w:rPr>
      </w:pPr>
    </w:p>
    <w:p>
      <w:pPr>
        <w:ind w:left="1255" w:hanging="626"/>
        <w:spacing w:after="0"/>
        <w:tabs>
          <w:tab w:leader="none" w:pos="1255" w:val="left"/>
        </w:tabs>
        <w:numPr>
          <w:ilvl w:val="1"/>
          <w:numId w:val="218"/>
        </w:numPr>
        <w:rPr>
          <w:rFonts w:ascii="Arial" w:cs="Arial" w:eastAsia="Arial" w:hAnsi="Arial"/>
          <w:sz w:val="21"/>
          <w:szCs w:val="21"/>
          <w:color w:val="auto"/>
        </w:rPr>
      </w:pPr>
      <w:r>
        <w:rPr>
          <w:rFonts w:ascii="Arial" w:cs="Arial" w:eastAsia="Arial" w:hAnsi="Arial"/>
          <w:sz w:val="21"/>
          <w:szCs w:val="21"/>
          <w:color w:val="auto"/>
        </w:rPr>
        <w:t>By the Employer for Cause.</w:t>
      </w:r>
    </w:p>
    <w:p>
      <w:pPr>
        <w:spacing w:after="0" w:line="178" w:lineRule="exact"/>
        <w:rPr>
          <w:rFonts w:ascii="Arial" w:cs="Arial" w:eastAsia="Arial" w:hAnsi="Arial"/>
          <w:sz w:val="21"/>
          <w:szCs w:val="21"/>
          <w:color w:val="auto"/>
        </w:rPr>
      </w:pPr>
    </w:p>
    <w:p>
      <w:pPr>
        <w:jc w:val="both"/>
        <w:ind w:left="-5" w:firstLine="1264"/>
        <w:spacing w:after="0" w:line="215" w:lineRule="auto"/>
        <w:tabs>
          <w:tab w:leader="none" w:pos="1871" w:val="left"/>
        </w:tabs>
        <w:numPr>
          <w:ilvl w:val="2"/>
          <w:numId w:val="218"/>
        </w:numPr>
        <w:rPr>
          <w:rFonts w:ascii="Arial" w:cs="Arial" w:eastAsia="Arial" w:hAnsi="Arial"/>
          <w:sz w:val="21"/>
          <w:szCs w:val="21"/>
          <w:color w:val="auto"/>
        </w:rPr>
      </w:pPr>
      <w:r>
        <w:rPr>
          <w:rFonts w:ascii="Arial" w:cs="Arial" w:eastAsia="Arial" w:hAnsi="Arial"/>
          <w:sz w:val="21"/>
          <w:szCs w:val="21"/>
          <w:color w:val="auto"/>
        </w:rPr>
        <w:t>At any time during the Term, the Employer may terminate your employment for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which shall mean a reasonable and good-faith determination by the Employer that you (i) engaged in gross negligence in the performance of your duties or wilfully and continuously failed or refused to perform any duties reasonably requested in the course of your employment; (ii) engaged in fraud, dishonesty, or any other serious misconduct that causes or has the potential to cause harm to any entity in the Activision Blizzard Group, including its business or reputation; (iii) materially violated any lawful directives or policies of the Activision Blizzard Group or any laws, rules or regulations applicable to your employment with the Activision Blizzard Group; (iv) materially breached this Agreement or any other agreement to which you are a party with any members of Activision Blizzard Group; (v) materially breached</w:t>
      </w:r>
    </w:p>
    <w:p>
      <w:pPr>
        <w:sectPr>
          <w:pgSz w:w="11900" w:h="16838" w:orient="portrait"/>
          <w:cols w:equalWidth="0" w:num="1">
            <w:col w:w="11235"/>
          </w:cols>
          <w:pgMar w:left="325" w:top="1358" w:right="339" w:bottom="1440" w:gutter="0" w:footer="0" w:header="0"/>
        </w:sectPr>
      </w:pPr>
    </w:p>
    <w:bookmarkStart w:id="325" w:name="page326"/>
    <w:bookmarkEnd w:id="325"/>
    <w:p>
      <w:pPr>
        <w:jc w:val="both"/>
        <w:spacing w:after="0" w:line="238" w:lineRule="auto"/>
        <w:rPr>
          <w:sz w:val="20"/>
          <w:szCs w:val="20"/>
          <w:color w:val="auto"/>
        </w:rPr>
      </w:pPr>
      <w:r>
        <w:rPr>
          <w:rFonts w:ascii="Arial" w:cs="Arial" w:eastAsia="Arial" w:hAnsi="Arial"/>
          <w:sz w:val="20"/>
          <w:szCs w:val="20"/>
          <w:color w:val="auto"/>
        </w:rPr>
        <w:t>any proprietary information or confidentiality agreement with any member of Activision Blizzard Group; (vi) were convicted of, or pled guilty or no contest to, a felony or crime involving dishonesty or moral turpitude; (vii) materially breached your fiduciary duties to the Activision Blizzard; or (viii) may not lawfully work for the Employer at your assigned principal place of business.</w:t>
      </w:r>
    </w:p>
    <w:p>
      <w:pPr>
        <w:spacing w:after="0" w:line="155" w:lineRule="exact"/>
        <w:rPr>
          <w:sz w:val="20"/>
          <w:szCs w:val="20"/>
          <w:color w:val="auto"/>
        </w:rPr>
      </w:pPr>
    </w:p>
    <w:p>
      <w:pPr>
        <w:jc w:val="both"/>
        <w:ind w:firstLine="1264"/>
        <w:spacing w:after="0" w:line="236" w:lineRule="auto"/>
        <w:tabs>
          <w:tab w:leader="none" w:pos="1882" w:val="left"/>
        </w:tabs>
        <w:numPr>
          <w:ilvl w:val="2"/>
          <w:numId w:val="219"/>
        </w:numPr>
        <w:rPr>
          <w:rFonts w:ascii="Arial" w:cs="Arial" w:eastAsia="Arial" w:hAnsi="Arial"/>
          <w:sz w:val="19"/>
          <w:szCs w:val="19"/>
          <w:color w:val="auto"/>
        </w:rPr>
      </w:pPr>
      <w:r>
        <w:rPr>
          <w:rFonts w:ascii="Arial" w:cs="Arial" w:eastAsia="Arial" w:hAnsi="Arial"/>
          <w:sz w:val="19"/>
          <w:szCs w:val="19"/>
          <w:color w:val="auto"/>
        </w:rPr>
        <w:t>In the case of any termination for Cause that is curable without any residual damage (financial or otherwise) to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59" w:lineRule="exact"/>
        <w:rPr>
          <w:rFonts w:ascii="Arial" w:cs="Arial" w:eastAsia="Arial" w:hAnsi="Arial"/>
          <w:sz w:val="19"/>
          <w:szCs w:val="19"/>
          <w:color w:val="auto"/>
        </w:rPr>
      </w:pPr>
    </w:p>
    <w:p>
      <w:pPr>
        <w:jc w:val="both"/>
        <w:ind w:firstLine="1264"/>
        <w:spacing w:after="0"/>
        <w:tabs>
          <w:tab w:leader="none" w:pos="1888" w:val="left"/>
        </w:tabs>
        <w:numPr>
          <w:ilvl w:val="2"/>
          <w:numId w:val="219"/>
        </w:numPr>
        <w:rPr>
          <w:rFonts w:ascii="Arial" w:cs="Arial" w:eastAsia="Arial" w:hAnsi="Arial"/>
          <w:sz w:val="19"/>
          <w:szCs w:val="19"/>
          <w:color w:val="auto"/>
        </w:rPr>
      </w:pPr>
      <w:r>
        <w:rPr>
          <w:rFonts w:ascii="Arial" w:cs="Arial" w:eastAsia="Arial" w:hAnsi="Arial"/>
          <w:sz w:val="19"/>
          <w:szCs w:val="19"/>
          <w:color w:val="auto"/>
        </w:rPr>
        <w:t>If your employment terminates for any reason other than a termination by the Employer for Cause, at a time when the Employer had Cause to terminate you (or would have had Cause if it then knew all relevant facts) under clauses (i), (ii), (v),</w:t>
      </w:r>
    </w:p>
    <w:p>
      <w:pPr>
        <w:ind w:left="360" w:hanging="355"/>
        <w:spacing w:after="0"/>
        <w:tabs>
          <w:tab w:leader="none" w:pos="36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or (vii) of the definition of Cause, your termination shall be treated as a termination by the Employer for Cause.</w:t>
      </w:r>
    </w:p>
    <w:p>
      <w:pPr>
        <w:spacing w:after="0" w:line="154" w:lineRule="exact"/>
        <w:rPr>
          <w:rFonts w:ascii="Arial" w:cs="Arial" w:eastAsia="Arial" w:hAnsi="Arial"/>
          <w:sz w:val="21"/>
          <w:szCs w:val="21"/>
          <w:color w:val="auto"/>
        </w:rPr>
      </w:pPr>
    </w:p>
    <w:p>
      <w:pPr>
        <w:jc w:val="both"/>
        <w:ind w:firstLine="634"/>
        <w:spacing w:after="0" w:line="260" w:lineRule="auto"/>
        <w:tabs>
          <w:tab w:leader="none" w:pos="1254" w:val="left"/>
        </w:tabs>
        <w:numPr>
          <w:ilvl w:val="1"/>
          <w:numId w:val="220"/>
        </w:numPr>
        <w:rPr>
          <w:rFonts w:ascii="Arial" w:cs="Arial" w:eastAsia="Arial" w:hAnsi="Arial"/>
          <w:sz w:val="19"/>
          <w:szCs w:val="19"/>
          <w:color w:val="auto"/>
        </w:rPr>
      </w:pPr>
      <w:r>
        <w:rPr>
          <w:rFonts w:ascii="Arial" w:cs="Arial" w:eastAsia="Arial" w:hAnsi="Arial"/>
          <w:sz w:val="19"/>
          <w:szCs w:val="19"/>
          <w:b w:val="1"/>
          <w:bCs w:val="1"/>
          <w:color w:val="auto"/>
        </w:rPr>
        <w:t>By the Employer Without Cause</w:t>
      </w:r>
      <w:r>
        <w:rPr>
          <w:rFonts w:ascii="Arial" w:cs="Arial" w:eastAsia="Arial" w:hAnsi="Arial"/>
          <w:sz w:val="19"/>
          <w:szCs w:val="19"/>
          <w:color w:val="auto"/>
        </w:rPr>
        <w:t>. The Employer may terminate your employment without Cause at any time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and such termination shall not be deemed a breach by the Employer of any term of this Agreement or any other duty or obligation, expressed or implied, which the Employer may owe to you pursuant to any principle or provision of law.</w:t>
      </w:r>
    </w:p>
    <w:p>
      <w:pPr>
        <w:spacing w:after="0" w:line="129" w:lineRule="exact"/>
        <w:rPr>
          <w:rFonts w:ascii="Arial" w:cs="Arial" w:eastAsia="Arial" w:hAnsi="Arial"/>
          <w:sz w:val="19"/>
          <w:szCs w:val="19"/>
          <w:color w:val="auto"/>
        </w:rPr>
      </w:pPr>
    </w:p>
    <w:p>
      <w:pPr>
        <w:jc w:val="both"/>
        <w:ind w:firstLine="634"/>
        <w:spacing w:after="0" w:line="225" w:lineRule="auto"/>
        <w:tabs>
          <w:tab w:leader="none" w:pos="1256" w:val="left"/>
        </w:tabs>
        <w:numPr>
          <w:ilvl w:val="1"/>
          <w:numId w:val="220"/>
        </w:numPr>
        <w:rPr>
          <w:rFonts w:ascii="Arial" w:cs="Arial" w:eastAsia="Arial" w:hAnsi="Arial"/>
          <w:sz w:val="20"/>
          <w:szCs w:val="20"/>
          <w:color w:val="auto"/>
        </w:rPr>
      </w:pPr>
      <w:r>
        <w:rPr>
          <w:rFonts w:ascii="Arial" w:cs="Arial" w:eastAsia="Arial" w:hAnsi="Arial"/>
          <w:sz w:val="20"/>
          <w:szCs w:val="20"/>
          <w:b w:val="1"/>
          <w:bCs w:val="1"/>
          <w:color w:val="auto"/>
        </w:rPr>
        <w:t xml:space="preserve">By You If Your Principal Place of Business Is Relocated Without Your Consent. </w:t>
      </w:r>
      <w:r>
        <w:rPr>
          <w:rFonts w:ascii="Arial" w:cs="Arial" w:eastAsia="Arial" w:hAnsi="Arial"/>
          <w:sz w:val="20"/>
          <w:szCs w:val="20"/>
          <w:color w:val="auto"/>
        </w:rPr>
        <w:t>At any time during the Term, you</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terminate your employment if, without your written agreement or other voluntary action on your part, the Employer reassigns your principal place of business to a location that is more than fifty (50) miles from your principal place of business as of the Effective Date and that materially and adversely affects your commute;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Arial" w:cs="Arial" w:eastAsia="Arial" w:hAnsi="Arial"/>
          <w:sz w:val="20"/>
          <w:szCs w:val="20"/>
          <w:b w:val="1"/>
          <w:bCs w:val="1"/>
          <w:i w:val="1"/>
          <w:iCs w:val="1"/>
          <w:color w:val="auto"/>
        </w:rPr>
        <w:t>Cure Period</w:t>
      </w:r>
      <w:r>
        <w:rPr>
          <w:rFonts w:ascii="Arial" w:cs="Arial" w:eastAsia="Arial" w:hAnsi="Arial"/>
          <w:sz w:val="20"/>
          <w:szCs w:val="20"/>
          <w:color w:val="auto"/>
        </w:rPr>
        <w:t>”). You will have five (5) days following the end of the Cure Period to terminate your employment, if the Employer does not cure, after which your ability to terminate your employment under this Section 9(c) will no longer exist. You agree that if you resign for any other reason that it will constitute a material breach of this Agreement.</w:t>
      </w:r>
    </w:p>
    <w:p>
      <w:pPr>
        <w:spacing w:after="0" w:line="151" w:lineRule="exact"/>
        <w:rPr>
          <w:rFonts w:ascii="Arial" w:cs="Arial" w:eastAsia="Arial" w:hAnsi="Arial"/>
          <w:sz w:val="20"/>
          <w:szCs w:val="20"/>
          <w:color w:val="auto"/>
        </w:rPr>
      </w:pPr>
    </w:p>
    <w:p>
      <w:pPr>
        <w:ind w:left="1260" w:hanging="626"/>
        <w:spacing w:after="0"/>
        <w:tabs>
          <w:tab w:leader="none" w:pos="1260" w:val="left"/>
        </w:tabs>
        <w:numPr>
          <w:ilvl w:val="1"/>
          <w:numId w:val="220"/>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In the event of your death during the Term, your employment shall terminate immediately as of the date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your death.</w:t>
      </w:r>
    </w:p>
    <w:p>
      <w:pPr>
        <w:spacing w:after="0" w:line="154" w:lineRule="exact"/>
        <w:rPr>
          <w:rFonts w:ascii="Arial" w:cs="Arial" w:eastAsia="Arial" w:hAnsi="Arial"/>
          <w:sz w:val="19"/>
          <w:szCs w:val="19"/>
          <w:color w:val="auto"/>
        </w:rPr>
      </w:pPr>
    </w:p>
    <w:p>
      <w:pPr>
        <w:jc w:val="both"/>
        <w:ind w:firstLine="634"/>
        <w:spacing w:after="0" w:line="260" w:lineRule="auto"/>
        <w:tabs>
          <w:tab w:leader="none" w:pos="1256" w:val="left"/>
        </w:tabs>
        <w:numPr>
          <w:ilvl w:val="1"/>
          <w:numId w:val="220"/>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In the event that you are or become “</w:t>
      </w:r>
      <w:r>
        <w:rPr>
          <w:rFonts w:ascii="Arial" w:cs="Arial" w:eastAsia="Arial" w:hAnsi="Arial"/>
          <w:sz w:val="19"/>
          <w:szCs w:val="19"/>
          <w:b w:val="1"/>
          <w:bCs w:val="1"/>
          <w:i w:val="1"/>
          <w:iCs w:val="1"/>
          <w:color w:val="auto"/>
        </w:rPr>
        <w:t>disabled</w:t>
      </w:r>
      <w:r>
        <w:rPr>
          <w:rFonts w:ascii="Arial" w:cs="Arial" w:eastAsia="Arial" w:hAnsi="Arial"/>
          <w:sz w:val="19"/>
          <w:szCs w:val="19"/>
          <w:color w:val="auto"/>
        </w:rPr>
        <w:t>,” the Employer shall, to the extent permitted by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have the right to terminate your employment. For purposes of this Agreement, “disabled” shall mean that either (i) you have a physical or mental impairment that renders you unable to perform the duties required of you under this Agreement,</w:t>
      </w:r>
    </w:p>
    <w:p>
      <w:pPr>
        <w:sectPr>
          <w:pgSz w:w="11900" w:h="16838" w:orient="portrait"/>
          <w:cols w:equalWidth="0" w:num="1">
            <w:col w:w="11240"/>
          </w:cols>
          <w:pgMar w:left="320" w:top="1364" w:right="339" w:bottom="1440" w:gutter="0" w:footer="0" w:header="0"/>
        </w:sectPr>
      </w:pPr>
    </w:p>
    <w:bookmarkStart w:id="326" w:name="page327"/>
    <w:bookmarkEnd w:id="326"/>
    <w:p>
      <w:pPr>
        <w:jc w:val="both"/>
        <w:spacing w:after="0" w:line="227" w:lineRule="auto"/>
        <w:rPr>
          <w:sz w:val="20"/>
          <w:szCs w:val="20"/>
          <w:color w:val="auto"/>
        </w:rPr>
      </w:pPr>
      <w:r>
        <w:rPr>
          <w:rFonts w:ascii="Arial" w:cs="Arial" w:eastAsia="Arial" w:hAnsi="Arial"/>
          <w:sz w:val="20"/>
          <w:szCs w:val="20"/>
          <w:color w:val="auto"/>
        </w:rPr>
        <w:t>even with the Employer providing you a reasonable accommodation, as determined by a physician mutually acceptable to you and the Employer or (ii) you are receiving benefits under any long-term disability plan of the Employer then in effect.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50" w:lineRule="exact"/>
        <w:rPr>
          <w:sz w:val="20"/>
          <w:szCs w:val="20"/>
          <w:color w:val="auto"/>
        </w:rPr>
      </w:pPr>
    </w:p>
    <w:p>
      <w:pPr>
        <w:ind w:left="640" w:hanging="635"/>
        <w:spacing w:after="0"/>
        <w:tabs>
          <w:tab w:leader="none" w:pos="640"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Obligations and Severance Payments</w:t>
      </w:r>
    </w:p>
    <w:p>
      <w:pPr>
        <w:spacing w:after="0" w:line="178" w:lineRule="exact"/>
        <w:rPr>
          <w:rFonts w:ascii="Arial" w:cs="Arial" w:eastAsia="Arial" w:hAnsi="Arial"/>
          <w:sz w:val="21"/>
          <w:szCs w:val="21"/>
          <w:b w:val="1"/>
          <w:bCs w:val="1"/>
          <w:color w:val="auto"/>
        </w:rPr>
      </w:pPr>
    </w:p>
    <w:p>
      <w:pPr>
        <w:jc w:val="both"/>
        <w:ind w:firstLine="634"/>
        <w:spacing w:after="0" w:line="216" w:lineRule="auto"/>
        <w:tabs>
          <w:tab w:leader="none" w:pos="1256" w:val="left"/>
        </w:tabs>
        <w:numPr>
          <w:ilvl w:val="1"/>
          <w:numId w:val="221"/>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Upon the termination of your employment pursuant to Section 9, your rights and the Employer’s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to you under this Agreement shall immediately terminate except as provided in this Section 10 and Section 11(s), and you (or your heirs or estate, as applicable) shall be entitled to receive any amounts or benefits set forth below (subject in all cases to Sections 10(e),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purposes of this Agreement, the following terms shall have the following meanings:</w:t>
      </w:r>
    </w:p>
    <w:p>
      <w:pPr>
        <w:spacing w:after="0" w:line="178"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Basic Severance</w:t>
      </w:r>
      <w:r>
        <w:rPr>
          <w:rFonts w:ascii="Arial" w:cs="Arial" w:eastAsia="Arial" w:hAnsi="Arial"/>
          <w:sz w:val="21"/>
          <w:szCs w:val="21"/>
          <w:color w:val="auto"/>
        </w:rPr>
        <w:t>”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Bonus Severance</w:t>
      </w:r>
      <w:r>
        <w:rPr>
          <w:rFonts w:ascii="Arial" w:cs="Arial" w:eastAsia="Arial" w:hAnsi="Arial"/>
          <w:sz w:val="21"/>
          <w:szCs w:val="21"/>
          <w:color w:val="auto"/>
        </w:rPr>
        <w:t>” shall mean payment of:</w:t>
      </w:r>
    </w:p>
    <w:p>
      <w:pPr>
        <w:spacing w:after="0" w:line="178" w:lineRule="exact"/>
        <w:rPr>
          <w:sz w:val="20"/>
          <w:szCs w:val="20"/>
          <w:color w:val="auto"/>
        </w:rPr>
      </w:pPr>
    </w:p>
    <w:p>
      <w:pPr>
        <w:jc w:val="both"/>
        <w:ind w:left="1900" w:hanging="636"/>
        <w:spacing w:after="0" w:line="239" w:lineRule="auto"/>
        <w:tabs>
          <w:tab w:leader="none" w:pos="188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an amount equal to the Annual Bonus that the Employer determines, in its sole and absolute discretion, you would have received (if any) in accordance with Section 2(c) for any year that ended prior to the Termination Date had you remained employed through the date such bonus would have otherwise been paid (in the event that your Termination Date occurs before such bonus would have been paid) provided, however, that in the exercise of discretion, to the extent any other similarly situated executive has the same objective bonus measurements or metrics, the Employer will evaluate your achievement of such objective measurements or metrics in a manner consistent with such other similarly situated executive; and</w:t>
      </w:r>
    </w:p>
    <w:p>
      <w:pPr>
        <w:spacing w:after="0" w:line="155" w:lineRule="exact"/>
        <w:rPr>
          <w:rFonts w:ascii="Arial" w:cs="Arial" w:eastAsia="Arial" w:hAnsi="Arial"/>
          <w:sz w:val="19"/>
          <w:szCs w:val="19"/>
          <w:color w:val="auto"/>
        </w:rPr>
      </w:pPr>
    </w:p>
    <w:p>
      <w:pPr>
        <w:jc w:val="both"/>
        <w:ind w:left="1900" w:hanging="636"/>
        <w:spacing w:after="0" w:line="241" w:lineRule="auto"/>
        <w:tabs>
          <w:tab w:leader="none" w:pos="189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an amount equal to the Annual Bonus that the Employer determines, in its sole and absolute discretion, you would have received (if any) in accordance with Section 2(c) for the year in which your Termination Date occurs had you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 provided, however, that in the exercise of discretion,</w:t>
      </w:r>
    </w:p>
    <w:p>
      <w:pPr>
        <w:sectPr>
          <w:pgSz w:w="11900" w:h="16838" w:orient="portrait"/>
          <w:cols w:equalWidth="0" w:num="1">
            <w:col w:w="11240"/>
          </w:cols>
          <w:pgMar w:left="320" w:top="1363" w:right="339" w:bottom="1440" w:gutter="0" w:footer="0" w:header="0"/>
        </w:sectPr>
      </w:pPr>
    </w:p>
    <w:bookmarkStart w:id="327" w:name="page328"/>
    <w:bookmarkEnd w:id="327"/>
    <w:p>
      <w:pPr>
        <w:jc w:val="both"/>
        <w:ind w:left="1900"/>
        <w:spacing w:after="0" w:line="227" w:lineRule="auto"/>
        <w:rPr>
          <w:sz w:val="20"/>
          <w:szCs w:val="20"/>
          <w:color w:val="auto"/>
        </w:rPr>
      </w:pPr>
      <w:r>
        <w:rPr>
          <w:rFonts w:ascii="Arial" w:cs="Arial" w:eastAsia="Arial" w:hAnsi="Arial"/>
          <w:sz w:val="21"/>
          <w:szCs w:val="21"/>
          <w:color w:val="auto"/>
        </w:rPr>
        <w:t>to the extent any other similarly situated executive has the same objective bonus measurements or metrics, the Employer will evaluate your achievement of such objective measurements or metrics in a manner consistent with such other similarly situated executive.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shall mean the effective date of your termination of employment pursuant to Sections 9(a)-(e).</w:t>
      </w:r>
    </w:p>
    <w:p>
      <w:pPr>
        <w:spacing w:after="0" w:line="190" w:lineRule="exact"/>
        <w:rPr>
          <w:sz w:val="20"/>
          <w:szCs w:val="20"/>
          <w:color w:val="auto"/>
        </w:rPr>
      </w:pPr>
    </w:p>
    <w:p>
      <w:pPr>
        <w:jc w:val="both"/>
        <w:ind w:firstLine="629"/>
        <w:spacing w:after="0" w:line="21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Severance Limit</w:t>
      </w:r>
      <w:r>
        <w:rPr>
          <w:rFonts w:ascii="Arial" w:cs="Arial" w:eastAsia="Arial" w:hAnsi="Arial"/>
          <w:sz w:val="21"/>
          <w:szCs w:val="21"/>
          <w:color w:val="auto"/>
        </w:rPr>
        <w:t xml:space="preserve">” shall mean the maximum total value of any severance payments and benefits that you will be due from the Employer in any scenario, which maximum total value shall be equal to your prior year’s target compensation, as determined by the Compensation Committee, notwithstanding anything to the contrary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AOP OI Objective for the calendar year preceding the calendar year in which your Termination Date occurred (the “</w:t>
      </w:r>
      <w:r>
        <w:rPr>
          <w:rFonts w:ascii="Arial" w:cs="Arial" w:eastAsia="Arial" w:hAnsi="Arial"/>
          <w:sz w:val="21"/>
          <w:szCs w:val="21"/>
          <w:b w:val="1"/>
          <w:bCs w:val="1"/>
          <w:i w:val="1"/>
          <w:iCs w:val="1"/>
          <w:color w:val="auto"/>
        </w:rPr>
        <w:t>Measurement Year</w:t>
      </w:r>
      <w:r>
        <w:rPr>
          <w:rFonts w:ascii="Arial" w:cs="Arial" w:eastAsia="Arial" w:hAnsi="Arial"/>
          <w:sz w:val="21"/>
          <w:szCs w:val="21"/>
          <w:color w:val="auto"/>
        </w:rPr>
        <w:t>”) was 100% or more of the annual operating plan operating income objective established by the Board for such Measurement Year, the Employer’s Chief Executive Officer may, in the Chief Executive Officer’s sole and absolute discretion, increase the Total Severance Limit.</w:t>
      </w:r>
    </w:p>
    <w:p>
      <w:pPr>
        <w:spacing w:after="0" w:line="151" w:lineRule="exact"/>
        <w:rPr>
          <w:sz w:val="20"/>
          <w:szCs w:val="20"/>
          <w:color w:val="auto"/>
        </w:rPr>
      </w:pPr>
    </w:p>
    <w:p>
      <w:pPr>
        <w:ind w:left="1260" w:hanging="626"/>
        <w:spacing w:after="0"/>
        <w:tabs>
          <w:tab w:leader="none" w:pos="1260" w:val="left"/>
        </w:tabs>
        <w:numPr>
          <w:ilvl w:val="0"/>
          <w:numId w:val="223"/>
        </w:numPr>
        <w:rPr>
          <w:rFonts w:ascii="Arial" w:cs="Arial" w:eastAsia="Arial" w:hAnsi="Arial"/>
          <w:sz w:val="20"/>
          <w:szCs w:val="20"/>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In the event your employment is terminated under Section 9(d), and subject to the Total Severance Limit:</w:t>
      </w:r>
    </w:p>
    <w:p>
      <w:pPr>
        <w:spacing w:after="0" w:line="195" w:lineRule="exact"/>
        <w:rPr>
          <w:rFonts w:ascii="Arial" w:cs="Arial" w:eastAsia="Arial" w:hAnsi="Arial"/>
          <w:sz w:val="20"/>
          <w:szCs w:val="20"/>
          <w:color w:val="auto"/>
        </w:rPr>
      </w:pPr>
    </w:p>
    <w:p>
      <w:pPr>
        <w:jc w:val="both"/>
        <w:ind w:left="1900" w:hanging="636"/>
        <w:spacing w:after="0" w:line="222" w:lineRule="auto"/>
        <w:tabs>
          <w:tab w:leader="none" w:pos="1888" w:val="left"/>
        </w:tabs>
        <w:numPr>
          <w:ilvl w:val="1"/>
          <w:numId w:val="223"/>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55" w:lineRule="exact"/>
        <w:rPr>
          <w:rFonts w:ascii="Arial" w:cs="Arial" w:eastAsia="Arial" w:hAnsi="Arial"/>
          <w:sz w:val="21"/>
          <w:szCs w:val="21"/>
          <w:color w:val="auto"/>
        </w:rPr>
      </w:pPr>
    </w:p>
    <w:p>
      <w:pPr>
        <w:jc w:val="both"/>
        <w:ind w:left="1900" w:hanging="636"/>
        <w:spacing w:after="0" w:line="230" w:lineRule="auto"/>
        <w:tabs>
          <w:tab w:leader="none" w:pos="1894" w:val="left"/>
        </w:tabs>
        <w:numPr>
          <w:ilvl w:val="1"/>
          <w:numId w:val="223"/>
        </w:numPr>
        <w:rPr>
          <w:rFonts w:ascii="Arial" w:cs="Arial" w:eastAsia="Arial" w:hAnsi="Arial"/>
          <w:sz w:val="20"/>
          <w:szCs w:val="20"/>
          <w:color w:val="auto"/>
        </w:rPr>
      </w:pPr>
      <w:r>
        <w:rPr>
          <w:rFonts w:ascii="Arial" w:cs="Arial" w:eastAsia="Arial" w:hAnsi="Arial"/>
          <w:sz w:val="20"/>
          <w:szCs w:val="20"/>
          <w:u w:val="single" w:color="auto"/>
          <w:color w:val="auto"/>
        </w:rPr>
        <w:t>Lump Sum Payment of Two Times Base Salary</w:t>
      </w:r>
      <w:r>
        <w:rPr>
          <w:rFonts w:ascii="Arial" w:cs="Arial" w:eastAsia="Arial" w:hAnsi="Arial"/>
          <w:sz w:val="20"/>
          <w:szCs w:val="20"/>
          <w:color w:val="auto"/>
        </w:rPr>
        <w:t xml:space="preserve">. Your heirs or estate, as the case may be, shall receive payment of an amount equal to two (2) times the Base Salary (at the rate in effect as of the Termination Date) in a lump sum within thirty (30) days following the Termination Date;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this amount shall be reduced by any payments to which you become entitled upon death under any Employer-sponsored plan other than the $2,000,000 Life Insurance Policy as defined in Section 6(a);</w:t>
      </w:r>
    </w:p>
    <w:p>
      <w:pPr>
        <w:spacing w:after="0" w:line="156" w:lineRule="exact"/>
        <w:rPr>
          <w:rFonts w:ascii="Arial" w:cs="Arial" w:eastAsia="Arial" w:hAnsi="Arial"/>
          <w:sz w:val="20"/>
          <w:szCs w:val="20"/>
          <w:color w:val="auto"/>
        </w:rPr>
      </w:pPr>
    </w:p>
    <w:p>
      <w:pPr>
        <w:jc w:val="both"/>
        <w:ind w:left="1900" w:hanging="636"/>
        <w:spacing w:after="0" w:line="227" w:lineRule="auto"/>
        <w:tabs>
          <w:tab w:leader="none" w:pos="1900" w:val="left"/>
        </w:tabs>
        <w:numPr>
          <w:ilvl w:val="1"/>
          <w:numId w:val="223"/>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Your heirs or estate, as the case may be, shall receive payment of the Bonus Severance in a lump sum no later than the 15th day of the third month of the year following the year to which the underlying amount relates; and</w:t>
      </w:r>
    </w:p>
    <w:p>
      <w:pPr>
        <w:spacing w:after="0" w:line="154" w:lineRule="exact"/>
        <w:rPr>
          <w:rFonts w:ascii="Arial" w:cs="Arial" w:eastAsia="Arial" w:hAnsi="Arial"/>
          <w:sz w:val="21"/>
          <w:szCs w:val="21"/>
          <w:color w:val="auto"/>
        </w:rPr>
      </w:pPr>
    </w:p>
    <w:p>
      <w:pPr>
        <w:jc w:val="both"/>
        <w:ind w:left="1900" w:hanging="636"/>
        <w:spacing w:after="0" w:line="227" w:lineRule="auto"/>
        <w:tabs>
          <w:tab w:leader="none" w:pos="1888" w:val="left"/>
        </w:tabs>
        <w:numPr>
          <w:ilvl w:val="1"/>
          <w:numId w:val="223"/>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48" w:lineRule="exact"/>
        <w:rPr>
          <w:rFonts w:ascii="Arial" w:cs="Arial" w:eastAsia="Arial" w:hAnsi="Arial"/>
          <w:sz w:val="21"/>
          <w:szCs w:val="21"/>
          <w:color w:val="auto"/>
        </w:rPr>
      </w:pPr>
    </w:p>
    <w:p>
      <w:pPr>
        <w:jc w:val="both"/>
        <w:ind w:firstLine="634"/>
        <w:spacing w:after="0" w:line="224" w:lineRule="auto"/>
        <w:tabs>
          <w:tab w:leader="none" w:pos="1256" w:val="left"/>
        </w:tabs>
        <w:numPr>
          <w:ilvl w:val="0"/>
          <w:numId w:val="223"/>
        </w:numPr>
        <w:rPr>
          <w:rFonts w:ascii="Arial" w:cs="Arial" w:eastAsia="Arial" w:hAnsi="Arial"/>
          <w:sz w:val="21"/>
          <w:szCs w:val="21"/>
          <w:color w:val="auto"/>
        </w:rPr>
      </w:pPr>
      <w:r>
        <w:rPr>
          <w:rFonts w:ascii="Arial" w:cs="Arial" w:eastAsia="Arial" w:hAnsi="Arial"/>
          <w:sz w:val="21"/>
          <w:szCs w:val="21"/>
          <w:b w:val="1"/>
          <w:bCs w:val="1"/>
          <w:color w:val="auto"/>
        </w:rPr>
        <w:t>Termination by the Employer Without Cause, by You if Your Principal Place of Business Is Relocated Without Your Consent or by the Employer if You Become Disabled</w:t>
      </w:r>
      <w:r>
        <w:rPr>
          <w:rFonts w:ascii="Arial" w:cs="Arial" w:eastAsia="Arial" w:hAnsi="Arial"/>
          <w:sz w:val="21"/>
          <w:szCs w:val="21"/>
          <w:color w:val="auto"/>
        </w:rPr>
        <w:t>. In the event the Employer terminates your employment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9(b), you terminate your employment under Section 9(c) or the Employer terminates your employment under Section 9(e) and subject to the Total Severance Limit:</w:t>
      </w:r>
    </w:p>
    <w:p>
      <w:pPr>
        <w:spacing w:after="0" w:line="153" w:lineRule="exact"/>
        <w:rPr>
          <w:rFonts w:ascii="Arial" w:cs="Arial" w:eastAsia="Arial" w:hAnsi="Arial"/>
          <w:sz w:val="21"/>
          <w:szCs w:val="21"/>
          <w:color w:val="auto"/>
        </w:rPr>
      </w:pPr>
    </w:p>
    <w:p>
      <w:pPr>
        <w:ind w:left="1900" w:hanging="636"/>
        <w:spacing w:after="0" w:line="236" w:lineRule="auto"/>
        <w:tabs>
          <w:tab w:leader="none" w:pos="1888" w:val="left"/>
        </w:tabs>
        <w:numPr>
          <w:ilvl w:val="1"/>
          <w:numId w:val="223"/>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 or your legal representative, as the case may be, shall receive payment of the Basic Severance in a lump sum within thirty</w:t>
      </w:r>
    </w:p>
    <w:p>
      <w:pPr>
        <w:sectPr>
          <w:pgSz w:w="11900" w:h="16838" w:orient="portrait"/>
          <w:cols w:equalWidth="0" w:num="1">
            <w:col w:w="11240"/>
          </w:cols>
          <w:pgMar w:left="320" w:top="1364" w:right="339" w:bottom="1440" w:gutter="0" w:footer="0" w:header="0"/>
        </w:sectPr>
      </w:pPr>
    </w:p>
    <w:bookmarkStart w:id="328" w:name="page329"/>
    <w:bookmarkEnd w:id="328"/>
    <w:p>
      <w:pPr>
        <w:ind w:left="1266" w:hanging="7"/>
        <w:spacing w:after="0" w:line="283" w:lineRule="auto"/>
        <w:tabs>
          <w:tab w:leader="none" w:pos="1710" w:val="left"/>
        </w:tabs>
        <w:numPr>
          <w:ilvl w:val="2"/>
          <w:numId w:val="224"/>
        </w:numPr>
        <w:rPr>
          <w:rFonts w:ascii="Arial" w:cs="Arial" w:eastAsia="Arial" w:hAnsi="Arial"/>
          <w:sz w:val="19"/>
          <w:szCs w:val="19"/>
          <w:color w:val="auto"/>
        </w:rPr>
      </w:pPr>
      <w:r>
        <w:rPr>
          <w:rFonts w:ascii="Arial" w:cs="Arial" w:eastAsia="Arial" w:hAnsi="Arial"/>
          <w:sz w:val="19"/>
          <w:szCs w:val="19"/>
          <w:color w:val="auto"/>
        </w:rPr>
        <w:t>days following the Termination Date unless a different payment date is prescribed by an applicable compensation, incentive or benefit plan, in which case payment shall be made in accordance with such plan;</w:t>
      </w:r>
    </w:p>
    <w:p>
      <w:pPr>
        <w:spacing w:after="0" w:line="114" w:lineRule="exact"/>
        <w:rPr>
          <w:rFonts w:ascii="Arial" w:cs="Arial" w:eastAsia="Arial" w:hAnsi="Arial"/>
          <w:sz w:val="19"/>
          <w:szCs w:val="19"/>
          <w:color w:val="auto"/>
        </w:rPr>
      </w:pPr>
    </w:p>
    <w:p>
      <w:pPr>
        <w:jc w:val="both"/>
        <w:ind w:left="1266" w:hanging="636"/>
        <w:spacing w:after="0" w:line="236" w:lineRule="auto"/>
        <w:tabs>
          <w:tab w:leader="none" w:pos="1260" w:val="left"/>
        </w:tabs>
        <w:numPr>
          <w:ilvl w:val="1"/>
          <w:numId w:val="225"/>
        </w:numPr>
        <w:rPr>
          <w:rFonts w:ascii="Arial" w:cs="Arial" w:eastAsia="Arial" w:hAnsi="Arial"/>
          <w:sz w:val="19"/>
          <w:szCs w:val="19"/>
          <w:color w:val="auto"/>
        </w:rPr>
      </w:pPr>
      <w:r>
        <w:rPr>
          <w:rFonts w:ascii="Arial" w:cs="Arial" w:eastAsia="Arial" w:hAnsi="Arial"/>
          <w:sz w:val="19"/>
          <w:szCs w:val="19"/>
          <w:u w:val="single" w:color="auto"/>
          <w:color w:val="auto"/>
        </w:rPr>
        <w:t>Salary Continuation</w:t>
      </w:r>
      <w:r>
        <w:rPr>
          <w:rFonts w:ascii="Arial" w:cs="Arial" w:eastAsia="Arial" w:hAnsi="Arial"/>
          <w:sz w:val="19"/>
          <w:szCs w:val="19"/>
          <w:color w:val="auto"/>
        </w:rPr>
        <w:t xml:space="preserve">. You or your legal representative, as the case may be, shall receive the payment of an amount equal to the Base Salary (at the rate in effect on the Termination Date) that you would have received had you remained employed through the Expiration Date, which amount shall be paid in equal installments commencing on the first payroll date following the 60th day following the Termination Date in accordance with the Employer’s payroll practices as in effect from time to time, provided that the first such payment shall include any installments relating to the 60 day period following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doing so will not result in the imposition of additional taxes under Section 409A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of the Internal Revenue Code of 1986, as amended and the rules and regulations promulgated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thereunder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this amount shall be reduced by any payments which you have received or to which you become entitled under any Employer-sponsored long-term disability plan;</w:t>
      </w:r>
    </w:p>
    <w:p>
      <w:pPr>
        <w:spacing w:after="0" w:line="159" w:lineRule="exact"/>
        <w:rPr>
          <w:rFonts w:ascii="Arial" w:cs="Arial" w:eastAsia="Arial" w:hAnsi="Arial"/>
          <w:sz w:val="19"/>
          <w:szCs w:val="19"/>
          <w:color w:val="auto"/>
        </w:rPr>
      </w:pPr>
    </w:p>
    <w:p>
      <w:pPr>
        <w:jc w:val="both"/>
        <w:ind w:left="1266" w:hanging="636"/>
        <w:spacing w:after="0" w:line="227" w:lineRule="auto"/>
        <w:tabs>
          <w:tab w:leader="none" w:pos="1265" w:val="left"/>
        </w:tabs>
        <w:numPr>
          <w:ilvl w:val="1"/>
          <w:numId w:val="225"/>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 or your legal representative, as the case may be, shall receive payment of the Bonus Severance in a lump sum no later than the 15th day of the third month of the year following the year to which the underlying amount relates; and</w:t>
      </w:r>
    </w:p>
    <w:p>
      <w:pPr>
        <w:spacing w:after="0" w:line="154" w:lineRule="exact"/>
        <w:rPr>
          <w:rFonts w:ascii="Arial" w:cs="Arial" w:eastAsia="Arial" w:hAnsi="Arial"/>
          <w:sz w:val="21"/>
          <w:szCs w:val="21"/>
          <w:color w:val="auto"/>
        </w:rPr>
      </w:pPr>
    </w:p>
    <w:p>
      <w:pPr>
        <w:jc w:val="both"/>
        <w:ind w:left="1266" w:hanging="636"/>
        <w:spacing w:after="0" w:line="227" w:lineRule="auto"/>
        <w:tabs>
          <w:tab w:leader="none" w:pos="1254" w:val="left"/>
        </w:tabs>
        <w:numPr>
          <w:ilvl w:val="1"/>
          <w:numId w:val="225"/>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54" w:lineRule="exact"/>
        <w:rPr>
          <w:rFonts w:ascii="Arial" w:cs="Arial" w:eastAsia="Arial" w:hAnsi="Arial"/>
          <w:sz w:val="21"/>
          <w:szCs w:val="21"/>
          <w:color w:val="auto"/>
        </w:rPr>
      </w:pPr>
    </w:p>
    <w:p>
      <w:pPr>
        <w:jc w:val="both"/>
        <w:ind w:left="1266" w:hanging="636"/>
        <w:spacing w:after="0" w:line="227" w:lineRule="auto"/>
        <w:tabs>
          <w:tab w:leader="none" w:pos="1261" w:val="left"/>
        </w:tabs>
        <w:numPr>
          <w:ilvl w:val="1"/>
          <w:numId w:val="225"/>
        </w:numPr>
        <w:rPr>
          <w:rFonts w:ascii="Arial" w:cs="Arial" w:eastAsia="Arial" w:hAnsi="Arial"/>
          <w:sz w:val="20"/>
          <w:szCs w:val="20"/>
          <w:color w:val="auto"/>
        </w:rPr>
      </w:pPr>
      <w:r>
        <w:rPr>
          <w:rFonts w:ascii="Arial" w:cs="Arial" w:eastAsia="Arial" w:hAnsi="Arial"/>
          <w:sz w:val="20"/>
          <w:szCs w:val="20"/>
          <w:u w:val="single" w:color="auto"/>
          <w:color w:val="auto"/>
        </w:rPr>
        <w:t>Severance Conditioned Upon Release</w:t>
      </w:r>
      <w:r>
        <w:rPr>
          <w:rFonts w:ascii="Arial" w:cs="Arial" w:eastAsia="Arial" w:hAnsi="Arial"/>
          <w:sz w:val="20"/>
          <w:szCs w:val="20"/>
          <w:color w:val="auto"/>
        </w:rPr>
        <w:t>. Payments and benefits described in Sections 10(c)(ii) and (c)(iii) are conditioned upon your or your legal representative’s execution of a waiver and release in a form prepared and provided to you by the Employer within thirty-two (32) days after the Termination Date, and that release becoming effective and irrevocable in its entirety within sixty (60) days of the Termination Date. Unless otherwise provided by the Employer, if the release referenced above does not become effective and irrevocable on or prior to the sixtieth (60th) day following the Termination Date, you shall not be entitled to any payments under this Section 10(c) other than the Basic Severance.</w:t>
      </w:r>
    </w:p>
    <w:p>
      <w:pPr>
        <w:spacing w:after="0" w:line="149" w:lineRule="exact"/>
        <w:rPr>
          <w:rFonts w:ascii="Arial" w:cs="Arial" w:eastAsia="Arial" w:hAnsi="Arial"/>
          <w:sz w:val="20"/>
          <w:szCs w:val="20"/>
          <w:color w:val="auto"/>
        </w:rPr>
      </w:pPr>
    </w:p>
    <w:p>
      <w:pPr>
        <w:jc w:val="both"/>
        <w:ind w:left="-634" w:firstLine="634"/>
        <w:spacing w:after="0" w:line="221" w:lineRule="auto"/>
        <w:tabs>
          <w:tab w:leader="none" w:pos="620" w:val="left"/>
        </w:tabs>
        <w:numPr>
          <w:ilvl w:val="0"/>
          <w:numId w:val="226"/>
        </w:numPr>
        <w:rPr>
          <w:rFonts w:ascii="Arial" w:cs="Arial" w:eastAsia="Arial" w:hAnsi="Arial"/>
          <w:sz w:val="21"/>
          <w:szCs w:val="21"/>
          <w:color w:val="auto"/>
        </w:rPr>
      </w:pPr>
      <w:r>
        <w:rPr>
          <w:rFonts w:ascii="Arial" w:cs="Arial" w:eastAsia="Arial" w:hAnsi="Arial"/>
          <w:sz w:val="21"/>
          <w:szCs w:val="21"/>
          <w:b w:val="1"/>
          <w:bCs w:val="1"/>
          <w:color w:val="auto"/>
        </w:rPr>
        <w:t xml:space="preserve">Termination by the Employer Without Cause (Section 9(b)), by You if Your Principal Place of Business Is Relocated Without Your Consent (Section 9(c)), by the Employer if Because of Your Death (Section 9(d)) or You Become Disabled (Section 9(e)). </w:t>
      </w:r>
      <w:r>
        <w:rPr>
          <w:rFonts w:ascii="Arial" w:cs="Arial" w:eastAsia="Arial" w:hAnsi="Arial"/>
          <w:sz w:val="21"/>
          <w:szCs w:val="21"/>
          <w:u w:val="single" w:color="auto"/>
          <w:color w:val="auto"/>
        </w:rPr>
        <w:t>If and only if your employment is terminated pursuant to Section 9(b), 9(c), 9(d) or 9(e)</w:t>
      </w:r>
      <w:r>
        <w:rPr>
          <w:rFonts w:ascii="Arial" w:cs="Arial" w:eastAsia="Arial" w:hAnsi="Arial"/>
          <w:sz w:val="21"/>
          <w:szCs w:val="21"/>
          <w:color w:val="auto"/>
        </w:rPr>
        <w:t>, in addition to any</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and benefits described in Section 10(c)(ii) and 10(c)(iii) you (or your legal representative) may be due, you will also receive, subject to the Total Severance Limit:</w:t>
      </w:r>
    </w:p>
    <w:p>
      <w:pPr>
        <w:spacing w:after="0" w:line="153" w:lineRule="exact"/>
        <w:rPr>
          <w:rFonts w:ascii="Arial" w:cs="Arial" w:eastAsia="Arial" w:hAnsi="Arial"/>
          <w:sz w:val="21"/>
          <w:szCs w:val="21"/>
          <w:color w:val="auto"/>
        </w:rPr>
      </w:pPr>
    </w:p>
    <w:p>
      <w:pPr>
        <w:ind w:left="1246" w:hanging="616"/>
        <w:spacing w:after="0"/>
        <w:tabs>
          <w:tab w:leader="none" w:pos="1246" w:val="left"/>
        </w:tabs>
        <w:numPr>
          <w:ilvl w:val="1"/>
          <w:numId w:val="226"/>
        </w:numPr>
        <w:rPr>
          <w:rFonts w:ascii="Arial" w:cs="Arial" w:eastAsia="Arial" w:hAnsi="Arial"/>
          <w:sz w:val="21"/>
          <w:szCs w:val="21"/>
          <w:color w:val="auto"/>
        </w:rPr>
      </w:pPr>
      <w:r>
        <w:rPr>
          <w:rFonts w:ascii="Arial" w:cs="Arial" w:eastAsia="Arial" w:hAnsi="Arial"/>
          <w:sz w:val="21"/>
          <w:szCs w:val="21"/>
          <w:u w:val="single" w:color="auto"/>
          <w:color w:val="auto"/>
        </w:rPr>
        <w:t>Additional Severance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left="1886"/>
        <w:spacing w:after="0" w:line="227" w:lineRule="auto"/>
        <w:rPr>
          <w:rFonts w:ascii="Arial" w:cs="Arial" w:eastAsia="Arial" w:hAnsi="Arial"/>
          <w:sz w:val="21"/>
          <w:szCs w:val="21"/>
          <w:color w:val="auto"/>
        </w:rPr>
      </w:pPr>
      <w:r>
        <w:rPr>
          <w:rFonts w:ascii="Arial" w:cs="Arial" w:eastAsia="Arial" w:hAnsi="Arial"/>
          <w:sz w:val="21"/>
          <w:szCs w:val="21"/>
          <w:color w:val="auto"/>
        </w:rPr>
        <w:t>a. You or your legal representative, as the case may be, shall receive payment of $750,000, if, and only if, (i) your Termination Date is after December 31, 2021, but before June 29, 2022, and (ii) the Compensation Committee determines, in its sole and absolute</w:t>
      </w:r>
    </w:p>
    <w:p>
      <w:pPr>
        <w:sectPr>
          <w:pgSz w:w="11900" w:h="16838" w:orient="portrait"/>
          <w:cols w:equalWidth="0" w:num="1">
            <w:col w:w="10606"/>
          </w:cols>
          <w:pgMar w:left="954" w:top="1364" w:right="339" w:bottom="1440" w:gutter="0" w:footer="0" w:header="0"/>
        </w:sectPr>
      </w:pPr>
    </w:p>
    <w:bookmarkStart w:id="329" w:name="page330"/>
    <w:bookmarkEnd w:id="329"/>
    <w:p>
      <w:pPr>
        <w:ind w:left="1886"/>
        <w:spacing w:after="0"/>
        <w:rPr>
          <w:sz w:val="20"/>
          <w:szCs w:val="20"/>
          <w:color w:val="auto"/>
        </w:rPr>
      </w:pPr>
      <w:r>
        <w:rPr>
          <w:rFonts w:ascii="Arial" w:cs="Arial" w:eastAsia="Arial" w:hAnsi="Arial"/>
          <w:sz w:val="21"/>
          <w:szCs w:val="21"/>
          <w:color w:val="auto"/>
        </w:rPr>
        <w:t>discretion, that Activision Blizzard’s 2021 OI is 90% or greater than the 2021 OI Objective;</w:t>
      </w:r>
    </w:p>
    <w:p>
      <w:pPr>
        <w:spacing w:after="0" w:line="178" w:lineRule="exact"/>
        <w:rPr>
          <w:sz w:val="20"/>
          <w:szCs w:val="20"/>
          <w:color w:val="auto"/>
        </w:rPr>
      </w:pPr>
    </w:p>
    <w:p>
      <w:pPr>
        <w:jc w:val="both"/>
        <w:ind w:left="1886" w:firstLine="3"/>
        <w:spacing w:after="0" w:line="233" w:lineRule="auto"/>
        <w:tabs>
          <w:tab w:leader="none" w:pos="251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$750,000, if, and only if, (i) your Termination Date is after December 31, 2022, but before June 29, 2023, and (ii) the Compensation Committee determines, in its sole and absolute discretion, that Activision Blizzard’s 2022 OI is 90% or greater than the 2022 OI Objective; and</w:t>
      </w:r>
    </w:p>
    <w:p>
      <w:pPr>
        <w:spacing w:after="0" w:line="156" w:lineRule="exact"/>
        <w:rPr>
          <w:sz w:val="20"/>
          <w:szCs w:val="20"/>
          <w:color w:val="auto"/>
        </w:rPr>
      </w:pPr>
    </w:p>
    <w:p>
      <w:pPr>
        <w:jc w:val="both"/>
        <w:ind w:left="1266"/>
        <w:spacing w:after="0" w:line="222" w:lineRule="auto"/>
        <w:rPr>
          <w:sz w:val="20"/>
          <w:szCs w:val="20"/>
          <w:color w:val="auto"/>
        </w:rPr>
      </w:pPr>
      <w:r>
        <w:rPr>
          <w:rFonts w:ascii="Arial" w:cs="Arial" w:eastAsia="Arial" w:hAnsi="Arial"/>
          <w:sz w:val="21"/>
          <w:szCs w:val="21"/>
          <w:color w:val="auto"/>
        </w:rPr>
        <w:t>All amounts owed pursuant to this Section 10(d)(i) will be paid within thirty (30) days after the date the Compensation Committee determines that the applicable OI conditions have been achieved (if any), provided that this is no sooner than the 60th day following the Termination Date, and will be subject to applicable taxes and withholdings.</w:t>
      </w:r>
    </w:p>
    <w:p>
      <w:pPr>
        <w:spacing w:after="0" w:line="156" w:lineRule="exact"/>
        <w:rPr>
          <w:sz w:val="20"/>
          <w:szCs w:val="20"/>
          <w:color w:val="auto"/>
        </w:rPr>
      </w:pPr>
    </w:p>
    <w:p>
      <w:pPr>
        <w:jc w:val="both"/>
        <w:ind w:left="1266" w:hanging="636"/>
        <w:spacing w:after="0" w:line="224" w:lineRule="auto"/>
        <w:tabs>
          <w:tab w:leader="none" w:pos="1260" w:val="left"/>
        </w:tabs>
        <w:numPr>
          <w:ilvl w:val="1"/>
          <w:numId w:val="228"/>
        </w:numPr>
        <w:rPr>
          <w:rFonts w:ascii="Arial" w:cs="Arial" w:eastAsia="Arial" w:hAnsi="Arial"/>
          <w:sz w:val="20"/>
          <w:szCs w:val="20"/>
          <w:color w:val="auto"/>
        </w:rPr>
      </w:pPr>
      <w:r>
        <w:rPr>
          <w:rFonts w:ascii="Arial" w:cs="Arial" w:eastAsia="Arial" w:hAnsi="Arial"/>
          <w:sz w:val="20"/>
          <w:szCs w:val="20"/>
          <w:u w:val="single" w:color="auto"/>
          <w:color w:val="auto"/>
        </w:rPr>
        <w:t>PSU Termination Consideration</w:t>
      </w:r>
      <w:r>
        <w:rPr>
          <w:rFonts w:ascii="Arial" w:cs="Arial" w:eastAsia="Arial" w:hAnsi="Arial"/>
          <w:sz w:val="20"/>
          <w:szCs w:val="20"/>
          <w:color w:val="auto"/>
        </w:rPr>
        <w:t>. Notwithstanding the foregoing, but subject to the Total Severance Limit, in the event that (a) your Termination Date occurs after the completion of one or more applicable performance periods, (b) the Compensation Committee determines that the applicable OI performance objective(s) have been achieved for a performance period completed prior to your Termination Date, and (c) the applicable tranche has not vested as of the Termination Date, then an amount to be calculated as provided for below in Section 10(d)(iii) shall be paid to you (the “</w:t>
      </w:r>
      <w:r>
        <w:rPr>
          <w:rFonts w:ascii="Arial" w:cs="Arial" w:eastAsia="Arial" w:hAnsi="Arial"/>
          <w:sz w:val="20"/>
          <w:szCs w:val="20"/>
          <w:b w:val="1"/>
          <w:bCs w:val="1"/>
          <w:i w:val="1"/>
          <w:iCs w:val="1"/>
          <w:color w:val="auto"/>
        </w:rPr>
        <w:t>PSU Termination Consideration</w:t>
      </w:r>
      <w:r>
        <w:rPr>
          <w:rFonts w:ascii="Arial" w:cs="Arial" w:eastAsia="Arial" w:hAnsi="Arial"/>
          <w:sz w:val="20"/>
          <w:szCs w:val="20"/>
          <w:color w:val="auto"/>
        </w:rPr>
        <w:t>”</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This amount shall be paid within 30 days after the date the Compensation Committee determines that the applicable OI performance objective(s) have been achieved (if any), provided that this is no sooner than the sixtieth (60th) day following the Termination Date and no later than December 31 of the year in which the Termination Date occurs, and will be subject to applicable taxes and withholdings.</w:t>
      </w:r>
    </w:p>
    <w:p>
      <w:pPr>
        <w:spacing w:after="0" w:line="161" w:lineRule="exact"/>
        <w:rPr>
          <w:rFonts w:ascii="Arial" w:cs="Arial" w:eastAsia="Arial" w:hAnsi="Arial"/>
          <w:sz w:val="20"/>
          <w:szCs w:val="20"/>
          <w:color w:val="auto"/>
        </w:rPr>
      </w:pPr>
    </w:p>
    <w:p>
      <w:pPr>
        <w:jc w:val="both"/>
        <w:ind w:left="1266" w:hanging="636"/>
        <w:spacing w:after="0" w:line="217" w:lineRule="auto"/>
        <w:tabs>
          <w:tab w:leader="none" w:pos="1265" w:val="left"/>
        </w:tabs>
        <w:numPr>
          <w:ilvl w:val="1"/>
          <w:numId w:val="228"/>
        </w:numPr>
        <w:rPr>
          <w:rFonts w:ascii="Arial" w:cs="Arial" w:eastAsia="Arial" w:hAnsi="Arial"/>
          <w:sz w:val="21"/>
          <w:szCs w:val="21"/>
          <w:color w:val="auto"/>
        </w:rPr>
      </w:pPr>
      <w:r>
        <w:rPr>
          <w:rFonts w:ascii="Arial" w:cs="Arial" w:eastAsia="Arial" w:hAnsi="Arial"/>
          <w:sz w:val="21"/>
          <w:szCs w:val="21"/>
          <w:color w:val="auto"/>
        </w:rPr>
        <w:t>The formula for determining the PSU Termination Consideration for each applicable tranche of cancelled PSUs, if any, is as follows: multiply the Grant Date Price by the product of the number of performance share units for the applicable tranche by the ratio, as determined by the Compensation Committee, in its sole and absolute discretion, of the non-GAAP operating income for the applicable time period to the OI Objective for the applicable fiscal year (e.g., the performance objective for the applicable fiscal year) or applicable time period, up to the applicable maximum percentage.</w:t>
      </w:r>
    </w:p>
    <w:p>
      <w:pPr>
        <w:spacing w:after="0" w:line="158" w:lineRule="exact"/>
        <w:rPr>
          <w:rFonts w:ascii="Arial" w:cs="Arial" w:eastAsia="Arial" w:hAnsi="Arial"/>
          <w:sz w:val="21"/>
          <w:szCs w:val="21"/>
          <w:color w:val="auto"/>
        </w:rPr>
      </w:pPr>
    </w:p>
    <w:p>
      <w:pPr>
        <w:jc w:val="both"/>
        <w:ind w:left="1266" w:hanging="636"/>
        <w:spacing w:after="0" w:line="216" w:lineRule="auto"/>
        <w:tabs>
          <w:tab w:leader="none" w:pos="1254" w:val="left"/>
        </w:tabs>
        <w:numPr>
          <w:ilvl w:val="1"/>
          <w:numId w:val="228"/>
        </w:numPr>
        <w:rPr>
          <w:rFonts w:ascii="Arial" w:cs="Arial" w:eastAsia="Arial" w:hAnsi="Arial"/>
          <w:sz w:val="21"/>
          <w:szCs w:val="21"/>
          <w:color w:val="auto"/>
        </w:rPr>
      </w:pPr>
      <w:r>
        <w:rPr>
          <w:rFonts w:ascii="Arial" w:cs="Arial" w:eastAsia="Arial" w:hAnsi="Arial"/>
          <w:sz w:val="21"/>
          <w:szCs w:val="21"/>
          <w:u w:val="single" w:color="auto"/>
          <w:color w:val="auto"/>
        </w:rPr>
        <w:t>Severance Conditioned Upon Release</w:t>
      </w:r>
      <w:r>
        <w:rPr>
          <w:rFonts w:ascii="Arial" w:cs="Arial" w:eastAsia="Arial" w:hAnsi="Arial"/>
          <w:sz w:val="21"/>
          <w:szCs w:val="21"/>
          <w:color w:val="auto"/>
        </w:rPr>
        <w:t>. Payments and benefits described in this Section 10(d) are conditioned upon your or your legal representative’s execution of a waiver and release in a form prepared and provided to you by the Employer within thirty-two (32) days after the Termination Date, and that release becoming effective and irrevocable in its entirety within sixty (60) days of the Termination Date. Unless otherwise provided by the Employer, if the release referenced above does not become effective and irrevocable on or prior to the sixtieth (60th) day following the Termination Date, you shall not be entitled to any payments under this Section 10(d).</w:t>
      </w:r>
    </w:p>
    <w:p>
      <w:pPr>
        <w:spacing w:after="0" w:line="151" w:lineRule="exact"/>
        <w:rPr>
          <w:rFonts w:ascii="Arial" w:cs="Arial" w:eastAsia="Arial" w:hAnsi="Arial"/>
          <w:sz w:val="21"/>
          <w:szCs w:val="21"/>
          <w:color w:val="auto"/>
        </w:rPr>
      </w:pPr>
    </w:p>
    <w:p>
      <w:pPr>
        <w:ind w:left="-634" w:firstLine="634"/>
        <w:spacing w:after="0" w:line="239" w:lineRule="auto"/>
        <w:tabs>
          <w:tab w:leader="none" w:pos="621" w:val="left"/>
        </w:tabs>
        <w:numPr>
          <w:ilvl w:val="0"/>
          <w:numId w:val="229"/>
        </w:numPr>
        <w:rPr>
          <w:rFonts w:ascii="Arial" w:cs="Arial" w:eastAsia="Arial" w:hAnsi="Arial"/>
          <w:sz w:val="21"/>
          <w:szCs w:val="21"/>
          <w:color w:val="auto"/>
        </w:rPr>
      </w:pPr>
      <w:r>
        <w:rPr>
          <w:rFonts w:ascii="Arial" w:cs="Arial" w:eastAsia="Arial" w:hAnsi="Arial"/>
          <w:sz w:val="21"/>
          <w:szCs w:val="21"/>
          <w:b w:val="1"/>
          <w:bCs w:val="1"/>
          <w:color w:val="auto"/>
        </w:rPr>
        <w:t xml:space="preserve">Termination by the Employer For Cause. </w:t>
      </w:r>
      <w:r>
        <w:rPr>
          <w:rFonts w:ascii="Arial" w:cs="Arial" w:eastAsia="Arial" w:hAnsi="Arial"/>
          <w:sz w:val="21"/>
          <w:szCs w:val="21"/>
          <w:color w:val="auto"/>
        </w:rPr>
        <w:t>In the event your employment is terminated by the Employer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9(a), then:</w:t>
      </w:r>
    </w:p>
    <w:p>
      <w:pPr>
        <w:sectPr>
          <w:pgSz w:w="11900" w:h="16838" w:orient="portrait"/>
          <w:cols w:equalWidth="0" w:num="1">
            <w:col w:w="10606"/>
          </w:cols>
          <w:pgMar w:left="954" w:top="1363" w:right="339" w:bottom="1440" w:gutter="0" w:footer="0" w:header="0"/>
        </w:sectPr>
      </w:pPr>
    </w:p>
    <w:bookmarkStart w:id="330" w:name="page331"/>
    <w:bookmarkEnd w:id="330"/>
    <w:p>
      <w:pPr>
        <w:jc w:val="both"/>
        <w:ind w:left="1895" w:hanging="636"/>
        <w:spacing w:after="0" w:line="257" w:lineRule="auto"/>
        <w:tabs>
          <w:tab w:leader="none" w:pos="1883" w:val="left"/>
        </w:tabs>
        <w:numPr>
          <w:ilvl w:val="2"/>
          <w:numId w:val="230"/>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37" w:lineRule="exact"/>
        <w:rPr>
          <w:rFonts w:ascii="Arial" w:cs="Arial" w:eastAsia="Arial" w:hAnsi="Arial"/>
          <w:sz w:val="19"/>
          <w:szCs w:val="19"/>
          <w:color w:val="auto"/>
        </w:rPr>
      </w:pPr>
    </w:p>
    <w:p>
      <w:pPr>
        <w:ind w:left="1895" w:hanging="636"/>
        <w:spacing w:after="0" w:line="236" w:lineRule="auto"/>
        <w:tabs>
          <w:tab w:leader="none" w:pos="1889" w:val="left"/>
        </w:tabs>
        <w:numPr>
          <w:ilvl w:val="2"/>
          <w:numId w:val="230"/>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and, whether or not vested, shall no longer be exercisable and shall be cancelled immediately.</w:t>
      </w:r>
    </w:p>
    <w:p>
      <w:pPr>
        <w:spacing w:after="0" w:line="148" w:lineRule="exact"/>
        <w:rPr>
          <w:rFonts w:ascii="Arial" w:cs="Arial" w:eastAsia="Arial" w:hAnsi="Arial"/>
          <w:sz w:val="21"/>
          <w:szCs w:val="21"/>
          <w:color w:val="auto"/>
        </w:rPr>
      </w:pPr>
    </w:p>
    <w:p>
      <w:pPr>
        <w:ind w:left="1255" w:hanging="626"/>
        <w:spacing w:after="0"/>
        <w:tabs>
          <w:tab w:leader="none" w:pos="1255" w:val="left"/>
        </w:tabs>
        <w:numPr>
          <w:ilvl w:val="1"/>
          <w:numId w:val="231"/>
        </w:numPr>
        <w:rPr>
          <w:rFonts w:ascii="Arial" w:cs="Arial" w:eastAsia="Arial" w:hAnsi="Arial"/>
          <w:sz w:val="20"/>
          <w:szCs w:val="20"/>
          <w:color w:val="auto"/>
        </w:rPr>
      </w:pPr>
      <w:r>
        <w:rPr>
          <w:rFonts w:ascii="Arial" w:cs="Arial" w:eastAsia="Arial" w:hAnsi="Arial"/>
          <w:sz w:val="20"/>
          <w:szCs w:val="20"/>
          <w:b w:val="1"/>
          <w:bCs w:val="1"/>
          <w:color w:val="auto"/>
        </w:rPr>
        <w:t xml:space="preserve">Termination on the Expiration Date. </w:t>
      </w:r>
      <w:r>
        <w:rPr>
          <w:rFonts w:ascii="Arial" w:cs="Arial" w:eastAsia="Arial" w:hAnsi="Arial"/>
          <w:sz w:val="20"/>
          <w:szCs w:val="20"/>
          <w:color w:val="auto"/>
        </w:rPr>
        <w:t>In the event your employment terminates on the Expiration Date, then:</w:t>
      </w:r>
    </w:p>
    <w:p>
      <w:pPr>
        <w:spacing w:after="0" w:line="195" w:lineRule="exact"/>
        <w:rPr>
          <w:rFonts w:ascii="Arial" w:cs="Arial" w:eastAsia="Arial" w:hAnsi="Arial"/>
          <w:sz w:val="20"/>
          <w:szCs w:val="20"/>
          <w:color w:val="auto"/>
        </w:rPr>
      </w:pPr>
    </w:p>
    <w:p>
      <w:pPr>
        <w:jc w:val="both"/>
        <w:ind w:left="1895" w:hanging="636"/>
        <w:spacing w:after="0" w:line="257" w:lineRule="auto"/>
        <w:tabs>
          <w:tab w:leader="none" w:pos="1883" w:val="left"/>
        </w:tabs>
        <w:numPr>
          <w:ilvl w:val="2"/>
          <w:numId w:val="231"/>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37" w:lineRule="exact"/>
        <w:rPr>
          <w:rFonts w:ascii="Arial" w:cs="Arial" w:eastAsia="Arial" w:hAnsi="Arial"/>
          <w:sz w:val="19"/>
          <w:szCs w:val="19"/>
          <w:color w:val="auto"/>
        </w:rPr>
      </w:pPr>
    </w:p>
    <w:p>
      <w:pPr>
        <w:ind w:left="1895" w:hanging="636"/>
        <w:spacing w:after="0" w:line="283" w:lineRule="auto"/>
        <w:tabs>
          <w:tab w:leader="none" w:pos="1889" w:val="left"/>
        </w:tabs>
        <w:numPr>
          <w:ilvl w:val="2"/>
          <w:numId w:val="231"/>
        </w:numPr>
        <w:rPr>
          <w:rFonts w:ascii="Arial" w:cs="Arial" w:eastAsia="Arial" w:hAnsi="Arial"/>
          <w:sz w:val="19"/>
          <w:szCs w:val="19"/>
          <w:color w:val="auto"/>
        </w:rPr>
      </w:pPr>
      <w:r>
        <w:rPr>
          <w:rFonts w:ascii="Arial" w:cs="Arial" w:eastAsia="Arial" w:hAnsi="Arial"/>
          <w:sz w:val="19"/>
          <w:szCs w:val="19"/>
          <w:u w:val="single" w:color="auto"/>
          <w:color w:val="auto"/>
        </w:rPr>
        <w:t>Bonus Severance</w:t>
      </w:r>
      <w:r>
        <w:rPr>
          <w:rFonts w:ascii="Arial" w:cs="Arial" w:eastAsia="Arial" w:hAnsi="Arial"/>
          <w:sz w:val="19"/>
          <w:szCs w:val="19"/>
          <w:color w:val="auto"/>
        </w:rPr>
        <w:t>. You shall receive payment of the Bonus Severance in a lump sum no later than the fifteenth (15th) day of the third month of the year following the year to which the underlying amount relates; and</w:t>
      </w:r>
    </w:p>
    <w:p>
      <w:pPr>
        <w:spacing w:after="0" w:line="114" w:lineRule="exact"/>
        <w:rPr>
          <w:rFonts w:ascii="Arial" w:cs="Arial" w:eastAsia="Arial" w:hAnsi="Arial"/>
          <w:sz w:val="19"/>
          <w:szCs w:val="19"/>
          <w:color w:val="auto"/>
        </w:rPr>
      </w:pPr>
    </w:p>
    <w:p>
      <w:pPr>
        <w:jc w:val="both"/>
        <w:ind w:left="1895" w:hanging="636"/>
        <w:spacing w:after="0" w:line="227" w:lineRule="auto"/>
        <w:tabs>
          <w:tab w:leader="none" w:pos="1895" w:val="left"/>
        </w:tabs>
        <w:numPr>
          <w:ilvl w:val="2"/>
          <w:numId w:val="231"/>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48" w:lineRule="exact"/>
        <w:rPr>
          <w:rFonts w:ascii="Arial" w:cs="Arial" w:eastAsia="Arial" w:hAnsi="Arial"/>
          <w:sz w:val="21"/>
          <w:szCs w:val="21"/>
          <w:color w:val="auto"/>
        </w:rPr>
      </w:pPr>
    </w:p>
    <w:p>
      <w:pPr>
        <w:ind w:left="1255" w:hanging="626"/>
        <w:spacing w:after="0"/>
        <w:tabs>
          <w:tab w:leader="none" w:pos="1255" w:val="left"/>
        </w:tabs>
        <w:numPr>
          <w:ilvl w:val="1"/>
          <w:numId w:val="231"/>
        </w:numPr>
        <w:rPr>
          <w:rFonts w:ascii="Arial" w:cs="Arial" w:eastAsia="Arial" w:hAnsi="Arial"/>
          <w:sz w:val="21"/>
          <w:szCs w:val="21"/>
          <w:color w:val="auto"/>
        </w:rPr>
      </w:pPr>
      <w:r>
        <w:rPr>
          <w:rFonts w:ascii="Arial" w:cs="Arial" w:eastAsia="Arial" w:hAnsi="Arial"/>
          <w:sz w:val="21"/>
          <w:szCs w:val="21"/>
          <w:b w:val="1"/>
          <w:bCs w:val="1"/>
          <w:color w:val="auto"/>
        </w:rPr>
        <w:t>Breach of Post-termination Obligations or Subsequent Employment.</w:t>
      </w:r>
    </w:p>
    <w:p>
      <w:pPr>
        <w:spacing w:after="0" w:line="184" w:lineRule="exact"/>
        <w:rPr>
          <w:rFonts w:ascii="Arial" w:cs="Arial" w:eastAsia="Arial" w:hAnsi="Arial"/>
          <w:sz w:val="21"/>
          <w:szCs w:val="21"/>
          <w:color w:val="auto"/>
        </w:rPr>
      </w:pPr>
    </w:p>
    <w:p>
      <w:pPr>
        <w:jc w:val="both"/>
        <w:ind w:left="1895" w:hanging="636"/>
        <w:spacing w:after="0" w:line="222" w:lineRule="auto"/>
        <w:tabs>
          <w:tab w:leader="none" w:pos="1883" w:val="left"/>
        </w:tabs>
        <w:numPr>
          <w:ilvl w:val="2"/>
          <w:numId w:val="231"/>
        </w:numPr>
        <w:rPr>
          <w:rFonts w:ascii="Arial" w:cs="Arial" w:eastAsia="Arial" w:hAnsi="Arial"/>
          <w:sz w:val="21"/>
          <w:szCs w:val="21"/>
          <w:color w:val="auto"/>
        </w:rPr>
      </w:pPr>
      <w:r>
        <w:rPr>
          <w:rFonts w:ascii="Arial" w:cs="Arial" w:eastAsia="Arial" w:hAnsi="Arial"/>
          <w:sz w:val="21"/>
          <w:szCs w:val="21"/>
          <w:u w:val="single" w:color="auto"/>
          <w:color w:val="auto"/>
        </w:rPr>
        <w:t>Breach of Post-termination Obligations</w:t>
      </w:r>
      <w:r>
        <w:rPr>
          <w:rFonts w:ascii="Arial" w:cs="Arial" w:eastAsia="Arial" w:hAnsi="Arial"/>
          <w:sz w:val="21"/>
          <w:szCs w:val="21"/>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55" w:lineRule="exact"/>
        <w:rPr>
          <w:rFonts w:ascii="Arial" w:cs="Arial" w:eastAsia="Arial" w:hAnsi="Arial"/>
          <w:sz w:val="21"/>
          <w:szCs w:val="21"/>
          <w:color w:val="auto"/>
        </w:rPr>
      </w:pPr>
    </w:p>
    <w:p>
      <w:pPr>
        <w:jc w:val="both"/>
        <w:ind w:left="1895" w:hanging="636"/>
        <w:spacing w:after="0" w:line="225" w:lineRule="auto"/>
        <w:tabs>
          <w:tab w:leader="none" w:pos="1889" w:val="left"/>
        </w:tabs>
        <w:numPr>
          <w:ilvl w:val="2"/>
          <w:numId w:val="231"/>
        </w:numPr>
        <w:rPr>
          <w:rFonts w:ascii="Arial" w:cs="Arial" w:eastAsia="Arial" w:hAnsi="Arial"/>
          <w:sz w:val="20"/>
          <w:szCs w:val="20"/>
          <w:color w:val="auto"/>
        </w:rPr>
      </w:pPr>
      <w:r>
        <w:rPr>
          <w:rFonts w:ascii="Arial" w:cs="Arial" w:eastAsia="Arial" w:hAnsi="Arial"/>
          <w:sz w:val="20"/>
          <w:szCs w:val="20"/>
          <w:u w:val="single" w:color="auto"/>
          <w:color w:val="auto"/>
        </w:rPr>
        <w:t>Subsequent Employment or Services</w:t>
      </w:r>
      <w:r>
        <w:rPr>
          <w:rFonts w:ascii="Arial" w:cs="Arial" w:eastAsia="Arial" w:hAnsi="Arial"/>
          <w:sz w:val="20"/>
          <w:szCs w:val="20"/>
          <w:color w:val="auto"/>
        </w:rPr>
        <w:t>. Notwithstanding anything to the contrary contained herein, you shall receive any payments and benefits to which you may be entitled under Section 10 (other than payment of the Basic Severance) only for the time period that you do not obtain subsequent employment and/or provide services of any kind for compensation, whether as principal, owner, partner, agent, shareholder, director, employee, consultant, advisor or otherwise, to any person, company, venture or other person or business entity. If, at any time, you obtain subsequent employment or provide services as set forth in the prior sentence, you must promptly notify the Employer and payments and benefits to which you may be entitled under Section 10 (other than payment of the Basic Severance) shall cease as of the date you commenced such employment or provision of services.</w:t>
      </w:r>
    </w:p>
    <w:p>
      <w:pPr>
        <w:spacing w:after="0" w:line="151" w:lineRule="exact"/>
        <w:rPr>
          <w:rFonts w:ascii="Arial" w:cs="Arial" w:eastAsia="Arial" w:hAnsi="Arial"/>
          <w:sz w:val="20"/>
          <w:szCs w:val="20"/>
          <w:color w:val="auto"/>
        </w:rPr>
      </w:pPr>
    </w:p>
    <w:p>
      <w:pPr>
        <w:ind w:left="615" w:hanging="615"/>
        <w:spacing w:after="0"/>
        <w:tabs>
          <w:tab w:leader="none" w:pos="615" w:val="left"/>
        </w:tabs>
        <w:numPr>
          <w:ilvl w:val="0"/>
          <w:numId w:val="23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Provisions</w:t>
      </w:r>
    </w:p>
    <w:p>
      <w:pPr>
        <w:spacing w:after="0" w:line="178" w:lineRule="exact"/>
        <w:rPr>
          <w:rFonts w:ascii="Arial" w:cs="Arial" w:eastAsia="Arial" w:hAnsi="Arial"/>
          <w:sz w:val="21"/>
          <w:szCs w:val="21"/>
          <w:b w:val="1"/>
          <w:bCs w:val="1"/>
          <w:color w:val="auto"/>
        </w:rPr>
      </w:pPr>
    </w:p>
    <w:p>
      <w:pPr>
        <w:ind w:left="-5" w:firstLine="634"/>
        <w:spacing w:after="0" w:line="239" w:lineRule="auto"/>
        <w:tabs>
          <w:tab w:leader="none" w:pos="1251" w:val="left"/>
        </w:tabs>
        <w:numPr>
          <w:ilvl w:val="1"/>
          <w:numId w:val="232"/>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the Confidential Information Agreement and the Activision</w:t>
      </w:r>
      <w:r>
        <w:rPr>
          <w:rFonts w:ascii="Arial" w:cs="Arial" w:eastAsia="Arial" w:hAnsi="Arial"/>
          <w:sz w:val="21"/>
          <w:szCs w:val="21"/>
          <w:b w:val="1"/>
          <w:bCs w:val="1"/>
          <w:color w:val="auto"/>
        </w:rPr>
        <w:t xml:space="preserve"> </w:t>
      </w:r>
      <w:r>
        <w:rPr>
          <w:rFonts w:ascii="Arial" w:cs="Arial" w:eastAsia="Arial" w:hAnsi="Arial"/>
          <w:sz w:val="21"/>
          <w:szCs w:val="21"/>
          <w:color w:val="auto"/>
        </w:rPr>
        <w:t>Blizzard Group Dispute Resolution Agreement (the “</w:t>
      </w:r>
      <w:r>
        <w:rPr>
          <w:rFonts w:ascii="Arial" w:cs="Arial" w:eastAsia="Arial" w:hAnsi="Arial"/>
          <w:sz w:val="21"/>
          <w:szCs w:val="21"/>
          <w:b w:val="1"/>
          <w:bCs w:val="1"/>
          <w:i w:val="1"/>
          <w:iCs w:val="1"/>
          <w:color w:val="auto"/>
        </w:rPr>
        <w:t>Dispute</w:t>
      </w:r>
    </w:p>
    <w:p>
      <w:pPr>
        <w:sectPr>
          <w:pgSz w:w="11900" w:h="16838" w:orient="portrait"/>
          <w:cols w:equalWidth="0" w:num="1">
            <w:col w:w="11235"/>
          </w:cols>
          <w:pgMar w:left="325" w:top="1363" w:right="339" w:bottom="1440" w:gutter="0" w:footer="0" w:header="0"/>
        </w:sectPr>
      </w:pPr>
    </w:p>
    <w:bookmarkStart w:id="331" w:name="page332"/>
    <w:bookmarkEnd w:id="331"/>
    <w:p>
      <w:pPr>
        <w:jc w:val="both"/>
        <w:spacing w:after="0" w:line="257" w:lineRule="auto"/>
        <w:rPr>
          <w:sz w:val="20"/>
          <w:szCs w:val="20"/>
          <w:color w:val="auto"/>
        </w:rPr>
      </w:pPr>
      <w:r>
        <w:rPr>
          <w:rFonts w:ascii="Arial" w:cs="Arial" w:eastAsia="Arial" w:hAnsi="Arial"/>
          <w:sz w:val="18"/>
          <w:szCs w:val="18"/>
          <w:b w:val="1"/>
          <w:bCs w:val="1"/>
          <w:i w:val="1"/>
          <w:iCs w:val="1"/>
          <w:color w:val="auto"/>
        </w:rPr>
        <w:t>Resolution Agreement</w:t>
      </w:r>
      <w:r>
        <w:rPr>
          <w:rFonts w:ascii="Arial" w:cs="Arial" w:eastAsia="Arial" w:hAnsi="Arial"/>
          <w:sz w:val="18"/>
          <w:szCs w:val="18"/>
          <w:color w:val="auto"/>
        </w:rPr>
        <w:t>”, as referenced in Section 11(k) below), supersede all prior or contemporaneous agreements and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written or oral, concerning the terms of your employment with the Activision Blizzard, and no amendment or modification of these agreements shall be binding unless it is set forth in a writing signed by both the Employer and you. You acknowledge that in entering into this Agreement, you are not relying on any promises or representations (whether oral or written) other than those set forth in the agreements referenced in this Section. To the extent that this Agreement conflicts with any of the Employer’s policies, procedures, rules or regulations, this Agreement shall supersede the other policies, procedures, rules or regulations.</w:t>
      </w:r>
    </w:p>
    <w:p>
      <w:pPr>
        <w:spacing w:after="0" w:line="133" w:lineRule="exact"/>
        <w:rPr>
          <w:sz w:val="20"/>
          <w:szCs w:val="20"/>
          <w:color w:val="auto"/>
        </w:rPr>
      </w:pPr>
    </w:p>
    <w:p>
      <w:pPr>
        <w:jc w:val="both"/>
        <w:ind w:firstLine="634"/>
        <w:spacing w:after="0" w:line="229" w:lineRule="auto"/>
        <w:tabs>
          <w:tab w:leader="none" w:pos="1254" w:val="left"/>
        </w:tabs>
        <w:numPr>
          <w:ilvl w:val="0"/>
          <w:numId w:val="233"/>
        </w:numPr>
        <w:rPr>
          <w:rFonts w:ascii="Arial" w:cs="Arial" w:eastAsia="Arial" w:hAnsi="Arial"/>
          <w:sz w:val="21"/>
          <w:szCs w:val="21"/>
          <w:color w:val="auto"/>
        </w:rPr>
      </w:pPr>
      <w:r>
        <w:rPr>
          <w:rFonts w:ascii="Arial" w:cs="Arial" w:eastAsia="Arial" w:hAnsi="Arial"/>
          <w:sz w:val="21"/>
          <w:szCs w:val="21"/>
          <w:b w:val="1"/>
          <w:bCs w:val="1"/>
          <w:color w:val="auto"/>
        </w:rPr>
        <w:t>Use of Employee’s Name and Likeness</w:t>
      </w:r>
      <w:r>
        <w:rPr>
          <w:rFonts w:ascii="Arial" w:cs="Arial" w:eastAsia="Arial" w:hAnsi="Arial"/>
          <w:sz w:val="21"/>
          <w:szCs w:val="21"/>
          <w:color w:val="auto"/>
        </w:rPr>
        <w:t>. You hereby irrevocably grant each member of the Activision Blizzard</w:t>
      </w:r>
      <w:r>
        <w:rPr>
          <w:rFonts w:ascii="Arial" w:cs="Arial" w:eastAsia="Arial" w:hAnsi="Arial"/>
          <w:sz w:val="21"/>
          <w:szCs w:val="21"/>
          <w:b w:val="1"/>
          <w:bCs w:val="1"/>
          <w:color w:val="auto"/>
        </w:rPr>
        <w:t xml:space="preserve"> </w:t>
      </w:r>
      <w:r>
        <w:rPr>
          <w:rFonts w:ascii="Arial" w:cs="Arial" w:eastAsia="Arial" w:hAnsi="Arial"/>
          <w:sz w:val="21"/>
          <w:szCs w:val="21"/>
          <w:color w:val="auto"/>
        </w:rPr>
        <w:t>Group the right, but not the obligation, to use your name or likeness in any product made by the Activision Blizzard Group or for any publicity or advertising purpose in any medium now known or hereafter existing.</w:t>
      </w:r>
    </w:p>
    <w:p>
      <w:pPr>
        <w:spacing w:after="0" w:line="148" w:lineRule="exact"/>
        <w:rPr>
          <w:rFonts w:ascii="Arial" w:cs="Arial" w:eastAsia="Arial" w:hAnsi="Arial"/>
          <w:sz w:val="21"/>
          <w:szCs w:val="21"/>
          <w:color w:val="auto"/>
        </w:rPr>
      </w:pPr>
    </w:p>
    <w:p>
      <w:pPr>
        <w:jc w:val="both"/>
        <w:ind w:firstLine="634"/>
        <w:spacing w:after="0" w:line="235" w:lineRule="auto"/>
        <w:tabs>
          <w:tab w:leader="none" w:pos="1256" w:val="left"/>
        </w:tabs>
        <w:numPr>
          <w:ilvl w:val="0"/>
          <w:numId w:val="233"/>
        </w:numPr>
        <w:rPr>
          <w:rFonts w:ascii="Arial" w:cs="Arial" w:eastAsia="Arial" w:hAnsi="Arial"/>
          <w:sz w:val="20"/>
          <w:szCs w:val="20"/>
          <w:color w:val="auto"/>
        </w:rPr>
      </w:pPr>
      <w:r>
        <w:rPr>
          <w:rFonts w:ascii="Arial" w:cs="Arial" w:eastAsia="Arial" w:hAnsi="Arial"/>
          <w:sz w:val="20"/>
          <w:szCs w:val="20"/>
          <w:b w:val="1"/>
          <w:bCs w:val="1"/>
          <w:color w:val="auto"/>
        </w:rPr>
        <w:t>Assignment</w:t>
      </w:r>
      <w:r>
        <w:rPr>
          <w:rFonts w:ascii="Arial" w:cs="Arial" w:eastAsia="Arial" w:hAnsi="Arial"/>
          <w:sz w:val="20"/>
          <w:szCs w:val="20"/>
          <w:color w:val="auto"/>
        </w:rPr>
        <w:t>. This Agreement and the rights and obligations hereunder shall not be assignable or transferable by you</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the prior written consent of the 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48" w:lineRule="exact"/>
        <w:rPr>
          <w:rFonts w:ascii="Arial" w:cs="Arial" w:eastAsia="Arial" w:hAnsi="Arial"/>
          <w:sz w:val="20"/>
          <w:szCs w:val="20"/>
          <w:color w:val="auto"/>
        </w:rPr>
      </w:pPr>
    </w:p>
    <w:p>
      <w:pPr>
        <w:jc w:val="both"/>
        <w:ind w:firstLine="634"/>
        <w:spacing w:after="0" w:line="235" w:lineRule="auto"/>
        <w:tabs>
          <w:tab w:leader="none" w:pos="1254" w:val="left"/>
        </w:tabs>
        <w:numPr>
          <w:ilvl w:val="0"/>
          <w:numId w:val="233"/>
        </w:numPr>
        <w:rPr>
          <w:rFonts w:ascii="Arial" w:cs="Arial" w:eastAsia="Arial" w:hAnsi="Arial"/>
          <w:sz w:val="19"/>
          <w:szCs w:val="19"/>
          <w:color w:val="auto"/>
        </w:rPr>
      </w:pPr>
      <w:r>
        <w:rPr>
          <w:rFonts w:ascii="Arial" w:cs="Arial" w:eastAsia="Arial" w:hAnsi="Arial"/>
          <w:sz w:val="19"/>
          <w:szCs w:val="19"/>
          <w:b w:val="1"/>
          <w:bCs w:val="1"/>
          <w:color w:val="auto"/>
        </w:rPr>
        <w:t>No Conflict with Prior Agreements</w:t>
      </w:r>
      <w:r>
        <w:rPr>
          <w:rFonts w:ascii="Arial" w:cs="Arial" w:eastAsia="Arial" w:hAnsi="Arial"/>
          <w:sz w:val="19"/>
          <w:szCs w:val="19"/>
          <w:color w:val="auto"/>
        </w:rPr>
        <w:t>. You represent to the Employer that neither your commencement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Agreement nor the performance of your duties under this Agreement conflicts or will conflict with any contractual or legal commitment on your part to any third party, nor does it or will it violate or interfere with any rights of any third party and you will notify us prior to your execution of this Agreement if you may be subject to or have executed any contracts, offer letters or any other documents that contain any unexpired post termination restrictions such as a non-competition or non-solicitation agreement.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 Without limiting the generality of the foregoing, you acknowledge signing and delivering to the Employer the New Employee Letter and Certification attached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New Employee Letter and Certification</w:t>
      </w:r>
      <w:r>
        <w:rPr>
          <w:rFonts w:ascii="Arial" w:cs="Arial" w:eastAsia="Arial" w:hAnsi="Arial"/>
          <w:sz w:val="19"/>
          <w:szCs w:val="19"/>
          <w:color w:val="auto"/>
        </w:rPr>
        <w:t>”) as of the Effective Date and you agree that all terms and conditions contained in such agreement, and all of your obligations and commitments provided for in such agreement, shall be deemed, and hereby are, incorporated into this Agreement as if set forth in full herein. You further acknowledge and agree that any misrepresentation to the Activision Blizzard Group of any of the provisions contained in this Section 11(d) constitutes a material breach of this Agreement pursuant to Section 9(a)(i) of this Agreement.</w:t>
      </w:r>
    </w:p>
    <w:p>
      <w:pPr>
        <w:spacing w:after="0" w:line="152" w:lineRule="exact"/>
        <w:rPr>
          <w:rFonts w:ascii="Arial" w:cs="Arial" w:eastAsia="Arial" w:hAnsi="Arial"/>
          <w:sz w:val="19"/>
          <w:szCs w:val="19"/>
          <w:color w:val="auto"/>
        </w:rPr>
      </w:pPr>
    </w:p>
    <w:p>
      <w:pPr>
        <w:jc w:val="both"/>
        <w:ind w:firstLine="634"/>
        <w:spacing w:after="0" w:line="229" w:lineRule="auto"/>
        <w:tabs>
          <w:tab w:leader="none" w:pos="1256" w:val="left"/>
        </w:tabs>
        <w:numPr>
          <w:ilvl w:val="0"/>
          <w:numId w:val="233"/>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shall be binding on and inure to the benefit of the Employer and its successors and</w:t>
      </w:r>
      <w:r>
        <w:rPr>
          <w:rFonts w:ascii="Arial" w:cs="Arial" w:eastAsia="Arial" w:hAnsi="Arial"/>
          <w:sz w:val="21"/>
          <w:szCs w:val="21"/>
          <w:b w:val="1"/>
          <w:bCs w:val="1"/>
          <w:color w:val="auto"/>
        </w:rPr>
        <w:t xml:space="preserve"> </w:t>
      </w:r>
      <w:r>
        <w:rPr>
          <w:rFonts w:ascii="Arial" w:cs="Arial" w:eastAsia="Arial" w:hAnsi="Arial"/>
          <w:sz w:val="21"/>
          <w:szCs w:val="21"/>
          <w:color w:val="auto"/>
        </w:rPr>
        <w:t>assigns, including successors by merger and operation of law. This Agreement shall also be binding on and inure to the benefit of you and your heirs, executors, administrators and legal representatives.</w:t>
      </w:r>
    </w:p>
    <w:p>
      <w:pPr>
        <w:spacing w:after="0" w:line="148" w:lineRule="exact"/>
        <w:rPr>
          <w:rFonts w:ascii="Arial" w:cs="Arial" w:eastAsia="Arial" w:hAnsi="Arial"/>
          <w:sz w:val="21"/>
          <w:szCs w:val="21"/>
          <w:color w:val="auto"/>
        </w:rPr>
      </w:pPr>
    </w:p>
    <w:p>
      <w:pPr>
        <w:jc w:val="both"/>
        <w:ind w:firstLine="634"/>
        <w:spacing w:after="0" w:line="221" w:lineRule="auto"/>
        <w:tabs>
          <w:tab w:leader="none" w:pos="1259" w:val="left"/>
        </w:tabs>
        <w:numPr>
          <w:ilvl w:val="0"/>
          <w:numId w:val="233"/>
        </w:numPr>
        <w:rPr>
          <w:rFonts w:ascii="Arial" w:cs="Arial" w:eastAsia="Arial" w:hAnsi="Arial"/>
          <w:sz w:val="21"/>
          <w:szCs w:val="21"/>
          <w:color w:val="auto"/>
        </w:rPr>
      </w:pPr>
      <w:r>
        <w:rPr>
          <w:rFonts w:ascii="Arial" w:cs="Arial" w:eastAsia="Arial" w:hAnsi="Arial"/>
          <w:sz w:val="21"/>
          <w:szCs w:val="21"/>
          <w:b w:val="1"/>
          <w:bCs w:val="1"/>
          <w:color w:val="auto"/>
        </w:rPr>
        <w:t>Waiver</w:t>
      </w:r>
      <w:r>
        <w:rPr>
          <w:rFonts w:ascii="Arial" w:cs="Arial" w:eastAsia="Arial" w:hAnsi="Arial"/>
          <w:sz w:val="21"/>
          <w:szCs w:val="21"/>
          <w:color w:val="auto"/>
        </w:rPr>
        <w:t>. No waiver by you or the Employer at any time of any breach by the other party of, or compliance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or 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ectPr>
          <w:pgSz w:w="11900" w:h="16838" w:orient="portrait"/>
          <w:cols w:equalWidth="0" w:num="1">
            <w:col w:w="11240"/>
          </w:cols>
          <w:pgMar w:left="320" w:top="1364" w:right="339" w:bottom="1440" w:gutter="0" w:footer="0" w:header="0"/>
        </w:sectPr>
      </w:pPr>
    </w:p>
    <w:bookmarkStart w:id="332" w:name="page333"/>
    <w:bookmarkEnd w:id="332"/>
    <w:p>
      <w:pPr>
        <w:jc w:val="both"/>
        <w:ind w:left="-634" w:firstLine="634"/>
        <w:spacing w:after="0" w:line="260" w:lineRule="auto"/>
        <w:tabs>
          <w:tab w:leader="none" w:pos="620" w:val="left"/>
        </w:tabs>
        <w:numPr>
          <w:ilvl w:val="0"/>
          <w:numId w:val="234"/>
        </w:numPr>
        <w:rPr>
          <w:rFonts w:ascii="Arial" w:cs="Arial" w:eastAsia="Arial" w:hAnsi="Arial"/>
          <w:sz w:val="19"/>
          <w:szCs w:val="19"/>
          <w:color w:val="auto"/>
        </w:rPr>
      </w:pPr>
      <w:r>
        <w:rPr>
          <w:rFonts w:ascii="Arial" w:cs="Arial" w:eastAsia="Arial" w:hAnsi="Arial"/>
          <w:sz w:val="19"/>
          <w:szCs w:val="19"/>
          <w:b w:val="1"/>
          <w:bCs w:val="1"/>
          <w:color w:val="auto"/>
        </w:rPr>
        <w:t>Expiration</w:t>
      </w:r>
      <w:r>
        <w:rPr>
          <w:rFonts w:ascii="Arial" w:cs="Arial" w:eastAsia="Arial" w:hAnsi="Arial"/>
          <w:sz w:val="19"/>
          <w:szCs w:val="19"/>
          <w:color w:val="auto"/>
        </w:rPr>
        <w:t>. This Agreement does not constitute a commitment of the Employer with regard to your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express or implied, other than to the extent expressly provided for herein. Upon the Expiration Date, or, if earlier, the termination of this Agreement pursuant to Section 9, the Employer shall not have any obligations with respect to your continued employment.</w:t>
      </w:r>
    </w:p>
    <w:p>
      <w:pPr>
        <w:spacing w:after="0" w:line="129" w:lineRule="exact"/>
        <w:rPr>
          <w:rFonts w:ascii="Arial" w:cs="Arial" w:eastAsia="Arial" w:hAnsi="Arial"/>
          <w:sz w:val="19"/>
          <w:szCs w:val="19"/>
          <w:color w:val="auto"/>
        </w:rPr>
      </w:pPr>
    </w:p>
    <w:p>
      <w:pPr>
        <w:jc w:val="both"/>
        <w:ind w:left="-634" w:firstLine="634"/>
        <w:spacing w:after="0" w:line="229" w:lineRule="auto"/>
        <w:tabs>
          <w:tab w:leader="none" w:pos="620" w:val="left"/>
        </w:tabs>
        <w:numPr>
          <w:ilvl w:val="0"/>
          <w:numId w:val="234"/>
        </w:numPr>
        <w:rPr>
          <w:rFonts w:ascii="Arial" w:cs="Arial" w:eastAsia="Arial" w:hAnsi="Arial"/>
          <w:sz w:val="21"/>
          <w:szCs w:val="21"/>
          <w:color w:val="auto"/>
        </w:rPr>
      </w:pPr>
      <w:r>
        <w:rPr>
          <w:rFonts w:ascii="Arial" w:cs="Arial" w:eastAsia="Arial" w:hAnsi="Arial"/>
          <w:sz w:val="21"/>
          <w:szCs w:val="21"/>
          <w:b w:val="1"/>
          <w:bCs w:val="1"/>
          <w:color w:val="auto"/>
        </w:rPr>
        <w:t>Taxation</w:t>
      </w:r>
      <w:r>
        <w:rPr>
          <w:rFonts w:ascii="Arial" w:cs="Arial" w:eastAsia="Arial" w:hAnsi="Arial"/>
          <w:sz w:val="21"/>
          <w:szCs w:val="21"/>
          <w:color w:val="auto"/>
        </w:rPr>
        <w:t>. The Employer may withhold from any payments made under the Agreement all federal, state, city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taxes or amounts as shall be required or permitted pursuant to any law, governmental regulation or ruling or agreement with you.</w:t>
      </w:r>
    </w:p>
    <w:p>
      <w:pPr>
        <w:spacing w:after="0" w:line="148" w:lineRule="exact"/>
        <w:rPr>
          <w:rFonts w:ascii="Arial" w:cs="Arial" w:eastAsia="Arial" w:hAnsi="Arial"/>
          <w:sz w:val="21"/>
          <w:szCs w:val="21"/>
          <w:color w:val="auto"/>
        </w:rPr>
      </w:pPr>
    </w:p>
    <w:p>
      <w:pPr>
        <w:ind w:left="-634" w:firstLine="634"/>
        <w:spacing w:after="0" w:line="239" w:lineRule="auto"/>
        <w:tabs>
          <w:tab w:leader="none" w:pos="613" w:val="left"/>
        </w:tabs>
        <w:numPr>
          <w:ilvl w:val="0"/>
          <w:numId w:val="234"/>
        </w:numPr>
        <w:rPr>
          <w:rFonts w:ascii="Arial" w:cs="Arial" w:eastAsia="Arial" w:hAnsi="Arial"/>
          <w:sz w:val="21"/>
          <w:szCs w:val="21"/>
          <w:color w:val="auto"/>
        </w:rPr>
      </w:pPr>
      <w:r>
        <w:rPr>
          <w:rFonts w:ascii="Arial" w:cs="Arial" w:eastAsia="Arial" w:hAnsi="Arial"/>
          <w:sz w:val="21"/>
          <w:szCs w:val="21"/>
          <w:b w:val="1"/>
          <w:bCs w:val="1"/>
          <w:color w:val="auto"/>
        </w:rPr>
        <w:t>Immigration</w:t>
      </w:r>
      <w:r>
        <w:rPr>
          <w:rFonts w:ascii="Arial" w:cs="Arial" w:eastAsia="Arial" w:hAnsi="Arial"/>
          <w:sz w:val="21"/>
          <w:szCs w:val="21"/>
          <w:color w:val="auto"/>
        </w:rPr>
        <w:t>. In accordance with the Immigration Reform and Control Act of 1986, employment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is conditioned upon satisfactory proof of your identity and legal ability to work in the United States.</w:t>
      </w:r>
    </w:p>
    <w:p>
      <w:pPr>
        <w:spacing w:after="0" w:line="148" w:lineRule="exact"/>
        <w:rPr>
          <w:rFonts w:ascii="Arial" w:cs="Arial" w:eastAsia="Arial" w:hAnsi="Arial"/>
          <w:sz w:val="21"/>
          <w:szCs w:val="21"/>
          <w:color w:val="auto"/>
        </w:rPr>
      </w:pPr>
    </w:p>
    <w:p>
      <w:pPr>
        <w:jc w:val="both"/>
        <w:ind w:left="-634" w:firstLine="634"/>
        <w:spacing w:after="0" w:line="229" w:lineRule="auto"/>
        <w:tabs>
          <w:tab w:leader="none" w:pos="613" w:val="left"/>
        </w:tabs>
        <w:numPr>
          <w:ilvl w:val="0"/>
          <w:numId w:val="234"/>
        </w:numPr>
        <w:rPr>
          <w:rFonts w:ascii="Arial" w:cs="Arial" w:eastAsia="Arial" w:hAnsi="Arial"/>
          <w:sz w:val="21"/>
          <w:szCs w:val="21"/>
          <w:color w:val="auto"/>
        </w:rPr>
      </w:pPr>
      <w:r>
        <w:rPr>
          <w:rFonts w:ascii="Arial" w:cs="Arial" w:eastAsia="Arial" w:hAnsi="Arial"/>
          <w:sz w:val="21"/>
          <w:szCs w:val="21"/>
          <w:b w:val="1"/>
          <w:bCs w:val="1"/>
          <w:color w:val="auto"/>
        </w:rPr>
        <w:t>Choice of Law</w:t>
      </w:r>
      <w:r>
        <w:rPr>
          <w:rFonts w:ascii="Arial" w:cs="Arial" w:eastAsia="Arial" w:hAnsi="Arial"/>
          <w:sz w:val="21"/>
          <w:szCs w:val="21"/>
          <w:color w:val="auto"/>
        </w:rPr>
        <w:t>. Except to the extent governed by federal law, this Agreement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California or whatever other state in which you were last employed by the Employer, without regard to conflict of law principles.</w:t>
      </w:r>
    </w:p>
    <w:p>
      <w:pPr>
        <w:spacing w:after="0" w:line="148" w:lineRule="exact"/>
        <w:rPr>
          <w:rFonts w:ascii="Arial" w:cs="Arial" w:eastAsia="Arial" w:hAnsi="Arial"/>
          <w:sz w:val="21"/>
          <w:szCs w:val="21"/>
          <w:color w:val="auto"/>
        </w:rPr>
      </w:pPr>
    </w:p>
    <w:p>
      <w:pPr>
        <w:jc w:val="both"/>
        <w:ind w:left="-634" w:firstLine="634"/>
        <w:spacing w:after="0" w:line="229" w:lineRule="auto"/>
        <w:tabs>
          <w:tab w:leader="none" w:pos="620" w:val="left"/>
        </w:tabs>
        <w:numPr>
          <w:ilvl w:val="0"/>
          <w:numId w:val="234"/>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Except as otherwise provided in this Agreement and the Non-Disclosure Agreement referenced above,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both parties agree that any dispute or controversy between them will be settled by final and binding arbitration pursuant to the terms of the Dispute Resolution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jc w:val="both"/>
        <w:ind w:left="-634" w:firstLine="634"/>
        <w:spacing w:after="0" w:line="225" w:lineRule="auto"/>
        <w:tabs>
          <w:tab w:leader="none" w:pos="613" w:val="left"/>
        </w:tabs>
        <w:numPr>
          <w:ilvl w:val="0"/>
          <w:numId w:val="234"/>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It is expressly agreed by the parties that each of the provisions included in Section 8(f) is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distinct, and severable from the other and remaining provisions of Section 8(f), and that the invalidity or unenforceability of any Section 8(f)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51" w:lineRule="exact"/>
        <w:rPr>
          <w:rFonts w:ascii="Arial" w:cs="Arial" w:eastAsia="Arial" w:hAnsi="Arial"/>
          <w:sz w:val="20"/>
          <w:szCs w:val="20"/>
          <w:color w:val="auto"/>
        </w:rPr>
      </w:pPr>
    </w:p>
    <w:p>
      <w:pPr>
        <w:jc w:val="both"/>
        <w:ind w:left="-634" w:firstLine="634"/>
        <w:spacing w:after="0" w:line="229" w:lineRule="auto"/>
        <w:tabs>
          <w:tab w:leader="none" w:pos="613" w:val="left"/>
        </w:tabs>
        <w:numPr>
          <w:ilvl w:val="0"/>
          <w:numId w:val="234"/>
        </w:numPr>
        <w:rPr>
          <w:rFonts w:ascii="Arial" w:cs="Arial" w:eastAsia="Arial" w:hAnsi="Arial"/>
          <w:sz w:val="21"/>
          <w:szCs w:val="21"/>
          <w:color w:val="auto"/>
        </w:rPr>
      </w:pPr>
      <w:r>
        <w:rPr>
          <w:rFonts w:ascii="Arial" w:cs="Arial" w:eastAsia="Arial" w:hAnsi="Arial"/>
          <w:sz w:val="21"/>
          <w:szCs w:val="21"/>
          <w:b w:val="1"/>
          <w:bCs w:val="1"/>
          <w:color w:val="auto"/>
        </w:rPr>
        <w:t>Services Unique</w:t>
      </w:r>
      <w:r>
        <w:rPr>
          <w:rFonts w:ascii="Arial" w:cs="Arial" w:eastAsia="Arial" w:hAnsi="Arial"/>
          <w:sz w:val="21"/>
          <w:szCs w:val="21"/>
          <w:color w:val="auto"/>
        </w:rPr>
        <w:t>. You recognize that the services being performed by you under this Agreement are of a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unique, unusual, extraordinary and intellectual character giving them a peculiar value, the loss of which cannot be reasonably or adequately compensated for in damages in the event of a breach of this Agreement by you.</w:t>
      </w:r>
    </w:p>
    <w:p>
      <w:pPr>
        <w:spacing w:after="0" w:line="148" w:lineRule="exact"/>
        <w:rPr>
          <w:rFonts w:ascii="Arial" w:cs="Arial" w:eastAsia="Arial" w:hAnsi="Arial"/>
          <w:sz w:val="21"/>
          <w:szCs w:val="21"/>
          <w:color w:val="auto"/>
        </w:rPr>
      </w:pPr>
    </w:p>
    <w:p>
      <w:pPr>
        <w:jc w:val="both"/>
        <w:ind w:left="-634" w:firstLine="634"/>
        <w:spacing w:after="0" w:line="229" w:lineRule="auto"/>
        <w:tabs>
          <w:tab w:leader="none" w:pos="620" w:val="left"/>
        </w:tabs>
        <w:numPr>
          <w:ilvl w:val="0"/>
          <w:numId w:val="234"/>
        </w:numPr>
        <w:rPr>
          <w:rFonts w:ascii="Arial" w:cs="Arial" w:eastAsia="Arial" w:hAnsi="Arial"/>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 In the event of a breach of or threatened breach of the provisions of this Agreement regarding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exclusivity of your 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ectPr>
          <w:pgSz w:w="11900" w:h="16838" w:orient="portrait"/>
          <w:cols w:equalWidth="0" w:num="1">
            <w:col w:w="10606"/>
          </w:cols>
          <w:pgMar w:left="954" w:top="1358" w:right="339" w:bottom="1440" w:gutter="0" w:footer="0" w:header="0"/>
        </w:sectPr>
      </w:pPr>
    </w:p>
    <w:bookmarkStart w:id="333" w:name="page334"/>
    <w:bookmarkEnd w:id="333"/>
    <w:p>
      <w:pPr>
        <w:ind w:left="-634" w:firstLine="634"/>
        <w:spacing w:after="0" w:line="239" w:lineRule="auto"/>
        <w:tabs>
          <w:tab w:leader="none" w:pos="620" w:val="left"/>
        </w:tabs>
        <w:numPr>
          <w:ilvl w:val="0"/>
          <w:numId w:val="235"/>
        </w:numPr>
        <w:rPr>
          <w:rFonts w:ascii="Arial" w:cs="Arial" w:eastAsia="Arial" w:hAnsi="Arial"/>
          <w:sz w:val="21"/>
          <w:szCs w:val="21"/>
          <w:color w:val="auto"/>
        </w:rPr>
      </w:pPr>
      <w:r>
        <w:rPr>
          <w:rFonts w:ascii="Arial" w:cs="Arial" w:eastAsia="Arial" w:hAnsi="Arial"/>
          <w:sz w:val="21"/>
          <w:szCs w:val="21"/>
          <w:b w:val="1"/>
          <w:bCs w:val="1"/>
          <w:color w:val="auto"/>
        </w:rPr>
        <w:t>Remedies Cumulative</w:t>
      </w:r>
      <w:r>
        <w:rPr>
          <w:rFonts w:ascii="Arial" w:cs="Arial" w:eastAsia="Arial" w:hAnsi="Arial"/>
          <w:sz w:val="21"/>
          <w:szCs w:val="21"/>
          <w:color w:val="auto"/>
        </w:rPr>
        <w:t>. The remedies in this Agreement are not exclusive, and the parties shall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pursue any other legal or equitable remedies to enforce the terms of this Agreement.</w:t>
      </w:r>
    </w:p>
    <w:p>
      <w:pPr>
        <w:spacing w:after="0" w:line="148" w:lineRule="exact"/>
        <w:rPr>
          <w:rFonts w:ascii="Arial" w:cs="Arial" w:eastAsia="Arial" w:hAnsi="Arial"/>
          <w:sz w:val="21"/>
          <w:szCs w:val="21"/>
          <w:color w:val="auto"/>
        </w:rPr>
      </w:pPr>
    </w:p>
    <w:p>
      <w:pPr>
        <w:ind w:left="-634" w:firstLine="634"/>
        <w:spacing w:after="0" w:line="239" w:lineRule="auto"/>
        <w:tabs>
          <w:tab w:leader="none" w:pos="620" w:val="left"/>
        </w:tabs>
        <w:numPr>
          <w:ilvl w:val="0"/>
          <w:numId w:val="235"/>
        </w:numPr>
        <w:rPr>
          <w:rFonts w:ascii="Arial" w:cs="Arial" w:eastAsia="Arial" w:hAnsi="Arial"/>
          <w:sz w:val="21"/>
          <w:szCs w:val="21"/>
          <w:color w:val="auto"/>
        </w:rPr>
      </w:pPr>
      <w:r>
        <w:rPr>
          <w:rFonts w:ascii="Arial" w:cs="Arial" w:eastAsia="Arial" w:hAnsi="Arial"/>
          <w:sz w:val="21"/>
          <w:szCs w:val="21"/>
          <w:b w:val="1"/>
          <w:bCs w:val="1"/>
          <w:color w:val="auto"/>
        </w:rPr>
        <w:t>Headings</w:t>
      </w:r>
      <w:r>
        <w:rPr>
          <w:rFonts w:ascii="Arial" w:cs="Arial" w:eastAsia="Arial" w:hAnsi="Arial"/>
          <w:sz w:val="21"/>
          <w:szCs w:val="21"/>
          <w:color w:val="auto"/>
        </w:rPr>
        <w:t>. The headings set forth herein are included solely for the purpose of identification and shall not be used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purpose of construing the meaning of the provisions of this Agreement.</w:t>
      </w:r>
    </w:p>
    <w:p>
      <w:pPr>
        <w:spacing w:after="0" w:line="148" w:lineRule="exact"/>
        <w:rPr>
          <w:rFonts w:ascii="Arial" w:cs="Arial" w:eastAsia="Arial" w:hAnsi="Arial"/>
          <w:sz w:val="21"/>
          <w:szCs w:val="21"/>
          <w:color w:val="auto"/>
        </w:rPr>
      </w:pPr>
    </w:p>
    <w:p>
      <w:pPr>
        <w:jc w:val="both"/>
        <w:ind w:left="-634" w:firstLine="634"/>
        <w:spacing w:after="0" w:line="233" w:lineRule="auto"/>
        <w:tabs>
          <w:tab w:leader="none" w:pos="620" w:val="left"/>
        </w:tabs>
        <w:numPr>
          <w:ilvl w:val="0"/>
          <w:numId w:val="235"/>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To the extent applicable, it is intended that the Agreement comply with the provisions of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Agreement 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63" w:lineRule="exact"/>
        <w:rPr>
          <w:rFonts w:ascii="Arial" w:cs="Arial" w:eastAsia="Arial" w:hAnsi="Arial"/>
          <w:sz w:val="19"/>
          <w:szCs w:val="19"/>
          <w:color w:val="auto"/>
        </w:rPr>
      </w:pPr>
    </w:p>
    <w:p>
      <w:pPr>
        <w:jc w:val="both"/>
        <w:ind w:left="-634" w:firstLine="634"/>
        <w:spacing w:after="0" w:line="237" w:lineRule="auto"/>
        <w:tabs>
          <w:tab w:leader="none" w:pos="624" w:val="left"/>
        </w:tabs>
        <w:numPr>
          <w:ilvl w:val="0"/>
          <w:numId w:val="235"/>
        </w:numPr>
        <w:rPr>
          <w:rFonts w:ascii="Arial" w:cs="Arial" w:eastAsia="Arial" w:hAnsi="Arial"/>
          <w:sz w:val="19"/>
          <w:szCs w:val="19"/>
          <w:color w:val="auto"/>
        </w:rPr>
      </w:pPr>
      <w:r>
        <w:rPr>
          <w:rFonts w:ascii="Arial" w:cs="Arial" w:eastAsia="Arial" w:hAnsi="Arial"/>
          <w:sz w:val="19"/>
          <w:szCs w:val="19"/>
          <w:b w:val="1"/>
          <w:bCs w:val="1"/>
          <w:color w:val="auto"/>
        </w:rPr>
        <w:t>Section 280G</w:t>
      </w:r>
      <w:r>
        <w:rPr>
          <w:rFonts w:ascii="Arial" w:cs="Arial" w:eastAsia="Arial" w:hAnsi="Arial"/>
          <w:sz w:val="19"/>
          <w:szCs w:val="19"/>
          <w:color w:val="auto"/>
        </w:rPr>
        <w:t>. Notwithstanding anything herein to the contrary, in the event that you receive any payments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distributions, whether 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reduced first;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all events the payments provided under Section 10 of this Agreement which are not subject to Section 409A shall be reduced first. The determinations to be made with respect to this Section 11(r) shall be made by a certified public accounting firm designated by the Employer.</w:t>
      </w:r>
    </w:p>
    <w:p>
      <w:pPr>
        <w:spacing w:after="0" w:line="150" w:lineRule="exact"/>
        <w:rPr>
          <w:rFonts w:ascii="Arial" w:cs="Arial" w:eastAsia="Arial" w:hAnsi="Arial"/>
          <w:sz w:val="19"/>
          <w:szCs w:val="19"/>
          <w:color w:val="auto"/>
        </w:rPr>
      </w:pPr>
    </w:p>
    <w:p>
      <w:pPr>
        <w:ind w:left="-634" w:firstLine="634"/>
        <w:spacing w:after="0" w:line="239" w:lineRule="auto"/>
        <w:tabs>
          <w:tab w:leader="none" w:pos="623" w:val="left"/>
        </w:tabs>
        <w:numPr>
          <w:ilvl w:val="0"/>
          <w:numId w:val="235"/>
        </w:numPr>
        <w:rPr>
          <w:rFonts w:ascii="Arial" w:cs="Arial" w:eastAsia="Arial" w:hAnsi="Arial"/>
          <w:sz w:val="21"/>
          <w:szCs w:val="21"/>
          <w:color w:val="auto"/>
        </w:rPr>
      </w:pPr>
      <w:r>
        <w:rPr>
          <w:rFonts w:ascii="Arial" w:cs="Arial" w:eastAsia="Arial" w:hAnsi="Arial"/>
          <w:sz w:val="21"/>
          <w:szCs w:val="21"/>
          <w:b w:val="1"/>
          <w:bCs w:val="1"/>
          <w:color w:val="auto"/>
        </w:rPr>
        <w:t>Survivability</w:t>
      </w:r>
      <w:r>
        <w:rPr>
          <w:rFonts w:ascii="Arial" w:cs="Arial" w:eastAsia="Arial" w:hAnsi="Arial"/>
          <w:sz w:val="21"/>
          <w:szCs w:val="21"/>
          <w:color w:val="auto"/>
        </w:rPr>
        <w:t>. The provisions of Sections 8, 10, 11, and 12, as well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Exhibits</w:t>
      </w:r>
      <w:r>
        <w:rPr>
          <w:rFonts w:ascii="Arial" w:cs="Arial" w:eastAsia="Arial" w:hAnsi="Arial"/>
          <w:sz w:val="21"/>
          <w:szCs w:val="21"/>
          <w:b w:val="1"/>
          <w:bCs w:val="1"/>
          <w:color w:val="auto"/>
        </w:rPr>
        <w:t xml:space="preserve"> </w:t>
      </w:r>
      <w:r>
        <w:rPr>
          <w:rFonts w:ascii="Arial" w:cs="Arial" w:eastAsia="Arial" w:hAnsi="Arial"/>
          <w:sz w:val="21"/>
          <w:szCs w:val="21"/>
          <w:color w:val="auto"/>
        </w:rPr>
        <w:t>A and B, shall survive the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expiration of this Agreement.</w:t>
      </w:r>
    </w:p>
    <w:p>
      <w:pPr>
        <w:sectPr>
          <w:pgSz w:w="11900" w:h="16838" w:orient="portrait"/>
          <w:cols w:equalWidth="0" w:num="1">
            <w:col w:w="10606"/>
          </w:cols>
          <w:pgMar w:left="954" w:top="1357" w:right="339" w:bottom="1440" w:gutter="0" w:footer="0" w:header="0"/>
        </w:sectPr>
      </w:pPr>
    </w:p>
    <w:bookmarkStart w:id="334" w:name="page335"/>
    <w:bookmarkEnd w:id="334"/>
    <w:p>
      <w:pPr>
        <w:jc w:val="both"/>
        <w:ind w:firstLine="634"/>
        <w:spacing w:after="0" w:line="235" w:lineRule="auto"/>
        <w:tabs>
          <w:tab w:leader="none" w:pos="1247" w:val="left"/>
        </w:tabs>
        <w:numPr>
          <w:ilvl w:val="1"/>
          <w:numId w:val="236"/>
        </w:numPr>
        <w:rPr>
          <w:rFonts w:ascii="Arial" w:cs="Arial" w:eastAsia="Arial" w:hAnsi="Arial"/>
          <w:sz w:val="20"/>
          <w:szCs w:val="20"/>
          <w:color w:val="auto"/>
        </w:rPr>
      </w:pPr>
      <w:r>
        <w:rPr>
          <w:rFonts w:ascii="Arial" w:cs="Arial" w:eastAsia="Arial" w:hAnsi="Arial"/>
          <w:sz w:val="20"/>
          <w:szCs w:val="20"/>
          <w:b w:val="1"/>
          <w:bCs w:val="1"/>
          <w:color w:val="auto"/>
        </w:rPr>
        <w:t>Counterparts and Electronic Signature</w:t>
      </w:r>
      <w:r>
        <w:rPr>
          <w:rFonts w:ascii="Arial" w:cs="Arial" w:eastAsia="Arial" w:hAnsi="Arial"/>
          <w:sz w:val="20"/>
          <w:szCs w:val="20"/>
          <w:color w:val="auto"/>
        </w:rPr>
        <w:t>. This Agreement may be executed in any number of counterparts,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shall be deemed to be an original, and all of which shall constitute one and the same document. The Agreement may be executed by facsimile or other electronic method. If electronic methods are used by the parties to execute this Agreement, the parties agree that the place of sending and receiving this Agreement shall be in the State of California.</w:t>
      </w:r>
    </w:p>
    <w:p>
      <w:pPr>
        <w:spacing w:after="0" w:line="148" w:lineRule="exact"/>
        <w:rPr>
          <w:rFonts w:ascii="Arial" w:cs="Arial" w:eastAsia="Arial" w:hAnsi="Arial"/>
          <w:sz w:val="20"/>
          <w:szCs w:val="20"/>
          <w:color w:val="auto"/>
        </w:rPr>
      </w:pPr>
    </w:p>
    <w:p>
      <w:pPr>
        <w:jc w:val="both"/>
        <w:ind w:firstLine="634"/>
        <w:spacing w:after="0" w:line="232" w:lineRule="auto"/>
        <w:tabs>
          <w:tab w:leader="none" w:pos="1254" w:val="left"/>
        </w:tabs>
        <w:numPr>
          <w:ilvl w:val="1"/>
          <w:numId w:val="236"/>
        </w:numPr>
        <w:rPr>
          <w:rFonts w:ascii="Arial" w:cs="Arial" w:eastAsia="Arial" w:hAnsi="Arial"/>
          <w:sz w:val="20"/>
          <w:szCs w:val="20"/>
          <w:color w:val="auto"/>
        </w:rPr>
      </w:pPr>
      <w:r>
        <w:rPr>
          <w:rFonts w:ascii="Arial" w:cs="Arial" w:eastAsia="Arial" w:hAnsi="Arial"/>
          <w:sz w:val="20"/>
          <w:szCs w:val="20"/>
          <w:b w:val="1"/>
          <w:bCs w:val="1"/>
          <w:color w:val="auto"/>
        </w:rPr>
        <w:t>Legal Counsel</w:t>
      </w:r>
      <w:r>
        <w:rPr>
          <w:rFonts w:ascii="Arial" w:cs="Arial" w:eastAsia="Arial" w:hAnsi="Arial"/>
          <w:sz w:val="20"/>
          <w:szCs w:val="20"/>
          <w:color w:val="auto"/>
        </w:rPr>
        <w:t>. You acknowledge that you have been given the opportunity to consult with legal counsel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advisor of your own choosing regarding this Agreement. The Employer shall pay the reasonable costs and expenses of such legal counsel (up to no more than $25,000) in connection with your onboarding. You understand and agree that any attorney retained by the Employer, the Activision Blizzard Group or any member of management who has discussed any term or condition of this Agreement with you or your advisor is only acting on behalf of the Employer and not on your behalf.</w:t>
      </w:r>
    </w:p>
    <w:p>
      <w:pPr>
        <w:spacing w:after="0" w:line="147" w:lineRule="exact"/>
        <w:rPr>
          <w:rFonts w:ascii="Arial" w:cs="Arial" w:eastAsia="Arial" w:hAnsi="Arial"/>
          <w:sz w:val="20"/>
          <w:szCs w:val="20"/>
          <w:color w:val="auto"/>
        </w:rPr>
      </w:pPr>
    </w:p>
    <w:p>
      <w:pPr>
        <w:jc w:val="both"/>
        <w:ind w:firstLine="634"/>
        <w:spacing w:after="0" w:line="224" w:lineRule="auto"/>
        <w:tabs>
          <w:tab w:leader="none" w:pos="1254" w:val="left"/>
        </w:tabs>
        <w:numPr>
          <w:ilvl w:val="1"/>
          <w:numId w:val="236"/>
        </w:numPr>
        <w:rPr>
          <w:rFonts w:ascii="Arial" w:cs="Arial" w:eastAsia="Arial" w:hAnsi="Arial"/>
          <w:sz w:val="21"/>
          <w:szCs w:val="21"/>
          <w:color w:val="auto"/>
        </w:rPr>
      </w:pPr>
      <w:r>
        <w:rPr>
          <w:rFonts w:ascii="Arial" w:cs="Arial" w:eastAsia="Arial" w:hAnsi="Arial"/>
          <w:sz w:val="21"/>
          <w:szCs w:val="21"/>
          <w:b w:val="1"/>
          <w:bCs w:val="1"/>
          <w:color w:val="auto"/>
        </w:rPr>
        <w:t>Right to Negotiate</w:t>
      </w:r>
      <w:r>
        <w:rPr>
          <w:rFonts w:ascii="Arial" w:cs="Arial" w:eastAsia="Arial" w:hAnsi="Arial"/>
          <w:sz w:val="21"/>
          <w:szCs w:val="21"/>
          <w:color w:val="auto"/>
        </w:rPr>
        <w:t>. You hereby acknowledge that you have been given the opportunity to participate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negotiation of the terms of this Agreement. You acknowledge and confirm that you have read this Agreement and fully understand its terms and contents, and that you are entering into this agreement voluntarily, with sufficient time to consider the terms and conditions of this Agreement.</w:t>
      </w:r>
    </w:p>
    <w:p>
      <w:pPr>
        <w:spacing w:after="0" w:line="147" w:lineRule="exact"/>
        <w:rPr>
          <w:rFonts w:ascii="Arial" w:cs="Arial" w:eastAsia="Arial" w:hAnsi="Arial"/>
          <w:sz w:val="21"/>
          <w:szCs w:val="21"/>
          <w:color w:val="auto"/>
        </w:rPr>
      </w:pPr>
    </w:p>
    <w:p>
      <w:pPr>
        <w:jc w:val="both"/>
        <w:ind w:firstLine="634"/>
        <w:spacing w:after="0" w:line="229" w:lineRule="auto"/>
        <w:tabs>
          <w:tab w:leader="none" w:pos="1248" w:val="left"/>
        </w:tabs>
        <w:numPr>
          <w:ilvl w:val="1"/>
          <w:numId w:val="236"/>
        </w:numPr>
        <w:rPr>
          <w:rFonts w:ascii="Arial" w:cs="Arial" w:eastAsia="Arial" w:hAnsi="Arial"/>
          <w:sz w:val="21"/>
          <w:szCs w:val="21"/>
          <w:color w:val="auto"/>
        </w:rPr>
      </w:pPr>
      <w:r>
        <w:rPr>
          <w:rFonts w:ascii="Arial" w:cs="Arial" w:eastAsia="Arial" w:hAnsi="Arial"/>
          <w:sz w:val="21"/>
          <w:szCs w:val="21"/>
          <w:b w:val="1"/>
          <w:bCs w:val="1"/>
          <w:color w:val="auto"/>
        </w:rPr>
        <w:t>No Broker</w:t>
      </w:r>
      <w:r>
        <w:rPr>
          <w:rFonts w:ascii="Arial" w:cs="Arial" w:eastAsia="Arial" w:hAnsi="Arial"/>
          <w:sz w:val="21"/>
          <w:szCs w:val="21"/>
          <w:color w:val="auto"/>
        </w:rPr>
        <w:t>. You have given no indication, representation or commitment of any nature to any broker, finder, agent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third party to the effect that any fees or commissions of any nature are, or under any circumstances might be, payable by the Activision Blizzard Group in connection with your employment under this Agreement.</w:t>
      </w:r>
    </w:p>
    <w:p>
      <w:pPr>
        <w:spacing w:after="0" w:line="148" w:lineRule="exact"/>
        <w:rPr>
          <w:rFonts w:ascii="Arial" w:cs="Arial" w:eastAsia="Arial" w:hAnsi="Arial"/>
          <w:sz w:val="21"/>
          <w:szCs w:val="21"/>
          <w:color w:val="auto"/>
        </w:rPr>
      </w:pPr>
    </w:p>
    <w:p>
      <w:pPr>
        <w:ind w:left="640" w:hanging="635"/>
        <w:spacing w:after="0"/>
        <w:tabs>
          <w:tab w:leader="none" w:pos="640" w:val="left"/>
        </w:tabs>
        <w:numPr>
          <w:ilvl w:val="0"/>
          <w:numId w:val="2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Indemnification</w:t>
      </w:r>
    </w:p>
    <w:p>
      <w:pPr>
        <w:spacing w:after="0" w:line="184" w:lineRule="exact"/>
        <w:rPr>
          <w:sz w:val="20"/>
          <w:szCs w:val="20"/>
          <w:color w:val="auto"/>
        </w:rPr>
      </w:pPr>
    </w:p>
    <w:p>
      <w:pPr>
        <w:jc w:val="both"/>
        <w:ind w:firstLine="629"/>
        <w:spacing w:after="0" w:line="233" w:lineRule="auto"/>
        <w:rPr>
          <w:sz w:val="20"/>
          <w:szCs w:val="20"/>
          <w:color w:val="auto"/>
        </w:rPr>
      </w:pPr>
      <w:r>
        <w:rPr>
          <w:rFonts w:ascii="Arial" w:cs="Arial" w:eastAsia="Arial" w:hAnsi="Arial"/>
          <w:sz w:val="20"/>
          <w:szCs w:val="20"/>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Activision Blizzard, including, without limitation, all costs and expenses actually and reasonably incurred by you in defense of litigation arising out of your employment hereunder.</w:t>
      </w:r>
    </w:p>
    <w:p>
      <w:pPr>
        <w:spacing w:after="0" w:line="150" w:lineRule="exact"/>
        <w:rPr>
          <w:sz w:val="20"/>
          <w:szCs w:val="20"/>
          <w:color w:val="auto"/>
        </w:rPr>
      </w:pPr>
    </w:p>
    <w:p>
      <w:pPr>
        <w:ind w:left="640" w:hanging="635"/>
        <w:spacing w:after="0"/>
        <w:tabs>
          <w:tab w:leader="none" w:pos="640" w:val="left"/>
        </w:tabs>
        <w:numPr>
          <w:ilvl w:val="0"/>
          <w:numId w:val="2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184" w:lineRule="exact"/>
        <w:rPr>
          <w:sz w:val="20"/>
          <w:szCs w:val="20"/>
          <w:color w:val="auto"/>
        </w:rPr>
      </w:pPr>
    </w:p>
    <w:p>
      <w:pPr>
        <w:ind w:firstLine="629"/>
        <w:spacing w:after="0" w:line="236" w:lineRule="auto"/>
        <w:rPr>
          <w:sz w:val="20"/>
          <w:szCs w:val="20"/>
          <w:color w:val="auto"/>
        </w:rPr>
      </w:pPr>
      <w:r>
        <w:rPr>
          <w:rFonts w:ascii="Arial" w:cs="Arial" w:eastAsia="Arial" w:hAnsi="Arial"/>
          <w:sz w:val="21"/>
          <w:szCs w:val="21"/>
          <w:color w:val="auto"/>
        </w:rPr>
        <w:t>All notices which either party is required or may desire to give the other shall be in writing and given either personally or by depositing the same in the United States mail addressed to the party to be given notice as follows:</w:t>
      </w:r>
    </w:p>
    <w:p>
      <w:pPr>
        <w:spacing w:after="0" w:line="233"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To the Employer: Activision Blizzard, Inc.</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3100 Ocean Park Boulevard</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Santa Monica, California 90405</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Attention: Chief Legal Officer</w:t>
      </w:r>
    </w:p>
    <w:p>
      <w:pPr>
        <w:spacing w:after="0" w:line="336" w:lineRule="exact"/>
        <w:rPr>
          <w:sz w:val="20"/>
          <w:szCs w:val="20"/>
          <w:color w:val="auto"/>
        </w:rPr>
      </w:pPr>
    </w:p>
    <w:p>
      <w:pPr>
        <w:jc w:val="center"/>
        <w:ind w:left="420"/>
        <w:spacing w:after="0"/>
        <w:rPr>
          <w:sz w:val="20"/>
          <w:szCs w:val="20"/>
          <w:color w:val="auto"/>
        </w:rPr>
      </w:pPr>
      <w:r>
        <w:rPr>
          <w:rFonts w:ascii="Arial" w:cs="Arial" w:eastAsia="Arial" w:hAnsi="Arial"/>
          <w:sz w:val="21"/>
          <w:szCs w:val="21"/>
          <w:color w:val="auto"/>
        </w:rPr>
        <w:t>To You: Grant Dixton</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(to be sent to the last known home</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address on file with Human Resources)</w:t>
      </w:r>
    </w:p>
    <w:p>
      <w:pPr>
        <w:sectPr>
          <w:pgSz w:w="11900" w:h="16838" w:orient="portrait"/>
          <w:cols w:equalWidth="0" w:num="1">
            <w:col w:w="11240"/>
          </w:cols>
          <w:pgMar w:left="320" w:top="1358" w:right="339" w:bottom="1440" w:gutter="0" w:footer="0" w:header="0"/>
        </w:sectPr>
      </w:pPr>
    </w:p>
    <w:bookmarkStart w:id="335" w:name="page336"/>
    <w:bookmarkEnd w:id="335"/>
    <w:p>
      <w:pPr>
        <w:ind w:firstLine="629"/>
        <w:spacing w:after="0" w:line="236" w:lineRule="auto"/>
        <w:rPr>
          <w:sz w:val="20"/>
          <w:szCs w:val="20"/>
          <w:color w:val="auto"/>
        </w:rPr>
      </w:pPr>
      <w:r>
        <w:rPr>
          <w:rFonts w:ascii="Arial" w:cs="Arial" w:eastAsia="Arial" w:hAnsi="Arial"/>
          <w:sz w:val="21"/>
          <w:szCs w:val="21"/>
          <w:color w:val="auto"/>
        </w:rPr>
        <w:t>Either party may by written notice designate a different address for giving of notices. The date of mailing of any such notices shall be deemed to be the date on which such notice is given.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Follows]</w:t>
      </w:r>
    </w:p>
    <w:p>
      <w:pPr>
        <w:sectPr>
          <w:pgSz w:w="11900" w:h="16838" w:orient="portrait"/>
          <w:cols w:equalWidth="0" w:num="1">
            <w:col w:w="11240"/>
          </w:cols>
          <w:pgMar w:left="320" w:top="1364" w:right="339" w:bottom="1440" w:gutter="0" w:footer="0" w:header="0"/>
        </w:sectPr>
      </w:pPr>
    </w:p>
    <w:bookmarkStart w:id="336" w:name="page337"/>
    <w:bookmarkEnd w:id="336"/>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AND AGREED TO</w:t>
      </w:r>
      <w:r>
        <w:rPr>
          <w:rFonts w:ascii="Arial" w:cs="Arial" w:eastAsia="Arial" w:hAnsi="Arial"/>
          <w:sz w:val="21"/>
          <w:szCs w:val="21"/>
          <w:color w:val="auto"/>
        </w:rPr>
        <w:t>:</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21"/>
          <w:szCs w:val="21"/>
          <w:b w:val="1"/>
          <w:bCs w:val="1"/>
          <w:color w:val="auto"/>
        </w:rPr>
        <w:t>Employer:</w:t>
      </w:r>
      <w:r>
        <w:rPr>
          <w:sz w:val="20"/>
          <w:szCs w:val="20"/>
          <w:color w:val="auto"/>
        </w:rPr>
        <w:tab/>
      </w:r>
      <w:r>
        <w:rPr>
          <w:rFonts w:ascii="Arial" w:cs="Arial" w:eastAsia="Arial" w:hAnsi="Arial"/>
          <w:sz w:val="21"/>
          <w:szCs w:val="21"/>
          <w:b w:val="1"/>
          <w:bCs w:val="1"/>
          <w:color w:val="auto"/>
        </w:rPr>
        <w:t>Employee:</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ACTIVISION BLIZZARD, INC.</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780" w:type="dxa"/>
            <w:vAlign w:val="bottom"/>
          </w:tcPr>
          <w:p>
            <w:pPr>
              <w:spacing w:after="0"/>
              <w:rPr>
                <w:sz w:val="20"/>
                <w:szCs w:val="20"/>
                <w:color w:val="auto"/>
              </w:rPr>
            </w:pPr>
            <w:r>
              <w:rPr>
                <w:rFonts w:ascii="Arial" w:cs="Arial" w:eastAsia="Arial" w:hAnsi="Arial"/>
                <w:sz w:val="21"/>
                <w:szCs w:val="21"/>
                <w:color w:val="auto"/>
              </w:rPr>
              <w:t>By:</w:t>
            </w:r>
          </w:p>
        </w:tc>
        <w:tc>
          <w:tcPr>
            <w:tcW w:w="4640" w:type="dxa"/>
            <w:vAlign w:val="bottom"/>
          </w:tcPr>
          <w:p>
            <w:pPr>
              <w:spacing w:after="0"/>
              <w:rPr>
                <w:sz w:val="20"/>
                <w:szCs w:val="20"/>
                <w:color w:val="auto"/>
              </w:rPr>
            </w:pPr>
            <w:r>
              <w:rPr>
                <w:rFonts w:ascii="Arial" w:cs="Arial" w:eastAsia="Arial" w:hAnsi="Arial"/>
                <w:sz w:val="21"/>
                <w:szCs w:val="21"/>
                <w:color w:val="auto"/>
              </w:rPr>
              <w:t>/s/ FRANCES TOWNSEND</w:t>
            </w:r>
          </w:p>
        </w:tc>
        <w:tc>
          <w:tcPr>
            <w:tcW w:w="1080" w:type="dxa"/>
            <w:vAlign w:val="bottom"/>
          </w:tcPr>
          <w:p>
            <w:pPr>
              <w:ind w:left="280"/>
              <w:spacing w:after="0"/>
              <w:rPr>
                <w:sz w:val="20"/>
                <w:szCs w:val="20"/>
                <w:color w:val="auto"/>
              </w:rPr>
            </w:pPr>
            <w:r>
              <w:rPr>
                <w:rFonts w:ascii="Arial" w:cs="Arial" w:eastAsia="Arial" w:hAnsi="Arial"/>
                <w:sz w:val="21"/>
                <w:szCs w:val="21"/>
                <w:color w:val="auto"/>
              </w:rPr>
              <w:t>By:</w:t>
            </w:r>
          </w:p>
        </w:tc>
        <w:tc>
          <w:tcPr>
            <w:tcW w:w="4720" w:type="dxa"/>
            <w:vAlign w:val="bottom"/>
          </w:tcPr>
          <w:p>
            <w:pPr>
              <w:ind w:left="20"/>
              <w:spacing w:after="0"/>
              <w:rPr>
                <w:sz w:val="20"/>
                <w:szCs w:val="20"/>
                <w:color w:val="auto"/>
              </w:rPr>
            </w:pPr>
            <w:r>
              <w:rPr>
                <w:rFonts w:ascii="Arial" w:cs="Arial" w:eastAsia="Arial" w:hAnsi="Arial"/>
                <w:sz w:val="21"/>
                <w:szCs w:val="21"/>
                <w:color w:val="auto"/>
              </w:rPr>
              <w:t>/s/ GRANT DIXTON</w:t>
            </w:r>
          </w:p>
        </w:tc>
      </w:tr>
      <w:tr>
        <w:trPr>
          <w:trHeight w:val="30"/>
        </w:trPr>
        <w:tc>
          <w:tcPr>
            <w:tcW w:w="78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78"/>
        </w:trPr>
        <w:tc>
          <w:tcPr>
            <w:tcW w:w="7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21"/>
                <w:szCs w:val="21"/>
                <w:color w:val="auto"/>
              </w:rPr>
              <w:t>Frances Townsend</w:t>
            </w:r>
          </w:p>
        </w:tc>
        <w:tc>
          <w:tcPr>
            <w:tcW w:w="1080" w:type="dxa"/>
            <w:vAlign w:val="bottom"/>
          </w:tcPr>
          <w:p>
            <w:pPr>
              <w:spacing w:after="0"/>
              <w:rPr>
                <w:sz w:val="24"/>
                <w:szCs w:val="24"/>
                <w:color w:val="auto"/>
              </w:rPr>
            </w:pPr>
          </w:p>
        </w:tc>
        <w:tc>
          <w:tcPr>
            <w:tcW w:w="4720" w:type="dxa"/>
            <w:vAlign w:val="bottom"/>
          </w:tcPr>
          <w:p>
            <w:pPr>
              <w:ind w:left="20"/>
              <w:spacing w:after="0"/>
              <w:rPr>
                <w:sz w:val="20"/>
                <w:szCs w:val="20"/>
                <w:color w:val="auto"/>
              </w:rPr>
            </w:pPr>
            <w:r>
              <w:rPr>
                <w:rFonts w:ascii="Arial" w:cs="Arial" w:eastAsia="Arial" w:hAnsi="Arial"/>
                <w:sz w:val="21"/>
                <w:szCs w:val="21"/>
                <w:color w:val="auto"/>
              </w:rPr>
              <w:t>Grant Dixton</w:t>
            </w:r>
          </w:p>
        </w:tc>
      </w:tr>
      <w:tr>
        <w:trPr>
          <w:trHeight w:val="315"/>
        </w:trPr>
        <w:tc>
          <w:tcPr>
            <w:tcW w:w="7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21"/>
                <w:szCs w:val="21"/>
                <w:color w:val="auto"/>
              </w:rPr>
              <w:t>EVP Corporate Affairs</w:t>
            </w:r>
          </w:p>
        </w:tc>
        <w:tc>
          <w:tcPr>
            <w:tcW w:w="10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780" w:type="dxa"/>
            <w:vAlign w:val="bottom"/>
          </w:tcPr>
          <w:p>
            <w:pPr>
              <w:spacing w:after="0"/>
              <w:rPr>
                <w:sz w:val="20"/>
                <w:szCs w:val="20"/>
                <w:color w:val="auto"/>
              </w:rPr>
            </w:pPr>
            <w:r>
              <w:rPr>
                <w:rFonts w:ascii="Arial" w:cs="Arial" w:eastAsia="Arial" w:hAnsi="Arial"/>
                <w:sz w:val="21"/>
                <w:szCs w:val="21"/>
                <w:color w:val="auto"/>
              </w:rPr>
              <w:t>Date:</w:t>
            </w:r>
          </w:p>
        </w:tc>
        <w:tc>
          <w:tcPr>
            <w:tcW w:w="4640" w:type="dxa"/>
            <w:vAlign w:val="bottom"/>
          </w:tcPr>
          <w:p>
            <w:pPr>
              <w:spacing w:after="0"/>
              <w:rPr>
                <w:sz w:val="20"/>
                <w:szCs w:val="20"/>
                <w:color w:val="auto"/>
              </w:rPr>
            </w:pPr>
            <w:r>
              <w:rPr>
                <w:rFonts w:ascii="Arial" w:cs="Arial" w:eastAsia="Arial" w:hAnsi="Arial"/>
                <w:sz w:val="21"/>
                <w:szCs w:val="21"/>
                <w:color w:val="auto"/>
              </w:rPr>
              <w:t>May 17, 2021</w:t>
            </w:r>
          </w:p>
        </w:tc>
        <w:tc>
          <w:tcPr>
            <w:tcW w:w="1080" w:type="dxa"/>
            <w:vAlign w:val="bottom"/>
          </w:tcPr>
          <w:p>
            <w:pPr>
              <w:ind w:left="280"/>
              <w:spacing w:after="0"/>
              <w:rPr>
                <w:sz w:val="20"/>
                <w:szCs w:val="20"/>
                <w:color w:val="auto"/>
              </w:rPr>
            </w:pPr>
            <w:r>
              <w:rPr>
                <w:rFonts w:ascii="Arial" w:cs="Arial" w:eastAsia="Arial" w:hAnsi="Arial"/>
                <w:sz w:val="21"/>
                <w:szCs w:val="21"/>
                <w:color w:val="auto"/>
              </w:rPr>
              <w:t>Date:</w:t>
            </w:r>
          </w:p>
        </w:tc>
        <w:tc>
          <w:tcPr>
            <w:tcW w:w="4720" w:type="dxa"/>
            <w:vAlign w:val="bottom"/>
          </w:tcPr>
          <w:p>
            <w:pPr>
              <w:ind w:left="20"/>
              <w:spacing w:after="0"/>
              <w:rPr>
                <w:sz w:val="20"/>
                <w:szCs w:val="20"/>
                <w:color w:val="auto"/>
              </w:rPr>
            </w:pPr>
            <w:r>
              <w:rPr>
                <w:rFonts w:ascii="Arial" w:cs="Arial" w:eastAsia="Arial" w:hAnsi="Arial"/>
                <w:sz w:val="21"/>
                <w:szCs w:val="21"/>
                <w:color w:val="auto"/>
              </w:rPr>
              <w:t>May 17, 2021</w:t>
            </w:r>
          </w:p>
        </w:tc>
      </w:tr>
      <w:tr>
        <w:trPr>
          <w:trHeight w:val="30"/>
        </w:trPr>
        <w:tc>
          <w:tcPr>
            <w:tcW w:w="78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337" w:name="page338"/>
    <w:bookmarkEnd w:id="337"/>
    <w:p>
      <w:pPr>
        <w:jc w:val="right"/>
        <w:ind w:right="20"/>
        <w:spacing w:after="0"/>
        <w:rPr>
          <w:sz w:val="20"/>
          <w:szCs w:val="20"/>
          <w:color w:val="auto"/>
        </w:rPr>
      </w:pPr>
      <w:r>
        <w:rPr>
          <w:rFonts w:ascii="Arial" w:cs="Arial" w:eastAsia="Arial" w:hAnsi="Arial"/>
          <w:sz w:val="21"/>
          <w:szCs w:val="21"/>
          <w:b w:val="1"/>
          <w:bCs w:val="1"/>
          <w:color w:val="auto"/>
        </w:rPr>
        <w:t>Exhibit 10.33</w:t>
      </w:r>
    </w:p>
    <w:p>
      <w:pPr>
        <w:jc w:val="right"/>
        <w:ind w:right="20"/>
        <w:spacing w:after="0" w:line="213" w:lineRule="auto"/>
        <w:rPr>
          <w:sz w:val="20"/>
          <w:szCs w:val="20"/>
          <w:color w:val="auto"/>
        </w:rPr>
      </w:pPr>
      <w:r>
        <w:rPr>
          <w:rFonts w:ascii="Arial" w:cs="Arial" w:eastAsia="Arial" w:hAnsi="Arial"/>
          <w:sz w:val="21"/>
          <w:szCs w:val="21"/>
          <w:i w:val="1"/>
          <w:iCs w:val="1"/>
          <w:color w:val="auto"/>
        </w:rPr>
        <w:t>As adopted by the Board on</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21"/>
          <w:szCs w:val="21"/>
          <w:i w:val="1"/>
          <w:iCs w:val="1"/>
          <w:color w:val="auto"/>
        </w:rPr>
        <w:t>December 3, 2021, effective as of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-8890</wp:posOffset>
            </wp:positionV>
            <wp:extent cx="1765300" cy="4660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1765300"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320" w:type="dxa"/>
            <w:vAlign w:val="bottom"/>
            <w:gridSpan w:val="2"/>
          </w:tcPr>
          <w:p>
            <w:pPr>
              <w:jc w:val="center"/>
              <w:ind w:right="2835"/>
              <w:spacing w:after="0"/>
              <w:rPr>
                <w:sz w:val="20"/>
                <w:szCs w:val="20"/>
                <w:color w:val="auto"/>
              </w:rPr>
            </w:pPr>
            <w:r>
              <w:rPr>
                <w:rFonts w:ascii="Arial" w:cs="Arial" w:eastAsia="Arial" w:hAnsi="Arial"/>
                <w:sz w:val="21"/>
                <w:szCs w:val="21"/>
                <w:b w:val="1"/>
                <w:bCs w:val="1"/>
                <w:color w:val="auto"/>
                <w:w w:val="91"/>
              </w:rPr>
              <w:t>Non-Affiliated Director Compensation Program</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540" w:type="dxa"/>
            <w:vAlign w:val="bottom"/>
          </w:tcPr>
          <w:p>
            <w:pPr>
              <w:jc w:val="center"/>
              <w:ind w:right="3615"/>
              <w:spacing w:after="0" w:line="210" w:lineRule="exact"/>
              <w:rPr>
                <w:sz w:val="20"/>
                <w:szCs w:val="20"/>
                <w:color w:val="auto"/>
              </w:rPr>
            </w:pPr>
            <w:r>
              <w:rPr>
                <w:rFonts w:ascii="Arial" w:cs="Arial" w:eastAsia="Arial" w:hAnsi="Arial"/>
                <w:sz w:val="21"/>
                <w:szCs w:val="21"/>
                <w:b w:val="1"/>
                <w:bCs w:val="1"/>
                <w:color w:val="auto"/>
                <w:w w:val="90"/>
              </w:rPr>
              <w:t>and</w:t>
            </w:r>
          </w:p>
        </w:tc>
        <w:tc>
          <w:tcPr>
            <w:tcW w:w="0" w:type="dxa"/>
            <w:vAlign w:val="bottom"/>
          </w:tcPr>
          <w:p>
            <w:pPr>
              <w:spacing w:after="0"/>
              <w:rPr>
                <w:sz w:val="1"/>
                <w:szCs w:val="1"/>
                <w:color w:val="auto"/>
              </w:rPr>
            </w:pPr>
          </w:p>
        </w:tc>
      </w:tr>
      <w:tr>
        <w:trPr>
          <w:trHeight w:val="273"/>
        </w:trPr>
        <w:tc>
          <w:tcPr>
            <w:tcW w:w="2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540" w:type="dxa"/>
            <w:vAlign w:val="bottom"/>
          </w:tcPr>
          <w:p>
            <w:pPr>
              <w:jc w:val="center"/>
              <w:ind w:right="3635"/>
              <w:spacing w:after="0"/>
              <w:rPr>
                <w:sz w:val="20"/>
                <w:szCs w:val="20"/>
                <w:color w:val="auto"/>
              </w:rPr>
            </w:pPr>
            <w:r>
              <w:rPr>
                <w:rFonts w:ascii="Arial" w:cs="Arial" w:eastAsia="Arial" w:hAnsi="Arial"/>
                <w:sz w:val="21"/>
                <w:szCs w:val="21"/>
                <w:b w:val="1"/>
                <w:bCs w:val="1"/>
                <w:color w:val="auto"/>
                <w:w w:val="89"/>
              </w:rPr>
              <w:t>Stock Ownership Guidelines</w:t>
            </w:r>
          </w:p>
        </w:tc>
        <w:tc>
          <w:tcPr>
            <w:tcW w:w="0" w:type="dxa"/>
            <w:vAlign w:val="bottom"/>
          </w:tcPr>
          <w:p>
            <w:pPr>
              <w:spacing w:after="0"/>
              <w:rPr>
                <w:sz w:val="1"/>
                <w:szCs w:val="1"/>
                <w:color w:val="auto"/>
              </w:rPr>
            </w:pPr>
          </w:p>
        </w:tc>
      </w:tr>
      <w:tr>
        <w:trPr>
          <w:trHeight w:val="238"/>
        </w:trPr>
        <w:tc>
          <w:tcPr>
            <w:tcW w:w="2240" w:type="dxa"/>
            <w:vAlign w:val="bottom"/>
            <w:vMerge w:val="restart"/>
          </w:tcPr>
          <w:p>
            <w:pPr>
              <w:spacing w:after="0"/>
              <w:rPr>
                <w:sz w:val="20"/>
                <w:szCs w:val="20"/>
                <w:color w:val="auto"/>
              </w:rPr>
            </w:pPr>
            <w:r>
              <w:rPr>
                <w:rFonts w:ascii="Arial" w:cs="Arial" w:eastAsia="Arial" w:hAnsi="Arial"/>
                <w:sz w:val="17"/>
                <w:szCs w:val="17"/>
                <w:b w:val="1"/>
                <w:bCs w:val="1"/>
                <w:color w:val="FFFFFF"/>
              </w:rPr>
              <w:t>Non-Affiliated Director</w:t>
            </w: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p>
        </w:tc>
        <w:tc>
          <w:tcPr>
            <w:tcW w:w="7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240" w:type="dxa"/>
            <w:vAlign w:val="bottom"/>
            <w:vMerge w:val="continue"/>
          </w:tcPr>
          <w:p>
            <w:pPr>
              <w:spacing w:after="0"/>
              <w:rPr>
                <w:sz w:val="24"/>
                <w:szCs w:val="24"/>
                <w:color w:val="auto"/>
              </w:rPr>
            </w:pPr>
          </w:p>
        </w:tc>
        <w:tc>
          <w:tcPr>
            <w:tcW w:w="8940" w:type="dxa"/>
            <w:vAlign w:val="bottom"/>
            <w:gridSpan w:val="4"/>
          </w:tcPr>
          <w:p>
            <w:pPr>
              <w:ind w:left="80"/>
              <w:spacing w:after="0"/>
              <w:rPr>
                <w:sz w:val="20"/>
                <w:szCs w:val="20"/>
                <w:color w:val="auto"/>
              </w:rPr>
            </w:pPr>
            <w:r>
              <w:rPr>
                <w:rFonts w:ascii="Arial" w:cs="Arial" w:eastAsia="Arial" w:hAnsi="Arial"/>
                <w:sz w:val="17"/>
                <w:szCs w:val="17"/>
                <w:color w:val="auto"/>
                <w:w w:val="94"/>
              </w:rPr>
              <w:t>For purposes of this program, a “</w:t>
            </w:r>
            <w:r>
              <w:rPr>
                <w:rFonts w:ascii="Arial" w:cs="Arial" w:eastAsia="Arial" w:hAnsi="Arial"/>
                <w:sz w:val="17"/>
                <w:szCs w:val="17"/>
                <w:b w:val="1"/>
                <w:bCs w:val="1"/>
                <w:i w:val="1"/>
                <w:iCs w:val="1"/>
                <w:color w:val="auto"/>
                <w:w w:val="94"/>
              </w:rPr>
              <w:t>Non-Affiliated Director</w:t>
            </w:r>
            <w:r>
              <w:rPr>
                <w:rFonts w:ascii="Arial" w:cs="Arial" w:eastAsia="Arial" w:hAnsi="Arial"/>
                <w:sz w:val="17"/>
                <w:szCs w:val="17"/>
                <w:color w:val="auto"/>
                <w:w w:val="94"/>
              </w:rPr>
              <w:t>” is any director of the Company that is not also an employee of the</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894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color w:val="auto"/>
              </w:rPr>
              <w:t>Company or any of its subsidiaries.</w:t>
            </w:r>
          </w:p>
        </w:tc>
        <w:tc>
          <w:tcPr>
            <w:tcW w:w="0" w:type="dxa"/>
            <w:vAlign w:val="bottom"/>
          </w:tcPr>
          <w:p>
            <w:pPr>
              <w:spacing w:after="0"/>
              <w:rPr>
                <w:sz w:val="1"/>
                <w:szCs w:val="1"/>
                <w:color w:val="auto"/>
              </w:rPr>
            </w:pPr>
          </w:p>
        </w:tc>
      </w:tr>
      <w:tr>
        <w:trPr>
          <w:trHeight w:val="413"/>
        </w:trPr>
        <w:tc>
          <w:tcPr>
            <w:tcW w:w="2240" w:type="dxa"/>
            <w:vAlign w:val="bottom"/>
          </w:tcPr>
          <w:p>
            <w:pPr>
              <w:spacing w:after="0"/>
              <w:rPr>
                <w:sz w:val="20"/>
                <w:szCs w:val="20"/>
                <w:color w:val="auto"/>
              </w:rPr>
            </w:pPr>
            <w:r>
              <w:rPr>
                <w:rFonts w:ascii="Arial" w:cs="Arial" w:eastAsia="Arial" w:hAnsi="Arial"/>
                <w:sz w:val="17"/>
                <w:szCs w:val="17"/>
                <w:b w:val="1"/>
                <w:bCs w:val="1"/>
                <w:color w:val="FFFFFF"/>
              </w:rPr>
              <w:t>Cash Compensation</w:t>
            </w:r>
          </w:p>
        </w:tc>
        <w:tc>
          <w:tcPr>
            <w:tcW w:w="80" w:type="dxa"/>
            <w:vAlign w:val="bottom"/>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7"/>
                <w:szCs w:val="17"/>
                <w:b w:val="1"/>
                <w:bCs w:val="1"/>
                <w:color w:val="auto"/>
              </w:rPr>
              <w:t>Annual Retainers</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80"/>
              <w:spacing w:after="0" w:line="138" w:lineRule="exact"/>
              <w:rPr>
                <w:sz w:val="20"/>
                <w:szCs w:val="20"/>
                <w:color w:val="auto"/>
              </w:rPr>
            </w:pPr>
            <w:r>
              <w:rPr>
                <w:rFonts w:ascii="Arial" w:cs="Arial" w:eastAsia="Arial" w:hAnsi="Arial"/>
                <w:sz w:val="16"/>
                <w:szCs w:val="16"/>
                <w:color w:val="auto"/>
              </w:rPr>
              <w:t>•</w:t>
            </w:r>
          </w:p>
        </w:tc>
        <w:tc>
          <w:tcPr>
            <w:tcW w:w="8320" w:type="dxa"/>
            <w:vAlign w:val="bottom"/>
            <w:gridSpan w:val="2"/>
          </w:tcPr>
          <w:p>
            <w:pPr>
              <w:ind w:left="80"/>
              <w:spacing w:after="0" w:line="138" w:lineRule="exact"/>
              <w:rPr>
                <w:sz w:val="20"/>
                <w:szCs w:val="20"/>
                <w:color w:val="auto"/>
              </w:rPr>
            </w:pPr>
            <w:r>
              <w:rPr>
                <w:rFonts w:ascii="Arial" w:cs="Arial" w:eastAsia="Arial" w:hAnsi="Arial"/>
                <w:sz w:val="16"/>
                <w:szCs w:val="16"/>
                <w:color w:val="auto"/>
              </w:rPr>
              <w:t>Board Member</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$90,000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Chair of the Board</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ind w:left="380"/>
              <w:spacing w:after="0"/>
              <w:rPr>
                <w:sz w:val="20"/>
                <w:szCs w:val="20"/>
                <w:color w:val="auto"/>
              </w:rPr>
            </w:pPr>
            <w:r>
              <w:rPr>
                <w:rFonts w:ascii="Arial" w:cs="Arial" w:eastAsia="Arial" w:hAnsi="Arial"/>
                <w:sz w:val="17"/>
                <w:szCs w:val="17"/>
                <w:color w:val="auto"/>
              </w:rPr>
              <w:t>•</w:t>
            </w: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w w:val="93"/>
              </w:rPr>
              <w:t>$150,000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320" w:type="dxa"/>
            <w:vAlign w:val="bottom"/>
            <w:gridSpan w:val="2"/>
          </w:tcPr>
          <w:p>
            <w:pPr>
              <w:ind w:left="80"/>
              <w:spacing w:after="0" w:line="171" w:lineRule="exact"/>
              <w:rPr>
                <w:sz w:val="20"/>
                <w:szCs w:val="20"/>
                <w:color w:val="auto"/>
              </w:rPr>
            </w:pPr>
            <w:r>
              <w:rPr>
                <w:rFonts w:ascii="Arial" w:cs="Arial" w:eastAsia="Arial" w:hAnsi="Arial"/>
                <w:sz w:val="17"/>
                <w:szCs w:val="17"/>
                <w:color w:val="auto"/>
              </w:rPr>
              <w:t>Lead Independent Director</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$50,000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Chair of the Audit Committee</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$40,000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Chair of the Workplace Responsibility Committee</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$40,000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Chair of the Compensation Committee</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$40,000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Chair of the Nominating and Corporate Governance Committee</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$30,000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Audit Committee Member (other than the Chair)</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$11,000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Workplace Responsibility Committee Member (other than the Chair)</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$11,000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Compensation Committee Member (other than the Chair)</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100"/>
              <w:spacing w:after="0" w:line="171" w:lineRule="exact"/>
              <w:rPr>
                <w:sz w:val="20"/>
                <w:szCs w:val="20"/>
                <w:color w:val="auto"/>
              </w:rPr>
            </w:pPr>
            <w:r>
              <w:rPr>
                <w:rFonts w:ascii="Arial" w:cs="Arial" w:eastAsia="Arial" w:hAnsi="Arial"/>
                <w:sz w:val="17"/>
                <w:szCs w:val="17"/>
                <w:color w:val="auto"/>
              </w:rPr>
              <w:t>$5,500</w:t>
            </w:r>
          </w:p>
        </w:tc>
        <w:tc>
          <w:tcPr>
            <w:tcW w:w="7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gridSpan w:val="3"/>
          </w:tcPr>
          <w:p>
            <w:pPr>
              <w:ind w:left="380"/>
              <w:spacing w:after="0" w:line="171" w:lineRule="exact"/>
              <w:rPr>
                <w:sz w:val="20"/>
                <w:szCs w:val="20"/>
                <w:color w:val="auto"/>
              </w:rPr>
            </w:pPr>
            <w:r>
              <w:rPr>
                <w:rFonts w:ascii="Arial" w:cs="Arial" w:eastAsia="Arial" w:hAnsi="Arial"/>
                <w:sz w:val="17"/>
                <w:szCs w:val="17"/>
                <w:color w:val="auto"/>
              </w:rPr>
              <w:t>•  Nominating and Corporate Governance Committee Member (other than the Chair)</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7"/>
                <w:szCs w:val="17"/>
                <w:color w:val="auto"/>
              </w:rPr>
              <w:t>$5,500</w:t>
            </w:r>
          </w:p>
        </w:tc>
        <w:tc>
          <w:tcPr>
            <w:tcW w:w="7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-3088640</wp:posOffset>
            </wp:positionV>
            <wp:extent cx="7144385" cy="4996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44385" cy="4996180"/>
                    </a:xfrm>
                    <a:prstGeom prst="rect">
                      <a:avLst/>
                    </a:prstGeom>
                    <a:noFill/>
                  </pic:spPr>
                </pic:pic>
              </a:graphicData>
            </a:graphic>
          </wp:anchor>
        </w:drawing>
      </w:r>
    </w:p>
    <w:p>
      <w:pPr>
        <w:spacing w:after="0" w:line="154" w:lineRule="exact"/>
        <w:rPr>
          <w:sz w:val="20"/>
          <w:szCs w:val="20"/>
          <w:color w:val="auto"/>
        </w:rPr>
      </w:pPr>
    </w:p>
    <w:p>
      <w:pPr>
        <w:ind w:left="2380"/>
        <w:spacing w:after="0"/>
        <w:rPr>
          <w:sz w:val="20"/>
          <w:szCs w:val="20"/>
          <w:color w:val="auto"/>
        </w:rPr>
      </w:pPr>
      <w:r>
        <w:rPr>
          <w:rFonts w:ascii="Arial" w:cs="Arial" w:eastAsia="Arial" w:hAnsi="Arial"/>
          <w:sz w:val="17"/>
          <w:szCs w:val="17"/>
          <w:b w:val="1"/>
          <w:bCs w:val="1"/>
          <w:u w:val="single" w:color="auto"/>
          <w:color w:val="auto"/>
        </w:rPr>
        <w:t>Special Assignment Fees</w:t>
      </w:r>
    </w:p>
    <w:p>
      <w:pPr>
        <w:ind w:left="3020" w:right="200" w:hanging="318"/>
        <w:spacing w:after="0" w:line="209" w:lineRule="auto"/>
        <w:tabs>
          <w:tab w:leader="none" w:pos="301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Per day for special assignments required in connection with board duties (including, without limitation, litigation-related matters, but excluding days on which a director is required to travel to attend meetings)</w:t>
      </w:r>
    </w:p>
    <w:p>
      <w:pPr>
        <w:ind w:left="3020"/>
        <w:spacing w:after="0"/>
        <w:rPr>
          <w:rFonts w:ascii="Arial" w:cs="Arial" w:eastAsia="Arial" w:hAnsi="Arial"/>
          <w:sz w:val="17"/>
          <w:szCs w:val="17"/>
          <w:color w:val="auto"/>
        </w:rPr>
      </w:pPr>
      <w:r>
        <w:rPr>
          <w:rFonts w:ascii="Arial" w:cs="Arial" w:eastAsia="Arial" w:hAnsi="Arial"/>
          <w:sz w:val="17"/>
          <w:szCs w:val="17"/>
          <w:color w:val="auto"/>
        </w:rPr>
        <w:t>$5,500</w:t>
      </w:r>
    </w:p>
    <w:p>
      <w:pPr>
        <w:spacing w:after="0" w:line="175" w:lineRule="exact"/>
        <w:rPr>
          <w:sz w:val="20"/>
          <w:szCs w:val="20"/>
          <w:color w:val="auto"/>
        </w:rPr>
      </w:pPr>
    </w:p>
    <w:p>
      <w:pPr>
        <w:ind w:left="2380"/>
        <w:spacing w:after="0"/>
        <w:rPr>
          <w:sz w:val="20"/>
          <w:szCs w:val="20"/>
          <w:color w:val="auto"/>
        </w:rPr>
      </w:pPr>
      <w:r>
        <w:rPr>
          <w:rFonts w:ascii="Arial" w:cs="Arial" w:eastAsia="Arial" w:hAnsi="Arial"/>
          <w:sz w:val="17"/>
          <w:szCs w:val="17"/>
          <w:b w:val="1"/>
          <w:bCs w:val="1"/>
          <w:u w:val="single" w:color="auto"/>
          <w:color w:val="auto"/>
        </w:rPr>
        <w:t>Payment Terms</w:t>
      </w:r>
    </w:p>
    <w:p>
      <w:pPr>
        <w:ind w:left="2960" w:right="160" w:hanging="258"/>
        <w:spacing w:after="0" w:line="224" w:lineRule="auto"/>
        <w:tabs>
          <w:tab w:leader="none" w:pos="295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All cash retainers will generally be paid in arrears in equal quarterly installments no later than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last date of the applicable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fees be paid later than the date that is 2½ months following the last date of the Company’s fiscal year for which the retainer relates.</w:t>
      </w:r>
    </w:p>
    <w:p>
      <w:pPr>
        <w:spacing w:after="0" w:line="179" w:lineRule="exact"/>
        <w:rPr>
          <w:rFonts w:ascii="Arial" w:cs="Arial" w:eastAsia="Arial" w:hAnsi="Arial"/>
          <w:sz w:val="16"/>
          <w:szCs w:val="16"/>
          <w:color w:val="auto"/>
        </w:rPr>
      </w:pPr>
    </w:p>
    <w:p>
      <w:pPr>
        <w:ind w:left="2960" w:right="160" w:hanging="258"/>
        <w:spacing w:after="0" w:line="228" w:lineRule="auto"/>
        <w:tabs>
          <w:tab w:leader="none" w:pos="295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Special Assignment Fees will generally be paid in arrears in equal quarterly installments no later than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last date of the applicable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fees be paid later than the date that is 2½ months following the last date of the Company’s fiscal year for which the retainer relates.</w:t>
      </w:r>
    </w:p>
    <w:p>
      <w:pPr>
        <w:spacing w:after="0" w:line="186" w:lineRule="exact"/>
        <w:rPr>
          <w:rFonts w:ascii="Arial" w:cs="Arial" w:eastAsia="Arial" w:hAnsi="Arial"/>
          <w:sz w:val="16"/>
          <w:szCs w:val="16"/>
          <w:color w:val="auto"/>
        </w:rPr>
      </w:pPr>
    </w:p>
    <w:p>
      <w:pPr>
        <w:ind w:left="2940" w:hanging="238"/>
        <w:spacing w:after="0"/>
        <w:tabs>
          <w:tab w:leader="none" w:pos="29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Fees will be prorated for partial years of service, with partial months of service credited for full months.</w:t>
      </w:r>
    </w:p>
    <w:p>
      <w:pPr>
        <w:sectPr>
          <w:pgSz w:w="11900" w:h="16838" w:orient="portrait"/>
          <w:cols w:equalWidth="0" w:num="1">
            <w:col w:w="11180"/>
          </w:cols>
          <w:pgMar w:left="400" w:top="1384" w:right="319" w:bottom="1440" w:gutter="0" w:footer="0" w:header="0"/>
        </w:sectPr>
      </w:pPr>
    </w:p>
    <w:bookmarkStart w:id="338" w:name="page339"/>
    <w:bookmarkEnd w:id="338"/>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Expenses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Other Benefits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Affiliated Directors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New Appointment/Election RSU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-274955</wp:posOffset>
            </wp:positionV>
            <wp:extent cx="7144385" cy="5437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44385" cy="5437505"/>
                    </a:xfrm>
                    <a:prstGeom prst="rect">
                      <a:avLst/>
                    </a:prstGeom>
                    <a:noFill/>
                  </pic:spPr>
                </pic:pic>
              </a:graphicData>
            </a:graphic>
          </wp:anchor>
        </w:drawing>
      </w:r>
    </w:p>
    <w:p>
      <w:pPr>
        <w:ind w:left="636" w:right="20" w:hanging="636"/>
        <w:spacing w:after="0" w:line="215" w:lineRule="auto"/>
        <w:tabs>
          <w:tab w:leader="none" w:pos="63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Each newly elected or appointed Non-Affiliated Director will receive a grant of RSUs with a grant date value of $250,000 (the exact number of RSUs to be determined by dividing $250,000 by the NASDAQ Official Closing Price of the Company’s stock on the date of grant) upon initial election or appointment to the Board. If a Non-Affiliated Director is newly elected or appointed at any time other than at the Board meeting immediately following the annual meeting of shareholders, then the $250,000 grant date value will be pro-rated by reference to the expected amount of time from the date of such appointment or election until the Company’s next annual meeting of stockholders.</w:t>
      </w:r>
    </w:p>
    <w:p>
      <w:pPr>
        <w:spacing w:after="0" w:line="179"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Annual RSU Grant</w:t>
      </w:r>
    </w:p>
    <w:p>
      <w:pPr>
        <w:ind w:left="636" w:right="80" w:hanging="258"/>
        <w:spacing w:after="0" w:line="224" w:lineRule="auto"/>
        <w:tabs>
          <w:tab w:leader="none" w:pos="62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Each Non-Affiliated Director will receive an annual grant of RSUs with a grant date value of $250,000 (the exact number of RSUs to be determined by dividing $250,000 by the NASDAQ Official Closing Price of the Company’s stock on the date of grant) upon re-election to the Board.</w:t>
      </w:r>
    </w:p>
    <w:p>
      <w:pPr>
        <w:spacing w:after="0" w:line="175"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Grant Date</w:t>
      </w:r>
    </w:p>
    <w:p>
      <w:pPr>
        <w:ind w:left="636" w:hanging="258"/>
        <w:spacing w:after="0" w:line="232" w:lineRule="auto"/>
        <w:tabs>
          <w:tab w:leader="none" w:pos="62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RSU grants will be approved by the Board promptly following election, appointment or re-election to the Board and will be made three business days following the date of the Board’s approval of such grant.</w:t>
      </w:r>
    </w:p>
    <w:p>
      <w:pPr>
        <w:spacing w:after="0" w:line="174"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Vesting</w:t>
      </w:r>
    </w:p>
    <w:p>
      <w:pPr>
        <w:ind w:left="616" w:hanging="238"/>
        <w:spacing w:after="0"/>
        <w:tabs>
          <w:tab w:leader="none" w:pos="61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RSUs will vest ratably on a quarterly basis over the one-year period from the date of grant.</w:t>
      </w:r>
    </w:p>
    <w:p>
      <w:pPr>
        <w:spacing w:after="0" w:line="197" w:lineRule="exact"/>
        <w:rPr>
          <w:rFonts w:ascii="Arial" w:cs="Arial" w:eastAsia="Arial" w:hAnsi="Arial"/>
          <w:sz w:val="17"/>
          <w:szCs w:val="17"/>
          <w:color w:val="auto"/>
        </w:rPr>
      </w:pPr>
    </w:p>
    <w:p>
      <w:pPr>
        <w:ind w:left="616" w:hanging="238"/>
        <w:spacing w:after="0"/>
        <w:tabs>
          <w:tab w:leader="none" w:pos="61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 director must be in continuous active service on each applicable vesting date.</w:t>
      </w:r>
    </w:p>
    <w:p>
      <w:pPr>
        <w:spacing w:after="0" w:line="211" w:lineRule="exact"/>
        <w:rPr>
          <w:rFonts w:ascii="Arial" w:cs="Arial" w:eastAsia="Arial" w:hAnsi="Arial"/>
          <w:sz w:val="17"/>
          <w:szCs w:val="17"/>
          <w:color w:val="auto"/>
        </w:rPr>
      </w:pPr>
    </w:p>
    <w:p>
      <w:pPr>
        <w:ind w:left="616" w:hanging="238"/>
        <w:spacing w:after="0"/>
        <w:tabs>
          <w:tab w:leader="none" w:pos="61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Vesting will accelerate on the date of a director’s cessation of service due to death or Disability.</w:t>
      </w:r>
    </w:p>
    <w:p>
      <w:pPr>
        <w:spacing w:after="0" w:line="200"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Change of Control</w:t>
      </w:r>
    </w:p>
    <w:p>
      <w:pPr>
        <w:ind w:left="636" w:right="120" w:hanging="258"/>
        <w:spacing w:after="0" w:line="224" w:lineRule="auto"/>
        <w:tabs>
          <w:tab w:leader="none" w:pos="62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that the director ceases to serve as a member of the Board of Directors pursuant to the terms of any business combination or similar transaction involving the Company, the RSUs will immediately vest as of the date on which the business combination or similar transaction is consummated.</w:t>
      </w:r>
    </w:p>
    <w:p>
      <w:pPr>
        <w:spacing w:after="0" w:line="175"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Dividend Equivalents</w:t>
      </w:r>
    </w:p>
    <w:p>
      <w:pPr>
        <w:ind w:left="636" w:hanging="258"/>
        <w:spacing w:after="0" w:line="232" w:lineRule="auto"/>
        <w:tabs>
          <w:tab w:leader="none" w:pos="62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RSUs will not be entitled to receive any payment, payment-in-kind or any equivalent with regard to any cash or other dividends that are declared and paid on the Company’s common stock.</w:t>
      </w:r>
    </w:p>
    <w:p>
      <w:pPr>
        <w:spacing w:after="0" w:line="174" w:lineRule="exact"/>
        <w:rPr>
          <w:sz w:val="20"/>
          <w:szCs w:val="20"/>
          <w:color w:val="auto"/>
        </w:rPr>
      </w:pPr>
    </w:p>
    <w:p>
      <w:pPr>
        <w:ind w:left="56"/>
        <w:spacing w:after="0"/>
        <w:rPr>
          <w:sz w:val="20"/>
          <w:szCs w:val="20"/>
          <w:color w:val="auto"/>
        </w:rPr>
      </w:pPr>
      <w:r>
        <w:rPr>
          <w:rFonts w:ascii="Arial" w:cs="Arial" w:eastAsia="Arial" w:hAnsi="Arial"/>
          <w:sz w:val="17"/>
          <w:szCs w:val="17"/>
          <w:b w:val="1"/>
          <w:bCs w:val="1"/>
          <w:u w:val="single" w:color="auto"/>
          <w:color w:val="auto"/>
        </w:rPr>
        <w:t>Award Agreement</w:t>
      </w:r>
    </w:p>
    <w:p>
      <w:pPr>
        <w:ind w:left="696" w:right="520" w:hanging="318"/>
        <w:spacing w:after="0" w:line="232" w:lineRule="auto"/>
        <w:tabs>
          <w:tab w:leader="none" w:pos="69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RSUs will be granted pursuant to the Company’s 2014 Incentive Plan and will be subject to the terms of the applicable Non-Affiliated Director stock RSU agreement as in effect at the time of grant.</w:t>
      </w:r>
    </w:p>
    <w:p>
      <w:pPr>
        <w:spacing w:after="0" w:line="251" w:lineRule="exact"/>
        <w:rPr>
          <w:sz w:val="20"/>
          <w:szCs w:val="20"/>
          <w:color w:val="auto"/>
        </w:rPr>
      </w:pPr>
    </w:p>
    <w:p>
      <w:pPr>
        <w:ind w:left="56"/>
        <w:spacing w:after="0"/>
        <w:rPr>
          <w:sz w:val="20"/>
          <w:szCs w:val="20"/>
          <w:color w:val="auto"/>
        </w:rPr>
      </w:pPr>
      <w:r>
        <w:rPr>
          <w:rFonts w:ascii="Arial" w:cs="Arial" w:eastAsia="Arial" w:hAnsi="Arial"/>
          <w:sz w:val="16"/>
          <w:szCs w:val="16"/>
          <w:color w:val="auto"/>
        </w:rPr>
        <w:t>Directors receive reimbursement of business and travel expenses from time to time in accordance with Company policy.</w:t>
      </w:r>
    </w:p>
    <w:p>
      <w:pPr>
        <w:spacing w:after="0" w:line="288" w:lineRule="exact"/>
        <w:rPr>
          <w:sz w:val="20"/>
          <w:szCs w:val="20"/>
          <w:color w:val="auto"/>
        </w:rPr>
      </w:pPr>
    </w:p>
    <w:p>
      <w:pPr>
        <w:ind w:left="56"/>
        <w:spacing w:after="0"/>
        <w:rPr>
          <w:sz w:val="20"/>
          <w:szCs w:val="20"/>
          <w:color w:val="auto"/>
        </w:rPr>
      </w:pPr>
      <w:r>
        <w:rPr>
          <w:rFonts w:ascii="Arial" w:cs="Arial" w:eastAsia="Arial" w:hAnsi="Arial"/>
          <w:sz w:val="17"/>
          <w:szCs w:val="17"/>
          <w:color w:val="auto"/>
        </w:rPr>
        <w:t>As determined by the Board from time-to-time.</w:t>
      </w:r>
    </w:p>
    <w:p>
      <w:pPr>
        <w:spacing w:after="0" w:line="277" w:lineRule="exact"/>
        <w:rPr>
          <w:sz w:val="20"/>
          <w:szCs w:val="20"/>
          <w:color w:val="auto"/>
        </w:rPr>
      </w:pPr>
    </w:p>
    <w:p>
      <w:pPr>
        <w:ind w:left="56"/>
        <w:spacing w:after="0"/>
        <w:rPr>
          <w:sz w:val="20"/>
          <w:szCs w:val="20"/>
          <w:color w:val="auto"/>
        </w:rPr>
      </w:pPr>
      <w:r>
        <w:rPr>
          <w:rFonts w:ascii="Arial" w:cs="Arial" w:eastAsia="Arial" w:hAnsi="Arial"/>
          <w:sz w:val="16"/>
          <w:szCs w:val="16"/>
          <w:color w:val="auto"/>
        </w:rPr>
        <w:t>Directors who are employees of the Company or any of its subsidiaries will not be entitled to compensation as a director.</w:t>
      </w:r>
    </w:p>
    <w:p>
      <w:pPr>
        <w:sectPr>
          <w:pgSz w:w="11900" w:h="16838" w:orient="portrait"/>
          <w:cols w:equalWidth="0" w:num="2">
            <w:col w:w="1680" w:space="644"/>
            <w:col w:w="8756"/>
          </w:cols>
          <w:pgMar w:left="400" w:top="1440" w:right="41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472"/>
        </w:trPr>
        <w:tc>
          <w:tcPr>
            <w:tcW w:w="2320" w:type="dxa"/>
            <w:vAlign w:val="bottom"/>
            <w:tcBorders>
              <w:top w:val="single" w:sz="8" w:color="222A35"/>
              <w:bottom w:val="single" w:sz="8" w:color="222A35"/>
            </w:tcBorders>
            <w:shd w:val="clear" w:color="auto" w:fill="222A35"/>
          </w:tcPr>
          <w:p>
            <w:pPr>
              <w:ind w:left="80"/>
              <w:spacing w:after="0"/>
              <w:rPr>
                <w:sz w:val="20"/>
                <w:szCs w:val="20"/>
                <w:color w:val="auto"/>
              </w:rPr>
            </w:pPr>
            <w:r>
              <w:rPr>
                <w:rFonts w:ascii="Arial" w:cs="Arial" w:eastAsia="Arial" w:hAnsi="Arial"/>
                <w:sz w:val="17"/>
                <w:szCs w:val="17"/>
                <w:b w:val="1"/>
                <w:bCs w:val="1"/>
                <w:color w:val="FFFFFF"/>
              </w:rPr>
              <w:t>Plan Administration</w:t>
            </w:r>
          </w:p>
        </w:tc>
        <w:tc>
          <w:tcPr>
            <w:tcW w:w="894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7"/>
                <w:szCs w:val="17"/>
                <w:color w:val="auto"/>
              </w:rPr>
              <w:t>The human resources and the legal departments will administer the Non-Affiliated Directors’ compensation program.</w:t>
            </w:r>
          </w:p>
        </w:tc>
      </w:tr>
      <w:tr>
        <w:trPr>
          <w:trHeight w:val="400"/>
        </w:trPr>
        <w:tc>
          <w:tcPr>
            <w:tcW w:w="2320" w:type="dxa"/>
            <w:vAlign w:val="bottom"/>
            <w:shd w:val="clear" w:color="auto" w:fill="222A35"/>
          </w:tcPr>
          <w:p>
            <w:pPr>
              <w:ind w:left="80"/>
              <w:spacing w:after="0"/>
              <w:rPr>
                <w:sz w:val="20"/>
                <w:szCs w:val="20"/>
                <w:color w:val="auto"/>
              </w:rPr>
            </w:pPr>
            <w:r>
              <w:rPr>
                <w:rFonts w:ascii="Arial" w:cs="Arial" w:eastAsia="Arial" w:hAnsi="Arial"/>
                <w:sz w:val="17"/>
                <w:szCs w:val="17"/>
                <w:b w:val="1"/>
                <w:bCs w:val="1"/>
                <w:color w:val="FFFFFF"/>
              </w:rPr>
              <w:t>Non-Affiliated Director</w:t>
            </w:r>
          </w:p>
        </w:tc>
        <w:tc>
          <w:tcPr>
            <w:tcW w:w="460" w:type="dxa"/>
            <w:vAlign w:val="bottom"/>
          </w:tcPr>
          <w:p>
            <w:pPr>
              <w:ind w:left="140"/>
              <w:spacing w:after="0"/>
              <w:rPr>
                <w:sz w:val="20"/>
                <w:szCs w:val="20"/>
                <w:color w:val="auto"/>
              </w:rPr>
            </w:pPr>
            <w:r>
              <w:rPr>
                <w:rFonts w:ascii="Arial" w:cs="Arial" w:eastAsia="Arial" w:hAnsi="Arial"/>
                <w:sz w:val="17"/>
                <w:szCs w:val="17"/>
                <w:color w:val="auto"/>
              </w:rPr>
              <w:t>•</w:t>
            </w:r>
          </w:p>
        </w:tc>
        <w:tc>
          <w:tcPr>
            <w:tcW w:w="848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Each Non-Affiliated Director is required, within four years following his or her first election to the Board, to</w:t>
            </w:r>
          </w:p>
        </w:tc>
      </w:tr>
      <w:tr>
        <w:trPr>
          <w:trHeight w:val="171"/>
        </w:trPr>
        <w:tc>
          <w:tcPr>
            <w:tcW w:w="2320" w:type="dxa"/>
            <w:vAlign w:val="bottom"/>
            <w:shd w:val="clear" w:color="auto" w:fill="222A35"/>
          </w:tcPr>
          <w:p>
            <w:pPr>
              <w:ind w:left="80"/>
              <w:spacing w:after="0" w:line="172" w:lineRule="exact"/>
              <w:rPr>
                <w:sz w:val="20"/>
                <w:szCs w:val="20"/>
                <w:color w:val="auto"/>
              </w:rPr>
            </w:pPr>
            <w:r>
              <w:rPr>
                <w:rFonts w:ascii="Arial" w:cs="Arial" w:eastAsia="Arial" w:hAnsi="Arial"/>
                <w:sz w:val="17"/>
                <w:szCs w:val="17"/>
                <w:b w:val="1"/>
                <w:bCs w:val="1"/>
                <w:color w:val="FFFFFF"/>
                <w:w w:val="96"/>
              </w:rPr>
              <w:t>Stock Ownership Guidelines</w:t>
            </w:r>
          </w:p>
        </w:tc>
        <w:tc>
          <w:tcPr>
            <w:tcW w:w="460" w:type="dxa"/>
            <w:vAlign w:val="bottom"/>
          </w:tcPr>
          <w:p>
            <w:pPr>
              <w:spacing w:after="0"/>
              <w:rPr>
                <w:sz w:val="14"/>
                <w:szCs w:val="14"/>
                <w:color w:val="auto"/>
              </w:rPr>
            </w:pPr>
          </w:p>
        </w:tc>
        <w:tc>
          <w:tcPr>
            <w:tcW w:w="8480" w:type="dxa"/>
            <w:vAlign w:val="bottom"/>
            <w:tcBorders>
              <w:right w:val="single" w:sz="8" w:color="auto"/>
            </w:tcBorders>
          </w:tcPr>
          <w:p>
            <w:pPr>
              <w:ind w:left="240"/>
              <w:spacing w:after="0" w:line="172" w:lineRule="exact"/>
              <w:rPr>
                <w:sz w:val="20"/>
                <w:szCs w:val="20"/>
                <w:color w:val="auto"/>
              </w:rPr>
            </w:pPr>
            <w:r>
              <w:rPr>
                <w:rFonts w:ascii="Arial" w:cs="Arial" w:eastAsia="Arial" w:hAnsi="Arial"/>
                <w:sz w:val="17"/>
                <w:szCs w:val="17"/>
                <w:color w:val="auto"/>
                <w:w w:val="98"/>
              </w:rPr>
              <w:t>beneficially own (within the meaning of Rule 13d-3 promulgated under the Securities Exchange Act of 1934, as</w:t>
            </w:r>
          </w:p>
        </w:tc>
      </w:tr>
      <w:tr>
        <w:trPr>
          <w:trHeight w:val="170"/>
        </w:trPr>
        <w:tc>
          <w:tcPr>
            <w:tcW w:w="2320" w:type="dxa"/>
            <w:vAlign w:val="bottom"/>
            <w:shd w:val="clear" w:color="auto" w:fill="222A35"/>
          </w:tcPr>
          <w:p>
            <w:pPr>
              <w:spacing w:after="0"/>
              <w:rPr>
                <w:sz w:val="14"/>
                <w:szCs w:val="14"/>
                <w:color w:val="auto"/>
              </w:rPr>
            </w:pPr>
          </w:p>
        </w:tc>
        <w:tc>
          <w:tcPr>
            <w:tcW w:w="460" w:type="dxa"/>
            <w:vAlign w:val="bottom"/>
          </w:tcPr>
          <w:p>
            <w:pPr>
              <w:spacing w:after="0"/>
              <w:rPr>
                <w:sz w:val="14"/>
                <w:szCs w:val="14"/>
                <w:color w:val="auto"/>
              </w:rPr>
            </w:pPr>
          </w:p>
        </w:tc>
        <w:tc>
          <w:tcPr>
            <w:tcW w:w="8480" w:type="dxa"/>
            <w:vAlign w:val="bottom"/>
            <w:tcBorders>
              <w:right w:val="single" w:sz="8" w:color="auto"/>
            </w:tcBorders>
          </w:tcPr>
          <w:p>
            <w:pPr>
              <w:ind w:left="240"/>
              <w:spacing w:after="0" w:line="171" w:lineRule="exact"/>
              <w:rPr>
                <w:sz w:val="20"/>
                <w:szCs w:val="20"/>
                <w:color w:val="auto"/>
              </w:rPr>
            </w:pPr>
            <w:r>
              <w:rPr>
                <w:rFonts w:ascii="Arial" w:cs="Arial" w:eastAsia="Arial" w:hAnsi="Arial"/>
                <w:sz w:val="17"/>
                <w:szCs w:val="17"/>
                <w:color w:val="auto"/>
                <w:w w:val="96"/>
              </w:rPr>
              <w:t>amended) shares of the Company’s common stock (including any restricted shares of common stock or restricted</w:t>
            </w:r>
          </w:p>
        </w:tc>
      </w:tr>
      <w:tr>
        <w:trPr>
          <w:trHeight w:val="170"/>
        </w:trPr>
        <w:tc>
          <w:tcPr>
            <w:tcW w:w="2320" w:type="dxa"/>
            <w:vAlign w:val="bottom"/>
            <w:shd w:val="clear" w:color="auto" w:fill="222A35"/>
          </w:tcPr>
          <w:p>
            <w:pPr>
              <w:spacing w:after="0"/>
              <w:rPr>
                <w:sz w:val="14"/>
                <w:szCs w:val="14"/>
                <w:color w:val="auto"/>
              </w:rPr>
            </w:pPr>
          </w:p>
        </w:tc>
        <w:tc>
          <w:tcPr>
            <w:tcW w:w="460" w:type="dxa"/>
            <w:vAlign w:val="bottom"/>
          </w:tcPr>
          <w:p>
            <w:pPr>
              <w:spacing w:after="0"/>
              <w:rPr>
                <w:sz w:val="14"/>
                <w:szCs w:val="14"/>
                <w:color w:val="auto"/>
              </w:rPr>
            </w:pPr>
          </w:p>
        </w:tc>
        <w:tc>
          <w:tcPr>
            <w:tcW w:w="8480" w:type="dxa"/>
            <w:vAlign w:val="bottom"/>
            <w:tcBorders>
              <w:right w:val="single" w:sz="8" w:color="auto"/>
            </w:tcBorders>
          </w:tcPr>
          <w:p>
            <w:pPr>
              <w:ind w:left="240"/>
              <w:spacing w:after="0" w:line="171" w:lineRule="exact"/>
              <w:rPr>
                <w:sz w:val="20"/>
                <w:szCs w:val="20"/>
                <w:color w:val="auto"/>
              </w:rPr>
            </w:pPr>
            <w:r>
              <w:rPr>
                <w:rFonts w:ascii="Arial" w:cs="Arial" w:eastAsia="Arial" w:hAnsi="Arial"/>
                <w:sz w:val="17"/>
                <w:szCs w:val="17"/>
                <w:color w:val="auto"/>
                <w:w w:val="97"/>
              </w:rPr>
              <w:t>share units payable in shares of the Company’s common stock) having an aggregate value at least equal to five</w:t>
            </w:r>
          </w:p>
        </w:tc>
      </w:tr>
      <w:tr>
        <w:trPr>
          <w:trHeight w:val="222"/>
        </w:trPr>
        <w:tc>
          <w:tcPr>
            <w:tcW w:w="2320" w:type="dxa"/>
            <w:vAlign w:val="bottom"/>
            <w:shd w:val="clear" w:color="auto" w:fill="222A35"/>
          </w:tcPr>
          <w:p>
            <w:pPr>
              <w:spacing w:after="0"/>
              <w:rPr>
                <w:sz w:val="19"/>
                <w:szCs w:val="19"/>
                <w:color w:val="auto"/>
              </w:rPr>
            </w:pPr>
          </w:p>
        </w:tc>
        <w:tc>
          <w:tcPr>
            <w:tcW w:w="460" w:type="dxa"/>
            <w:vAlign w:val="bottom"/>
          </w:tcPr>
          <w:p>
            <w:pPr>
              <w:spacing w:after="0"/>
              <w:rPr>
                <w:sz w:val="19"/>
                <w:szCs w:val="19"/>
                <w:color w:val="auto"/>
              </w:rPr>
            </w:pPr>
          </w:p>
        </w:tc>
        <w:tc>
          <w:tcPr>
            <w:tcW w:w="848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w w:val="94"/>
              </w:rPr>
              <w:t>times the amount of the annual cash Board retainer that we then pay such director for regular service on the Board.</w:t>
            </w:r>
          </w:p>
        </w:tc>
      </w:tr>
      <w:tr>
        <w:trPr>
          <w:trHeight w:val="355"/>
        </w:trPr>
        <w:tc>
          <w:tcPr>
            <w:tcW w:w="2320" w:type="dxa"/>
            <w:vAlign w:val="bottom"/>
            <w:shd w:val="clear" w:color="auto" w:fill="222A35"/>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7"/>
                <w:szCs w:val="17"/>
                <w:color w:val="auto"/>
              </w:rPr>
              <w:t>•</w:t>
            </w:r>
          </w:p>
        </w:tc>
        <w:tc>
          <w:tcPr>
            <w:tcW w:w="848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w w:val="97"/>
              </w:rPr>
              <w:t>For purposes of determining compliance with the share ownership guidelines, the aggregate value of the shares</w:t>
            </w:r>
          </w:p>
        </w:tc>
      </w:tr>
      <w:tr>
        <w:trPr>
          <w:trHeight w:val="170"/>
        </w:trPr>
        <w:tc>
          <w:tcPr>
            <w:tcW w:w="2320" w:type="dxa"/>
            <w:vAlign w:val="bottom"/>
            <w:shd w:val="clear" w:color="auto" w:fill="222A35"/>
          </w:tcPr>
          <w:p>
            <w:pPr>
              <w:spacing w:after="0"/>
              <w:rPr>
                <w:sz w:val="14"/>
                <w:szCs w:val="14"/>
                <w:color w:val="auto"/>
              </w:rPr>
            </w:pPr>
          </w:p>
        </w:tc>
        <w:tc>
          <w:tcPr>
            <w:tcW w:w="460" w:type="dxa"/>
            <w:vAlign w:val="bottom"/>
          </w:tcPr>
          <w:p>
            <w:pPr>
              <w:spacing w:after="0"/>
              <w:rPr>
                <w:sz w:val="14"/>
                <w:szCs w:val="14"/>
                <w:color w:val="auto"/>
              </w:rPr>
            </w:pPr>
          </w:p>
        </w:tc>
        <w:tc>
          <w:tcPr>
            <w:tcW w:w="8480" w:type="dxa"/>
            <w:vAlign w:val="bottom"/>
            <w:tcBorders>
              <w:right w:val="single" w:sz="8" w:color="auto"/>
            </w:tcBorders>
          </w:tcPr>
          <w:p>
            <w:pPr>
              <w:ind w:left="240"/>
              <w:spacing w:after="0" w:line="171" w:lineRule="exact"/>
              <w:rPr>
                <w:sz w:val="20"/>
                <w:szCs w:val="20"/>
                <w:color w:val="auto"/>
              </w:rPr>
            </w:pPr>
            <w:r>
              <w:rPr>
                <w:rFonts w:ascii="Arial" w:cs="Arial" w:eastAsia="Arial" w:hAnsi="Arial"/>
                <w:sz w:val="17"/>
                <w:szCs w:val="17"/>
                <w:color w:val="auto"/>
                <w:w w:val="95"/>
              </w:rPr>
              <w:t>owned by the director is calculated as of January 2nd of each applicable year (or if such date is not a trading date,</w:t>
            </w:r>
          </w:p>
        </w:tc>
      </w:tr>
      <w:tr>
        <w:trPr>
          <w:trHeight w:val="222"/>
        </w:trPr>
        <w:tc>
          <w:tcPr>
            <w:tcW w:w="2320" w:type="dxa"/>
            <w:vAlign w:val="bottom"/>
            <w:shd w:val="clear" w:color="auto" w:fill="222A35"/>
          </w:tcPr>
          <w:p>
            <w:pPr>
              <w:spacing w:after="0"/>
              <w:rPr>
                <w:sz w:val="19"/>
                <w:szCs w:val="19"/>
                <w:color w:val="auto"/>
              </w:rPr>
            </w:pPr>
          </w:p>
        </w:tc>
        <w:tc>
          <w:tcPr>
            <w:tcW w:w="460" w:type="dxa"/>
            <w:vAlign w:val="bottom"/>
          </w:tcPr>
          <w:p>
            <w:pPr>
              <w:spacing w:after="0"/>
              <w:rPr>
                <w:sz w:val="19"/>
                <w:szCs w:val="19"/>
                <w:color w:val="auto"/>
              </w:rPr>
            </w:pPr>
          </w:p>
        </w:tc>
        <w:tc>
          <w:tcPr>
            <w:tcW w:w="848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the next trading date) based on the higher of:</w:t>
            </w:r>
          </w:p>
        </w:tc>
      </w:tr>
      <w:tr>
        <w:trPr>
          <w:trHeight w:val="407"/>
        </w:trPr>
        <w:tc>
          <w:tcPr>
            <w:tcW w:w="2320" w:type="dxa"/>
            <w:vAlign w:val="bottom"/>
            <w:shd w:val="clear" w:color="auto" w:fill="222A35"/>
          </w:tcPr>
          <w:p>
            <w:pPr>
              <w:spacing w:after="0"/>
              <w:rPr>
                <w:sz w:val="24"/>
                <w:szCs w:val="24"/>
                <w:color w:val="auto"/>
              </w:rPr>
            </w:pPr>
          </w:p>
        </w:tc>
        <w:tc>
          <w:tcPr>
            <w:tcW w:w="460" w:type="dxa"/>
            <w:vAlign w:val="bottom"/>
          </w:tcPr>
          <w:p>
            <w:pPr>
              <w:spacing w:after="0"/>
              <w:rPr>
                <w:sz w:val="24"/>
                <w:szCs w:val="24"/>
                <w:color w:val="auto"/>
              </w:rPr>
            </w:pPr>
          </w:p>
        </w:tc>
        <w:tc>
          <w:tcPr>
            <w:tcW w:w="8480" w:type="dxa"/>
            <w:vAlign w:val="bottom"/>
            <w:tcBorders>
              <w:right w:val="single" w:sz="8" w:color="auto"/>
            </w:tcBorders>
          </w:tcPr>
          <w:p>
            <w:pPr>
              <w:ind w:left="560"/>
              <w:spacing w:after="0"/>
              <w:rPr>
                <w:sz w:val="20"/>
                <w:szCs w:val="20"/>
                <w:color w:val="auto"/>
              </w:rPr>
            </w:pPr>
            <w:r>
              <w:rPr>
                <w:rFonts w:ascii="Arial" w:cs="Arial" w:eastAsia="Arial" w:hAnsi="Arial"/>
                <w:sz w:val="17"/>
                <w:szCs w:val="17"/>
                <w:color w:val="auto"/>
              </w:rPr>
              <w:t>◦   the NASDAQ Official Closing Price of the Company’s common stock on that day; and</w:t>
            </w:r>
          </w:p>
        </w:tc>
      </w:tr>
      <w:tr>
        <w:trPr>
          <w:trHeight w:val="355"/>
        </w:trPr>
        <w:tc>
          <w:tcPr>
            <w:tcW w:w="2320" w:type="dxa"/>
            <w:vAlign w:val="bottom"/>
            <w:shd w:val="clear" w:color="auto" w:fill="222A35"/>
          </w:tcPr>
          <w:p>
            <w:pPr>
              <w:spacing w:after="0"/>
              <w:rPr>
                <w:sz w:val="24"/>
                <w:szCs w:val="24"/>
                <w:color w:val="auto"/>
              </w:rPr>
            </w:pPr>
          </w:p>
        </w:tc>
        <w:tc>
          <w:tcPr>
            <w:tcW w:w="460" w:type="dxa"/>
            <w:vAlign w:val="bottom"/>
          </w:tcPr>
          <w:p>
            <w:pPr>
              <w:spacing w:after="0"/>
              <w:rPr>
                <w:sz w:val="24"/>
                <w:szCs w:val="24"/>
                <w:color w:val="auto"/>
              </w:rPr>
            </w:pPr>
          </w:p>
        </w:tc>
        <w:tc>
          <w:tcPr>
            <w:tcW w:w="8480" w:type="dxa"/>
            <w:vAlign w:val="bottom"/>
            <w:tcBorders>
              <w:right w:val="single" w:sz="8" w:color="auto"/>
            </w:tcBorders>
          </w:tcPr>
          <w:p>
            <w:pPr>
              <w:ind w:left="560"/>
              <w:spacing w:after="0"/>
              <w:rPr>
                <w:sz w:val="20"/>
                <w:szCs w:val="20"/>
                <w:color w:val="auto"/>
              </w:rPr>
            </w:pPr>
            <w:r>
              <w:rPr>
                <w:rFonts w:ascii="Arial" w:cs="Arial" w:eastAsia="Arial" w:hAnsi="Arial"/>
                <w:sz w:val="17"/>
                <w:szCs w:val="17"/>
                <w:color w:val="auto"/>
                <w:w w:val="98"/>
              </w:rPr>
              <w:t>◦   the NASDAQ Official Closing Price of the Company’s common stock on the date of grant (or if such date</w:t>
            </w:r>
          </w:p>
        </w:tc>
      </w:tr>
      <w:tr>
        <w:trPr>
          <w:trHeight w:val="170"/>
        </w:trPr>
        <w:tc>
          <w:tcPr>
            <w:tcW w:w="2320" w:type="dxa"/>
            <w:vAlign w:val="bottom"/>
            <w:shd w:val="clear" w:color="auto" w:fill="222A35"/>
          </w:tcPr>
          <w:p>
            <w:pPr>
              <w:spacing w:after="0"/>
              <w:rPr>
                <w:sz w:val="14"/>
                <w:szCs w:val="14"/>
                <w:color w:val="auto"/>
              </w:rPr>
            </w:pPr>
          </w:p>
        </w:tc>
        <w:tc>
          <w:tcPr>
            <w:tcW w:w="460" w:type="dxa"/>
            <w:vAlign w:val="bottom"/>
          </w:tcPr>
          <w:p>
            <w:pPr>
              <w:spacing w:after="0"/>
              <w:rPr>
                <w:sz w:val="14"/>
                <w:szCs w:val="14"/>
                <w:color w:val="auto"/>
              </w:rPr>
            </w:pPr>
          </w:p>
        </w:tc>
        <w:tc>
          <w:tcPr>
            <w:tcW w:w="8480" w:type="dxa"/>
            <w:vAlign w:val="bottom"/>
            <w:tcBorders>
              <w:right w:val="single" w:sz="8" w:color="auto"/>
            </w:tcBorders>
          </w:tcPr>
          <w:p>
            <w:pPr>
              <w:ind w:left="880"/>
              <w:spacing w:after="0" w:line="171" w:lineRule="exact"/>
              <w:rPr>
                <w:sz w:val="20"/>
                <w:szCs w:val="20"/>
                <w:color w:val="auto"/>
              </w:rPr>
            </w:pPr>
            <w:r>
              <w:rPr>
                <w:rFonts w:ascii="Arial" w:cs="Arial" w:eastAsia="Arial" w:hAnsi="Arial"/>
                <w:sz w:val="17"/>
                <w:szCs w:val="17"/>
                <w:color w:val="auto"/>
                <w:w w:val="93"/>
              </w:rPr>
              <w:t>is not a trading date, the next trading date), for any shares awarded to the director by the Company, and the</w:t>
            </w:r>
          </w:p>
        </w:tc>
      </w:tr>
      <w:tr>
        <w:trPr>
          <w:trHeight w:val="170"/>
        </w:trPr>
        <w:tc>
          <w:tcPr>
            <w:tcW w:w="2320" w:type="dxa"/>
            <w:vAlign w:val="bottom"/>
            <w:shd w:val="clear" w:color="auto" w:fill="222A35"/>
          </w:tcPr>
          <w:p>
            <w:pPr>
              <w:spacing w:after="0"/>
              <w:rPr>
                <w:sz w:val="14"/>
                <w:szCs w:val="14"/>
                <w:color w:val="auto"/>
              </w:rPr>
            </w:pPr>
          </w:p>
        </w:tc>
        <w:tc>
          <w:tcPr>
            <w:tcW w:w="460" w:type="dxa"/>
            <w:vAlign w:val="bottom"/>
          </w:tcPr>
          <w:p>
            <w:pPr>
              <w:spacing w:after="0"/>
              <w:rPr>
                <w:sz w:val="14"/>
                <w:szCs w:val="14"/>
                <w:color w:val="auto"/>
              </w:rPr>
            </w:pPr>
          </w:p>
        </w:tc>
        <w:tc>
          <w:tcPr>
            <w:tcW w:w="8480" w:type="dxa"/>
            <w:vAlign w:val="bottom"/>
            <w:tcBorders>
              <w:right w:val="single" w:sz="8" w:color="auto"/>
            </w:tcBorders>
          </w:tcPr>
          <w:p>
            <w:pPr>
              <w:ind w:left="880"/>
              <w:spacing w:after="0" w:line="171" w:lineRule="exact"/>
              <w:rPr>
                <w:sz w:val="20"/>
                <w:szCs w:val="20"/>
                <w:color w:val="auto"/>
              </w:rPr>
            </w:pPr>
            <w:r>
              <w:rPr>
                <w:rFonts w:ascii="Arial" w:cs="Arial" w:eastAsia="Arial" w:hAnsi="Arial"/>
                <w:sz w:val="17"/>
                <w:szCs w:val="17"/>
                <w:color w:val="auto"/>
                <w:w w:val="93"/>
              </w:rPr>
              <w:t>actual cost to the director, for any other shares (e.g., with respect to shares acquired through the exercise of</w:t>
            </w:r>
          </w:p>
        </w:tc>
      </w:tr>
      <w:tr>
        <w:trPr>
          <w:trHeight w:val="222"/>
        </w:trPr>
        <w:tc>
          <w:tcPr>
            <w:tcW w:w="2320" w:type="dxa"/>
            <w:vAlign w:val="bottom"/>
            <w:shd w:val="clear" w:color="auto" w:fill="222A35"/>
          </w:tcPr>
          <w:p>
            <w:pPr>
              <w:spacing w:after="0"/>
              <w:rPr>
                <w:sz w:val="19"/>
                <w:szCs w:val="19"/>
                <w:color w:val="auto"/>
              </w:rPr>
            </w:pPr>
          </w:p>
        </w:tc>
        <w:tc>
          <w:tcPr>
            <w:tcW w:w="460" w:type="dxa"/>
            <w:vAlign w:val="bottom"/>
          </w:tcPr>
          <w:p>
            <w:pPr>
              <w:spacing w:after="0"/>
              <w:rPr>
                <w:sz w:val="19"/>
                <w:szCs w:val="19"/>
                <w:color w:val="auto"/>
              </w:rPr>
            </w:pPr>
          </w:p>
        </w:tc>
        <w:tc>
          <w:tcPr>
            <w:tcW w:w="8480" w:type="dxa"/>
            <w:vAlign w:val="bottom"/>
            <w:tcBorders>
              <w:right w:val="single" w:sz="8" w:color="auto"/>
            </w:tcBorders>
          </w:tcPr>
          <w:p>
            <w:pPr>
              <w:ind w:left="880"/>
              <w:spacing w:after="0"/>
              <w:rPr>
                <w:sz w:val="20"/>
                <w:szCs w:val="20"/>
                <w:color w:val="auto"/>
              </w:rPr>
            </w:pPr>
            <w:r>
              <w:rPr>
                <w:rFonts w:ascii="Arial" w:cs="Arial" w:eastAsia="Arial" w:hAnsi="Arial"/>
                <w:sz w:val="17"/>
                <w:szCs w:val="17"/>
                <w:color w:val="auto"/>
              </w:rPr>
              <w:t>stock options, the exercise price).</w:t>
            </w:r>
          </w:p>
        </w:tc>
      </w:tr>
      <w:tr>
        <w:trPr>
          <w:trHeight w:val="407"/>
        </w:trPr>
        <w:tc>
          <w:tcPr>
            <w:tcW w:w="2320" w:type="dxa"/>
            <w:vAlign w:val="bottom"/>
            <w:shd w:val="clear" w:color="auto" w:fill="222A35"/>
          </w:tcPr>
          <w:p>
            <w:pPr>
              <w:spacing w:after="0"/>
              <w:rPr>
                <w:sz w:val="24"/>
                <w:szCs w:val="24"/>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84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Non-Affiliated Directors are subject to these guidelines for as long as they continue to serve on the Board.</w:t>
            </w:r>
          </w:p>
        </w:tc>
      </w:tr>
    </w:tbl>
    <w:p>
      <w:pPr>
        <w:ind w:left="240"/>
        <w:spacing w:after="0"/>
        <w:rPr>
          <w:sz w:val="20"/>
          <w:szCs w:val="20"/>
          <w:color w:val="auto"/>
        </w:rPr>
        <w:sectPr>
          <w:pgSz w:w="11900" w:h="16838" w:orient="portrait"/>
          <w:cols w:equalWidth="0" w:num="1">
            <w:col w:w="11260"/>
          </w:cols>
          <w:pgMar w:left="320" w:top="1404" w:right="31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904875</wp:posOffset>
            </wp:positionV>
            <wp:extent cx="1482090" cy="26149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1482090" cy="2614930"/>
                    </a:xfrm>
                    <a:prstGeom prst="rect">
                      <a:avLst/>
                    </a:prstGeom>
                    <a:noFill/>
                  </pic:spPr>
                </pic:pic>
              </a:graphicData>
            </a:graphic>
          </wp:anchor>
        </w:drawing>
      </w:r>
    </w:p>
    <w:bookmarkStart w:id="340" w:name="page341"/>
    <w:bookmarkEnd w:id="340"/>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2660" w:type="dxa"/>
            <w:vAlign w:val="bottom"/>
            <w:gridSpan w:val="2"/>
          </w:tcPr>
          <w:p>
            <w:pPr>
              <w:ind w:left="1760"/>
              <w:spacing w:after="0"/>
              <w:rPr>
                <w:sz w:val="20"/>
                <w:szCs w:val="20"/>
                <w:color w:val="auto"/>
              </w:rPr>
            </w:pPr>
            <w:r>
              <w:rPr>
                <w:rFonts w:ascii="Arial" w:cs="Arial" w:eastAsia="Arial" w:hAnsi="Arial"/>
                <w:sz w:val="17"/>
                <w:szCs w:val="17"/>
                <w:b w:val="1"/>
                <w:bCs w:val="1"/>
                <w:color w:val="auto"/>
                <w:w w:val="93"/>
              </w:rPr>
              <w:t>Exhibit 21.1</w:t>
            </w:r>
          </w:p>
        </w:tc>
        <w:tc>
          <w:tcPr>
            <w:tcW w:w="0" w:type="dxa"/>
            <w:vAlign w:val="bottom"/>
          </w:tcPr>
          <w:p>
            <w:pPr>
              <w:spacing w:after="0"/>
              <w:rPr>
                <w:sz w:val="1"/>
                <w:szCs w:val="1"/>
                <w:color w:val="auto"/>
              </w:rPr>
            </w:pPr>
          </w:p>
        </w:tc>
      </w:tr>
      <w:tr>
        <w:trPr>
          <w:trHeight w:val="446"/>
        </w:trPr>
        <w:tc>
          <w:tcPr>
            <w:tcW w:w="8120" w:type="dxa"/>
            <w:vAlign w:val="bottom"/>
          </w:tcPr>
          <w:p>
            <w:pPr>
              <w:ind w:left="2260"/>
              <w:spacing w:after="0"/>
              <w:rPr>
                <w:sz w:val="20"/>
                <w:szCs w:val="20"/>
                <w:color w:val="auto"/>
              </w:rPr>
            </w:pPr>
            <w:r>
              <w:rPr>
                <w:rFonts w:ascii="Arial" w:cs="Arial" w:eastAsia="Arial" w:hAnsi="Arial"/>
                <w:sz w:val="17"/>
                <w:szCs w:val="17"/>
                <w:b w:val="1"/>
                <w:bCs w:val="1"/>
                <w:color w:val="auto"/>
              </w:rPr>
              <w:t>MAJOR SUBSIDIARIES OF THE REGISTRANT AT DECEMBER 31, 2021</w:t>
            </w: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120" w:type="dxa"/>
            <w:vAlign w:val="bottom"/>
          </w:tcPr>
          <w:p>
            <w:pPr>
              <w:spacing w:after="0"/>
              <w:rPr>
                <w:sz w:val="17"/>
                <w:szCs w:val="17"/>
                <w:color w:val="auto"/>
              </w:rPr>
            </w:pPr>
          </w:p>
        </w:tc>
        <w:tc>
          <w:tcPr>
            <w:tcW w:w="26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3"/>
              </w:rPr>
              <w:t>State or Other Jurisdiction</w:t>
            </w:r>
          </w:p>
        </w:tc>
        <w:tc>
          <w:tcPr>
            <w:tcW w:w="0" w:type="dxa"/>
            <w:vAlign w:val="bottom"/>
          </w:tcPr>
          <w:p>
            <w:pPr>
              <w:spacing w:after="0"/>
              <w:rPr>
                <w:sz w:val="1"/>
                <w:szCs w:val="1"/>
                <w:color w:val="auto"/>
              </w:rPr>
            </w:pPr>
          </w:p>
        </w:tc>
      </w:tr>
      <w:tr>
        <w:trPr>
          <w:trHeight w:val="170"/>
        </w:trPr>
        <w:tc>
          <w:tcPr>
            <w:tcW w:w="81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Name of Subsidiary</w:t>
            </w:r>
          </w:p>
        </w:tc>
        <w:tc>
          <w:tcPr>
            <w:tcW w:w="2660" w:type="dxa"/>
            <w:vAlign w:val="bottom"/>
            <w:gridSpan w:val="2"/>
          </w:tcPr>
          <w:p>
            <w:pPr>
              <w:jc w:val="center"/>
              <w:ind w:right="420"/>
              <w:spacing w:after="0" w:line="171" w:lineRule="exact"/>
              <w:rPr>
                <w:sz w:val="20"/>
                <w:szCs w:val="20"/>
                <w:color w:val="auto"/>
              </w:rPr>
            </w:pPr>
            <w:r>
              <w:rPr>
                <w:rFonts w:ascii="Arial" w:cs="Arial" w:eastAsia="Arial" w:hAnsi="Arial"/>
                <w:sz w:val="17"/>
                <w:szCs w:val="17"/>
                <w:b w:val="1"/>
                <w:bCs w:val="1"/>
                <w:color w:val="auto"/>
                <w:w w:val="94"/>
              </w:rPr>
              <w:t>of Incorporation or</w:t>
            </w:r>
          </w:p>
        </w:tc>
        <w:tc>
          <w:tcPr>
            <w:tcW w:w="0" w:type="dxa"/>
            <w:vAlign w:val="bottom"/>
          </w:tcPr>
          <w:p>
            <w:pPr>
              <w:spacing w:after="0"/>
              <w:rPr>
                <w:sz w:val="1"/>
                <w:szCs w:val="1"/>
                <w:color w:val="auto"/>
              </w:rPr>
            </w:pPr>
          </w:p>
        </w:tc>
      </w:tr>
      <w:tr>
        <w:trPr>
          <w:trHeight w:val="223"/>
        </w:trPr>
        <w:tc>
          <w:tcPr>
            <w:tcW w:w="8120" w:type="dxa"/>
            <w:vAlign w:val="bottom"/>
            <w:vMerge w:val="continue"/>
          </w:tcPr>
          <w:p>
            <w:pPr>
              <w:spacing w:after="0"/>
              <w:rPr>
                <w:sz w:val="19"/>
                <w:szCs w:val="19"/>
                <w:color w:val="auto"/>
              </w:rPr>
            </w:pPr>
          </w:p>
        </w:tc>
        <w:tc>
          <w:tcPr>
            <w:tcW w:w="26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6"/>
              </w:rPr>
              <w:t>Organization</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 Blizzard International B.V.</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Netherlands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Activision Blizzard Media Limited</w:t>
            </w:r>
          </w:p>
        </w:tc>
        <w:tc>
          <w:tcPr>
            <w:tcW w:w="2660" w:type="dxa"/>
            <w:vAlign w:val="bottom"/>
            <w:gridSpan w:val="2"/>
          </w:tcPr>
          <w:p>
            <w:pPr>
              <w:ind w:left="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 Blizzard UK Limited</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United Kingdom</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Activision Publishing, Inc.</w:t>
            </w:r>
          </w:p>
        </w:tc>
        <w:tc>
          <w:tcPr>
            <w:tcW w:w="2660" w:type="dxa"/>
            <w:vAlign w:val="bottom"/>
            <w:gridSpan w:val="2"/>
          </w:tcPr>
          <w:p>
            <w:pPr>
              <w:ind w:left="60"/>
              <w:spacing w:after="0"/>
              <w:rPr>
                <w:sz w:val="20"/>
                <w:szCs w:val="20"/>
                <w:color w:val="auto"/>
              </w:rPr>
            </w:pPr>
            <w:r>
              <w:rPr>
                <w:rFonts w:ascii="Arial" w:cs="Arial" w:eastAsia="Arial" w:hAnsi="Arial"/>
                <w:sz w:val="17"/>
                <w:szCs w:val="17"/>
                <w:color w:val="auto"/>
              </w:rPr>
              <w:t>U.S.-Delaware</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Infinity Ward, Inc.</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U.S.-Delaware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Blizzard Entertainment, Inc.</w:t>
            </w:r>
          </w:p>
        </w:tc>
        <w:tc>
          <w:tcPr>
            <w:tcW w:w="2660" w:type="dxa"/>
            <w:vAlign w:val="bottom"/>
            <w:gridSpan w:val="2"/>
          </w:tcPr>
          <w:p>
            <w:pPr>
              <w:ind w:left="60"/>
              <w:spacing w:after="0"/>
              <w:rPr>
                <w:sz w:val="20"/>
                <w:szCs w:val="20"/>
                <w:color w:val="auto"/>
              </w:rPr>
            </w:pPr>
            <w:r>
              <w:rPr>
                <w:rFonts w:ascii="Arial" w:cs="Arial" w:eastAsia="Arial" w:hAnsi="Arial"/>
                <w:sz w:val="17"/>
                <w:szCs w:val="17"/>
                <w:color w:val="auto"/>
              </w:rPr>
              <w:t>U.S.-Delaware</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Blizzard Entertainment SAS</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France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King.com (US), LLC</w:t>
            </w:r>
          </w:p>
        </w:tc>
        <w:tc>
          <w:tcPr>
            <w:tcW w:w="2660" w:type="dxa"/>
            <w:vAlign w:val="bottom"/>
            <w:gridSpan w:val="2"/>
          </w:tcPr>
          <w:p>
            <w:pPr>
              <w:ind w:left="60"/>
              <w:spacing w:after="0"/>
              <w:rPr>
                <w:sz w:val="20"/>
                <w:szCs w:val="20"/>
                <w:color w:val="auto"/>
              </w:rPr>
            </w:pPr>
            <w:r>
              <w:rPr>
                <w:rFonts w:ascii="Arial" w:cs="Arial" w:eastAsia="Arial" w:hAnsi="Arial"/>
                <w:sz w:val="17"/>
                <w:szCs w:val="17"/>
                <w:color w:val="auto"/>
              </w:rPr>
              <w:t>U.S.-Delaware</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King.com Limited</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Malta</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Midasplayer AB</w:t>
            </w:r>
          </w:p>
        </w:tc>
        <w:tc>
          <w:tcPr>
            <w:tcW w:w="2660" w:type="dxa"/>
            <w:vAlign w:val="bottom"/>
            <w:gridSpan w:val="2"/>
          </w:tcPr>
          <w:p>
            <w:pPr>
              <w:ind w:left="60"/>
              <w:spacing w:after="0"/>
              <w:rPr>
                <w:sz w:val="20"/>
                <w:szCs w:val="20"/>
                <w:color w:val="auto"/>
              </w:rPr>
            </w:pPr>
            <w:r>
              <w:rPr>
                <w:rFonts w:ascii="Arial" w:cs="Arial" w:eastAsia="Arial" w:hAnsi="Arial"/>
                <w:sz w:val="17"/>
                <w:szCs w:val="17"/>
                <w:color w:val="auto"/>
              </w:rPr>
              <w:t>Sweden</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Midasplayer.com Limited</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United Kingdom</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780" w:top="868"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7"/>
          <w:szCs w:val="17"/>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3" w:lineRule="exact"/>
        <w:rPr>
          <w:sz w:val="20"/>
          <w:szCs w:val="20"/>
          <w:color w:val="auto"/>
        </w:rPr>
      </w:pPr>
    </w:p>
    <w:p>
      <w:pPr>
        <w:ind w:right="140" w:firstLine="393"/>
        <w:spacing w:after="0" w:line="26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333-233617) and Form S-8 (No. 333-153661, 333-165123, 333-167428, 333-196956, 333-209825 and 333-209864) of Activision Blizzard, Inc. of our report dated February 25, 2022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2022</w:t>
      </w:r>
    </w:p>
    <w:p>
      <w:pPr>
        <w:sectPr>
          <w:pgSz w:w="11900" w:h="16838" w:orient="portrait"/>
          <w:cols w:equalWidth="0" w:num="1">
            <w:col w:w="11240"/>
          </w:cols>
          <w:pgMar w:left="320" w:top="868" w:right="3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250" w:lineRule="exact"/>
        <w:rPr>
          <w:sz w:val="20"/>
          <w:szCs w:val="20"/>
          <w:color w:val="auto"/>
        </w:rPr>
      </w:pPr>
    </w:p>
    <w:p>
      <w:pPr>
        <w:ind w:left="640" w:hanging="635"/>
        <w:spacing w:after="0"/>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Activision Blizzard, Inc.;</w:t>
      </w:r>
    </w:p>
    <w:p>
      <w:pPr>
        <w:spacing w:after="0" w:line="250"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1260" w:right="60" w:hanging="626"/>
        <w:spacing w:after="0" w:line="273" w:lineRule="auto"/>
        <w:tabs>
          <w:tab w:leader="none" w:pos="1257" w:val="left"/>
        </w:tabs>
        <w:numPr>
          <w:ilvl w:val="1"/>
          <w:numId w:val="2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1260" w:right="360" w:hanging="626"/>
        <w:spacing w:after="0" w:line="273" w:lineRule="auto"/>
        <w:tabs>
          <w:tab w:leader="none" w:pos="125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260" w:right="520" w:hanging="626"/>
        <w:spacing w:after="0" w:line="360" w:lineRule="auto"/>
        <w:tabs>
          <w:tab w:leader="none" w:pos="125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60" w:right="60" w:hanging="626"/>
        <w:spacing w:after="0" w:line="273" w:lineRule="auto"/>
        <w:tabs>
          <w:tab w:leader="none" w:pos="125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left="1260" w:right="760" w:hanging="626"/>
        <w:spacing w:after="0" w:line="322" w:lineRule="auto"/>
        <w:tabs>
          <w:tab w:leader="none" w:pos="125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6"/>
          <w:szCs w:val="16"/>
          <w:color w:val="auto"/>
        </w:rPr>
      </w:pPr>
    </w:p>
    <w:p>
      <w:pPr>
        <w:ind w:left="1260" w:right="460" w:hanging="626"/>
        <w:spacing w:after="0" w:line="289" w:lineRule="auto"/>
        <w:tabs>
          <w:tab w:leader="none" w:pos="125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4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25400</wp:posOffset>
            </wp:positionV>
            <wp:extent cx="333883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47"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69"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Armin Zerza, certify that:</w:t>
      </w:r>
    </w:p>
    <w:p>
      <w:pPr>
        <w:spacing w:after="0" w:line="250" w:lineRule="exact"/>
        <w:rPr>
          <w:sz w:val="20"/>
          <w:szCs w:val="20"/>
          <w:color w:val="auto"/>
        </w:rPr>
      </w:pPr>
    </w:p>
    <w:p>
      <w:pPr>
        <w:ind w:left="640" w:hanging="635"/>
        <w:spacing w:after="0"/>
        <w:tabs>
          <w:tab w:leader="none" w:pos="6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Activision Blizzard, Inc.;</w:t>
      </w:r>
    </w:p>
    <w:p>
      <w:pPr>
        <w:spacing w:after="0" w:line="250"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1260" w:right="60" w:hanging="626"/>
        <w:spacing w:after="0" w:line="273" w:lineRule="auto"/>
        <w:tabs>
          <w:tab w:leader="none" w:pos="125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1260" w:right="360" w:hanging="626"/>
        <w:spacing w:after="0" w:line="273" w:lineRule="auto"/>
        <w:tabs>
          <w:tab w:leader="none" w:pos="1254" w:val="left"/>
        </w:tabs>
        <w:numPr>
          <w:ilvl w:val="1"/>
          <w:numId w:val="2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260" w:right="520" w:hanging="626"/>
        <w:spacing w:after="0" w:line="360" w:lineRule="auto"/>
        <w:tabs>
          <w:tab w:leader="none" w:pos="1257" w:val="left"/>
        </w:tabs>
        <w:numPr>
          <w:ilvl w:val="1"/>
          <w:numId w:val="24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60" w:right="60" w:hanging="626"/>
        <w:spacing w:after="0" w:line="273" w:lineRule="auto"/>
        <w:tabs>
          <w:tab w:leader="none" w:pos="1254" w:val="left"/>
        </w:tabs>
        <w:numPr>
          <w:ilvl w:val="1"/>
          <w:numId w:val="2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left="1260" w:right="760" w:hanging="626"/>
        <w:spacing w:after="0" w:line="322" w:lineRule="auto"/>
        <w:tabs>
          <w:tab w:leader="none" w:pos="125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6"/>
          <w:szCs w:val="16"/>
          <w:color w:val="auto"/>
        </w:rPr>
      </w:pPr>
    </w:p>
    <w:p>
      <w:pPr>
        <w:ind w:left="1260" w:right="460" w:hanging="626"/>
        <w:spacing w:after="0" w:line="289" w:lineRule="auto"/>
        <w:tabs>
          <w:tab w:leader="none" w:pos="1254"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200" w:lineRule="exact"/>
        <w:rPr>
          <w:sz w:val="20"/>
          <w:szCs w:val="20"/>
          <w:color w:val="auto"/>
        </w:rPr>
      </w:pPr>
    </w:p>
    <w:p>
      <w:pPr>
        <w:spacing w:after="0" w:line="30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25400</wp:posOffset>
            </wp:positionV>
            <wp:extent cx="333883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47"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68"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jc w:val="both"/>
        <w:ind w:right="80" w:firstLine="629"/>
        <w:spacing w:after="0" w:line="298"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2021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54" w:lineRule="exact"/>
        <w:rPr>
          <w:sz w:val="20"/>
          <w:szCs w:val="20"/>
          <w:color w:val="auto"/>
        </w:rPr>
      </w:pPr>
    </w:p>
    <w:p>
      <w:pPr>
        <w:ind w:left="1000" w:hanging="366"/>
        <w:spacing w:after="0"/>
        <w:tabs>
          <w:tab w:leader="none" w:pos="100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right="80" w:firstLine="634"/>
        <w:spacing w:after="0" w:line="539" w:lineRule="auto"/>
        <w:tabs>
          <w:tab w:leader="none" w:pos="100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25, 2022</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25400</wp:posOffset>
            </wp:positionV>
            <wp:extent cx="333883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47"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5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8" w:right="3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ind w:right="80" w:firstLine="629"/>
        <w:spacing w:after="0" w:line="298"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2021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54" w:lineRule="exact"/>
        <w:rPr>
          <w:sz w:val="20"/>
          <w:szCs w:val="20"/>
          <w:color w:val="auto"/>
        </w:rPr>
      </w:pPr>
    </w:p>
    <w:p>
      <w:pPr>
        <w:ind w:left="1000" w:hanging="366"/>
        <w:spacing w:after="0"/>
        <w:tabs>
          <w:tab w:leader="none" w:pos="10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right="80" w:firstLine="634"/>
        <w:spacing w:after="0" w:line="539" w:lineRule="auto"/>
        <w:tabs>
          <w:tab w:leader="none" w:pos="100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25, 2022</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25400</wp:posOffset>
            </wp:positionV>
            <wp:extent cx="333883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47"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5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
      <w:numFmt w:val="bullet"/>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
      <w:numFmt w:val="bullet"/>
      <w:start w:val="1"/>
    </w:lvl>
  </w:abstractNum>
  <w:abstractNum w:abstractNumId="10">
    <w:nsid w:val="57A61A29"/>
    <w:multiLevelType w:val="hybridMultilevel"/>
    <w:lvl w:ilvl="0">
      <w:lvlJc w:val="left"/>
      <w:lvlText w:val="(%1)"/>
      <w:numFmt w:val="decimal"/>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1)"/>
      <w:numFmt w:val="decimal"/>
      <w:start w:val="1"/>
    </w:lvl>
  </w:abstractNum>
  <w:abstractNum w:abstractNumId="14">
    <w:nsid w:val="B37E80A"/>
    <w:multiLevelType w:val="hybridMultilevel"/>
    <w:lvl w:ilvl="0">
      <w:lvlJc w:val="left"/>
      <w:lvlText w:val="(%1)"/>
      <w:numFmt w:val="decimal"/>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1)"/>
      <w:numFmt w:val="decimal"/>
      <w:start w:val="1"/>
    </w:lvl>
  </w:abstractNum>
  <w:abstractNum w:abstractNumId="18">
    <w:nsid w:val="BFFAE18"/>
    <w:multiLevelType w:val="hybridMultilevel"/>
    <w:lvl w:ilvl="0">
      <w:lvlJc w:val="left"/>
      <w:lvlText w:val="(%1)"/>
      <w:numFmt w:val="decimal"/>
      <w:start w:val="2"/>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
      <w:numFmt w:val="bullet"/>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1)"/>
      <w:numFmt w:val="decimal"/>
      <w:start w:val="1"/>
    </w:lvl>
  </w:abstractNum>
  <w:abstractNum w:abstractNumId="26">
    <w:nsid w:val="24E99DD7"/>
    <w:multiLevelType w:val="hybridMultilevel"/>
    <w:lvl w:ilvl="0">
      <w:lvlJc w:val="left"/>
      <w:lvlText w:val="•"/>
      <w:numFmt w:val="bullet"/>
      <w:start w:val="1"/>
    </w:lvl>
  </w:abstractNum>
  <w:abstractNum w:abstractNumId="27">
    <w:nsid w:val="2A31B62D"/>
    <w:multiLevelType w:val="hybridMultilevel"/>
    <w:lvl w:ilvl="0">
      <w:lvlJc w:val="left"/>
      <w:lvlText w:val="•"/>
      <w:numFmt w:val="bullet"/>
      <w:start w:val="1"/>
    </w:lvl>
  </w:abstractNum>
  <w:abstractNum w:abstractNumId="28">
    <w:nsid w:val="1849C29B"/>
    <w:multiLevelType w:val="hybridMultilevel"/>
    <w:lvl w:ilvl="0">
      <w:lvlJc w:val="left"/>
      <w:lvlText w:val="(%1)"/>
      <w:numFmt w:val="decimal"/>
      <w:start w:val="1"/>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
      <w:numFmt w:val="bullet"/>
      <w:start w:val="1"/>
    </w:lvl>
  </w:abstractNum>
  <w:abstractNum w:abstractNumId="31">
    <w:nsid w:val="69E7F3E5"/>
    <w:multiLevelType w:val="hybridMultilevel"/>
    <w:lvl w:ilvl="0">
      <w:lvlJc w:val="left"/>
      <w:lvlText w:val="•"/>
      <w:numFmt w:val="bullet"/>
      <w:start w:val="1"/>
    </w:lvl>
  </w:abstractNum>
  <w:abstractNum w:abstractNumId="32">
    <w:nsid w:val="2A6DE806"/>
    <w:multiLevelType w:val="hybridMultilevel"/>
    <w:lvl w:ilvl="0">
      <w:lvlJc w:val="left"/>
      <w:lvlText w:val="•"/>
      <w:numFmt w:val="bullet"/>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
      <w:numFmt w:val="bullet"/>
      <w:start w:val="1"/>
    </w:lvl>
  </w:abstractNum>
  <w:abstractNum w:abstractNumId="35">
    <w:nsid w:val="7AB49DAF"/>
    <w:multiLevelType w:val="hybridMultilevel"/>
    <w:lvl w:ilvl="0">
      <w:lvlJc w:val="left"/>
      <w:lvlText w:val="•"/>
      <w:numFmt w:val="bullet"/>
      <w:start w:val="1"/>
    </w:lvl>
  </w:abstractNum>
  <w:abstractNum w:abstractNumId="36">
    <w:nsid w:val="759F82CD"/>
    <w:multiLevelType w:val="hybridMultilevel"/>
    <w:lvl w:ilvl="0">
      <w:lvlJc w:val="left"/>
      <w:lvlText w:val="•"/>
      <w:numFmt w:val="bullet"/>
      <w:start w:val="1"/>
    </w:lvl>
  </w:abstractNum>
  <w:abstractNum w:abstractNumId="37">
    <w:nsid w:val="61E74EA3"/>
    <w:multiLevelType w:val="hybridMultilevel"/>
    <w:lvl w:ilvl="0">
      <w:lvlJc w:val="left"/>
      <w:lvlText w:val="(%1)"/>
      <w:numFmt w:val="lowerLetter"/>
      <w:start w:val="1"/>
    </w:lvl>
  </w:abstractNum>
  <w:abstractNum w:abstractNumId="38">
    <w:nsid w:val="597B4D84"/>
    <w:multiLevelType w:val="hybridMultilevel"/>
    <w:lvl w:ilvl="0">
      <w:lvlJc w:val="left"/>
      <w:lvlText w:val="2"/>
      <w:numFmt w:val="bullet"/>
      <w:start w:val="1"/>
    </w:lvl>
  </w:abstractNum>
  <w:abstractNum w:abstractNumId="39">
    <w:nsid w:val="F819E7F"/>
    <w:multiLevelType w:val="hybridMultilevel"/>
    <w:lvl w:ilvl="0">
      <w:lvlJc w:val="left"/>
      <w:lvlText w:val="3"/>
      <w:numFmt w:val="bullet"/>
      <w:start w:val="1"/>
    </w:lvl>
  </w:abstractNum>
  <w:abstractNum w:abstractNumId="40">
    <w:nsid w:val="57C7D42D"/>
    <w:multiLevelType w:val="hybridMultilevel"/>
    <w:lvl w:ilvl="0">
      <w:lvlJc w:val="left"/>
      <w:lvlText w:val="(%1)"/>
      <w:numFmt w:val="decimal"/>
      <w:start w:val="2"/>
    </w:lvl>
  </w:abstractNum>
  <w:abstractNum w:abstractNumId="41">
    <w:nsid w:val="312167AD"/>
    <w:multiLevelType w:val="hybridMultilevel"/>
    <w:lvl w:ilvl="0">
      <w:lvlJc w:val="left"/>
      <w:lvlText w:val="(%1)"/>
      <w:numFmt w:val="decimal"/>
      <w:start w:val="1"/>
    </w:lvl>
  </w:abstractNum>
  <w:abstractNum w:abstractNumId="42">
    <w:nsid w:val="631B64D4"/>
    <w:multiLevelType w:val="hybridMultilevel"/>
    <w:lvl w:ilvl="0">
      <w:lvlJc w:val="left"/>
      <w:lvlText w:val="•"/>
      <w:numFmt w:val="bullet"/>
      <w:start w:val="1"/>
    </w:lvl>
  </w:abstractNum>
  <w:abstractNum w:abstractNumId="43">
    <w:nsid w:val="78B5E776"/>
    <w:multiLevelType w:val="hybridMultilevel"/>
    <w:lvl w:ilvl="0">
      <w:lvlJc w:val="left"/>
      <w:lvlText w:val="•"/>
      <w:numFmt w:val="bullet"/>
      <w:start w:val="1"/>
    </w:lvl>
  </w:abstractNum>
  <w:abstractNum w:abstractNumId="44">
    <w:nsid w:val="75486E47"/>
    <w:multiLevelType w:val="hybridMultilevel"/>
    <w:lvl w:ilvl="0">
      <w:lvlJc w:val="left"/>
      <w:lvlText w:val="•"/>
      <w:numFmt w:val="bullet"/>
      <w:start w:val="1"/>
    </w:lvl>
  </w:abstractNum>
  <w:abstractNum w:abstractNumId="45">
    <w:nsid w:val="6E534CDE"/>
    <w:multiLevelType w:val="hybridMultilevel"/>
    <w:lvl w:ilvl="0">
      <w:lvlJc w:val="left"/>
      <w:lvlText w:val="•"/>
      <w:numFmt w:val="bullet"/>
      <w:start w:val="1"/>
    </w:lvl>
  </w:abstractNum>
  <w:abstractNum w:abstractNumId="46">
    <w:nsid w:val="1A0DDE32"/>
    <w:multiLevelType w:val="hybridMultilevel"/>
    <w:lvl w:ilvl="0">
      <w:lvlJc w:val="left"/>
      <w:lvlText w:val="(%1)"/>
      <w:numFmt w:val="decimal"/>
      <w:start w:val="1"/>
    </w:lvl>
  </w:abstractNum>
  <w:abstractNum w:abstractNumId="47">
    <w:nsid w:val="65968C1C"/>
    <w:multiLevelType w:val="hybridMultilevel"/>
    <w:lvl w:ilvl="0">
      <w:lvlJc w:val="left"/>
      <w:lvlText w:val="(%1)"/>
      <w:numFmt w:val="decimal"/>
      <w:start w:val="1"/>
    </w:lvl>
  </w:abstractNum>
  <w:abstractNum w:abstractNumId="48">
    <w:nsid w:val="46263DEC"/>
    <w:multiLevelType w:val="hybridMultilevel"/>
    <w:lvl w:ilvl="0">
      <w:lvlJc w:val="left"/>
      <w:lvlText w:val="(%1)"/>
      <w:numFmt w:val="decimal"/>
      <w:start w:val="1"/>
    </w:lvl>
  </w:abstractNum>
  <w:abstractNum w:abstractNumId="49">
    <w:nsid w:val="260D8C4A"/>
    <w:multiLevelType w:val="hybridMultilevel"/>
    <w:lvl w:ilvl="0">
      <w:lvlJc w:val="left"/>
      <w:lvlText w:val="(%1)"/>
      <w:numFmt w:val="decimal"/>
      <w:start w:val="1"/>
    </w:lvl>
  </w:abstractNum>
  <w:abstractNum w:abstractNumId="50">
    <w:nsid w:val="73D4D3C4"/>
    <w:multiLevelType w:val="hybridMultilevel"/>
    <w:lvl w:ilvl="0">
      <w:lvlJc w:val="left"/>
      <w:lvlText w:val="•"/>
      <w:numFmt w:val="bullet"/>
      <w:start w:val="1"/>
    </w:lvl>
  </w:abstractNum>
  <w:abstractNum w:abstractNumId="51">
    <w:nsid w:val="746F2E30"/>
    <w:multiLevelType w:val="hybridMultilevel"/>
    <w:lvl w:ilvl="0">
      <w:lvlJc w:val="left"/>
      <w:lvlText w:val="(%1)"/>
      <w:numFmt w:val="decimal"/>
      <w:start w:val="1"/>
    </w:lvl>
  </w:abstractNum>
  <w:abstractNum w:abstractNumId="52">
    <w:nsid w:val="6FDE8AF6"/>
    <w:multiLevelType w:val="hybridMultilevel"/>
    <w:lvl w:ilvl="0">
      <w:lvlJc w:val="left"/>
      <w:lvlText w:val="(%1)"/>
      <w:numFmt w:val="decimal"/>
      <w:start w:val="1"/>
    </w:lvl>
  </w:abstractNum>
  <w:abstractNum w:abstractNumId="53">
    <w:nsid w:val="3FC32E20"/>
    <w:multiLevelType w:val="hybridMultilevel"/>
    <w:lvl w:ilvl="0">
      <w:lvlJc w:val="left"/>
      <w:lvlText w:val="(%1)"/>
      <w:numFmt w:val="decimal"/>
      <w:start w:val="1"/>
    </w:lvl>
  </w:abstractNum>
  <w:abstractNum w:abstractNumId="54">
    <w:nsid w:val="49C0E823"/>
    <w:multiLevelType w:val="hybridMultilevel"/>
    <w:lvl w:ilvl="0">
      <w:lvlJc w:val="left"/>
      <w:lvlText w:val="(%1)"/>
      <w:numFmt w:val="decimal"/>
      <w:start w:val="1"/>
    </w:lvl>
  </w:abstractNum>
  <w:abstractNum w:abstractNumId="55">
    <w:nsid w:val="14D53685"/>
    <w:multiLevelType w:val="hybridMultilevel"/>
    <w:lvl w:ilvl="0">
      <w:lvlJc w:val="left"/>
      <w:lvlText w:val="(%1)"/>
      <w:numFmt w:val="decimal"/>
      <w:start w:val="1"/>
    </w:lvl>
  </w:abstractNum>
  <w:abstractNum w:abstractNumId="56">
    <w:nsid w:val="230F856C"/>
    <w:multiLevelType w:val="hybridMultilevel"/>
    <w:lvl w:ilvl="0">
      <w:lvlJc w:val="left"/>
      <w:lvlText w:val="*"/>
      <w:numFmt w:val="bullet"/>
      <w:start w:val="1"/>
    </w:lvl>
  </w:abstractNum>
  <w:abstractNum w:abstractNumId="57">
    <w:nsid w:val="6EAA85FB"/>
    <w:multiLevelType w:val="hybridMultilevel"/>
    <w:lvl w:ilvl="0">
      <w:lvlJc w:val="left"/>
      <w:lvlText w:val="•"/>
      <w:numFmt w:val="bullet"/>
      <w:start w:val="1"/>
    </w:lvl>
  </w:abstractNum>
  <w:abstractNum w:abstractNumId="58">
    <w:nsid w:val="3F06ECB2"/>
    <w:multiLevelType w:val="hybridMultilevel"/>
    <w:lvl w:ilvl="0">
      <w:lvlJc w:val="left"/>
      <w:lvlText w:val="(%1)"/>
      <w:numFmt w:val="decimal"/>
      <w:start w:val="1"/>
    </w:lvl>
  </w:abstractNum>
  <w:abstractNum w:abstractNumId="59">
    <w:nsid w:val="3B594807"/>
    <w:multiLevelType w:val="hybridMultilevel"/>
    <w:lvl w:ilvl="0">
      <w:lvlJc w:val="left"/>
      <w:lvlText w:val="(%1)"/>
      <w:numFmt w:val="decimal"/>
      <w:start w:val="1"/>
    </w:lvl>
  </w:abstractNum>
  <w:abstractNum w:abstractNumId="60">
    <w:nsid w:val="6CAA2304"/>
    <w:multiLevelType w:val="hybridMultilevel"/>
    <w:lvl w:ilvl="0">
      <w:lvlJc w:val="left"/>
      <w:lvlText w:val="(%1)"/>
      <w:numFmt w:val="decimal"/>
      <w:start w:val="2"/>
    </w:lvl>
  </w:abstractNum>
  <w:abstractNum w:abstractNumId="61">
    <w:nsid w:val="3F7C2FF4"/>
    <w:multiLevelType w:val="hybridMultilevel"/>
    <w:lvl w:ilvl="0">
      <w:lvlJc w:val="left"/>
      <w:lvlText w:val="(%1)"/>
      <w:numFmt w:val="upperLetter"/>
      <w:start w:val="1"/>
    </w:lvl>
  </w:abstractNum>
  <w:abstractNum w:abstractNumId="62">
    <w:nsid w:val="25413BEC"/>
    <w:multiLevelType w:val="hybridMultilevel"/>
    <w:lvl w:ilvl="0">
      <w:lvlJc w:val="left"/>
      <w:lvlText w:val="*"/>
      <w:numFmt w:val="bullet"/>
      <w:start w:val="1"/>
    </w:lvl>
    <w:lvl w:ilvl="1">
      <w:lvlJc w:val="left"/>
      <w:lvlText w:val="%2"/>
      <w:numFmt w:val="decimal"/>
      <w:start w:val="104"/>
    </w:lvl>
  </w:abstractNum>
  <w:abstractNum w:abstractNumId="63">
    <w:nsid w:val="17180B0B"/>
    <w:multiLevelType w:val="hybridMultilevel"/>
    <w:lvl w:ilvl="0">
      <w:lvlJc w:val="left"/>
      <w:lvlText w:val="•"/>
      <w:numFmt w:val="bullet"/>
      <w:start w:val="1"/>
    </w:lvl>
  </w:abstractNum>
  <w:abstractNum w:abstractNumId="64">
    <w:nsid w:val="579328B9"/>
    <w:multiLevelType w:val="hybridMultilevel"/>
    <w:lvl w:ilvl="0">
      <w:lvlJc w:val="left"/>
      <w:lvlText w:val="•"/>
      <w:numFmt w:val="bullet"/>
      <w:start w:val="1"/>
    </w:lvl>
  </w:abstractNum>
  <w:abstractNum w:abstractNumId="65">
    <w:nsid w:val="5D205E20"/>
    <w:multiLevelType w:val="hybridMultilevel"/>
    <w:lvl w:ilvl="0">
      <w:lvlJc w:val="left"/>
      <w:lvlText w:val="•"/>
      <w:numFmt w:val="bullet"/>
      <w:start w:val="1"/>
    </w:lvl>
    <w:lvl w:ilvl="1">
      <w:lvlJc w:val="left"/>
      <w:lvlText w:val="•"/>
      <w:numFmt w:val="bullet"/>
      <w:start w:val="1"/>
    </w:lvl>
  </w:abstractNum>
  <w:abstractNum w:abstractNumId="66">
    <w:nsid w:val="11CCA8BA"/>
    <w:multiLevelType w:val="hybridMultilevel"/>
    <w:lvl w:ilvl="0">
      <w:lvlJc w:val="left"/>
      <w:lvlText w:val="•"/>
      <w:numFmt w:val="bullet"/>
      <w:start w:val="1"/>
    </w:lvl>
  </w:abstractNum>
  <w:abstractNum w:abstractNumId="67">
    <w:nsid w:val="4D32AB86"/>
    <w:multiLevelType w:val="hybridMultilevel"/>
    <w:lvl w:ilvl="0">
      <w:lvlJc w:val="left"/>
      <w:lvlText w:val="•"/>
      <w:numFmt w:val="bullet"/>
      <w:start w:val="1"/>
    </w:lvl>
  </w:abstractNum>
  <w:abstractNum w:abstractNumId="68">
    <w:nsid w:val="3F07ACC3"/>
    <w:multiLevelType w:val="hybridMultilevel"/>
    <w:lvl w:ilvl="0">
      <w:lvlJc w:val="left"/>
      <w:lvlText w:val="•"/>
      <w:numFmt w:val="bullet"/>
      <w:start w:val="1"/>
    </w:lvl>
  </w:abstractNum>
  <w:abstractNum w:abstractNumId="69">
    <w:nsid w:val="6B47F63E"/>
    <w:multiLevelType w:val="hybridMultilevel"/>
    <w:lvl w:ilvl="0">
      <w:lvlJc w:val="left"/>
      <w:lvlText w:val="%1."/>
      <w:numFmt w:val="decimal"/>
      <w:start w:val="1"/>
    </w:lvl>
  </w:abstractNum>
  <w:abstractNum w:abstractNumId="70">
    <w:nsid w:val="5CB44A05"/>
    <w:multiLevelType w:val="hybridMultilevel"/>
    <w:lvl w:ilvl="0">
      <w:lvlJc w:val="left"/>
      <w:lvlText w:val="(%1)"/>
      <w:numFmt w:val="lowerLetter"/>
      <w:start w:val="1"/>
    </w:lvl>
  </w:abstractNum>
  <w:abstractNum w:abstractNumId="71">
    <w:nsid w:val="16CF80F1"/>
    <w:multiLevelType w:val="hybridMultilevel"/>
    <w:lvl w:ilvl="0">
      <w:lvlJc w:val="left"/>
      <w:lvlText w:val="(%1)"/>
      <w:numFmt w:val="upperLetter"/>
      <w:start w:val="6"/>
    </w:lvl>
  </w:abstractNum>
  <w:abstractNum w:abstractNumId="72">
    <w:nsid w:val="1C695DEC"/>
    <w:multiLevelType w:val="hybridMultilevel"/>
    <w:lvl w:ilvl="0">
      <w:lvlJc w:val="left"/>
      <w:lvlText w:val="%1."/>
      <w:numFmt w:val="decimal"/>
      <w:start w:val="2"/>
    </w:lvl>
  </w:abstractNum>
  <w:abstractNum w:abstractNumId="73">
    <w:nsid w:val="3FCFAED9"/>
    <w:multiLevelType w:val="hybridMultilevel"/>
    <w:lvl w:ilvl="0">
      <w:lvlJc w:val="left"/>
      <w:lvlText w:val="%1."/>
      <w:numFmt w:val="decimal"/>
      <w:start w:val="3"/>
    </w:lvl>
    <w:lvl w:ilvl="1">
      <w:lvlJc w:val="left"/>
      <w:lvlText w:val="(%2)"/>
      <w:numFmt w:val="lowerLetter"/>
      <w:start w:val="1"/>
    </w:lvl>
  </w:abstractNum>
  <w:abstractNum w:abstractNumId="74">
    <w:nsid w:val="F8568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75">
    <w:nsid w:val="11B1CC3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6">
    <w:nsid w:val="2E22FBB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77">
    <w:nsid w:val="29934699"/>
    <w:multiLevelType w:val="hybridMultilevel"/>
    <w:lvl w:ilvl="0">
      <w:lvlJc w:val="left"/>
      <w:lvlText w:val="%1."/>
      <w:numFmt w:val="decimal"/>
      <w:start w:val="5"/>
    </w:lvl>
    <w:lvl w:ilvl="1">
      <w:lvlJc w:val="left"/>
      <w:lvlText w:val="(%2)"/>
      <w:numFmt w:val="lowerLetter"/>
      <w:start w:val="1"/>
    </w:lvl>
  </w:abstractNum>
  <w:abstractNum w:abstractNumId="78">
    <w:nsid w:val="77485850"/>
    <w:multiLevelType w:val="hybridMultilevel"/>
    <w:lvl w:ilvl="0">
      <w:lvlJc w:val="left"/>
      <w:lvlText w:val="%1"/>
      <w:numFmt w:val="lowerLetter"/>
      <w:start w:val="1"/>
    </w:lvl>
    <w:lvl w:ilvl="1">
      <w:lvlJc w:val="left"/>
      <w:lvlText w:val="%2."/>
      <w:numFmt w:val="decimal"/>
      <w:start w:val="6"/>
    </w:lvl>
  </w:abstractNum>
  <w:abstractNum w:abstractNumId="79">
    <w:nsid w:val="744939A3"/>
    <w:multiLevelType w:val="hybridMultilevel"/>
    <w:lvl w:ilvl="0">
      <w:lvlJc w:val="left"/>
      <w:lvlText w:val="(%1)"/>
      <w:numFmt w:val="lowerLetter"/>
      <w:start w:val="1"/>
    </w:lvl>
    <w:lvl w:ilvl="1">
      <w:lvlJc w:val="left"/>
      <w:lvlText w:val="%2."/>
      <w:numFmt w:val="decimal"/>
      <w:start w:val="9"/>
    </w:lvl>
  </w:abstractNum>
  <w:abstractNum w:abstractNumId="80">
    <w:nsid w:val="4FA0D2E3"/>
    <w:multiLevelType w:val="hybridMultilevel"/>
    <w:lvl w:ilvl="0">
      <w:lvlJc w:val="left"/>
      <w:lvlText w:val="%1."/>
      <w:numFmt w:val="decimal"/>
      <w:start w:val="11"/>
    </w:lvl>
    <w:lvl w:ilvl="1">
      <w:lvlJc w:val="left"/>
      <w:lvlText w:val="(%2)"/>
      <w:numFmt w:val="lowerLetter"/>
      <w:start w:val="1"/>
    </w:lvl>
  </w:abstractNum>
  <w:abstractNum w:abstractNumId="81">
    <w:nsid w:val="6B1D2C14"/>
    <w:multiLevelType w:val="hybridMultilevel"/>
    <w:lvl w:ilvl="0">
      <w:lvlJc w:val="left"/>
      <w:lvlText w:val="%1."/>
      <w:numFmt w:val="decimal"/>
      <w:start w:val="15"/>
    </w:lvl>
  </w:abstractNum>
  <w:abstractNum w:abstractNumId="82">
    <w:nsid w:val="68B867D3"/>
    <w:multiLevelType w:val="hybridMultilevel"/>
    <w:lvl w:ilvl="0">
      <w:lvlJc w:val="left"/>
      <w:lvlText w:val="%1."/>
      <w:numFmt w:val="decimal"/>
      <w:start w:val="16"/>
    </w:lvl>
    <w:lvl w:ilvl="1">
      <w:lvlJc w:val="left"/>
      <w:lvlText w:val="(%2)"/>
      <w:numFmt w:val="lowerLetter"/>
      <w:start w:val="1"/>
    </w:lvl>
  </w:abstractNum>
  <w:abstractNum w:abstractNumId="83">
    <w:nsid w:val="3F7F5DD9"/>
    <w:multiLevelType w:val="hybridMultilevel"/>
    <w:lvl w:ilvl="0">
      <w:lvlJc w:val="left"/>
      <w:lvlText w:val="%1."/>
      <w:numFmt w:val="decimal"/>
      <w:start w:val="21"/>
    </w:lvl>
  </w:abstractNum>
  <w:abstractNum w:abstractNumId="84">
    <w:nsid w:val="2AE05A34"/>
    <w:multiLevelType w:val="hybridMultilevel"/>
    <w:lvl w:ilvl="0">
      <w:lvlJc w:val="left"/>
      <w:lvlText w:val="(%1)"/>
      <w:numFmt w:val="decimal"/>
      <w:start w:val="1"/>
    </w:lvl>
  </w:abstractNum>
  <w:abstractNum w:abstractNumId="85">
    <w:nsid w:val="32794FF7"/>
    <w:multiLevelType w:val="hybridMultilevel"/>
    <w:lvl w:ilvl="0">
      <w:lvlJc w:val="left"/>
      <w:lvlText w:val="(%1)"/>
      <w:numFmt w:val="decimal"/>
      <w:start w:val="12"/>
    </w:lvl>
  </w:abstractNum>
  <w:abstractNum w:abstractNumId="86">
    <w:nsid w:val="5454945E"/>
    <w:multiLevelType w:val="hybridMultilevel"/>
    <w:lvl w:ilvl="0">
      <w:lvlJc w:val="left"/>
      <w:lvlText w:val="(%1)"/>
      <w:numFmt w:val="decimal"/>
      <w:start w:val="1"/>
    </w:lvl>
  </w:abstractNum>
  <w:abstractNum w:abstractNumId="87">
    <w:nsid w:val="4DEFDFA0"/>
    <w:multiLevelType w:val="hybridMultilevel"/>
    <w:lvl w:ilvl="0">
      <w:lvlJc w:val="left"/>
      <w:lvlText w:val="(%1)"/>
      <w:numFmt w:val="decimal"/>
      <w:start w:val="1"/>
    </w:lvl>
  </w:abstractNum>
  <w:abstractNum w:abstractNumId="88">
    <w:nsid w:val="2123D5F2"/>
    <w:multiLevelType w:val="hybridMultilevel"/>
    <w:lvl w:ilvl="0">
      <w:lvlJc w:val="left"/>
      <w:lvlText w:val="%1."/>
      <w:numFmt w:val="decimal"/>
      <w:start w:val="1"/>
    </w:lvl>
  </w:abstractNum>
  <w:abstractNum w:abstractNumId="89">
    <w:nsid w:val="135B8110"/>
    <w:multiLevelType w:val="hybridMultilevel"/>
    <w:lvl w:ilvl="0">
      <w:lvlJc w:val="left"/>
      <w:lvlText w:val="(%1)"/>
      <w:numFmt w:val="lowerLetter"/>
      <w:start w:val="1"/>
    </w:lvl>
  </w:abstractNum>
  <w:abstractNum w:abstractNumId="90">
    <w:nsid w:val="94927A8"/>
    <w:multiLevelType w:val="hybridMultilevel"/>
    <w:lvl w:ilvl="0">
      <w:lvlJc w:val="left"/>
      <w:lvlText w:val="(%1)"/>
      <w:numFmt w:val="lowerRoman"/>
      <w:start w:val="1"/>
    </w:lvl>
  </w:abstractNum>
  <w:abstractNum w:abstractNumId="91">
    <w:nsid w:val="DCDF8F6"/>
    <w:multiLevelType w:val="hybridMultilevel"/>
    <w:lvl w:ilvl="0">
      <w:lvlJc w:val="left"/>
      <w:lvlText w:val="%1."/>
      <w:numFmt w:val="decimal"/>
      <w:start w:val="2"/>
    </w:lvl>
  </w:abstractNum>
  <w:abstractNum w:abstractNumId="92">
    <w:nsid w:val="52D7B105"/>
    <w:multiLevelType w:val="hybridMultilevel"/>
    <w:lvl w:ilvl="0">
      <w:lvlJc w:val="left"/>
      <w:lvlText w:val="•"/>
      <w:numFmt w:val="bullet"/>
      <w:start w:val="1"/>
    </w:lvl>
    <w:lvl w:ilvl="1">
      <w:lvlJc w:val="left"/>
      <w:lvlText w:val="•"/>
      <w:numFmt w:val="bullet"/>
      <w:start w:val="1"/>
    </w:lvl>
  </w:abstractNum>
  <w:abstractNum w:abstractNumId="93">
    <w:nsid w:val="2E8A6394"/>
    <w:multiLevelType w:val="hybridMultilevel"/>
    <w:lvl w:ilvl="0">
      <w:lvlJc w:val="left"/>
      <w:lvlText w:val="•"/>
      <w:numFmt w:val="bullet"/>
      <w:start w:val="1"/>
    </w:lvl>
  </w:abstractNum>
  <w:abstractNum w:abstractNumId="94">
    <w:nsid w:val="24E60401"/>
    <w:multiLevelType w:val="hybridMultilevel"/>
    <w:lvl w:ilvl="0">
      <w:lvlJc w:val="left"/>
      <w:lvlText w:val="1"/>
      <w:numFmt w:val="bullet"/>
      <w:start w:val="1"/>
    </w:lvl>
  </w:abstractNum>
  <w:abstractNum w:abstractNumId="95">
    <w:nsid w:val="2A6AD9BE"/>
    <w:multiLevelType w:val="hybridMultilevel"/>
    <w:lvl w:ilvl="0">
      <w:lvlJc w:val="left"/>
      <w:lvlText w:val="•"/>
      <w:numFmt w:val="bullet"/>
      <w:start w:val="1"/>
    </w:lvl>
  </w:abstractNum>
  <w:abstractNum w:abstractNumId="96">
    <w:nsid w:val="BAAC1B4"/>
    <w:multiLevelType w:val="hybridMultilevel"/>
    <w:lvl w:ilvl="0">
      <w:lvlJc w:val="left"/>
      <w:lvlText w:val="•"/>
      <w:numFmt w:val="bullet"/>
      <w:start w:val="1"/>
    </w:lvl>
  </w:abstractNum>
  <w:abstractNum w:abstractNumId="97">
    <w:nsid w:val="36B2ACBC"/>
    <w:multiLevelType w:val="hybridMultilevel"/>
    <w:lvl w:ilvl="0">
      <w:lvlJc w:val="left"/>
      <w:lvlText w:val="%1."/>
      <w:numFmt w:val="decimal"/>
      <w:start w:val="1"/>
    </w:lvl>
    <w:lvl w:ilvl="1">
      <w:lvlJc w:val="left"/>
      <w:lvlText w:val="(%2)"/>
      <w:numFmt w:val="lowerLetter"/>
      <w:start w:val="1"/>
    </w:lvl>
  </w:abstractNum>
  <w:abstractNum w:abstractNumId="98">
    <w:nsid w:val="779D8544"/>
    <w:multiLevelType w:val="hybridMultilevel"/>
    <w:lvl w:ilvl="0">
      <w:lvlJc w:val="left"/>
      <w:lvlText w:val="(%1)"/>
      <w:numFmt w:val="lowerLetter"/>
      <w:start w:val="2"/>
    </w:lvl>
  </w:abstractNum>
  <w:abstractNum w:abstractNumId="99">
    <w:nsid w:val="4AB26E78"/>
    <w:multiLevelType w:val="hybridMultilevel"/>
    <w:lvl w:ilvl="0">
      <w:lvlJc w:val="left"/>
      <w:lvlText w:val="%1."/>
      <w:numFmt w:val="decimal"/>
      <w:start w:val="2"/>
    </w:lvl>
    <w:lvl w:ilvl="1">
      <w:lvlJc w:val="left"/>
      <w:lvlText w:val="(%2)"/>
      <w:numFmt w:val="lowerLetter"/>
      <w:start w:val="1"/>
    </w:lvl>
  </w:abstractNum>
  <w:abstractNum w:abstractNumId="100">
    <w:nsid w:val="21FAA2FA"/>
    <w:multiLevelType w:val="hybridMultilevel"/>
    <w:lvl w:ilvl="0">
      <w:lvlJc w:val="left"/>
      <w:lvlText w:val="(%1)"/>
      <w:numFmt w:val="lowerLetter"/>
      <w:start w:val="61"/>
    </w:lvl>
    <w:lvl w:ilvl="1">
      <w:lvlJc w:val="left"/>
      <w:lvlText w:val="%2."/>
      <w:numFmt w:val="decimal"/>
      <w:start w:val="5"/>
    </w:lvl>
  </w:abstractNum>
  <w:abstractNum w:abstractNumId="101">
    <w:nsid w:val="5451CF49"/>
    <w:multiLevelType w:val="hybridMultilevel"/>
    <w:lvl w:ilvl="0">
      <w:lvlJc w:val="left"/>
      <w:lvlText w:val="(%1)"/>
      <w:numFmt w:val="lowerLetter"/>
      <w:start w:val="1"/>
    </w:lvl>
    <w:lvl w:ilvl="1">
      <w:lvlJc w:val="left"/>
      <w:lvlText w:val="%2"/>
      <w:numFmt w:val="decimal"/>
      <w:start w:val="1"/>
    </w:lvl>
  </w:abstractNum>
  <w:abstractNum w:abstractNumId="102">
    <w:nsid w:val="6181EF69"/>
    <w:multiLevelType w:val="hybridMultilevel"/>
    <w:lvl w:ilvl="0">
      <w:lvlJc w:val="left"/>
      <w:lvlText w:val="%1."/>
      <w:numFmt w:val="decimal"/>
      <w:start w:val="10"/>
    </w:lvl>
  </w:abstractNum>
  <w:abstractNum w:abstractNumId="103">
    <w:nsid w:val="3E6400E6"/>
    <w:multiLevelType w:val="hybridMultilevel"/>
    <w:lvl w:ilvl="0">
      <w:lvlJc w:val="left"/>
      <w:lvlText w:val="%1"/>
      <w:numFmt w:val="decimal"/>
      <w:start w:val="1"/>
    </w:lvl>
    <w:lvl w:ilvl="1">
      <w:lvlJc w:val="left"/>
      <w:lvlText w:val="(%2)"/>
      <w:numFmt w:val="lowerLetter"/>
      <w:start w:val="1"/>
    </w:lvl>
  </w:abstractNum>
  <w:abstractNum w:abstractNumId="104">
    <w:nsid w:val="14217E23"/>
    <w:multiLevelType w:val="hybridMultilevel"/>
    <w:lvl w:ilvl="0">
      <w:lvlJc w:val="left"/>
      <w:lvlText w:val="%1."/>
      <w:numFmt w:val="decimal"/>
      <w:start w:val="14"/>
    </w:lvl>
    <w:lvl w:ilvl="1">
      <w:lvlJc w:val="left"/>
      <w:lvlText w:val="(%2)"/>
      <w:numFmt w:val="lowerLetter"/>
      <w:start w:val="1"/>
    </w:lvl>
  </w:abstractNum>
  <w:abstractNum w:abstractNumId="105">
    <w:nsid w:val="710757D0"/>
    <w:multiLevelType w:val="hybridMultilevel"/>
    <w:lvl w:ilvl="0">
      <w:lvlJc w:val="left"/>
      <w:lvlText w:val="%1."/>
      <w:numFmt w:val="decimal"/>
      <w:start w:val="15"/>
    </w:lvl>
  </w:abstractNum>
  <w:abstractNum w:abstractNumId="106">
    <w:nsid w:val="5015CD1A"/>
    <w:multiLevelType w:val="hybridMultilevel"/>
    <w:lvl w:ilvl="0">
      <w:lvlJc w:val="left"/>
      <w:lvlText w:val="%1."/>
      <w:numFmt w:val="decimal"/>
      <w:start w:val="16"/>
    </w:lvl>
    <w:lvl w:ilvl="1">
      <w:lvlJc w:val="left"/>
      <w:lvlText w:val="(%2)"/>
      <w:numFmt w:val="lowerLetter"/>
      <w:start w:val="1"/>
    </w:lvl>
  </w:abstractNum>
  <w:abstractNum w:abstractNumId="107">
    <w:nsid w:val="424479DA"/>
    <w:multiLevelType w:val="hybridMultilevel"/>
    <w:lvl w:ilvl="0">
      <w:lvlJc w:val="left"/>
      <w:lvlText w:val="%1"/>
      <w:numFmt w:val="decimal"/>
      <w:start w:val="1"/>
    </w:lvl>
    <w:lvl w:ilvl="1">
      <w:lvlJc w:val="left"/>
      <w:lvlText w:val="(%2)"/>
      <w:numFmt w:val="lowerLetter"/>
      <w:start w:val="2"/>
    </w:lvl>
  </w:abstractNum>
  <w:abstractNum w:abstractNumId="108">
    <w:nsid w:val="1A9A9E69"/>
    <w:multiLevelType w:val="hybridMultilevel"/>
    <w:lvl w:ilvl="0">
      <w:lvlJc w:val="left"/>
      <w:lvlText w:val="%1."/>
      <w:numFmt w:val="decimal"/>
      <w:start w:val="22"/>
    </w:lvl>
    <w:lvl w:ilvl="1">
      <w:lvlJc w:val="left"/>
      <w:lvlText w:val="%2"/>
      <w:numFmt w:val="lowerLetter"/>
      <w:start w:val="1"/>
    </w:lvl>
  </w:abstractNum>
  <w:abstractNum w:abstractNumId="109">
    <w:nsid w:val="475E256A"/>
    <w:multiLevelType w:val="hybridMultilevel"/>
    <w:lvl w:ilvl="0">
      <w:lvlJc w:val="left"/>
      <w:lvlText w:val="•"/>
      <w:numFmt w:val="bullet"/>
      <w:start w:val="1"/>
    </w:lvl>
    <w:lvl w:ilvl="1">
      <w:lvlJc w:val="left"/>
      <w:lvlText w:val="•"/>
      <w:numFmt w:val="bullet"/>
      <w:start w:val="1"/>
    </w:lvl>
  </w:abstractNum>
  <w:abstractNum w:abstractNumId="110">
    <w:nsid w:val="368DB37E"/>
    <w:multiLevelType w:val="hybridMultilevel"/>
    <w:lvl w:ilvl="0">
      <w:lvlJc w:val="left"/>
      <w:lvlText w:val="•"/>
      <w:numFmt w:val="bullet"/>
      <w:start w:val="1"/>
    </w:lvl>
  </w:abstractNum>
  <w:abstractNum w:abstractNumId="111">
    <w:nsid w:val="6A3B714C"/>
    <w:multiLevelType w:val="hybridMultilevel"/>
    <w:lvl w:ilvl="0">
      <w:lvlJc w:val="left"/>
      <w:lvlText w:val="•"/>
      <w:numFmt w:val="bullet"/>
      <w:start w:val="1"/>
    </w:lvl>
  </w:abstractNum>
  <w:abstractNum w:abstractNumId="112">
    <w:nsid w:val="327B517E"/>
    <w:multiLevelType w:val="hybridMultilevel"/>
    <w:lvl w:ilvl="0">
      <w:lvlJc w:val="left"/>
      <w:lvlText w:val="%1."/>
      <w:numFmt w:val="decimal"/>
      <w:start w:val="1"/>
    </w:lvl>
    <w:lvl w:ilvl="1">
      <w:lvlJc w:val="left"/>
      <w:lvlText w:val="(%2)"/>
      <w:numFmt w:val="lowerLetter"/>
      <w:start w:val="1"/>
    </w:lvl>
  </w:abstractNum>
  <w:abstractNum w:abstractNumId="113">
    <w:nsid w:val="1F461B51"/>
    <w:multiLevelType w:val="hybridMultilevel"/>
    <w:lvl w:ilvl="0">
      <w:lvlJc w:val="left"/>
      <w:lvlText w:val="(%1)"/>
      <w:numFmt w:val="upperLetter"/>
      <w:start w:val="6"/>
    </w:lvl>
  </w:abstractNum>
  <w:abstractNum w:abstractNumId="114">
    <w:nsid w:val="29BACF25"/>
    <w:multiLevelType w:val="hybridMultilevel"/>
    <w:lvl w:ilvl="0">
      <w:lvlJc w:val="left"/>
      <w:lvlText w:val="(%1)"/>
      <w:numFmt w:val="lowerLetter"/>
      <w:start w:val="2"/>
    </w:lvl>
  </w:abstractNum>
  <w:abstractNum w:abstractNumId="115">
    <w:nsid w:val="5D5BABB3"/>
    <w:multiLevelType w:val="hybridMultilevel"/>
    <w:lvl w:ilvl="0">
      <w:lvlJc w:val="left"/>
      <w:lvlText w:val="%1."/>
      <w:numFmt w:val="decimal"/>
      <w:start w:val="2"/>
    </w:lvl>
  </w:abstractNum>
  <w:abstractNum w:abstractNumId="116">
    <w:nsid w:val="51BF6B4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7">
    <w:nsid w:val="7E0F638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18">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19">
    <w:nsid w:val="72E3413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20">
    <w:nsid w:val="116AE4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1">
    <w:nsid w:val="3494B2FB"/>
    <w:multiLevelType w:val="hybridMultilevel"/>
    <w:lvl w:ilvl="0">
      <w:lvlJc w:val="left"/>
      <w:lvlText w:val="%1."/>
      <w:numFmt w:val="decimal"/>
      <w:start w:val="10"/>
    </w:lvl>
    <w:lvl w:ilvl="1">
      <w:lvlJc w:val="left"/>
      <w:lvlText w:val="(%2)"/>
      <w:numFmt w:val="lowerLetter"/>
      <w:start w:val="1"/>
    </w:lvl>
  </w:abstractNum>
  <w:abstractNum w:abstractNumId="122">
    <w:nsid w:val="B13A31"/>
    <w:multiLevelType w:val="hybridMultilevel"/>
    <w:lvl w:ilvl="0">
      <w:lvlJc w:val="left"/>
      <w:lvlText w:val="%1"/>
      <w:numFmt w:val="decimal"/>
      <w:start w:val="1"/>
    </w:lvl>
    <w:lvl w:ilvl="1">
      <w:lvlJc w:val="left"/>
      <w:lvlText w:val="(%2)"/>
      <w:numFmt w:val="lowerLetter"/>
      <w:start w:val="2"/>
    </w:lvl>
  </w:abstractNum>
  <w:abstractNum w:abstractNumId="123">
    <w:nsid w:val="64429599"/>
    <w:multiLevelType w:val="hybridMultilevel"/>
    <w:lvl w:ilvl="0">
      <w:lvlJc w:val="left"/>
      <w:lvlText w:val="%1."/>
      <w:numFmt w:val="decimal"/>
      <w:start w:val="14"/>
    </w:lvl>
    <w:lvl w:ilvl="1">
      <w:lvlJc w:val="left"/>
      <w:lvlText w:val="(%2)"/>
      <w:numFmt w:val="lowerLetter"/>
      <w:start w:val="1"/>
    </w:lvl>
  </w:abstractNum>
  <w:abstractNum w:abstractNumId="124">
    <w:nsid w:val="631F1690"/>
    <w:multiLevelType w:val="hybridMultilevel"/>
    <w:lvl w:ilvl="0">
      <w:lvlJc w:val="left"/>
      <w:lvlText w:val="%1."/>
      <w:numFmt w:val="decimal"/>
      <w:start w:val="15"/>
    </w:lvl>
  </w:abstractNum>
  <w:abstractNum w:abstractNumId="125">
    <w:nsid w:val="25973E32"/>
    <w:multiLevelType w:val="hybridMultilevel"/>
    <w:lvl w:ilvl="0">
      <w:lvlJc w:val="left"/>
      <w:lvlText w:val="%1."/>
      <w:numFmt w:val="decimal"/>
      <w:start w:val="16"/>
    </w:lvl>
    <w:lvl w:ilvl="1">
      <w:lvlJc w:val="left"/>
      <w:lvlText w:val="(%2)"/>
      <w:numFmt w:val="lowerLetter"/>
      <w:start w:val="1"/>
    </w:lvl>
  </w:abstractNum>
  <w:abstractNum w:abstractNumId="126">
    <w:nsid w:val="EAD6F57"/>
    <w:multiLevelType w:val="hybridMultilevel"/>
    <w:lvl w:ilvl="0">
      <w:lvlJc w:val="left"/>
      <w:lvlText w:val="%1."/>
      <w:numFmt w:val="decimal"/>
      <w:start w:val="21"/>
    </w:lvl>
    <w:lvl w:ilvl="1">
      <w:lvlJc w:val="left"/>
      <w:lvlText w:val="(%2)"/>
      <w:numFmt w:val="lowerLetter"/>
      <w:start w:val="1"/>
    </w:lvl>
  </w:abstractNum>
  <w:abstractNum w:abstractNumId="127">
    <w:nsid w:val="6EC9D844"/>
    <w:multiLevelType w:val="hybridMultilevel"/>
    <w:lvl w:ilvl="0">
      <w:lvlJc w:val="left"/>
      <w:lvlText w:val="(%1)"/>
      <w:numFmt w:val="decimal"/>
      <w:start w:val="1"/>
    </w:lvl>
  </w:abstractNum>
  <w:abstractNum w:abstractNumId="128">
    <w:nsid w:val="5C49EAEE"/>
    <w:multiLevelType w:val="hybridMultilevel"/>
    <w:lvl w:ilvl="0">
      <w:lvlJc w:val="left"/>
      <w:lvlText w:val="(%1)"/>
      <w:numFmt w:val="decimal"/>
      <w:start w:val="2"/>
    </w:lvl>
    <w:lvl w:ilvl="1">
      <w:lvlJc w:val="left"/>
      <w:lvlText w:val="(%2)"/>
      <w:numFmt w:val="decimal"/>
      <w:start w:val="9"/>
    </w:lvl>
  </w:abstractNum>
  <w:abstractNum w:abstractNumId="129">
    <w:nsid w:val="64AF49B"/>
    <w:multiLevelType w:val="hybridMultilevel"/>
    <w:lvl w:ilvl="0">
      <w:lvlJc w:val="left"/>
      <w:lvlText w:val="(%1)"/>
      <w:numFmt w:val="decimal"/>
      <w:start w:val="13"/>
    </w:lvl>
  </w:abstractNum>
  <w:abstractNum w:abstractNumId="130">
    <w:nsid w:val="397C46BC"/>
    <w:multiLevelType w:val="hybridMultilevel"/>
    <w:lvl w:ilvl="0">
      <w:lvlJc w:val="left"/>
      <w:lvlText w:val="(%1)"/>
      <w:numFmt w:val="decimal"/>
      <w:start w:val="1"/>
    </w:lvl>
  </w:abstractNum>
  <w:abstractNum w:abstractNumId="131">
    <w:nsid w:val="7E448DE9"/>
    <w:multiLevelType w:val="hybridMultilevel"/>
    <w:lvl w:ilvl="0">
      <w:lvlJc w:val="left"/>
      <w:lvlText w:val="(%1)"/>
      <w:numFmt w:val="decimal"/>
      <w:start w:val="1"/>
    </w:lvl>
  </w:abstractNum>
  <w:abstractNum w:abstractNumId="132">
    <w:nsid w:val="5A9CC3E5"/>
    <w:multiLevelType w:val="hybridMultilevel"/>
    <w:lvl w:ilvl="0">
      <w:lvlJc w:val="left"/>
      <w:lvlText w:val="%1."/>
      <w:numFmt w:val="decimal"/>
      <w:start w:val="1"/>
    </w:lvl>
    <w:lvl w:ilvl="1">
      <w:lvlJc w:val="left"/>
      <w:lvlText w:val="(%2)"/>
      <w:numFmt w:val="lowerLetter"/>
      <w:start w:val="1"/>
    </w:lvl>
  </w:abstractNum>
  <w:abstractNum w:abstractNumId="133">
    <w:nsid w:val="1AFE3625"/>
    <w:multiLevelType w:val="hybridMultilevel"/>
    <w:lvl w:ilvl="0">
      <w:lvlJc w:val="left"/>
      <w:lvlText w:val="(%1)"/>
      <w:numFmt w:val="lowerRoman"/>
      <w:start w:val="1"/>
    </w:lvl>
  </w:abstractNum>
  <w:abstractNum w:abstractNumId="134">
    <w:nsid w:val="3CA88ECF"/>
    <w:multiLevelType w:val="hybridMultilevel"/>
    <w:lvl w:ilvl="0">
      <w:lvlJc w:val="left"/>
      <w:lvlText w:val="%1."/>
      <w:numFmt w:val="decimal"/>
      <w:start w:val="2"/>
    </w:lvl>
  </w:abstractNum>
  <w:abstractNum w:abstractNumId="135">
    <w:nsid w:val="6EBE4208"/>
    <w:multiLevelType w:val="hybridMultilevel"/>
    <w:lvl w:ilvl="0">
      <w:lvlJc w:val="left"/>
      <w:lvlText w:val="•"/>
      <w:numFmt w:val="bullet"/>
      <w:start w:val="1"/>
    </w:lvl>
    <w:lvl w:ilvl="1">
      <w:lvlJc w:val="left"/>
      <w:lvlText w:val="•"/>
      <w:numFmt w:val="bullet"/>
      <w:start w:val="1"/>
    </w:lvl>
  </w:abstractNum>
  <w:abstractNum w:abstractNumId="136">
    <w:nsid w:val="C058DF5"/>
    <w:multiLevelType w:val="hybridMultilevel"/>
    <w:lvl w:ilvl="0">
      <w:lvlJc w:val="left"/>
      <w:lvlText w:val="•"/>
      <w:numFmt w:val="bullet"/>
      <w:start w:val="1"/>
    </w:lvl>
  </w:abstractNum>
  <w:abstractNum w:abstractNumId="137">
    <w:nsid w:val="CBE5BE9"/>
    <w:multiLevelType w:val="hybridMultilevel"/>
    <w:lvl w:ilvl="0">
      <w:lvlJc w:val="left"/>
      <w:lvlText w:val="%1."/>
      <w:numFmt w:val="decimal"/>
      <w:start w:val="1"/>
    </w:lvl>
    <w:lvl w:ilvl="1">
      <w:lvlJc w:val="left"/>
      <w:lvlText w:val="(%2)"/>
      <w:numFmt w:val="lowerLetter"/>
      <w:start w:val="1"/>
    </w:lvl>
  </w:abstractNum>
  <w:abstractNum w:abstractNumId="138">
    <w:nsid w:val="3102BBE2"/>
    <w:multiLevelType w:val="hybridMultilevel"/>
    <w:lvl w:ilvl="0">
      <w:lvlJc w:val="left"/>
      <w:lvlText w:val="(%1)"/>
      <w:numFmt w:val="upperLetter"/>
      <w:start w:val="6"/>
    </w:lvl>
  </w:abstractNum>
  <w:abstractNum w:abstractNumId="139">
    <w:nsid w:val="26A02C5E"/>
    <w:multiLevelType w:val="hybridMultilevel"/>
    <w:lvl w:ilvl="0">
      <w:lvlJc w:val="left"/>
      <w:lvlText w:val="(%1)"/>
      <w:numFmt w:val="lowerLetter"/>
      <w:start w:val="2"/>
    </w:lvl>
  </w:abstractNum>
  <w:abstractNum w:abstractNumId="140">
    <w:nsid w:val="541C8153"/>
    <w:multiLevelType w:val="hybridMultilevel"/>
    <w:lvl w:ilvl="0">
      <w:lvlJc w:val="left"/>
      <w:lvlText w:val="%1."/>
      <w:numFmt w:val="decimal"/>
      <w:start w:val="2"/>
    </w:lvl>
    <w:lvl w:ilvl="1">
      <w:lvlJc w:val="left"/>
      <w:lvlText w:val="(%2)"/>
      <w:numFmt w:val="lowerLetter"/>
      <w:start w:val="1"/>
    </w:lvl>
  </w:abstractNum>
  <w:abstractNum w:abstractNumId="141">
    <w:nsid w:val="67906F6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2">
    <w:nsid w:val="10DB9DA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43">
    <w:nsid w:val="697D2D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4">
    <w:nsid w:val="6D68AB2"/>
    <w:multiLevelType w:val="hybridMultilevel"/>
    <w:lvl w:ilvl="0">
      <w:lvlJc w:val="left"/>
      <w:lvlText w:val="%1."/>
      <w:numFmt w:val="decimal"/>
      <w:start w:val="10"/>
    </w:lvl>
  </w:abstractNum>
  <w:abstractNum w:abstractNumId="145">
    <w:nsid w:val="3A966CD0"/>
    <w:multiLevelType w:val="hybridMultilevel"/>
    <w:lvl w:ilvl="0">
      <w:lvlJc w:val="left"/>
      <w:lvlText w:val="%1."/>
      <w:numFmt w:val="decimal"/>
      <w:start w:val="13"/>
    </w:lvl>
    <w:lvl w:ilvl="1">
      <w:lvlJc w:val="left"/>
      <w:lvlText w:val="(%2)"/>
      <w:numFmt w:val="lowerLetter"/>
      <w:start w:val="1"/>
    </w:lvl>
  </w:abstractNum>
  <w:abstractNum w:abstractNumId="146">
    <w:nsid w:val="63F37E85"/>
    <w:multiLevelType w:val="hybridMultilevel"/>
    <w:lvl w:ilvl="0">
      <w:lvlJc w:val="left"/>
      <w:lvlText w:val="%1."/>
      <w:numFmt w:val="decimal"/>
      <w:start w:val="15"/>
    </w:lvl>
  </w:abstractNum>
  <w:abstractNum w:abstractNumId="147">
    <w:nsid w:val="5895F5FA"/>
    <w:multiLevelType w:val="hybridMultilevel"/>
    <w:lvl w:ilvl="0">
      <w:lvlJc w:val="left"/>
      <w:lvlText w:val="%1."/>
      <w:numFmt w:val="decimal"/>
      <w:start w:val="16"/>
    </w:lvl>
    <w:lvl w:ilvl="1">
      <w:lvlJc w:val="left"/>
      <w:lvlText w:val="(%2)"/>
      <w:numFmt w:val="lowerLetter"/>
      <w:start w:val="1"/>
    </w:lvl>
  </w:abstractNum>
  <w:abstractNum w:abstractNumId="148">
    <w:nsid w:val="38A5D054"/>
    <w:multiLevelType w:val="hybridMultilevel"/>
    <w:lvl w:ilvl="0">
      <w:lvlJc w:val="left"/>
      <w:lvlText w:val="%1."/>
      <w:numFmt w:val="decimal"/>
      <w:start w:val="20"/>
    </w:lvl>
    <w:lvl w:ilvl="1">
      <w:lvlJc w:val="left"/>
      <w:lvlText w:val="(%2)"/>
      <w:numFmt w:val="lowerLetter"/>
      <w:start w:val="1"/>
    </w:lvl>
  </w:abstractNum>
  <w:abstractNum w:abstractNumId="149">
    <w:nsid w:val="F3F09D8"/>
    <w:multiLevelType w:val="hybridMultilevel"/>
    <w:lvl w:ilvl="0">
      <w:lvlJc w:val="left"/>
      <w:lvlText w:val="(%1)"/>
      <w:numFmt w:val="decimal"/>
      <w:start w:val="1"/>
    </w:lvl>
  </w:abstractNum>
  <w:abstractNum w:abstractNumId="150">
    <w:nsid w:val="4B793735"/>
    <w:multiLevelType w:val="hybridMultilevel"/>
    <w:lvl w:ilvl="0">
      <w:lvlJc w:val="left"/>
      <w:lvlText w:val="(%1)"/>
      <w:numFmt w:val="decimal"/>
      <w:start w:val="2"/>
    </w:lvl>
    <w:lvl w:ilvl="1">
      <w:lvlJc w:val="left"/>
      <w:lvlText w:val="(%2)"/>
      <w:numFmt w:val="decimal"/>
      <w:start w:val="10"/>
    </w:lvl>
  </w:abstractNum>
  <w:abstractNum w:abstractNumId="151">
    <w:nsid w:val="4A10B4E8"/>
    <w:multiLevelType w:val="hybridMultilevel"/>
    <w:lvl w:ilvl="0">
      <w:lvlJc w:val="left"/>
      <w:lvlText w:val="(%1)"/>
      <w:numFmt w:val="decimal"/>
      <w:start w:val="13"/>
    </w:lvl>
  </w:abstractNum>
  <w:abstractNum w:abstractNumId="152">
    <w:nsid w:val="43D3BCD4"/>
    <w:multiLevelType w:val="hybridMultilevel"/>
    <w:lvl w:ilvl="0">
      <w:lvlJc w:val="left"/>
      <w:lvlText w:val="(%1)"/>
      <w:numFmt w:val="decimal"/>
      <w:start w:val="1"/>
    </w:lvl>
  </w:abstractNum>
  <w:abstractNum w:abstractNumId="153">
    <w:nsid w:val="4C2A7166"/>
    <w:multiLevelType w:val="hybridMultilevel"/>
    <w:lvl w:ilvl="0">
      <w:lvlJc w:val="left"/>
      <w:lvlText w:val="(%1)"/>
      <w:numFmt w:val="decimal"/>
      <w:start w:val="1"/>
    </w:lvl>
  </w:abstractNum>
  <w:abstractNum w:abstractNumId="154">
    <w:nsid w:val="2E534A82"/>
    <w:multiLevelType w:val="hybridMultilevel"/>
    <w:lvl w:ilvl="0">
      <w:lvlJc w:val="left"/>
      <w:lvlText w:val="%1."/>
      <w:numFmt w:val="decimal"/>
      <w:start w:val="1"/>
    </w:lvl>
    <w:lvl w:ilvl="1">
      <w:lvlJc w:val="left"/>
      <w:lvlText w:val="(%2)"/>
      <w:numFmt w:val="lowerLetter"/>
      <w:start w:val="1"/>
    </w:lvl>
  </w:abstractNum>
  <w:abstractNum w:abstractNumId="155">
    <w:nsid w:val="26F2D364"/>
    <w:multiLevelType w:val="hybridMultilevel"/>
    <w:lvl w:ilvl="0">
      <w:lvlJc w:val="left"/>
      <w:lvlText w:val="(%1)"/>
      <w:numFmt w:val="lowerRoman"/>
      <w:start w:val="1"/>
    </w:lvl>
  </w:abstractNum>
  <w:abstractNum w:abstractNumId="156">
    <w:nsid w:val="71C1AF98"/>
    <w:multiLevelType w:val="hybridMultilevel"/>
    <w:lvl w:ilvl="0">
      <w:lvlJc w:val="left"/>
      <w:lvlText w:val="%1."/>
      <w:numFmt w:val="decimal"/>
      <w:start w:val="2"/>
    </w:lvl>
  </w:abstractNum>
  <w:abstractNum w:abstractNumId="157">
    <w:nsid w:val="3D00B9D9"/>
    <w:multiLevelType w:val="hybridMultilevel"/>
    <w:lvl w:ilvl="0">
      <w:lvlJc w:val="left"/>
      <w:lvlText w:val="(%1)"/>
      <w:numFmt w:val="lowerRoman"/>
      <w:start w:val="1"/>
    </w:lvl>
  </w:abstractNum>
  <w:abstractNum w:abstractNumId="158">
    <w:nsid w:val="15BCABA8"/>
    <w:multiLevelType w:val="hybridMultilevel"/>
    <w:lvl w:ilvl="0">
      <w:lvlJc w:val="left"/>
      <w:lvlText w:val="(%1)"/>
      <w:numFmt w:val="lowerRoman"/>
      <w:start w:val="2"/>
    </w:lvl>
  </w:abstractNum>
  <w:abstractNum w:abstractNumId="159">
    <w:nsid w:val="4E0B9A87"/>
    <w:multiLevelType w:val="hybridMultilevel"/>
    <w:lvl w:ilvl="0">
      <w:lvlJc w:val="left"/>
      <w:lvlText w:val="%1."/>
      <w:numFmt w:val="decimal"/>
      <w:start w:val="1"/>
    </w:lvl>
    <w:lvl w:ilvl="1">
      <w:lvlJc w:val="left"/>
      <w:lvlText w:val="(%2)"/>
      <w:numFmt w:val="lowerLetter"/>
      <w:start w:val="1"/>
    </w:lvl>
  </w:abstractNum>
  <w:abstractNum w:abstractNumId="160">
    <w:nsid w:val="434BAE75"/>
    <w:multiLevelType w:val="hybridMultilevel"/>
    <w:lvl w:ilvl="0">
      <w:lvlJc w:val="left"/>
      <w:lvlText w:val="(%1)"/>
      <w:numFmt w:val="lowerLetter"/>
      <w:start w:val="4"/>
    </w:lvl>
    <w:lvl w:ilvl="1">
      <w:lvlJc w:val="left"/>
      <w:lvlText w:val="%2."/>
      <w:numFmt w:val="decimal"/>
      <w:start w:val="1"/>
    </w:lvl>
  </w:abstractNum>
  <w:abstractNum w:abstractNumId="161">
    <w:nsid w:val="4F38F265"/>
    <w:multiLevelType w:val="hybridMultilevel"/>
    <w:lvl w:ilvl="0">
      <w:lvlJc w:val="left"/>
      <w:lvlText w:val="%1."/>
      <w:numFmt w:val="lowerRoman"/>
      <w:start w:val="1"/>
    </w:lvl>
  </w:abstractNum>
  <w:abstractNum w:abstractNumId="162">
    <w:nsid w:val="4C502870"/>
    <w:multiLevelType w:val="hybridMultilevel"/>
    <w:lvl w:ilvl="0">
      <w:lvlJc w:val="left"/>
      <w:lvlText w:val="%1."/>
      <w:numFmt w:val="lowerRoman"/>
      <w:start w:val="2"/>
    </w:lvl>
  </w:abstractNum>
  <w:abstractNum w:abstractNumId="163">
    <w:nsid w:val="1DE8725A"/>
    <w:multiLevelType w:val="hybridMultilevel"/>
    <w:lvl w:ilvl="0">
      <w:lvlJc w:val="left"/>
      <w:lvlText w:val="%1."/>
      <w:numFmt w:val="lowerRoman"/>
      <w:start w:val="3"/>
    </w:lvl>
  </w:abstractNum>
  <w:abstractNum w:abstractNumId="164">
    <w:nsid w:val="6A37288A"/>
    <w:multiLevelType w:val="hybridMultilevel"/>
    <w:lvl w:ilvl="0">
      <w:lvlJc w:val="left"/>
      <w:lvlText w:val="%1."/>
      <w:numFmt w:val="decimal"/>
      <w:start w:val="2"/>
    </w:lvl>
    <w:lvl w:ilvl="1">
      <w:lvlJc w:val="left"/>
      <w:lvlText w:val="%2."/>
      <w:numFmt w:val="lowerRoman"/>
      <w:start w:val="1"/>
    </w:lvl>
  </w:abstractNum>
  <w:abstractNum w:abstractNumId="165">
    <w:nsid w:val="8F8B73F"/>
    <w:multiLevelType w:val="hybridMultilevel"/>
    <w:lvl w:ilvl="0">
      <w:lvlJc w:val="left"/>
      <w:lvlText w:val="%1."/>
      <w:numFmt w:val="lowerRoman"/>
      <w:start w:val="2"/>
    </w:lvl>
  </w:abstractNum>
  <w:abstractNum w:abstractNumId="166">
    <w:nsid w:val="CA6B462"/>
    <w:multiLevelType w:val="hybridMultilevel"/>
    <w:lvl w:ilvl="0">
      <w:lvlJc w:val="left"/>
      <w:lvlText w:val="%1."/>
      <w:numFmt w:val="lowerRoman"/>
      <w:start w:val="3"/>
    </w:lvl>
  </w:abstractNum>
  <w:abstractNum w:abstractNumId="167">
    <w:nsid w:val="763CB680"/>
    <w:multiLevelType w:val="hybridMultilevel"/>
    <w:lvl w:ilvl="0">
      <w:lvlJc w:val="left"/>
      <w:lvlText w:val="%1."/>
      <w:numFmt w:val="decimal"/>
      <w:start w:val="3"/>
    </w:lvl>
    <w:lvl w:ilvl="1">
      <w:lvlJc w:val="left"/>
      <w:lvlText w:val="%2."/>
      <w:numFmt w:val="lowerRoman"/>
      <w:start w:val="1"/>
    </w:lvl>
  </w:abstractNum>
  <w:abstractNum w:abstractNumId="168">
    <w:nsid w:val="15B71329"/>
    <w:multiLevelType w:val="hybridMultilevel"/>
    <w:lvl w:ilvl="0">
      <w:lvlJc w:val="left"/>
      <w:lvlText w:val="%1."/>
      <w:numFmt w:val="lowerRoman"/>
      <w:start w:val="2"/>
    </w:lvl>
  </w:abstractNum>
  <w:abstractNum w:abstractNumId="169">
    <w:nsid w:val="3DA97044"/>
    <w:multiLevelType w:val="hybridMultilevel"/>
    <w:lvl w:ilvl="0">
      <w:lvlJc w:val="left"/>
      <w:lvlText w:val="%1."/>
      <w:numFmt w:val="lowerRoman"/>
      <w:start w:val="3"/>
    </w:lvl>
  </w:abstractNum>
  <w:abstractNum w:abstractNumId="170">
    <w:nsid w:val="1CDCE2DE"/>
    <w:multiLevelType w:val="hybridMultilevel"/>
    <w:lvl w:ilvl="0">
      <w:lvlJc w:val="left"/>
      <w:lvlText w:val="%1."/>
      <w:numFmt w:val="decimal"/>
      <w:start w:val="4"/>
    </w:lvl>
  </w:abstractNum>
  <w:abstractNum w:abstractNumId="171">
    <w:nsid w:val="69D3947C"/>
    <w:multiLevelType w:val="hybridMultilevel"/>
    <w:lvl w:ilvl="0">
      <w:lvlJc w:val="left"/>
      <w:lvlText w:val="%1."/>
      <w:numFmt w:val="decimal"/>
      <w:start w:val="5"/>
    </w:lvl>
  </w:abstractNum>
  <w:abstractNum w:abstractNumId="172">
    <w:nsid w:val="2539DFA5"/>
    <w:multiLevelType w:val="hybridMultilevel"/>
    <w:lvl w:ilvl="0">
      <w:lvlJc w:val="left"/>
      <w:lvlText w:val="%1."/>
      <w:numFmt w:val="decimal"/>
      <w:start w:val="6"/>
    </w:lvl>
  </w:abstractNum>
  <w:abstractNum w:abstractNumId="173">
    <w:nsid w:val="2DB88089"/>
    <w:multiLevelType w:val="hybridMultilevel"/>
    <w:lvl w:ilvl="0">
      <w:lvlJc w:val="left"/>
      <w:lvlText w:val="%1"/>
      <w:numFmt w:val="decimal"/>
      <w:start w:val="1"/>
    </w:lvl>
    <w:lvl w:ilvl="1">
      <w:lvlJc w:val="left"/>
      <w:lvlText w:val="(%2)"/>
      <w:numFmt w:val="lowerLetter"/>
      <w:start w:val="1"/>
    </w:lvl>
  </w:abstractNum>
  <w:abstractNum w:abstractNumId="174">
    <w:nsid w:val="706B674E"/>
    <w:multiLevelType w:val="hybridMultilevel"/>
    <w:lvl w:ilvl="0">
      <w:lvlJc w:val="left"/>
      <w:lvlText w:val="%1."/>
      <w:numFmt w:val="decimal"/>
      <w:start w:val="3"/>
    </w:lvl>
    <w:lvl w:ilvl="1">
      <w:lvlJc w:val="left"/>
      <w:lvlText w:val="%2"/>
      <w:numFmt w:val="lowerLetter"/>
      <w:start w:val="1"/>
    </w:lvl>
  </w:abstractNum>
  <w:abstractNum w:abstractNumId="175">
    <w:nsid w:val="2C106A57"/>
    <w:multiLevelType w:val="hybridMultilevel"/>
    <w:lvl w:ilvl="0">
      <w:lvlJc w:val="left"/>
      <w:lvlText w:val="%1."/>
      <w:numFmt w:val="decimal"/>
      <w:start w:val="4"/>
    </w:lvl>
  </w:abstractNum>
  <w:abstractNum w:abstractNumId="176">
    <w:nsid w:val="684EED59"/>
    <w:multiLevelType w:val="hybridMultilevel"/>
    <w:lvl w:ilvl="0">
      <w:lvlJc w:val="left"/>
      <w:lvlText w:val="%1."/>
      <w:numFmt w:val="decimal"/>
      <w:start w:val="5"/>
    </w:lvl>
  </w:abstractNum>
  <w:abstractNum w:abstractNumId="177">
    <w:nsid w:val="545EE5D3"/>
    <w:multiLevelType w:val="hybridMultilevel"/>
    <w:lvl w:ilvl="0">
      <w:lvlJc w:val="left"/>
      <w:lvlText w:val="%1."/>
      <w:numFmt w:val="decimal"/>
      <w:start w:val="6"/>
    </w:lvl>
    <w:lvl w:ilvl="1">
      <w:lvlJc w:val="left"/>
      <w:lvlText w:val="(%2)"/>
      <w:numFmt w:val="lowerLetter"/>
      <w:start w:val="1"/>
    </w:lvl>
  </w:abstractNum>
  <w:abstractNum w:abstractNumId="178">
    <w:nsid w:val="4A66051"/>
    <w:multiLevelType w:val="hybridMultilevel"/>
    <w:lvl w:ilvl="0">
      <w:lvlJc w:val="left"/>
      <w:lvlText w:val="%1."/>
      <w:numFmt w:val="decimal"/>
      <w:start w:val="7"/>
    </w:lvl>
    <w:lvl w:ilvl="1">
      <w:lvlJc w:val="left"/>
      <w:lvlText w:val="(%2)"/>
      <w:numFmt w:val="lowerLetter"/>
      <w:start w:val="1"/>
    </w:lvl>
  </w:abstractNum>
  <w:abstractNum w:abstractNumId="179">
    <w:nsid w:val="20F4BDAD"/>
    <w:multiLevelType w:val="hybridMultilevel"/>
    <w:lvl w:ilvl="0">
      <w:lvlJc w:val="left"/>
      <w:lvlText w:val="(%1)"/>
      <w:numFmt w:val="lowerLetter"/>
      <w:start w:val="4"/>
    </w:lvl>
    <w:lvl w:ilvl="1">
      <w:lvlJc w:val="left"/>
      <w:lvlText w:val="(%2)"/>
      <w:numFmt w:val="lowerLetter"/>
      <w:start w:val="9"/>
    </w:lvl>
  </w:abstractNum>
  <w:abstractNum w:abstractNumId="180">
    <w:nsid w:val="639DEF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1">
    <w:nsid w:val="501F978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2">
    <w:nsid w:val="6B057295"/>
    <w:multiLevelType w:val="hybridMultilevel"/>
    <w:lvl w:ilvl="0">
      <w:lvlJc w:val="left"/>
      <w:lvlText w:val="%1"/>
      <w:numFmt w:val="lowerLetter"/>
      <w:start w:val="1"/>
    </w:lvl>
    <w:lvl w:ilvl="1">
      <w:lvlJc w:val="left"/>
      <w:lvlText w:val="(%2)"/>
      <w:numFmt w:val="lowerRoman"/>
      <w:start w:val="1"/>
    </w:lvl>
  </w:abstractNum>
  <w:abstractNum w:abstractNumId="183">
    <w:nsid w:val="2771AC80"/>
    <w:multiLevelType w:val="hybridMultilevel"/>
    <w:lvl w:ilvl="0">
      <w:lvlJc w:val="left"/>
      <w:lvlText w:val="(%1)"/>
      <w:numFmt w:val="lowerLetter"/>
      <w:start w:val="2"/>
    </w:lvl>
    <w:lvl w:ilvl="1">
      <w:lvlJc w:val="left"/>
      <w:lvlText w:val="%2"/>
      <w:numFmt w:val="lowerRoman"/>
      <w:start w:val="1"/>
    </w:lvl>
  </w:abstractNum>
  <w:abstractNum w:abstractNumId="184">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85">
    <w:nsid w:val="1958BD17"/>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86">
    <w:nsid w:val="4E647FE4"/>
    <w:multiLevelType w:val="hybridMultilevel"/>
    <w:lvl w:ilvl="0">
      <w:lvlJc w:val="left"/>
      <w:lvlText w:val="(%1)"/>
      <w:numFmt w:val="lowerRoman"/>
      <w:start w:val="1"/>
    </w:lvl>
  </w:abstractNum>
  <w:abstractNum w:abstractNumId="187">
    <w:nsid w:val="E0BB885"/>
    <w:multiLevelType w:val="hybridMultilevel"/>
    <w:lvl w:ilvl="0">
      <w:lvlJc w:val="left"/>
      <w:lvlText w:val="(%1)"/>
      <w:numFmt w:val="lowerLetter"/>
      <w:start w:val="2"/>
    </w:lvl>
    <w:lvl w:ilvl="1">
      <w:lvlJc w:val="left"/>
      <w:lvlText w:val="(%2)"/>
      <w:numFmt w:val="lowerLetter"/>
      <w:start w:val="9"/>
    </w:lvl>
  </w:abstractNum>
  <w:abstractNum w:abstractNumId="188">
    <w:nsid w:val="565976F1"/>
    <w:multiLevelType w:val="hybridMultilevel"/>
    <w:lvl w:ilvl="0">
      <w:lvlJc w:val="left"/>
      <w:lvlText w:val="%1"/>
      <w:numFmt w:val="lowerLetter"/>
      <w:start w:val="1"/>
    </w:lvl>
    <w:lvl w:ilvl="1">
      <w:lvlJc w:val="left"/>
      <w:lvlText w:val="(%2)"/>
      <w:numFmt w:val="lowerRoman"/>
      <w:start w:val="2"/>
    </w:lvl>
  </w:abstractNum>
  <w:abstractNum w:abstractNumId="189">
    <w:nsid w:val="64212B8C"/>
    <w:multiLevelType w:val="hybridMultilevel"/>
    <w:lvl w:ilvl="0">
      <w:lvlJc w:val="left"/>
      <w:lvlText w:val="(%1)"/>
      <w:numFmt w:val="lowerLetter"/>
      <w:start w:val="3"/>
    </w:lvl>
    <w:lvl w:ilvl="1">
      <w:lvlJc w:val="left"/>
      <w:lvlText w:val="(%2)"/>
      <w:numFmt w:val="lowerRoman"/>
      <w:start w:val="1"/>
    </w:lvl>
  </w:abstractNum>
  <w:abstractNum w:abstractNumId="190">
    <w:nsid w:val="5C17530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91">
    <w:nsid w:val="19A52566"/>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92">
    <w:nsid w:val="335A1DF1"/>
    <w:multiLevelType w:val="hybridMultilevel"/>
    <w:lvl w:ilvl="0">
      <w:lvlJc w:val="left"/>
      <w:lvlText w:val="%1"/>
      <w:numFmt w:val="lowerLetter"/>
      <w:start w:val="1"/>
    </w:lvl>
    <w:lvl w:ilvl="1">
      <w:lvlJc w:val="left"/>
      <w:lvlText w:val="(%2)"/>
      <w:numFmt w:val="lowerRoman"/>
      <w:start w:val="2"/>
    </w:lvl>
  </w:abstractNum>
  <w:abstractNum w:abstractNumId="193">
    <w:nsid w:val="28677B7C"/>
    <w:multiLevelType w:val="hybridMultilevel"/>
    <w:lvl w:ilvl="0">
      <w:lvlJc w:val="left"/>
      <w:lvlText w:val="(%1)"/>
      <w:numFmt w:val="lowerLetter"/>
      <w:start w:val="5"/>
    </w:lvl>
    <w:lvl w:ilvl="1">
      <w:lvlJc w:val="left"/>
      <w:lvlText w:val="%2"/>
      <w:numFmt w:val="lowerRoman"/>
      <w:start w:val="1"/>
    </w:lvl>
  </w:abstractNum>
  <w:abstractNum w:abstractNumId="194">
    <w:nsid w:val="378D97C0"/>
    <w:multiLevelType w:val="hybridMultilevel"/>
    <w:lvl w:ilvl="0">
      <w:lvlJc w:val="left"/>
      <w:lvlText w:val="%1"/>
      <w:numFmt w:val="lowerLetter"/>
      <w:start w:val="1"/>
    </w:lvl>
    <w:lvl w:ilvl="1">
      <w:lvlJc w:val="left"/>
      <w:lvlText w:val="(%2)"/>
      <w:numFmt w:val="lowerRoman"/>
      <w:start w:val="1"/>
    </w:lvl>
  </w:abstractNum>
  <w:abstractNum w:abstractNumId="195">
    <w:nsid w:val="1D91467C"/>
    <w:multiLevelType w:val="hybridMultilevel"/>
    <w:lvl w:ilvl="0">
      <w:lvlJc w:val="left"/>
      <w:lvlText w:val="(%1)"/>
      <w:numFmt w:val="lowerLetter"/>
      <w:start w:val="6"/>
    </w:lvl>
    <w:lvl w:ilvl="1">
      <w:lvlJc w:val="left"/>
      <w:lvlText w:val="(%2)"/>
      <w:numFmt w:val="lowerRoman"/>
      <w:start w:val="1"/>
    </w:lvl>
  </w:abstractNum>
  <w:abstractNum w:abstractNumId="196">
    <w:nsid w:val="316032BB"/>
    <w:multiLevelType w:val="hybridMultilevel"/>
    <w:lvl w:ilvl="0">
      <w:lvlJc w:val="left"/>
      <w:lvlText w:val="%1."/>
      <w:numFmt w:val="decimal"/>
      <w:start w:val="11"/>
    </w:lvl>
    <w:lvl w:ilvl="1">
      <w:lvlJc w:val="left"/>
      <w:lvlText w:val="(%2)"/>
      <w:numFmt w:val="lowerLetter"/>
      <w:start w:val="1"/>
    </w:lvl>
  </w:abstractNum>
  <w:abstractNum w:abstractNumId="197">
    <w:nsid w:val="44344C22"/>
    <w:multiLevelType w:val="hybridMultilevel"/>
    <w:lvl w:ilvl="0">
      <w:lvlJc w:val="left"/>
      <w:lvlText w:val="(%1)"/>
      <w:numFmt w:val="lowerLetter"/>
      <w:start w:val="5"/>
    </w:lvl>
  </w:abstractNum>
  <w:abstractNum w:abstractNumId="198">
    <w:nsid w:val="13CDFCFC"/>
    <w:multiLevelType w:val="hybridMultilevel"/>
    <w:lvl w:ilvl="0">
      <w:lvlJc w:val="left"/>
      <w:lvlText w:val="(%1)"/>
      <w:numFmt w:val="lowerLetter"/>
      <w:start w:val="11"/>
    </w:lvl>
  </w:abstractNum>
  <w:abstractNum w:abstractNumId="199">
    <w:nsid w:val="471745E4"/>
    <w:multiLevelType w:val="hybridMultilevel"/>
    <w:lvl w:ilvl="0">
      <w:lvlJc w:val="left"/>
      <w:lvlText w:val="(%1)"/>
      <w:numFmt w:val="lowerLetter"/>
      <w:start w:val="18"/>
    </w:lvl>
  </w:abstractNum>
  <w:abstractNum w:abstractNumId="200">
    <w:nsid w:val="1DDBC66"/>
    <w:multiLevelType w:val="hybridMultilevel"/>
    <w:lvl w:ilvl="0">
      <w:lvlJc w:val="left"/>
      <w:lvlText w:val="(%1)"/>
      <w:numFmt w:val="lowerLetter"/>
      <w:start w:val="21"/>
    </w:lvl>
  </w:abstractNum>
  <w:abstractNum w:abstractNumId="201">
    <w:nsid w:val="30AADFDA"/>
    <w:multiLevelType w:val="hybridMultilevel"/>
    <w:lvl w:ilvl="0">
      <w:lvlJc w:val="left"/>
      <w:lvlText w:val="%1."/>
      <w:numFmt w:val="decimal"/>
      <w:start w:val="12"/>
    </w:lvl>
  </w:abstractNum>
  <w:abstractNum w:abstractNumId="202">
    <w:nsid w:val="30EADA61"/>
    <w:multiLevelType w:val="hybridMultilevel"/>
    <w:lvl w:ilvl="0">
      <w:lvlJc w:val="left"/>
      <w:lvlText w:val="%1."/>
      <w:numFmt w:val="decimal"/>
      <w:start w:val="13"/>
    </w:lvl>
  </w:abstractNum>
  <w:abstractNum w:abstractNumId="203">
    <w:nsid w:val="27179C0B"/>
    <w:multiLevelType w:val="hybridMultilevel"/>
    <w:lvl w:ilvl="0">
      <w:lvlJc w:val="left"/>
      <w:lvlText w:val="%1."/>
      <w:numFmt w:val="decimal"/>
      <w:start w:val="1"/>
    </w:lvl>
    <w:lvl w:ilvl="1">
      <w:lvlJc w:val="left"/>
      <w:lvlText w:val="(%2)"/>
      <w:numFmt w:val="lowerLetter"/>
      <w:start w:val="1"/>
    </w:lvl>
  </w:abstractNum>
  <w:abstractNum w:abstractNumId="204">
    <w:nsid w:val="5E636063"/>
    <w:multiLevelType w:val="hybridMultilevel"/>
    <w:lvl w:ilvl="0">
      <w:lvlJc w:val="left"/>
      <w:lvlText w:val="(%1)"/>
      <w:numFmt w:val="lowerLetter"/>
      <w:start w:val="4"/>
    </w:lvl>
    <w:lvl w:ilvl="1">
      <w:lvlJc w:val="left"/>
      <w:lvlText w:val="(%2)"/>
      <w:numFmt w:val="lowerRoman"/>
      <w:start w:val="1"/>
    </w:lvl>
  </w:abstractNum>
  <w:abstractNum w:abstractNumId="205">
    <w:nsid w:val="215641AF"/>
    <w:multiLevelType w:val="hybridMultilevel"/>
    <w:lvl w:ilvl="0">
      <w:lvlJc w:val="left"/>
      <w:lvlText w:val="(%1)"/>
      <w:numFmt w:val="lowerRoman"/>
      <w:start w:val="3"/>
    </w:lvl>
    <w:lvl w:ilvl="1">
      <w:lvlJc w:val="left"/>
      <w:lvlText w:val="%2."/>
      <w:numFmt w:val="lowerLetter"/>
      <w:start w:val="1"/>
    </w:lvl>
  </w:abstractNum>
  <w:abstractNum w:abstractNumId="206">
    <w:nsid w:val="53280662"/>
    <w:multiLevelType w:val="hybridMultilevel"/>
    <w:lvl w:ilvl="0">
      <w:lvlJc w:val="left"/>
      <w:lvlText w:val="%1."/>
      <w:numFmt w:val="lowerLetter"/>
      <w:start w:val="1"/>
    </w:lvl>
  </w:abstractNum>
  <w:abstractNum w:abstractNumId="207">
    <w:nsid w:val="46B24DBC"/>
    <w:multiLevelType w:val="hybridMultilevel"/>
    <w:lvl w:ilvl="0">
      <w:lvlJc w:val="left"/>
      <w:lvlText w:val="%1"/>
      <w:numFmt w:val="lowerRoman"/>
      <w:start w:val="1"/>
    </w:lvl>
    <w:lvl w:ilvl="1">
      <w:lvlJc w:val="left"/>
      <w:lvlText w:val="%2."/>
      <w:numFmt w:val="lowerLetter"/>
      <w:start w:val="1"/>
    </w:lvl>
  </w:abstractNum>
  <w:abstractNum w:abstractNumId="208">
    <w:nsid w:val="75B52783"/>
    <w:multiLevelType w:val="hybridMultilevel"/>
    <w:lvl w:ilvl="0">
      <w:lvlJc w:val="left"/>
      <w:lvlText w:val="(%1)"/>
      <w:numFmt w:val="lowerRoman"/>
      <w:start w:val="5"/>
    </w:lvl>
    <w:lvl w:ilvl="1">
      <w:lvlJc w:val="left"/>
      <w:lvlText w:val="%2"/>
      <w:numFmt w:val="lowerLetter"/>
      <w:start w:val="1"/>
    </w:lvl>
  </w:abstractNum>
  <w:abstractNum w:abstractNumId="209">
    <w:nsid w:val="57CE66B4"/>
    <w:multiLevelType w:val="hybridMultilevel"/>
    <w:lvl w:ilvl="0">
      <w:lvlJc w:val="left"/>
      <w:lvlText w:val="(%1)"/>
      <w:numFmt w:val="lowerRoman"/>
      <w:start w:val="6"/>
    </w:lvl>
  </w:abstractNum>
  <w:abstractNum w:abstractNumId="210">
    <w:nsid w:val="67A70B69"/>
    <w:multiLevelType w:val="hybridMultilevel"/>
    <w:lvl w:ilvl="0">
      <w:lvlJc w:val="left"/>
      <w:lvlText w:val="%1"/>
      <w:numFmt w:val="decimal"/>
      <w:start w:val="1"/>
    </w:lvl>
    <w:lvl w:ilvl="1">
      <w:lvlJc w:val="left"/>
      <w:lvlText w:val="(%2)"/>
      <w:numFmt w:val="lowerLetter"/>
      <w:start w:val="5"/>
    </w:lvl>
  </w:abstractNum>
  <w:abstractNum w:abstractNumId="211">
    <w:nsid w:val="5953172F"/>
    <w:multiLevelType w:val="hybridMultilevel"/>
    <w:lvl w:ilvl="0">
      <w:lvlJc w:val="left"/>
      <w:lvlText w:val="%1."/>
      <w:numFmt w:val="decimal"/>
      <w:start w:val="3"/>
    </w:lvl>
    <w:lvl w:ilvl="1">
      <w:lvlJc w:val="left"/>
      <w:lvlText w:val="%2"/>
      <w:numFmt w:val="lowerLetter"/>
      <w:start w:val="1"/>
    </w:lvl>
  </w:abstractNum>
  <w:abstractNum w:abstractNumId="212">
    <w:nsid w:val="27EDFE3A"/>
    <w:multiLevelType w:val="hybridMultilevel"/>
    <w:lvl w:ilvl="0">
      <w:lvlJc w:val="left"/>
      <w:lvlText w:val="%1."/>
      <w:numFmt w:val="decimal"/>
      <w:start w:val="4"/>
    </w:lvl>
  </w:abstractNum>
  <w:abstractNum w:abstractNumId="213">
    <w:nsid w:val="52AC7DFF"/>
    <w:multiLevelType w:val="hybridMultilevel"/>
    <w:lvl w:ilvl="0">
      <w:lvlJc w:val="left"/>
      <w:lvlText w:val="%1."/>
      <w:numFmt w:val="decimal"/>
      <w:start w:val="5"/>
    </w:lvl>
  </w:abstractNum>
  <w:abstractNum w:abstractNumId="214">
    <w:nsid w:val="C4C3AF"/>
    <w:multiLevelType w:val="hybridMultilevel"/>
    <w:lvl w:ilvl="0">
      <w:lvlJc w:val="left"/>
      <w:lvlText w:val="%1."/>
      <w:numFmt w:val="decimal"/>
      <w:start w:val="6"/>
    </w:lvl>
    <w:lvl w:ilvl="1">
      <w:lvlJc w:val="left"/>
      <w:lvlText w:val="(%2)"/>
      <w:numFmt w:val="lowerLetter"/>
      <w:start w:val="1"/>
    </w:lvl>
  </w:abstractNum>
  <w:abstractNum w:abstractNumId="215">
    <w:nsid w:val="44380727"/>
    <w:multiLevelType w:val="hybridMultilevel"/>
    <w:lvl w:ilvl="0">
      <w:lvlJc w:val="left"/>
      <w:lvlText w:val="(%1)"/>
      <w:numFmt w:val="lowerLetter"/>
      <w:start w:val="3"/>
    </w:lvl>
  </w:abstractNum>
  <w:abstractNum w:abstractNumId="216">
    <w:nsid w:val="6C053B1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17">
    <w:nsid w:val="4F29439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8">
    <w:nsid w:val="5243BF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19">
    <w:nsid w:val="425EB207"/>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220">
    <w:nsid w:val="334A6F1F"/>
    <w:multiLevelType w:val="hybridMultilevel"/>
    <w:lvl w:ilvl="0">
      <w:lvlJc w:val="left"/>
      <w:lvlText w:val="%1."/>
      <w:numFmt w:val="decimal"/>
      <w:start w:val="10"/>
    </w:lvl>
    <w:lvl w:ilvl="1">
      <w:lvlJc w:val="left"/>
      <w:lvlText w:val="(%2)"/>
      <w:numFmt w:val="lowerLetter"/>
      <w:start w:val="1"/>
    </w:lvl>
  </w:abstractNum>
  <w:abstractNum w:abstractNumId="221">
    <w:nsid w:val="2E5B12B8"/>
    <w:multiLevelType w:val="hybridMultilevel"/>
    <w:lvl w:ilvl="0">
      <w:lvlJc w:val="left"/>
      <w:lvlText w:val="(%1)"/>
      <w:numFmt w:val="lowerRoman"/>
      <w:start w:val="1"/>
    </w:lvl>
  </w:abstractNum>
  <w:abstractNum w:abstractNumId="222">
    <w:nsid w:val="5C03D76D"/>
    <w:multiLevelType w:val="hybridMultilevel"/>
    <w:lvl w:ilvl="0">
      <w:lvlJc w:val="left"/>
      <w:lvlText w:val="(%1)"/>
      <w:numFmt w:val="lowerLetter"/>
      <w:start w:val="2"/>
    </w:lvl>
    <w:lvl w:ilvl="1">
      <w:lvlJc w:val="left"/>
      <w:lvlText w:val="(%2)"/>
      <w:numFmt w:val="lowerRoman"/>
      <w:start w:val="1"/>
    </w:lvl>
  </w:abstractNum>
  <w:abstractNum w:abstractNumId="223">
    <w:nsid w:val="66A48D1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0"/>
    </w:lvl>
    <w:lvl w:ilvl="3">
      <w:lvlJc w:val="left"/>
      <w:lvlText w:val="%4"/>
      <w:numFmt w:val="lowerLetter"/>
      <w:start w:val="1"/>
    </w:lvl>
  </w:abstractNum>
  <w:abstractNum w:abstractNumId="224">
    <w:nsid w:val="56C28E34"/>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4"/>
      <w:numFmt w:val="lowerLetter"/>
      <w:start w:val="1"/>
    </w:lvl>
  </w:abstractNum>
  <w:abstractNum w:abstractNumId="225">
    <w:nsid w:val="13916F2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26">
    <w:nsid w:val="435D38D"/>
    <w:multiLevelType w:val="hybridMultilevel"/>
    <w:lvl w:ilvl="0">
      <w:lvlJc w:val="left"/>
      <w:lvlText w:val="%1."/>
      <w:numFmt w:val="lowerLetter"/>
      <w:start w:val="2"/>
    </w:lvl>
  </w:abstractNum>
  <w:abstractNum w:abstractNumId="227">
    <w:nsid w:val="822C0EF"/>
    <w:multiLevelType w:val="hybridMultilevel"/>
    <w:lvl w:ilvl="0">
      <w:lvlJc w:val="left"/>
      <w:lvlText w:val="%1"/>
      <w:numFmt w:val="lowerLetter"/>
      <w:start w:val="1"/>
    </w:lvl>
    <w:lvl w:ilvl="1">
      <w:lvlJc w:val="left"/>
      <w:lvlText w:val="(%2)"/>
      <w:numFmt w:val="lowerRoman"/>
      <w:start w:val="2"/>
    </w:lvl>
  </w:abstractNum>
  <w:abstractNum w:abstractNumId="228">
    <w:nsid w:val="57C5BB4F"/>
    <w:multiLevelType w:val="hybridMultilevel"/>
    <w:lvl w:ilvl="0">
      <w:lvlJc w:val="left"/>
      <w:lvlText w:val="(%1)"/>
      <w:numFmt w:val="lowerLetter"/>
      <w:start w:val="5"/>
    </w:lvl>
    <w:lvl w:ilvl="1">
      <w:lvlJc w:val="left"/>
      <w:lvlText w:val="%2"/>
      <w:numFmt w:val="lowerRoman"/>
      <w:start w:val="1"/>
    </w:lvl>
  </w:abstractNum>
  <w:abstractNum w:abstractNumId="229">
    <w:nsid w:val="1803D0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0">
    <w:nsid w:val="4F3A06D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31">
    <w:nsid w:val="59A377B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32">
    <w:nsid w:val="48AEB063"/>
    <w:multiLevelType w:val="hybridMultilevel"/>
    <w:lvl w:ilvl="0">
      <w:lvlJc w:val="left"/>
      <w:lvlText w:val="(%1)"/>
      <w:numFmt w:val="lowerLetter"/>
      <w:start w:val="2"/>
    </w:lvl>
  </w:abstractNum>
  <w:abstractNum w:abstractNumId="233">
    <w:nsid w:val="24E135"/>
    <w:multiLevelType w:val="hybridMultilevel"/>
    <w:lvl w:ilvl="0">
      <w:lvlJc w:val="left"/>
      <w:lvlText w:val="(%1)"/>
      <w:numFmt w:val="lowerLetter"/>
      <w:start w:val="7"/>
    </w:lvl>
  </w:abstractNum>
  <w:abstractNum w:abstractNumId="234">
    <w:nsid w:val="BB13C1"/>
    <w:multiLevelType w:val="hybridMultilevel"/>
    <w:lvl w:ilvl="0">
      <w:lvlJc w:val="left"/>
      <w:lvlText w:val="(%1)"/>
      <w:numFmt w:val="lowerLetter"/>
      <w:start w:val="15"/>
    </w:lvl>
  </w:abstractNum>
  <w:abstractNum w:abstractNumId="235">
    <w:nsid w:val="271210C7"/>
    <w:multiLevelType w:val="hybridMultilevel"/>
    <w:lvl w:ilvl="0">
      <w:lvlJc w:val="left"/>
      <w:lvlText w:val="%1"/>
      <w:numFmt w:val="decimal"/>
      <w:start w:val="1"/>
    </w:lvl>
    <w:lvl w:ilvl="1">
      <w:lvlJc w:val="left"/>
      <w:lvlText w:val="(%2)"/>
      <w:numFmt w:val="lowerLetter"/>
      <w:start w:val="20"/>
    </w:lvl>
  </w:abstractNum>
  <w:abstractNum w:abstractNumId="236">
    <w:nsid w:val="217B22E4"/>
    <w:multiLevelType w:val="hybridMultilevel"/>
    <w:lvl w:ilvl="0">
      <w:lvlJc w:val="left"/>
      <w:lvlText w:val="%1."/>
      <w:numFmt w:val="decimal"/>
      <w:start w:val="12"/>
    </w:lvl>
    <w:lvl w:ilvl="1">
      <w:lvlJc w:val="left"/>
      <w:lvlText w:val="%2"/>
      <w:numFmt w:val="lowerLetter"/>
      <w:start w:val="1"/>
    </w:lvl>
  </w:abstractNum>
  <w:abstractNum w:abstractNumId="237">
    <w:nsid w:val="53E31A24"/>
    <w:multiLevelType w:val="hybridMultilevel"/>
    <w:lvl w:ilvl="0">
      <w:lvlJc w:val="left"/>
      <w:lvlText w:val="%1."/>
      <w:numFmt w:val="decimal"/>
      <w:start w:val="13"/>
    </w:lvl>
  </w:abstractNum>
  <w:abstractNum w:abstractNumId="238">
    <w:nsid w:val="6DC45E83"/>
    <w:multiLevelType w:val="hybridMultilevel"/>
    <w:lvl w:ilvl="0">
      <w:lvlJc w:val="left"/>
      <w:lvlText w:val="•"/>
      <w:numFmt w:val="bullet"/>
      <w:start w:val="1"/>
    </w:lvl>
  </w:abstractNum>
  <w:abstractNum w:abstractNumId="239">
    <w:nsid w:val="17304A67"/>
    <w:multiLevelType w:val="hybridMultilevel"/>
    <w:lvl w:ilvl="0">
      <w:lvlJc w:val="left"/>
      <w:lvlText w:val="•"/>
      <w:numFmt w:val="bullet"/>
      <w:start w:val="1"/>
    </w:lvl>
  </w:abstractNum>
  <w:abstractNum w:abstractNumId="240">
    <w:nsid w:val="2BB180D8"/>
    <w:multiLevelType w:val="hybridMultilevel"/>
    <w:lvl w:ilvl="0">
      <w:lvlJc w:val="left"/>
      <w:lvlText w:val="•"/>
      <w:numFmt w:val="bullet"/>
      <w:start w:val="1"/>
    </w:lvl>
  </w:abstractNum>
  <w:abstractNum w:abstractNumId="241">
    <w:nsid w:val="556B69ED"/>
    <w:multiLevelType w:val="hybridMultilevel"/>
    <w:lvl w:ilvl="0">
      <w:lvlJc w:val="left"/>
      <w:lvlText w:val="•"/>
      <w:numFmt w:val="bullet"/>
      <w:start w:val="1"/>
    </w:lvl>
  </w:abstractNum>
  <w:abstractNum w:abstractNumId="242">
    <w:nsid w:val="70836196"/>
    <w:multiLevelType w:val="hybridMultilevel"/>
    <w:lvl w:ilvl="0">
      <w:lvlJc w:val="left"/>
      <w:lvlText w:val="•"/>
      <w:numFmt w:val="bullet"/>
      <w:start w:val="1"/>
    </w:lvl>
  </w:abstractNum>
  <w:abstractNum w:abstractNumId="243">
    <w:nsid w:val="539F7F12"/>
    <w:multiLevelType w:val="hybridMultilevel"/>
    <w:lvl w:ilvl="0">
      <w:lvlJc w:val="left"/>
      <w:lvlText w:val="•"/>
      <w:numFmt w:val="bullet"/>
      <w:start w:val="1"/>
    </w:lvl>
  </w:abstractNum>
  <w:abstractNum w:abstractNumId="244">
    <w:nsid w:val="2817E7EC"/>
    <w:multiLevelType w:val="hybridMultilevel"/>
    <w:lvl w:ilvl="0">
      <w:lvlJc w:val="left"/>
      <w:lvlText w:val="•"/>
      <w:numFmt w:val="bullet"/>
      <w:start w:val="1"/>
    </w:lvl>
  </w:abstractNum>
  <w:abstractNum w:abstractNumId="245">
    <w:nsid w:val="71482545"/>
    <w:multiLevelType w:val="hybridMultilevel"/>
    <w:lvl w:ilvl="0">
      <w:lvlJc w:val="left"/>
      <w:lvlText w:val="•"/>
      <w:numFmt w:val="bullet"/>
      <w:start w:val="1"/>
    </w:lvl>
  </w:abstractNum>
  <w:abstractNum w:abstractNumId="246">
    <w:nsid w:val="17D78639"/>
    <w:multiLevelType w:val="hybridMultilevel"/>
    <w:lvl w:ilvl="0">
      <w:lvlJc w:val="left"/>
      <w:lvlText w:val="•"/>
      <w:numFmt w:val="bullet"/>
      <w:start w:val="1"/>
    </w:lvl>
  </w:abstractNum>
  <w:abstractNum w:abstractNumId="247">
    <w:nsid w:val="141D2302"/>
    <w:multiLevelType w:val="hybridMultilevel"/>
    <w:lvl w:ilvl="0">
      <w:lvlJc w:val="left"/>
      <w:lvlText w:val="%1."/>
      <w:numFmt w:val="decimal"/>
      <w:start w:val="1"/>
    </w:lvl>
    <w:lvl w:ilvl="1">
      <w:lvlJc w:val="left"/>
      <w:lvlText w:val="(%2)"/>
      <w:numFmt w:val="lowerLetter"/>
      <w:start w:val="1"/>
    </w:lvl>
  </w:abstractNum>
  <w:abstractNum w:abstractNumId="248">
    <w:nsid w:val="407168D8"/>
    <w:multiLevelType w:val="hybridMultilevel"/>
    <w:lvl w:ilvl="0">
      <w:lvlJc w:val="left"/>
      <w:lvlText w:val="%1."/>
      <w:numFmt w:val="decimal"/>
      <w:start w:val="1"/>
    </w:lvl>
    <w:lvl w:ilvl="1">
      <w:lvlJc w:val="left"/>
      <w:lvlText w:val="(%2)"/>
      <w:numFmt w:val="lowerLetter"/>
      <w:start w:val="1"/>
    </w:lvl>
  </w:abstractNum>
  <w:abstractNum w:abstractNumId="249">
    <w:nsid w:val="6A1B45E5"/>
    <w:multiLevelType w:val="hybridMultilevel"/>
    <w:lvl w:ilvl="0">
      <w:lvlJc w:val="left"/>
      <w:lvlText w:val="(%1)"/>
      <w:numFmt w:val="decimal"/>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81"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jpe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15" Type="http://schemas.openxmlformats.org/officeDocument/2006/relationships/hyperlink" Target="http://www.sec.gov/ix?doc=/Archives/edgar/data/718877/000071887720000003/atvi-12312019x10xk.htm#s6EB94B6C257359E9B4DE5DBD405C2A5C" TargetMode="External"/><Relationship Id="rId68" Type="http://schemas.openxmlformats.org/officeDocument/2006/relationships/hyperlink" Target="http://www.sec.gov/ix?doc=/Archives/edgar/data/718877/000162828021002828/atvi-20201231.htm#ib0ddcf3b6dfc48f1887e8f41dda6461e_43" TargetMode="External"/><Relationship Id="rId71" Type="http://schemas.openxmlformats.org/officeDocument/2006/relationships/hyperlink" Target="http://www.sec.gov/ix?doc=/Archives/edgar/data/0000718877/000162828021002828/atvi-20201231.htm#ib0ddcf3b6dfc48f1887e8f41dda6461e_43" TargetMode="External"/><Relationship Id="rId149" Type="http://schemas.openxmlformats.org/officeDocument/2006/relationships/hyperlink" Target="http://www.sec.gov/Archives/edgar/data/0000718877/000110465922005154/tm223212d3_ex2-1.htm" TargetMode="External"/><Relationship Id="rId150" Type="http://schemas.openxmlformats.org/officeDocument/2006/relationships/hyperlink" Target="http://www.sec.gov/Archives/edgar/data/718877/000110465914044513/a14-14950_1ex3d1.htm" TargetMode="External"/><Relationship Id="rId151" Type="http://schemas.openxmlformats.org/officeDocument/2006/relationships/hyperlink" Target="http://www.sec.gov/Archives/edgar/data/0000718877/000110465922005154/tm223212d3_ex3-1.htm" TargetMode="External"/><Relationship Id="rId152" Type="http://schemas.openxmlformats.org/officeDocument/2006/relationships/hyperlink" Target="http://www.sec.gov/Archives/edgar/data/718877/000110465916145484/a16-18230_4ex4d1.htm" TargetMode="External"/><Relationship Id="rId153" Type="http://schemas.openxmlformats.org/officeDocument/2006/relationships/hyperlink" Target="http://www.sec.gov/Archives/edgar/data/718877/000110465917035716/a17-13961_3ex4d1.htm" TargetMode="External"/><Relationship Id="rId154" Type="http://schemas.openxmlformats.org/officeDocument/2006/relationships/hyperlink" Target="http://www.sec.gov/Archives/edgar/data/718877/000110465917035716/a17-13961_3ex4d2.htm" TargetMode="External"/><Relationship Id="rId155" Type="http://schemas.openxmlformats.org/officeDocument/2006/relationships/hyperlink" Target="https://www.sec.gov/Archives/edgar/data/718877/000110465920092717/tm2026289d4_ex4-2.htm" TargetMode="External"/><Relationship Id="rId156" Type="http://schemas.openxmlformats.org/officeDocument/2006/relationships/hyperlink" Target="http://www.sec.gov/Archives/edgar/data/718877/000110465912043056/a12-14498_1ex10d1.htm" TargetMode="External"/><Relationship Id="rId157" Type="http://schemas.openxmlformats.org/officeDocument/2006/relationships/hyperlink" Target="http://www.sec.gov/Archives/edgar/data/718877/000110465917029920/a17-8921_1ex10d1.htm" TargetMode="External"/><Relationship Id="rId158" Type="http://schemas.openxmlformats.org/officeDocument/2006/relationships/hyperlink" Target="http://www.sec.gov/Archives/edgar/data/718877/000104746917001072/a2230993zex-10_14.htm" TargetMode="External"/><Relationship Id="rId159" Type="http://schemas.openxmlformats.org/officeDocument/2006/relationships/hyperlink" Target="http://www.sec.gov/Archives/edgar/data/718877/000104746909002015/a2190811zex-10_44.htm" TargetMode="External"/><Relationship Id="rId160" Type="http://schemas.openxmlformats.org/officeDocument/2006/relationships/hyperlink" Target="http://www.sec.gov/Archives/edgar/data/718877/000110465913038868/a13-8588_1ex10d5.htm" TargetMode="External"/><Relationship Id="rId163" Type="http://schemas.openxmlformats.org/officeDocument/2006/relationships/hyperlink" Target="http://www.sec.gov/Archives/edgar/data/718877/000110465914076552/a14-19826_1ex10d1.htm" TargetMode="External"/><Relationship Id="rId164" Type="http://schemas.openxmlformats.org/officeDocument/2006/relationships/hyperlink" Target="http://www.sec.gov/Archives/edgar/data/718877/000110465914076552/a14-19826_1ex10d2.htm" TargetMode="External"/><Relationship Id="rId165" Type="http://schemas.openxmlformats.org/officeDocument/2006/relationships/hyperlink" Target="http://www.sec.gov/Archives/edgar/data/718877/000110465917029920/a17-8921_1ex10d2.htm" TargetMode="External"/><Relationship Id="rId166" Type="http://schemas.openxmlformats.org/officeDocument/2006/relationships/hyperlink" Target="http://www.sec.gov/Archives/edgar/data/718877/000110465917029920/a17-8921_1ex10d3.htm" TargetMode="External"/><Relationship Id="rId167" Type="http://schemas.openxmlformats.org/officeDocument/2006/relationships/hyperlink" Target="http://www.sec.gov/Archives/edgar/data/718877/000104746919000788/a2237840zex-10_21.htm" TargetMode="External"/><Relationship Id="rId168" Type="http://schemas.openxmlformats.org/officeDocument/2006/relationships/hyperlink" Target="http://www.sec.gov/Archives/edgar/data/718877/000071887720000003/atvi123119ex1022.htm" TargetMode="External"/><Relationship Id="rId169" Type="http://schemas.openxmlformats.org/officeDocument/2006/relationships/hyperlink" Target="http://www.sec.gov/Archives/edgar/data/718877/000071887720000003/atvi123119ex1023.htm" TargetMode="External"/><Relationship Id="rId170" Type="http://schemas.openxmlformats.org/officeDocument/2006/relationships/hyperlink" Target="http://www.sec.gov/Archives/edgar/data/718877/000162828021002828/atvi123120ex1024.htm" TargetMode="External"/><Relationship Id="rId171" Type="http://schemas.openxmlformats.org/officeDocument/2006/relationships/hyperlink" Target="http://www.sec.gov/Archives/edgar/data/718877/000162828021002828/atvi123120ex1025.htm" TargetMode="External"/><Relationship Id="rId172" Type="http://schemas.openxmlformats.org/officeDocument/2006/relationships/hyperlink" Target="http://www.sec.gov/Archives/edgar/data/718877/000110465914057005/a14-14115_1ex10d6.htm" TargetMode="External"/><Relationship Id="rId173" Type="http://schemas.openxmlformats.org/officeDocument/2006/relationships/hyperlink" Target="http://www.sec.gov/Archives/edgar/data/718877/000110465915076727/a15-18056_1ex10d1.htm" TargetMode="External"/><Relationship Id="rId174" Type="http://schemas.openxmlformats.org/officeDocument/2006/relationships/hyperlink" Target="http://www.sec.gov/Archives/edgar/data/718877/000110465916159113/a16-22182_1ex10d1.htm" TargetMode="External"/><Relationship Id="rId175" Type="http://schemas.openxmlformats.org/officeDocument/2006/relationships/hyperlink" Target="http://www.sec.gov/Archives/edgar/data/718877/000110465921056776/tm2114493d1_ex10-1.htm" TargetMode="External"/><Relationship Id="rId176" Type="http://schemas.openxmlformats.org/officeDocument/2006/relationships/hyperlink" Target="http://www.sec.gov/Archives/edgar/data/718877/000104746919000788/a2237840zex-10_27.htm" TargetMode="External"/><Relationship Id="rId177" Type="http://schemas.openxmlformats.org/officeDocument/2006/relationships/hyperlink" Target="http://www.sec.gov/Archives/edgar/data/718877/000071887720000003/atvi123119ex1031.htm" TargetMode="External"/><Relationship Id="rId178" Type="http://schemas.openxmlformats.org/officeDocument/2006/relationships/hyperlink" Target="http://www.sec.gov/Archives/edgar/data/0000718877/000162828021021200/atvi93021ex101.htm" TargetMode="External"/><Relationship Id="rId179" Type="http://schemas.openxmlformats.org/officeDocument/2006/relationships/hyperlink" Target="http://www.sec.gov/Archives/edgar/data/718877/000104746919000788/a2237840zex-10_24.htm" TargetMode="External"/><Relationship Id="rId180" Type="http://schemas.openxmlformats.org/officeDocument/2006/relationships/hyperlink" Target="https://www.sec.gov/Archives/edgar/data/718877/000110465920031972/tm2012269d1_ex10-1.htm" TargetMode="External"/><Relationship Id="rId182" Type="http://schemas.openxmlformats.org/officeDocument/2006/relationships/hyperlink" Target="http://www.sec.gov/Archives/edgar/data/718877/000071887720000003/atvi123119ex1033.htm" TargetMode="External"/><Relationship Id="rId183" Type="http://schemas.openxmlformats.org/officeDocument/2006/relationships/hyperlink" Target="http://www.sec.gov/Archives/edgar/data/0000718877/000110465921115515/tm2127559d1_ex10-1.htm" TargetMode="External"/><Relationship Id="rId184" Type="http://schemas.openxmlformats.org/officeDocument/2006/relationships/hyperlink" Target="http://www.sec.gov/Archives/edgar/data/718877/000071887719000004/atvi33119ex102.htm" TargetMode="External"/><Relationship Id="rId185" Type="http://schemas.openxmlformats.org/officeDocument/2006/relationships/hyperlink" Target="http://www.sec.gov/Archives/edgar/data/718877/000110465913076443/a13-22471_1ex10d1.htm" TargetMode="External"/><Relationship Id="rId186" Type="http://schemas.openxmlformats.org/officeDocument/2006/relationships/hyperlink" Target="http://www.sec.gov/Archives/edgar/data/718877/000110465915075068/a15-22145_1ex10d1.htm" TargetMode="External"/><Relationship Id="rId187" Type="http://schemas.openxmlformats.org/officeDocument/2006/relationships/hyperlink" Target="http://www.sec.gov/Archives/edgar/data/718877/000110465915079610/a15-23082_1ex10d1.htm" TargetMode="External"/><Relationship Id="rId188" Type="http://schemas.openxmlformats.org/officeDocument/2006/relationships/hyperlink" Target="http://www.sec.gov/Archives/edgar/data/718877/000110465915084685/a15-24656_1ex10d1.htm" TargetMode="External"/><Relationship Id="rId189" Type="http://schemas.openxmlformats.org/officeDocument/2006/relationships/hyperlink" Target="http://www.sec.gov/Archives/edgar/data/718877/000110465916109325/a16-7653_1ex10d1.htm" TargetMode="External"/><Relationship Id="rId190" Type="http://schemas.openxmlformats.org/officeDocument/2006/relationships/hyperlink" Target="http://www.sec.gov/Archives/edgar/data/718877/000110465916141094/a16-17371_1ex10d1.htm" TargetMode="External"/><Relationship Id="rId191" Type="http://schemas.openxmlformats.org/officeDocument/2006/relationships/hyperlink" Target="http://www.sec.gov/Archives/edgar/data/718877/000110465917006608/a17-3790_1ex10d1.htm" TargetMode="External"/><Relationship Id="rId192" Type="http://schemas.openxmlformats.org/officeDocument/2006/relationships/hyperlink" Target="http://www.sec.gov/Archives/edgar/data/718877/000110465918054148/a18-2301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2022-02-25T17:37:22Z</dcterms:created>
  <dcterms:modified xsi:type="dcterms:W3CDTF">2022-02-25T17:37:22Z</dcterms:modified>
</cp:coreProperties>
</file>